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2558" w14:textId="77777777" w:rsidR="002C38AD" w:rsidRDefault="002C38AD" w:rsidP="002C38AD">
      <w:pPr>
        <w:pStyle w:val="Overskrift1"/>
        <w:keepLines w:val="0"/>
        <w:pageBreakBefore/>
        <w:pBdr>
          <w:bottom w:val="single" w:sz="2" w:space="1" w:color="auto"/>
        </w:pBdr>
        <w:tabs>
          <w:tab w:val="left" w:pos="851"/>
          <w:tab w:val="left" w:pos="1134"/>
          <w:tab w:val="left" w:pos="1418"/>
          <w:tab w:val="left" w:pos="1701"/>
        </w:tabs>
        <w:spacing w:before="120" w:after="120" w:line="240" w:lineRule="auto"/>
      </w:pPr>
      <w:bookmarkStart w:id="0" w:name="_Toc18959184"/>
      <w:bookmarkStart w:id="1" w:name="_Toc18960122"/>
      <w:bookmarkStart w:id="2" w:name="_Toc19103726"/>
      <w:bookmarkStart w:id="3" w:name="_Toc19104399"/>
      <w:bookmarkStart w:id="4" w:name="_Toc19108819"/>
      <w:bookmarkStart w:id="5" w:name="_Toc19171285"/>
      <w:bookmarkStart w:id="6" w:name="_Toc19181883"/>
      <w:bookmarkStart w:id="7" w:name="_Toc19184313"/>
      <w:bookmarkStart w:id="8" w:name="_Toc19191990"/>
      <w:bookmarkStart w:id="9" w:name="_Toc19192586"/>
      <w:bookmarkStart w:id="10" w:name="_Toc19192839"/>
      <w:bookmarkStart w:id="11" w:name="_Toc19193341"/>
      <w:bookmarkStart w:id="12" w:name="_Toc19255997"/>
      <w:bookmarkStart w:id="13" w:name="_Toc19258057"/>
      <w:bookmarkStart w:id="14" w:name="_Toc19258860"/>
      <w:bookmarkStart w:id="15" w:name="_Toc19260479"/>
      <w:bookmarkStart w:id="16" w:name="_Toc19260832"/>
      <w:bookmarkStart w:id="17" w:name="_Toc19261667"/>
      <w:bookmarkStart w:id="18" w:name="_Toc19262167"/>
      <w:bookmarkStart w:id="19" w:name="_Toc19262726"/>
      <w:bookmarkStart w:id="20" w:name="_Toc19263311"/>
      <w:bookmarkStart w:id="21" w:name="_Toc21636668"/>
      <w:r>
        <w:t>Om ansvar ved behandling av personopplysninger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75E8633" w14:textId="77777777" w:rsidR="002C38AD" w:rsidRPr="00F1424C" w:rsidRDefault="002C38AD" w:rsidP="002C38AD">
      <w:pPr>
        <w:pStyle w:val="Overskrift2"/>
        <w:keepLines w:val="0"/>
        <w:tabs>
          <w:tab w:val="left" w:pos="1134"/>
          <w:tab w:val="left" w:pos="1418"/>
        </w:tabs>
        <w:spacing w:before="120" w:after="120" w:line="240" w:lineRule="auto"/>
      </w:pPr>
      <w:bookmarkStart w:id="22" w:name="_Toc18959185"/>
      <w:bookmarkStart w:id="23" w:name="_Toc18960123"/>
      <w:bookmarkStart w:id="24" w:name="_Toc19103727"/>
      <w:bookmarkStart w:id="25" w:name="_Toc19104400"/>
      <w:bookmarkStart w:id="26" w:name="_Toc19108820"/>
      <w:bookmarkStart w:id="27" w:name="_Toc19171286"/>
      <w:bookmarkStart w:id="28" w:name="_Toc19181884"/>
      <w:bookmarkStart w:id="29" w:name="_Toc19184314"/>
      <w:bookmarkStart w:id="30" w:name="_Toc19191991"/>
      <w:bookmarkStart w:id="31" w:name="_Toc19192587"/>
      <w:bookmarkStart w:id="32" w:name="_Toc19192840"/>
      <w:bookmarkStart w:id="33" w:name="_Toc19193342"/>
      <w:bookmarkStart w:id="34" w:name="_Toc19255998"/>
      <w:bookmarkStart w:id="35" w:name="_Toc19258058"/>
      <w:bookmarkStart w:id="36" w:name="_Toc19258861"/>
      <w:bookmarkStart w:id="37" w:name="_Toc19260480"/>
      <w:bookmarkStart w:id="38" w:name="_Toc19260833"/>
      <w:bookmarkStart w:id="39" w:name="_Toc19261668"/>
      <w:bookmarkStart w:id="40" w:name="_Toc19262168"/>
      <w:bookmarkStart w:id="41" w:name="_Toc19262727"/>
      <w:bookmarkStart w:id="42" w:name="_Toc19263312"/>
      <w:bookmarkStart w:id="43" w:name="_Toc21636669"/>
      <w:r w:rsidRPr="00F1424C">
        <w:t>Behandlingsansvarlig</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4F1537" w14:textId="77777777" w:rsidR="002C38AD" w:rsidRPr="001C5E58" w:rsidRDefault="002C38AD" w:rsidP="002C38AD">
      <w:r w:rsidRPr="001C5E58">
        <w:t xml:space="preserve">Den som bestemmer formålet med behandlingen av </w:t>
      </w:r>
      <w:r w:rsidRPr="005923FA">
        <w:rPr>
          <w:i/>
        </w:rPr>
        <w:t>personopplysninger</w:t>
      </w:r>
      <w:r w:rsidRPr="001C5E58">
        <w:t xml:space="preserve"> og hvilke hjelpemidler som skal brukes under behandlingen er </w:t>
      </w:r>
      <w:r w:rsidRPr="001C5E58">
        <w:rPr>
          <w:i/>
        </w:rPr>
        <w:t>behandlingsansvarlig</w:t>
      </w:r>
      <w:r w:rsidRPr="001C5E58">
        <w:t xml:space="preserve">. </w:t>
      </w:r>
      <w:r>
        <w:t>En må til enhver tid ha identifisert behandlingsansvaret i verdikjeden for å vite hvilket ansvar en har og hvilke oppgaver en er forpliktet til å utføre. Behandlingsansvaret for den samme personopplysningen kan overføres til en annen virksomhet ved eksport av opplysningen. Når dette skjer er den som mottar behandlingsansvarlig for s</w:t>
      </w:r>
      <w:bookmarkStart w:id="44" w:name="_GoBack"/>
      <w:bookmarkEnd w:id="44"/>
      <w:r>
        <w:t xml:space="preserve">ine behandlingsaktiviteter. </w:t>
      </w:r>
    </w:p>
    <w:p w14:paraId="14EDABC9" w14:textId="77777777" w:rsidR="002C38AD" w:rsidRPr="009A39DE" w:rsidRDefault="002C38AD" w:rsidP="002C38AD">
      <w:r>
        <w:t xml:space="preserve">Behandlingsansvarlig </w:t>
      </w:r>
      <w:r w:rsidRPr="009A39DE">
        <w:t xml:space="preserve">er overordnet ansvarlig for å overholde </w:t>
      </w:r>
      <w:r w:rsidRPr="00ED19B5">
        <w:t>personvernprinsippene</w:t>
      </w:r>
      <w:r w:rsidRPr="009A39DE">
        <w:t xml:space="preserve"> og </w:t>
      </w:r>
      <w:r>
        <w:t>personvern</w:t>
      </w:r>
      <w:r w:rsidRPr="009A39DE">
        <w:t xml:space="preserve">regelverket. Dette er grunnet ansvarlighetsprinsippet i </w:t>
      </w:r>
      <w:r>
        <w:t>personvernforordningen (artikkel 5).</w:t>
      </w:r>
    </w:p>
    <w:p w14:paraId="7CE3F876" w14:textId="77777777" w:rsidR="002C38AD" w:rsidRPr="009A39DE" w:rsidRDefault="002C38AD" w:rsidP="002C38AD">
      <w:r w:rsidRPr="009A39DE">
        <w:t>Den behandlingsansvarlige er ansvarlig for å ha et behandlingsgrunnlag</w:t>
      </w:r>
      <w:r>
        <w:t>,</w:t>
      </w:r>
      <w:r w:rsidRPr="009A39DE">
        <w:t xml:space="preserve"> behandle personopplysninger på en </w:t>
      </w:r>
      <w:r w:rsidRPr="00ED19B5">
        <w:t>lovlig, rettferdig og gjennomsiktig måte</w:t>
      </w:r>
      <w:r>
        <w:t>,</w:t>
      </w:r>
      <w:r w:rsidRPr="009A39DE">
        <w:t xml:space="preserve"> behandle personopplysningene på en sikker måte, sikre at de registrerte får utøvd sine rettigheter og en rekke </w:t>
      </w:r>
      <w:r>
        <w:t>andre plikter.</w:t>
      </w:r>
    </w:p>
    <w:p w14:paraId="50BFBAC8" w14:textId="77777777" w:rsidR="002C38AD" w:rsidRDefault="002C38AD" w:rsidP="002C38AD">
      <w:r w:rsidRPr="009A39DE">
        <w:t>Den behandlingsansvarlige må derfor sørge for å etablere alle nødven</w:t>
      </w:r>
      <w:r>
        <w:t>dige</w:t>
      </w:r>
      <w:r w:rsidRPr="009A39DE">
        <w:t xml:space="preserve"> tiltak for å sikre at regelverket etterleves til enhver tid. Den behandlingsansvarlige må kunne </w:t>
      </w:r>
      <w:r>
        <w:t xml:space="preserve">dokumentere og </w:t>
      </w:r>
      <w:r w:rsidRPr="009A39DE">
        <w:t>vise at den opptrer i samsvar med reglene. Dette gjelder også med hensyn til forsvarlig valg av databehandler. En behandlingsansvarlig kan med andre ord ikke frasi seg ansvaret for å etterleve regelverket fordi selve behandlingen av personopplysningene skjer hos en annen virksomhet.</w:t>
      </w:r>
      <w:r>
        <w:t xml:space="preserve"> </w:t>
      </w:r>
    </w:p>
    <w:p w14:paraId="666D647E" w14:textId="77777777" w:rsidR="002C38AD" w:rsidRPr="00635B2F" w:rsidRDefault="002C38AD" w:rsidP="002C38AD">
      <w:pPr>
        <w:rPr>
          <w:color w:val="244061" w:themeColor="accent1" w:themeShade="80"/>
        </w:rPr>
      </w:pPr>
      <w:r>
        <w:t xml:space="preserve">I vår sammenheng er dette særlig relevant der pensjonsinnretningene samler seg og utpeker en koordinator for tekniske forhold slik at en del av behandlingen skjer hos pensjonsinnretningens databehandler. </w:t>
      </w:r>
    </w:p>
    <w:p w14:paraId="0DB52DD0" w14:textId="77777777" w:rsidR="002C38AD" w:rsidRDefault="002C38AD" w:rsidP="002C38AD">
      <w:pPr>
        <w:pStyle w:val="Overskrift2"/>
        <w:keepLines w:val="0"/>
        <w:tabs>
          <w:tab w:val="left" w:pos="1134"/>
          <w:tab w:val="left" w:pos="1418"/>
        </w:tabs>
        <w:spacing w:before="120" w:after="120" w:line="240" w:lineRule="auto"/>
      </w:pPr>
      <w:bookmarkStart w:id="45" w:name="_Toc18959186"/>
      <w:bookmarkStart w:id="46" w:name="_Toc18960124"/>
      <w:bookmarkStart w:id="47" w:name="_Toc19103728"/>
      <w:bookmarkStart w:id="48" w:name="_Toc19104401"/>
      <w:bookmarkStart w:id="49" w:name="_Toc19108821"/>
      <w:bookmarkStart w:id="50" w:name="_Toc19171287"/>
      <w:bookmarkStart w:id="51" w:name="_Toc19181885"/>
      <w:bookmarkStart w:id="52" w:name="_Toc19184315"/>
      <w:bookmarkStart w:id="53" w:name="_Toc19191992"/>
      <w:bookmarkStart w:id="54" w:name="_Toc19192588"/>
      <w:bookmarkStart w:id="55" w:name="_Toc19192841"/>
      <w:bookmarkStart w:id="56" w:name="_Toc19193343"/>
      <w:bookmarkStart w:id="57" w:name="_Toc19255999"/>
      <w:bookmarkStart w:id="58" w:name="_Toc19258059"/>
      <w:bookmarkStart w:id="59" w:name="_Toc19258862"/>
      <w:bookmarkStart w:id="60" w:name="_Toc19260481"/>
      <w:bookmarkStart w:id="61" w:name="_Toc19260834"/>
      <w:bookmarkStart w:id="62" w:name="_Toc19261669"/>
      <w:bookmarkStart w:id="63" w:name="_Toc19262169"/>
      <w:bookmarkStart w:id="64" w:name="_Toc19262728"/>
      <w:bookmarkStart w:id="65" w:name="_Toc19263313"/>
      <w:bookmarkStart w:id="66" w:name="_Toc21636670"/>
      <w:r>
        <w:t>Databehandler</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AAB3796" w14:textId="77777777" w:rsidR="002C38AD" w:rsidRDefault="002C38AD" w:rsidP="002C38AD">
      <w:r w:rsidRPr="001C5E58">
        <w:t>En databehandler behandler personopplysninger på ve</w:t>
      </w:r>
      <w:r>
        <w:t xml:space="preserve">gne av en behandlingsansvarlig, </w:t>
      </w:r>
    </w:p>
    <w:p w14:paraId="15806A15" w14:textId="77777777" w:rsidR="002C38AD" w:rsidRPr="001C5E58" w:rsidRDefault="002C38AD" w:rsidP="002C38AD">
      <w:r w:rsidRPr="001C5E58">
        <w:t xml:space="preserve">Det avgjørende er at en databehandler behandler personopplysninger </w:t>
      </w:r>
      <w:r w:rsidRPr="00EC4B68">
        <w:rPr>
          <w:i/>
        </w:rPr>
        <w:t>på vegne av andre</w:t>
      </w:r>
      <w:r w:rsidRPr="001C5E58">
        <w:t>. Databehandleren behandler alltid personopplysningene etter instruks fra en annen virksomhet og kan derfor ikke bestemme formål og andre avgjørende elementer ved behandlingen. En databehandler har med andre ord fått delegert en oppgave om å behandle personopplysninger fra en behandlingsansvarlig.</w:t>
      </w:r>
    </w:p>
    <w:p w14:paraId="7A727361" w14:textId="77777777" w:rsidR="002C38AD" w:rsidRPr="001C5E58" w:rsidRDefault="002C38AD" w:rsidP="002C38AD">
      <w:r w:rsidRPr="001C5E58">
        <w:t>En databehandler vil som regel være en ekstern virksomhet eller enhet, men også fysiske personer kan være databehandlere. Hvordan man er organisert, eksempelvis om man er et enkeltpersonforetak eller et stort konsern, har ikke betydning for spørsmålet om man er databehandler eller ikke.</w:t>
      </w:r>
    </w:p>
    <w:p w14:paraId="13C14295" w14:textId="77777777" w:rsidR="002C38AD" w:rsidRDefault="002C38AD" w:rsidP="002C38AD">
      <w:r w:rsidRPr="001C5E58">
        <w:t>Man kan være databehandler selv om man ikke kan se personopplysningene som behandles, eller gjør noe aktivt med dem. Det kan være nok at personopplysningene lagres på et system for at det er en databehandlerrelasjon.</w:t>
      </w:r>
    </w:p>
    <w:p w14:paraId="782408CB" w14:textId="77777777" w:rsidR="002C38AD" w:rsidRDefault="002C38AD" w:rsidP="002C38AD">
      <w:r>
        <w:t xml:space="preserve">Det har stor betydning om det foreligger et databehandleroppdrag eller ikke. I det ene tilfellet må en vurdere om databehandleren gir tilstrekkelige garantier for at personvernregelverket etterleves og du må inngå en </w:t>
      </w:r>
      <w:r>
        <w:rPr>
          <w:rStyle w:val="hilite"/>
        </w:rPr>
        <w:t>databehandleravtale</w:t>
      </w:r>
      <w:r>
        <w:t xml:space="preserve">. I det andre tilfellet må en sørge for å ha et </w:t>
      </w:r>
      <w:r>
        <w:rPr>
          <w:rStyle w:val="hilite"/>
        </w:rPr>
        <w:t>behandlingsgrunnlag</w:t>
      </w:r>
      <w:r>
        <w:t xml:space="preserve"> for utleveringen så det ikke skjer en ulovlig utlevering av personopplysninger. </w:t>
      </w:r>
    </w:p>
    <w:p w14:paraId="19725C91" w14:textId="77777777" w:rsidR="002C38AD" w:rsidRDefault="002C38AD" w:rsidP="002C38AD">
      <w:pPr>
        <w:pStyle w:val="Overskrift2"/>
        <w:keepLines w:val="0"/>
        <w:tabs>
          <w:tab w:val="left" w:pos="1134"/>
          <w:tab w:val="left" w:pos="1418"/>
        </w:tabs>
        <w:spacing w:before="120" w:after="120" w:line="240" w:lineRule="auto"/>
      </w:pPr>
      <w:bookmarkStart w:id="67" w:name="_Toc18959187"/>
      <w:bookmarkStart w:id="68" w:name="_Toc18960125"/>
      <w:bookmarkStart w:id="69" w:name="_Toc19103729"/>
      <w:bookmarkStart w:id="70" w:name="_Toc19104402"/>
      <w:bookmarkStart w:id="71" w:name="_Toc19108822"/>
      <w:bookmarkStart w:id="72" w:name="_Toc19171288"/>
      <w:bookmarkStart w:id="73" w:name="_Toc19181886"/>
      <w:bookmarkStart w:id="74" w:name="_Toc19184316"/>
      <w:bookmarkStart w:id="75" w:name="_Toc19191993"/>
      <w:bookmarkStart w:id="76" w:name="_Toc19192589"/>
      <w:bookmarkStart w:id="77" w:name="_Toc19192842"/>
      <w:bookmarkStart w:id="78" w:name="_Toc19193344"/>
      <w:bookmarkStart w:id="79" w:name="_Toc19256000"/>
      <w:bookmarkStart w:id="80" w:name="_Toc19258060"/>
      <w:bookmarkStart w:id="81" w:name="_Toc19258863"/>
      <w:bookmarkStart w:id="82" w:name="_Toc19260482"/>
      <w:bookmarkStart w:id="83" w:name="_Toc19260835"/>
      <w:bookmarkStart w:id="84" w:name="_Toc19261670"/>
      <w:bookmarkStart w:id="85" w:name="_Toc19262170"/>
      <w:bookmarkStart w:id="86" w:name="_Toc19262729"/>
      <w:bookmarkStart w:id="87" w:name="_Toc19263314"/>
      <w:bookmarkStart w:id="88" w:name="_Toc21636671"/>
      <w:r>
        <w:lastRenderedPageBreak/>
        <w:t>Segmentansvarlig</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355F43A" w14:textId="77777777" w:rsidR="002C38AD" w:rsidRDefault="002C38AD" w:rsidP="002C38AD">
      <w:pPr>
        <w:rPr>
          <w:rStyle w:val="hilite"/>
        </w:rPr>
      </w:pPr>
      <w:r w:rsidRPr="00E63414">
        <w:rPr>
          <w:rStyle w:val="hilite"/>
        </w:rPr>
        <w:t>Segmentansvarlig</w:t>
      </w:r>
      <w:r>
        <w:rPr>
          <w:rStyle w:val="hilite"/>
        </w:rPr>
        <w:t xml:space="preserve"> i</w:t>
      </w:r>
      <w:r w:rsidRPr="00E63414">
        <w:rPr>
          <w:rStyle w:val="hilite"/>
        </w:rPr>
        <w:t xml:space="preserve">varetar en større gruppe tjenestekonsumenter med sammenfallende behov for tilgang til Skatteetatens opplysninger og det samme behandlingsgrunnlaget (et segment). </w:t>
      </w:r>
      <w:r>
        <w:rPr>
          <w:rStyle w:val="hilite"/>
        </w:rPr>
        <w:t>I dette ligger det også at s</w:t>
      </w:r>
      <w:r w:rsidRPr="00E63414">
        <w:rPr>
          <w:rStyle w:val="hilite"/>
        </w:rPr>
        <w:t>egmentansvarlig har fullmakt til å uttale seg autoritativt på vegne av konsumenter i segmentet</w:t>
      </w:r>
      <w:r>
        <w:rPr>
          <w:rStyle w:val="hilite"/>
        </w:rPr>
        <w:t xml:space="preserve">. Segmentansvarlig kan både ha en koordinerende rolle overfor sitt segment og i tillegg være segmentets databehandler. En segmentansvarlig kan også ha eget hjemmelsgrunnlag for å motta opplysninger, men det antas å ikke være relevant i denne sammenheng. </w:t>
      </w:r>
    </w:p>
    <w:p w14:paraId="23872ED6" w14:textId="77777777" w:rsidR="002C38AD" w:rsidRDefault="002C38AD" w:rsidP="002C38AD">
      <w:pPr>
        <w:rPr>
          <w:rStyle w:val="hilite"/>
        </w:rPr>
      </w:pPr>
      <w:r>
        <w:rPr>
          <w:rStyle w:val="hilite"/>
        </w:rPr>
        <w:t xml:space="preserve">For alle konsept som utredes forutsettes det at det er pensjonsinnretningene som har hjemmelsgrunnlag. Behandlingsgrunnlaget må gi klare rammer for hvordan opplysningene som distribueres fra offentlige myndigheter kan brukes. Det forutsettes at pensjonsinnretningene vil ha likelydende behov og likelydende hjemmelsgrunnlag som angir det spesifikke formålet for hva opplysningene kan brukes til (behandlingsgrunnlaget). For å effektivisere samhandlingen med pensjonsinnretningene er det derfor nødvendig at de samler seg i et segment. Dette er i henhold til Skatteetatens </w:t>
      </w:r>
      <w:r w:rsidRPr="00C505B9">
        <w:rPr>
          <w:rStyle w:val="hilite"/>
        </w:rPr>
        <w:t>policy for deling</w:t>
      </w:r>
      <w:r>
        <w:rPr>
          <w:rStyle w:val="hilite"/>
        </w:rPr>
        <w:t>.</w:t>
      </w:r>
    </w:p>
    <w:p w14:paraId="141C9273" w14:textId="77777777" w:rsidR="002C38AD" w:rsidRDefault="002C38AD" w:rsidP="002C38AD">
      <w:pPr>
        <w:pStyle w:val="Overskrift2"/>
        <w:keepLines w:val="0"/>
        <w:tabs>
          <w:tab w:val="left" w:pos="1134"/>
          <w:tab w:val="left" w:pos="1418"/>
        </w:tabs>
        <w:spacing w:before="120" w:after="120" w:line="240" w:lineRule="auto"/>
      </w:pPr>
      <w:bookmarkStart w:id="89" w:name="_Toc18959188"/>
      <w:bookmarkStart w:id="90" w:name="_Toc18960126"/>
      <w:bookmarkStart w:id="91" w:name="_Toc19103730"/>
      <w:bookmarkStart w:id="92" w:name="_Toc19104403"/>
      <w:bookmarkStart w:id="93" w:name="_Toc19108823"/>
      <w:bookmarkStart w:id="94" w:name="_Toc19171289"/>
      <w:bookmarkStart w:id="95" w:name="_Toc19181887"/>
      <w:bookmarkStart w:id="96" w:name="_Toc19184317"/>
      <w:bookmarkStart w:id="97" w:name="_Toc19191994"/>
      <w:bookmarkStart w:id="98" w:name="_Toc19192590"/>
      <w:bookmarkStart w:id="99" w:name="_Toc19192843"/>
      <w:bookmarkStart w:id="100" w:name="_Toc19193345"/>
      <w:bookmarkStart w:id="101" w:name="_Toc19256001"/>
      <w:bookmarkStart w:id="102" w:name="_Toc19258061"/>
      <w:bookmarkStart w:id="103" w:name="_Toc19258864"/>
      <w:bookmarkStart w:id="104" w:name="_Toc19260483"/>
      <w:bookmarkStart w:id="105" w:name="_Toc19260836"/>
      <w:bookmarkStart w:id="106" w:name="_Toc19261671"/>
      <w:bookmarkStart w:id="107" w:name="_Toc19262171"/>
      <w:bookmarkStart w:id="108" w:name="_Toc19262730"/>
      <w:bookmarkStart w:id="109" w:name="_Toc19263315"/>
      <w:bookmarkStart w:id="110" w:name="_Toc21636672"/>
      <w:r w:rsidRPr="00B3605D">
        <w:t>Ansvarsfordeling</w:t>
      </w:r>
      <w:r>
        <w:t xml:space="preserve"> ved datasamarbeid</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272AFCED" w14:textId="77777777" w:rsidR="002C38AD" w:rsidRPr="00F1424C" w:rsidRDefault="002C38AD" w:rsidP="002C38AD">
      <w:pPr>
        <w:pStyle w:val="Ingenmellomrom"/>
        <w:rPr>
          <w:b/>
        </w:rPr>
      </w:pPr>
      <w:r w:rsidRPr="00F1424C">
        <w:rPr>
          <w:b/>
        </w:rPr>
        <w:t>Registerforvalterens/etatenes ansvar - generelt</w:t>
      </w:r>
    </w:p>
    <w:p w14:paraId="3735DDF3" w14:textId="77777777" w:rsidR="002C38AD" w:rsidRPr="00AB3245" w:rsidRDefault="002C38AD" w:rsidP="002C38AD">
      <w:pPr>
        <w:pStyle w:val="Listeavsnitt"/>
        <w:numPr>
          <w:ilvl w:val="0"/>
          <w:numId w:val="1"/>
        </w:numPr>
      </w:pPr>
      <w:r w:rsidRPr="00AB3245">
        <w:t xml:space="preserve">Deling av opplysninger er omfattet av personopplysningsloven, og ved deling er </w:t>
      </w:r>
      <w:r>
        <w:t>etatene</w:t>
      </w:r>
      <w:r w:rsidRPr="00AB3245">
        <w:t xml:space="preserve"> behandlingsansvarlig frem til opplysningene er utlevert.</w:t>
      </w:r>
    </w:p>
    <w:p w14:paraId="2890828E" w14:textId="77777777" w:rsidR="002C38AD" w:rsidRPr="00AB3245" w:rsidRDefault="002C38AD" w:rsidP="002C38AD">
      <w:pPr>
        <w:pStyle w:val="Listeavsnitt"/>
        <w:numPr>
          <w:ilvl w:val="0"/>
          <w:numId w:val="1"/>
        </w:numPr>
      </w:pPr>
      <w:r>
        <w:t>Etatene</w:t>
      </w:r>
      <w:r w:rsidRPr="00AB3245">
        <w:t xml:space="preserve"> kan ikke utlevere personopplysninger med mindre konsument har hjemmel til å innhente disse fra etaten, eller det foreligger samtykke</w:t>
      </w:r>
      <w:r>
        <w:t>/fullmakt</w:t>
      </w:r>
      <w:r w:rsidRPr="00AB3245">
        <w:t xml:space="preserve"> fra den opplysningene omhandler og hjemmel for behandling.</w:t>
      </w:r>
    </w:p>
    <w:p w14:paraId="4AED3BCE" w14:textId="77777777" w:rsidR="002C38AD" w:rsidRPr="00F1424C" w:rsidRDefault="002C38AD" w:rsidP="002C38AD">
      <w:pPr>
        <w:pStyle w:val="Ingenmellomrom"/>
        <w:rPr>
          <w:b/>
        </w:rPr>
      </w:pPr>
      <w:r w:rsidRPr="00F1424C">
        <w:rPr>
          <w:b/>
        </w:rPr>
        <w:t>Konsumentens ansvar - generelt</w:t>
      </w:r>
    </w:p>
    <w:p w14:paraId="0A1C2CD9" w14:textId="77777777" w:rsidR="002C38AD" w:rsidRPr="00AB3245" w:rsidRDefault="002C38AD" w:rsidP="002C38AD">
      <w:pPr>
        <w:pStyle w:val="Listeavsnitt"/>
        <w:numPr>
          <w:ilvl w:val="0"/>
          <w:numId w:val="2"/>
        </w:numPr>
      </w:pPr>
      <w:r w:rsidRPr="00AB3245">
        <w:t xml:space="preserve">Konsumenter som ønsker tilgang til opplysninger fra </w:t>
      </w:r>
      <w:r>
        <w:t>E</w:t>
      </w:r>
      <w:r w:rsidRPr="00AB3245">
        <w:t>taten</w:t>
      </w:r>
      <w:r>
        <w:t>e</w:t>
      </w:r>
      <w:r w:rsidRPr="00AB3245">
        <w:t xml:space="preserve"> må dokumentere at de har hjemmel til å få utlevert opplysninger fra etaten (behandlingsgrunnlag).</w:t>
      </w:r>
    </w:p>
    <w:p w14:paraId="75F14098" w14:textId="77777777" w:rsidR="002C38AD" w:rsidRPr="00AB3245" w:rsidRDefault="002C38AD" w:rsidP="002C38AD">
      <w:pPr>
        <w:pStyle w:val="Listeavsnitt"/>
        <w:numPr>
          <w:ilvl w:val="0"/>
          <w:numId w:val="2"/>
        </w:numPr>
      </w:pPr>
      <w:r w:rsidRPr="00AB3245">
        <w:t>Konsumenter er ansvarlig for behandling som skjer ved og etter mottak av opplysningene, herunder at de kun bruker opplysninger de har behov for (minimering) og hjemmel til å benytte (behandlingsgrunnlag).</w:t>
      </w:r>
    </w:p>
    <w:p w14:paraId="4347F729" w14:textId="77777777" w:rsidR="002C38AD" w:rsidRPr="00AB3245" w:rsidRDefault="002C38AD" w:rsidP="002C38AD">
      <w:pPr>
        <w:pStyle w:val="Listeavsnitt"/>
        <w:numPr>
          <w:ilvl w:val="0"/>
          <w:numId w:val="2"/>
        </w:numPr>
      </w:pPr>
      <w:r w:rsidRPr="00AB3245">
        <w:t>Konsumenter kan som behandlingsansvarlig sette ut behandling av data til en databehandler. Databehandlers grunnlag for tilgang til opplysninger betinges da av konsumentens behandlingsgrunnlag.</w:t>
      </w:r>
    </w:p>
    <w:p w14:paraId="3AE1C81F" w14:textId="77777777" w:rsidR="002C38AD" w:rsidRDefault="002C38AD" w:rsidP="002C38AD">
      <w:pPr>
        <w:pStyle w:val="Overskrift2"/>
        <w:keepLines w:val="0"/>
        <w:tabs>
          <w:tab w:val="left" w:pos="1134"/>
          <w:tab w:val="left" w:pos="1418"/>
        </w:tabs>
        <w:spacing w:before="120" w:after="120" w:line="240" w:lineRule="auto"/>
      </w:pPr>
      <w:bookmarkStart w:id="111" w:name="_Toc18959189"/>
      <w:bookmarkStart w:id="112" w:name="_Toc18960127"/>
      <w:bookmarkStart w:id="113" w:name="_Toc19103731"/>
      <w:bookmarkStart w:id="114" w:name="_Toc19104404"/>
      <w:bookmarkStart w:id="115" w:name="_Toc19108824"/>
      <w:bookmarkStart w:id="116" w:name="_Toc19171290"/>
      <w:bookmarkStart w:id="117" w:name="_Toc19181888"/>
      <w:bookmarkStart w:id="118" w:name="_Toc19184318"/>
      <w:bookmarkStart w:id="119" w:name="_Toc19191995"/>
      <w:bookmarkStart w:id="120" w:name="_Toc19192591"/>
      <w:bookmarkStart w:id="121" w:name="_Toc19192844"/>
      <w:bookmarkStart w:id="122" w:name="_Toc19193346"/>
      <w:bookmarkStart w:id="123" w:name="_Toc19256002"/>
      <w:bookmarkStart w:id="124" w:name="_Toc19258062"/>
      <w:bookmarkStart w:id="125" w:name="_Toc19258865"/>
      <w:bookmarkStart w:id="126" w:name="_Toc19260484"/>
      <w:bookmarkStart w:id="127" w:name="_Toc19260837"/>
      <w:bookmarkStart w:id="128" w:name="_Toc19261672"/>
      <w:bookmarkStart w:id="129" w:name="_Toc19262172"/>
      <w:bookmarkStart w:id="130" w:name="_Toc19262731"/>
      <w:bookmarkStart w:id="131" w:name="_Toc19263316"/>
      <w:bookmarkStart w:id="132" w:name="_Toc21636673"/>
      <w:r>
        <w:t>Avtaler og partsforhold</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2C71A24" w14:textId="77777777" w:rsidR="00CE2845" w:rsidRPr="002C38AD" w:rsidRDefault="002C38AD" w:rsidP="002C38AD">
      <w:pPr>
        <w:rPr>
          <w:i/>
          <w:color w:val="000080"/>
          <w:szCs w:val="28"/>
        </w:rPr>
      </w:pPr>
      <w:r>
        <w:t>Avtaler for datasamarbeidet med de identifiserte aktørene må harmoniseres med verdikjeden av distribusjonen. Det er viktig å fastslå hvem som har behandlingsansvaret for opplysnin</w:t>
      </w:r>
      <w:r>
        <w:softHyphen/>
      </w:r>
      <w:r>
        <w:t>gene for de ulike oppgavene som skal løses. Når en vet hvem det som har behandlingsan</w:t>
      </w:r>
      <w:r>
        <w:softHyphen/>
      </w:r>
      <w:r>
        <w:t>svaret kan en så finne ut hvilke avtaler som det er nødvendig å inngå, og om det er relevant å inngå databehandleravtaler. Hvis noen av aktørene med behandlingsgrunnlag benytter seg av tredjepart til deler av behandlingen må det inngås databehandleravtaler. Hvis segment</w:t>
      </w:r>
      <w:r>
        <w:softHyphen/>
      </w:r>
      <w:r>
        <w:t>ansvarlig skal utføre behandling av personopplysninger på vegne av behandlingsansvarlig (hjemmelshaver) må det derfor inngås databehandleravtaler.</w:t>
      </w:r>
    </w:p>
    <w:sectPr w:rsidR="00CE2845" w:rsidRPr="002C3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001"/>
    <w:multiLevelType w:val="multilevel"/>
    <w:tmpl w:val="7D4AE3C2"/>
    <w:lvl w:ilvl="0">
      <w:start w:val="1"/>
      <w:numFmt w:val="decimal"/>
      <w:pStyle w:val="Overskrift1"/>
      <w:lvlText w:val="%1"/>
      <w:lvlJc w:val="left"/>
      <w:pPr>
        <w:ind w:left="432" w:hanging="432"/>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15:restartNumberingAfterBreak="0">
    <w:nsid w:val="156733AB"/>
    <w:multiLevelType w:val="hybridMultilevel"/>
    <w:tmpl w:val="D7764C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A7698E"/>
    <w:multiLevelType w:val="hybridMultilevel"/>
    <w:tmpl w:val="8AF2F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AD"/>
    <w:rsid w:val="002C38AD"/>
    <w:rsid w:val="0043386D"/>
    <w:rsid w:val="00533AE1"/>
    <w:rsid w:val="00CE2845"/>
    <w:rsid w:val="00E6612F"/>
    <w:rsid w:val="00ED07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64F1"/>
  <w15:chartTrackingRefBased/>
  <w15:docId w15:val="{540D0AC3-4576-4401-89D3-9143A3F0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8AD"/>
    <w:pPr>
      <w:spacing w:after="240" w:line="240" w:lineRule="auto"/>
    </w:pPr>
    <w:rPr>
      <w:rFonts w:ascii="Arial" w:eastAsia="Times New Roman" w:hAnsi="Arial" w:cs="Arial"/>
      <w:szCs w:val="20"/>
      <w:lang w:eastAsia="nb-NO"/>
    </w:rPr>
  </w:style>
  <w:style w:type="paragraph" w:styleId="Overskrift1">
    <w:name w:val="heading 1"/>
    <w:basedOn w:val="Normal"/>
    <w:next w:val="Normal"/>
    <w:link w:val="Overskrift1Tegn"/>
    <w:qFormat/>
    <w:rsid w:val="002C38AD"/>
    <w:pPr>
      <w:keepNext/>
      <w:keepLines/>
      <w:spacing w:line="300" w:lineRule="atLeast"/>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2C38AD"/>
    <w:pPr>
      <w:keepNext/>
      <w:keepLines/>
      <w:spacing w:before="240" w:after="60" w:line="300" w:lineRule="atLeast"/>
      <w:outlineLvl w:val="1"/>
    </w:pPr>
    <w:rPr>
      <w:rFonts w:eastAsiaTheme="majorEastAsia" w:cstheme="majorBidi"/>
      <w:b/>
      <w:bCs/>
      <w:sz w:val="24"/>
      <w:szCs w:val="26"/>
    </w:rPr>
  </w:style>
  <w:style w:type="paragraph" w:styleId="Overskrift3">
    <w:name w:val="heading 3"/>
    <w:basedOn w:val="Normal"/>
    <w:next w:val="Normal"/>
    <w:link w:val="Overskrift3Tegn"/>
    <w:unhideWhenUsed/>
    <w:qFormat/>
    <w:rsid w:val="00ED0756"/>
    <w:pPr>
      <w:keepNext/>
      <w:keepLines/>
      <w:spacing w:before="240" w:after="60" w:line="300" w:lineRule="atLeast"/>
      <w:outlineLvl w:val="2"/>
    </w:pPr>
    <w:rPr>
      <w:rFonts w:eastAsiaTheme="majorEastAsia" w:cstheme="majorBidi"/>
      <w:bCs/>
      <w:i/>
    </w:rPr>
  </w:style>
  <w:style w:type="paragraph" w:styleId="Overskrift4">
    <w:name w:val="heading 4"/>
    <w:basedOn w:val="Overskrift3"/>
    <w:next w:val="Normal"/>
    <w:link w:val="Overskrift4Tegn"/>
    <w:qFormat/>
    <w:rsid w:val="002C38AD"/>
    <w:pPr>
      <w:keepLines w:val="0"/>
      <w:tabs>
        <w:tab w:val="left" w:pos="1134"/>
        <w:tab w:val="left" w:pos="1418"/>
        <w:tab w:val="left" w:pos="1701"/>
      </w:tabs>
      <w:spacing w:before="120" w:after="120" w:line="240" w:lineRule="auto"/>
      <w:ind w:left="864" w:hanging="864"/>
      <w:outlineLvl w:val="3"/>
    </w:pPr>
    <w:rPr>
      <w:rFonts w:eastAsia="Times New Roman" w:cs="Arial"/>
      <w:b/>
      <w:bCs w:val="0"/>
      <w:i w:val="0"/>
      <w:iCs/>
      <w:kern w:val="32"/>
      <w:szCs w:val="28"/>
    </w:rPr>
  </w:style>
  <w:style w:type="paragraph" w:styleId="Overskrift5">
    <w:name w:val="heading 5"/>
    <w:basedOn w:val="Overskrift4"/>
    <w:next w:val="Normal"/>
    <w:link w:val="Overskrift5Tegn"/>
    <w:qFormat/>
    <w:rsid w:val="002C38AD"/>
    <w:pPr>
      <w:tabs>
        <w:tab w:val="clear" w:pos="1134"/>
        <w:tab w:val="num" w:pos="567"/>
      </w:tabs>
      <w:ind w:left="1008" w:hanging="1008"/>
      <w:outlineLvl w:val="4"/>
    </w:pPr>
    <w:rPr>
      <w:bCs/>
      <w:iCs w:val="0"/>
      <w:szCs w:val="26"/>
    </w:rPr>
  </w:style>
  <w:style w:type="paragraph" w:styleId="Overskrift6">
    <w:name w:val="heading 6"/>
    <w:basedOn w:val="Overskrift5"/>
    <w:next w:val="Normal"/>
    <w:link w:val="Overskrift6Tegn"/>
    <w:qFormat/>
    <w:rsid w:val="002C38AD"/>
    <w:pPr>
      <w:tabs>
        <w:tab w:val="clear" w:pos="567"/>
      </w:tabs>
      <w:ind w:left="1152" w:hanging="1152"/>
      <w:outlineLvl w:val="5"/>
    </w:pPr>
    <w:rPr>
      <w:bCs w:val="0"/>
      <w:szCs w:val="22"/>
    </w:rPr>
  </w:style>
  <w:style w:type="paragraph" w:styleId="Overskrift7">
    <w:name w:val="heading 7"/>
    <w:basedOn w:val="Overskrift6"/>
    <w:next w:val="Normal"/>
    <w:link w:val="Overskrift7Tegn"/>
    <w:qFormat/>
    <w:rsid w:val="002C38AD"/>
    <w:pPr>
      <w:ind w:left="1296" w:hanging="1296"/>
      <w:outlineLvl w:val="6"/>
    </w:pPr>
    <w:rPr>
      <w:szCs w:val="24"/>
    </w:rPr>
  </w:style>
  <w:style w:type="paragraph" w:styleId="Overskrift8">
    <w:name w:val="heading 8"/>
    <w:basedOn w:val="Overskrift7"/>
    <w:next w:val="Normal"/>
    <w:link w:val="Overskrift8Tegn"/>
    <w:qFormat/>
    <w:rsid w:val="002C38AD"/>
    <w:pPr>
      <w:tabs>
        <w:tab w:val="left" w:pos="851"/>
        <w:tab w:val="left" w:pos="1134"/>
        <w:tab w:val="left" w:pos="1985"/>
      </w:tabs>
      <w:ind w:left="1440" w:hanging="1440"/>
      <w:outlineLvl w:val="7"/>
    </w:pPr>
    <w:rPr>
      <w:iCs/>
    </w:rPr>
  </w:style>
  <w:style w:type="paragraph" w:styleId="Overskrift9">
    <w:name w:val="heading 9"/>
    <w:basedOn w:val="Normal"/>
    <w:next w:val="Normal"/>
    <w:link w:val="Overskrift9Tegn"/>
    <w:qFormat/>
    <w:rsid w:val="002C38AD"/>
    <w:pPr>
      <w:tabs>
        <w:tab w:val="num" w:pos="567"/>
        <w:tab w:val="left" w:pos="851"/>
        <w:tab w:val="left" w:pos="1134"/>
        <w:tab w:val="left" w:pos="1418"/>
        <w:tab w:val="left" w:pos="1701"/>
        <w:tab w:val="left" w:pos="1985"/>
        <w:tab w:val="left" w:pos="2268"/>
        <w:tab w:val="left" w:pos="2552"/>
      </w:tabs>
      <w:spacing w:before="240"/>
      <w:ind w:left="1584" w:hanging="1584"/>
      <w:outlineLvl w:val="8"/>
    </w:pPr>
    <w:rPr>
      <w:b/>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C38AD"/>
    <w:rPr>
      <w:rFonts w:ascii="Arial" w:eastAsiaTheme="majorEastAsia" w:hAnsi="Arial" w:cstheme="majorBidi"/>
      <w:b/>
      <w:bCs/>
      <w:sz w:val="28"/>
      <w:szCs w:val="28"/>
      <w:lang w:eastAsia="nb-NO"/>
    </w:rPr>
  </w:style>
  <w:style w:type="character" w:customStyle="1" w:styleId="Overskrift2Tegn">
    <w:name w:val="Overskrift 2 Tegn"/>
    <w:basedOn w:val="Standardskriftforavsnitt"/>
    <w:link w:val="Overskrift2"/>
    <w:rsid w:val="002C38AD"/>
    <w:rPr>
      <w:rFonts w:ascii="Arial" w:eastAsiaTheme="majorEastAsia" w:hAnsi="Arial" w:cstheme="majorBidi"/>
      <w:b/>
      <w:bCs/>
      <w:sz w:val="24"/>
      <w:szCs w:val="26"/>
      <w:lang w:eastAsia="nb-NO"/>
    </w:rPr>
  </w:style>
  <w:style w:type="character" w:customStyle="1" w:styleId="Overskrift3Tegn">
    <w:name w:val="Overskrift 3 Tegn"/>
    <w:basedOn w:val="Standardskriftforavsnitt"/>
    <w:link w:val="Overskrift3"/>
    <w:rsid w:val="00ED0756"/>
    <w:rPr>
      <w:rFonts w:ascii="Arial" w:eastAsiaTheme="majorEastAsia" w:hAnsi="Arial" w:cstheme="majorBidi"/>
      <w:bCs/>
      <w:i/>
      <w:sz w:val="20"/>
      <w:szCs w:val="20"/>
      <w:lang w:eastAsia="nb-NO"/>
    </w:rPr>
  </w:style>
  <w:style w:type="character" w:customStyle="1" w:styleId="Overskrift4Tegn">
    <w:name w:val="Overskrift 4 Tegn"/>
    <w:basedOn w:val="Standardskriftforavsnitt"/>
    <w:link w:val="Overskrift4"/>
    <w:rsid w:val="002C38AD"/>
    <w:rPr>
      <w:rFonts w:ascii="Arial" w:eastAsia="Times New Roman" w:hAnsi="Arial" w:cs="Arial"/>
      <w:b/>
      <w:iCs/>
      <w:kern w:val="32"/>
      <w:szCs w:val="28"/>
      <w:lang w:eastAsia="nb-NO"/>
    </w:rPr>
  </w:style>
  <w:style w:type="character" w:customStyle="1" w:styleId="Overskrift5Tegn">
    <w:name w:val="Overskrift 5 Tegn"/>
    <w:basedOn w:val="Standardskriftforavsnitt"/>
    <w:link w:val="Overskrift5"/>
    <w:rsid w:val="002C38AD"/>
    <w:rPr>
      <w:rFonts w:ascii="Arial" w:eastAsia="Times New Roman" w:hAnsi="Arial" w:cs="Arial"/>
      <w:b/>
      <w:bCs/>
      <w:kern w:val="32"/>
      <w:szCs w:val="26"/>
      <w:lang w:eastAsia="nb-NO"/>
    </w:rPr>
  </w:style>
  <w:style w:type="character" w:customStyle="1" w:styleId="Overskrift6Tegn">
    <w:name w:val="Overskrift 6 Tegn"/>
    <w:basedOn w:val="Standardskriftforavsnitt"/>
    <w:link w:val="Overskrift6"/>
    <w:rsid w:val="002C38AD"/>
    <w:rPr>
      <w:rFonts w:ascii="Arial" w:eastAsia="Times New Roman" w:hAnsi="Arial" w:cs="Arial"/>
      <w:b/>
      <w:kern w:val="32"/>
      <w:lang w:eastAsia="nb-NO"/>
    </w:rPr>
  </w:style>
  <w:style w:type="character" w:customStyle="1" w:styleId="Overskrift7Tegn">
    <w:name w:val="Overskrift 7 Tegn"/>
    <w:basedOn w:val="Standardskriftforavsnitt"/>
    <w:link w:val="Overskrift7"/>
    <w:rsid w:val="002C38AD"/>
    <w:rPr>
      <w:rFonts w:ascii="Arial" w:eastAsia="Times New Roman" w:hAnsi="Arial" w:cs="Arial"/>
      <w:b/>
      <w:kern w:val="32"/>
      <w:szCs w:val="24"/>
      <w:lang w:eastAsia="nb-NO"/>
    </w:rPr>
  </w:style>
  <w:style w:type="character" w:customStyle="1" w:styleId="Overskrift8Tegn">
    <w:name w:val="Overskrift 8 Tegn"/>
    <w:basedOn w:val="Standardskriftforavsnitt"/>
    <w:link w:val="Overskrift8"/>
    <w:rsid w:val="002C38AD"/>
    <w:rPr>
      <w:rFonts w:ascii="Arial" w:eastAsia="Times New Roman" w:hAnsi="Arial" w:cs="Arial"/>
      <w:b/>
      <w:iCs/>
      <w:kern w:val="32"/>
      <w:szCs w:val="24"/>
      <w:lang w:eastAsia="nb-NO"/>
    </w:rPr>
  </w:style>
  <w:style w:type="character" w:customStyle="1" w:styleId="Overskrift9Tegn">
    <w:name w:val="Overskrift 9 Tegn"/>
    <w:basedOn w:val="Standardskriftforavsnitt"/>
    <w:link w:val="Overskrift9"/>
    <w:rsid w:val="002C38AD"/>
    <w:rPr>
      <w:rFonts w:ascii="Arial" w:eastAsia="Times New Roman" w:hAnsi="Arial" w:cs="Arial"/>
      <w:b/>
      <w:lang w:eastAsia="nb-NO"/>
    </w:rPr>
  </w:style>
  <w:style w:type="paragraph" w:styleId="Listeavsnitt">
    <w:name w:val="List Paragraph"/>
    <w:basedOn w:val="Normal"/>
    <w:link w:val="ListeavsnittTegn"/>
    <w:uiPriority w:val="34"/>
    <w:qFormat/>
    <w:rsid w:val="002C38AD"/>
    <w:pPr>
      <w:ind w:left="720"/>
      <w:contextualSpacing/>
    </w:pPr>
  </w:style>
  <w:style w:type="paragraph" w:styleId="Ingenmellomrom">
    <w:name w:val="No Spacing"/>
    <w:uiPriority w:val="1"/>
    <w:qFormat/>
    <w:rsid w:val="002C38AD"/>
    <w:pPr>
      <w:spacing w:after="0" w:line="240" w:lineRule="auto"/>
    </w:pPr>
    <w:rPr>
      <w:rFonts w:ascii="Arial" w:eastAsia="Times New Roman" w:hAnsi="Arial" w:cs="Arial"/>
      <w:szCs w:val="20"/>
      <w:lang w:eastAsia="nb-NO"/>
    </w:rPr>
  </w:style>
  <w:style w:type="character" w:customStyle="1" w:styleId="hilite">
    <w:name w:val="hilite"/>
    <w:basedOn w:val="Standardskriftforavsnitt"/>
    <w:rsid w:val="002C38AD"/>
  </w:style>
  <w:style w:type="character" w:customStyle="1" w:styleId="ListeavsnittTegn">
    <w:name w:val="Listeavsnitt Tegn"/>
    <w:basedOn w:val="Standardskriftforavsnitt"/>
    <w:link w:val="Listeavsnitt"/>
    <w:uiPriority w:val="34"/>
    <w:rsid w:val="002C38AD"/>
    <w:rPr>
      <w:rFonts w:ascii="Arial" w:eastAsia="Times New Roman" w:hAnsi="Arial" w:cs="Arial"/>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49B0441F6CC34EBE4F7E7B73658F2B" ma:contentTypeVersion="0" ma:contentTypeDescription="Opprett et nytt dokument." ma:contentTypeScope="" ma:versionID="2edd800b2a2d08a8e5447b49d018738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3432E5-BAEE-4E26-8F6F-ABD12AFE8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E1E2DD-1E0D-4210-B29A-1FFAD24322B9}">
  <ds:schemaRefs>
    <ds:schemaRef ds:uri="http://schemas.microsoft.com/sharepoint/v3/contenttype/forms"/>
  </ds:schemaRefs>
</ds:datastoreItem>
</file>

<file path=customXml/itemProps3.xml><?xml version="1.0" encoding="utf-8"?>
<ds:datastoreItem xmlns:ds="http://schemas.openxmlformats.org/officeDocument/2006/customXml" ds:itemID="{1A0A5431-1152-42DE-A0C8-6EE8DC45F2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949</Words>
  <Characters>5035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Skatteetaten</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Behandling av personopplysninger</dc:title>
  <dc:subject/>
  <dc:creator>Lyng, Kristin</dc:creator>
  <cp:keywords/>
  <dc:description/>
  <cp:lastModifiedBy>Watne, Knut Magne Sydskjør</cp:lastModifiedBy>
  <cp:revision>1</cp:revision>
  <dcterms:created xsi:type="dcterms:W3CDTF">2019-10-14T11:24:00Z</dcterms:created>
  <dcterms:modified xsi:type="dcterms:W3CDTF">2019-10-14T11:33:00Z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0x0101004349B0441F6CC34EBE4F7E7B73658F2B</vt:lpwstr>
  </property>
</Properties>
</file>