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9BC5" w14:textId="5AC70C25" w:rsidR="00A02896" w:rsidRPr="00506115" w:rsidRDefault="00506115" w:rsidP="00506115">
      <w:pPr>
        <w:pStyle w:val="i-dep"/>
      </w:pPr>
      <w:r w:rsidRPr="00506115">
        <w:t>Olje- og energidepartementet</w:t>
      </w:r>
    </w:p>
    <w:p w14:paraId="4869C795" w14:textId="77777777" w:rsidR="00A02896" w:rsidRPr="00506115" w:rsidRDefault="00AE1379" w:rsidP="00506115">
      <w:pPr>
        <w:pStyle w:val="i-hode"/>
      </w:pPr>
      <w:r w:rsidRPr="00506115">
        <w:t>Prop. 93 S</w:t>
      </w:r>
    </w:p>
    <w:p w14:paraId="1D1A7201" w14:textId="77777777" w:rsidR="00A02896" w:rsidRPr="00506115" w:rsidRDefault="00AE1379" w:rsidP="00506115">
      <w:pPr>
        <w:pStyle w:val="i-sesjon"/>
      </w:pPr>
      <w:r w:rsidRPr="00506115">
        <w:t>(2022–2023)</w:t>
      </w:r>
    </w:p>
    <w:p w14:paraId="1A943FCC" w14:textId="77777777" w:rsidR="00A02896" w:rsidRPr="00506115" w:rsidRDefault="00AE1379" w:rsidP="00506115">
      <w:pPr>
        <w:pStyle w:val="i-hode-tit"/>
      </w:pPr>
      <w:r w:rsidRPr="00506115">
        <w:t>Proposisjon til Stortinget (forslag til stortingsvedtak)</w:t>
      </w:r>
    </w:p>
    <w:p w14:paraId="446027C3" w14:textId="77777777" w:rsidR="00A02896" w:rsidRPr="00506115" w:rsidRDefault="00AE1379" w:rsidP="00506115">
      <w:pPr>
        <w:pStyle w:val="i-tit"/>
      </w:pPr>
      <w:r w:rsidRPr="00506115">
        <w:t>Fullmakt til å inngå ein tosidig differansekontrakt for støtte til fornybar energiproduksjon til havs frå første fase av Sørlege Nordsjø II</w:t>
      </w:r>
    </w:p>
    <w:p w14:paraId="37E23596" w14:textId="0589E91B" w:rsidR="00A02896" w:rsidRPr="00506115" w:rsidRDefault="00506115" w:rsidP="00506115">
      <w:pPr>
        <w:pStyle w:val="i-dep"/>
      </w:pPr>
      <w:r w:rsidRPr="00506115">
        <w:t>Olje- og energidepartementet</w:t>
      </w:r>
    </w:p>
    <w:p w14:paraId="7C2E9BD9" w14:textId="77777777" w:rsidR="00A02896" w:rsidRPr="00506115" w:rsidRDefault="00AE1379" w:rsidP="00506115">
      <w:pPr>
        <w:pStyle w:val="i-hode"/>
      </w:pPr>
      <w:r w:rsidRPr="00506115">
        <w:t>Prop. 93 S</w:t>
      </w:r>
    </w:p>
    <w:p w14:paraId="231DC44D" w14:textId="77777777" w:rsidR="00A02896" w:rsidRPr="00506115" w:rsidRDefault="00AE1379" w:rsidP="00506115">
      <w:pPr>
        <w:pStyle w:val="i-sesjon"/>
      </w:pPr>
      <w:r w:rsidRPr="00506115">
        <w:t>(2022–2023)</w:t>
      </w:r>
    </w:p>
    <w:p w14:paraId="48008A2D" w14:textId="77777777" w:rsidR="00A02896" w:rsidRPr="00506115" w:rsidRDefault="00AE1379" w:rsidP="00506115">
      <w:pPr>
        <w:pStyle w:val="i-hode-tit"/>
      </w:pPr>
      <w:r w:rsidRPr="00506115">
        <w:t>Proposisjon til Stortinget (forslag til stortingsvedtak)</w:t>
      </w:r>
    </w:p>
    <w:p w14:paraId="57C1AFC5" w14:textId="77777777" w:rsidR="00A02896" w:rsidRPr="00506115" w:rsidRDefault="00AE1379" w:rsidP="00506115">
      <w:pPr>
        <w:pStyle w:val="i-tit"/>
      </w:pPr>
      <w:r w:rsidRPr="00506115">
        <w:t xml:space="preserve">Fullmakt til å inngå ein tosidig </w:t>
      </w:r>
      <w:r w:rsidRPr="00506115">
        <w:br/>
        <w:t xml:space="preserve">differansekontrakt for støtte til fornybar energiproduksjon til havs frå første fase av </w:t>
      </w:r>
      <w:r w:rsidRPr="00506115">
        <w:br/>
        <w:t>Sørlege Nordsjø II</w:t>
      </w:r>
    </w:p>
    <w:p w14:paraId="3C810716" w14:textId="77777777" w:rsidR="00A02896" w:rsidRPr="00506115" w:rsidRDefault="00AE1379" w:rsidP="00506115">
      <w:pPr>
        <w:pStyle w:val="i-statsrdato"/>
      </w:pPr>
      <w:r w:rsidRPr="00506115">
        <w:t xml:space="preserve">Tilråding frå Olje- og energidepartementet 31. mars 2023, </w:t>
      </w:r>
      <w:r w:rsidRPr="00506115">
        <w:br/>
        <w:t xml:space="preserve">godkjend i statsråd same dagen. </w:t>
      </w:r>
      <w:r w:rsidRPr="00506115">
        <w:br/>
        <w:t>(Regjeringa Støre)</w:t>
      </w:r>
    </w:p>
    <w:p w14:paraId="3CF9ADC2" w14:textId="77777777" w:rsidR="00A02896" w:rsidRPr="00506115" w:rsidRDefault="00AE1379" w:rsidP="00AE1379">
      <w:pPr>
        <w:pStyle w:val="Overskrift1"/>
      </w:pPr>
      <w:r w:rsidRPr="00506115">
        <w:t>Innleiing</w:t>
      </w:r>
    </w:p>
    <w:p w14:paraId="518BD25A" w14:textId="77777777" w:rsidR="00A02896" w:rsidRPr="00506115" w:rsidRDefault="00AE1379" w:rsidP="00506115">
      <w:r w:rsidRPr="00506115">
        <w:t xml:space="preserve">Olje- og energidepartementet legg med dette fram forslag om </w:t>
      </w:r>
      <w:proofErr w:type="spellStart"/>
      <w:r w:rsidRPr="00506115">
        <w:t>tilsegnsfullmakt</w:t>
      </w:r>
      <w:proofErr w:type="spellEnd"/>
      <w:r w:rsidRPr="00506115">
        <w:t xml:space="preserve"> for støtte til fornybar energiproduksjon til havs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w:t>
      </w:r>
      <w:proofErr w:type="spellStart"/>
      <w:r w:rsidRPr="00506115">
        <w:t>Tilsegnsfullmakta</w:t>
      </w:r>
      <w:proofErr w:type="spellEnd"/>
      <w:r w:rsidRPr="00506115">
        <w:t xml:space="preserve"> </w:t>
      </w:r>
      <w:proofErr w:type="spellStart"/>
      <w:r w:rsidRPr="00506115">
        <w:t>inneber</w:t>
      </w:r>
      <w:proofErr w:type="spellEnd"/>
      <w:r w:rsidRPr="00506115">
        <w:t xml:space="preserve"> at staten får fullmakt til </w:t>
      </w:r>
      <w:proofErr w:type="gramStart"/>
      <w:r w:rsidRPr="00506115">
        <w:t>inngå</w:t>
      </w:r>
      <w:proofErr w:type="gramEnd"/>
      <w:r w:rsidRPr="00506115">
        <w:t xml:space="preserve"> </w:t>
      </w:r>
      <w:proofErr w:type="spellStart"/>
      <w:r w:rsidRPr="00506115">
        <w:t>ein</w:t>
      </w:r>
      <w:proofErr w:type="spellEnd"/>
      <w:r w:rsidRPr="00506115">
        <w:t xml:space="preserve"> tosidig differansekontrakt for støtte til fornybar energiproduksjon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men slik at </w:t>
      </w:r>
      <w:proofErr w:type="spellStart"/>
      <w:r w:rsidRPr="00506115">
        <w:t>dei</w:t>
      </w:r>
      <w:proofErr w:type="spellEnd"/>
      <w:r w:rsidRPr="00506115">
        <w:t xml:space="preserve"> samla </w:t>
      </w:r>
      <w:proofErr w:type="spellStart"/>
      <w:r w:rsidRPr="00506115">
        <w:t>statlege</w:t>
      </w:r>
      <w:proofErr w:type="spellEnd"/>
      <w:r w:rsidRPr="00506115">
        <w:t xml:space="preserve"> </w:t>
      </w:r>
      <w:proofErr w:type="spellStart"/>
      <w:r w:rsidRPr="00506115">
        <w:t>forpliktingane</w:t>
      </w:r>
      <w:proofErr w:type="spellEnd"/>
      <w:r w:rsidRPr="00506115">
        <w:t xml:space="preserve"> </w:t>
      </w:r>
      <w:proofErr w:type="spellStart"/>
      <w:r w:rsidRPr="00506115">
        <w:t>ikkje</w:t>
      </w:r>
      <w:proofErr w:type="spellEnd"/>
      <w:r w:rsidRPr="00506115">
        <w:t xml:space="preserve"> </w:t>
      </w:r>
      <w:r w:rsidRPr="00506115">
        <w:lastRenderedPageBreak/>
        <w:t xml:space="preserve">overstig ei kostnadsramme på 15 mrd. kroner (før inflasjonsjustering). </w:t>
      </w:r>
      <w:proofErr w:type="spellStart"/>
      <w:r w:rsidRPr="00506115">
        <w:t>Sørlege</w:t>
      </w:r>
      <w:proofErr w:type="spellEnd"/>
      <w:r w:rsidRPr="00506115">
        <w:t xml:space="preserve"> </w:t>
      </w:r>
      <w:proofErr w:type="spellStart"/>
      <w:r w:rsidRPr="00506115">
        <w:t>Nordsjø</w:t>
      </w:r>
      <w:proofErr w:type="spellEnd"/>
      <w:r w:rsidRPr="00506115">
        <w:t xml:space="preserve"> II ligg sørvest for Kristiansand, ved grensa til den økonomiske sona mellom </w:t>
      </w:r>
      <w:proofErr w:type="spellStart"/>
      <w:r w:rsidRPr="00506115">
        <w:t>Noreg</w:t>
      </w:r>
      <w:proofErr w:type="spellEnd"/>
      <w:r w:rsidRPr="00506115">
        <w:t xml:space="preserve"> og Danmark og blei </w:t>
      </w:r>
      <w:proofErr w:type="spellStart"/>
      <w:r w:rsidRPr="00506115">
        <w:t>opna</w:t>
      </w:r>
      <w:proofErr w:type="spellEnd"/>
      <w:r w:rsidRPr="00506115">
        <w:t xml:space="preserve"> for fornybar energiproduksjon ved </w:t>
      </w:r>
      <w:proofErr w:type="spellStart"/>
      <w:r w:rsidRPr="00506115">
        <w:t>kongeleg</w:t>
      </w:r>
      <w:proofErr w:type="spellEnd"/>
      <w:r w:rsidRPr="00506115">
        <w:t xml:space="preserve"> resolusjon 12. juni 2020. Det går fram av den </w:t>
      </w:r>
      <w:proofErr w:type="spellStart"/>
      <w:r w:rsidRPr="00506115">
        <w:t>kongelege</w:t>
      </w:r>
      <w:proofErr w:type="spellEnd"/>
      <w:r w:rsidRPr="00506115">
        <w:t xml:space="preserve"> resolusjonen at det maksimalt kan bli gjeve konsesjon til 3 000 MW fornybar energiproduksjon i </w:t>
      </w:r>
      <w:proofErr w:type="spellStart"/>
      <w:r w:rsidRPr="00506115">
        <w:t>Sørlege</w:t>
      </w:r>
      <w:proofErr w:type="spellEnd"/>
      <w:r w:rsidRPr="00506115">
        <w:t xml:space="preserve"> </w:t>
      </w:r>
      <w:proofErr w:type="spellStart"/>
      <w:r w:rsidRPr="00506115">
        <w:t>Nordsjø</w:t>
      </w:r>
      <w:proofErr w:type="spellEnd"/>
      <w:r w:rsidRPr="00506115">
        <w:t xml:space="preserve"> II. Prosjektområde vil bli lyst ut stegvis. Første fase vil maksimalt bli tildelt kapasitet på 1 500 MW. Olje- og energidepartementet vil lyse ut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i løpet av våren 2023, og planlegg tildeling i løpet av 2023.</w:t>
      </w:r>
    </w:p>
    <w:p w14:paraId="7C11AF97" w14:textId="77777777" w:rsidR="00A02896" w:rsidRPr="00506115" w:rsidRDefault="00AE1379" w:rsidP="00AE1379">
      <w:pPr>
        <w:pStyle w:val="Overskrift1"/>
      </w:pPr>
      <w:r w:rsidRPr="00506115">
        <w:t>Bakgrunn</w:t>
      </w:r>
    </w:p>
    <w:p w14:paraId="4D8A3F72" w14:textId="77777777" w:rsidR="00A02896" w:rsidRPr="00506115" w:rsidRDefault="00AE1379" w:rsidP="00AE1379">
      <w:pPr>
        <w:pStyle w:val="Overskrift2"/>
      </w:pPr>
      <w:r w:rsidRPr="00506115">
        <w:t>Havvindsatsinga til regjeringa</w:t>
      </w:r>
    </w:p>
    <w:p w14:paraId="4BB0E18A" w14:textId="77777777" w:rsidR="00A02896" w:rsidRPr="00506115" w:rsidRDefault="00AE1379" w:rsidP="00506115">
      <w:r w:rsidRPr="00506115">
        <w:t xml:space="preserve">Regjeringa sette våren 2022 </w:t>
      </w:r>
      <w:proofErr w:type="spellStart"/>
      <w:r w:rsidRPr="00506115">
        <w:t>ein</w:t>
      </w:r>
      <w:proofErr w:type="spellEnd"/>
      <w:r w:rsidRPr="00506115">
        <w:t xml:space="preserve"> ambisjon om å tildele prosjektområde med potensial for 30 GW havvindproduksjon på norsk sokkel </w:t>
      </w:r>
      <w:proofErr w:type="spellStart"/>
      <w:r w:rsidRPr="00506115">
        <w:t>innan</w:t>
      </w:r>
      <w:proofErr w:type="spellEnd"/>
      <w:r w:rsidRPr="00506115">
        <w:t xml:space="preserve"> 2040. 30 GW </w:t>
      </w:r>
      <w:proofErr w:type="spellStart"/>
      <w:r w:rsidRPr="00506115">
        <w:t>tilsvarar</w:t>
      </w:r>
      <w:proofErr w:type="spellEnd"/>
      <w:r w:rsidRPr="00506115">
        <w:t xml:space="preserve"> nesten den installerte kapasiteten i vasskraftsystemet i </w:t>
      </w:r>
      <w:proofErr w:type="spellStart"/>
      <w:r w:rsidRPr="00506115">
        <w:t>Noreg</w:t>
      </w:r>
      <w:proofErr w:type="spellEnd"/>
      <w:r w:rsidRPr="00506115">
        <w:t xml:space="preserve"> i dag. Det norske kraftnettet vil </w:t>
      </w:r>
      <w:proofErr w:type="spellStart"/>
      <w:r w:rsidRPr="00506115">
        <w:t>ikkje</w:t>
      </w:r>
      <w:proofErr w:type="spellEnd"/>
      <w:r w:rsidRPr="00506115">
        <w:t xml:space="preserve"> kunne handtere ei så stor mengde kraft som ambisjonen </w:t>
      </w:r>
      <w:proofErr w:type="spellStart"/>
      <w:r w:rsidRPr="00506115">
        <w:t>svarar</w:t>
      </w:r>
      <w:proofErr w:type="spellEnd"/>
      <w:r w:rsidRPr="00506115">
        <w:t xml:space="preserve"> til. </w:t>
      </w:r>
      <w:proofErr w:type="spellStart"/>
      <w:r w:rsidRPr="00506115">
        <w:t>Ein</w:t>
      </w:r>
      <w:proofErr w:type="spellEnd"/>
      <w:r w:rsidRPr="00506115">
        <w:t xml:space="preserve"> viktig </w:t>
      </w:r>
      <w:proofErr w:type="spellStart"/>
      <w:r w:rsidRPr="00506115">
        <w:t>føresetnad</w:t>
      </w:r>
      <w:proofErr w:type="spellEnd"/>
      <w:r w:rsidRPr="00506115">
        <w:t xml:space="preserve"> for ambisjonen er derfor at </w:t>
      </w:r>
      <w:proofErr w:type="spellStart"/>
      <w:r w:rsidRPr="00506115">
        <w:t>betydelege</w:t>
      </w:r>
      <w:proofErr w:type="spellEnd"/>
      <w:r w:rsidRPr="00506115">
        <w:t xml:space="preserve"> </w:t>
      </w:r>
      <w:proofErr w:type="spellStart"/>
      <w:r w:rsidRPr="00506115">
        <w:t>delar</w:t>
      </w:r>
      <w:proofErr w:type="spellEnd"/>
      <w:r w:rsidRPr="00506115">
        <w:t xml:space="preserve"> av krafta vil gå til andre land. Regjeringa vil legge til rette for ei storstilt havvindutbygging som </w:t>
      </w:r>
      <w:proofErr w:type="spellStart"/>
      <w:r w:rsidRPr="00506115">
        <w:t>opnar</w:t>
      </w:r>
      <w:proofErr w:type="spellEnd"/>
      <w:r w:rsidRPr="00506115">
        <w:t xml:space="preserve"> for bruk av ulike </w:t>
      </w:r>
      <w:proofErr w:type="spellStart"/>
      <w:r w:rsidRPr="00506115">
        <w:t>nettløysingar</w:t>
      </w:r>
      <w:proofErr w:type="spellEnd"/>
      <w:r w:rsidRPr="00506115">
        <w:t xml:space="preserve">. Nye havvindprosjekt må </w:t>
      </w:r>
      <w:proofErr w:type="spellStart"/>
      <w:r w:rsidRPr="00506115">
        <w:t>vere</w:t>
      </w:r>
      <w:proofErr w:type="spellEnd"/>
      <w:r w:rsidRPr="00506115">
        <w:t xml:space="preserve"> i samsvar med samfunnsmessige mål, og bli </w:t>
      </w:r>
      <w:proofErr w:type="spellStart"/>
      <w:r w:rsidRPr="00506115">
        <w:t>planlagde</w:t>
      </w:r>
      <w:proofErr w:type="spellEnd"/>
      <w:r w:rsidRPr="00506115">
        <w:t xml:space="preserve">, bygde og disponerte slik at omsynet til energiforsyning, miljø, tryggleik, </w:t>
      </w:r>
      <w:proofErr w:type="spellStart"/>
      <w:r w:rsidRPr="00506115">
        <w:t>næringsverksemd</w:t>
      </w:r>
      <w:proofErr w:type="spellEnd"/>
      <w:r w:rsidRPr="00506115">
        <w:t xml:space="preserve"> og andre interesser blir </w:t>
      </w:r>
      <w:proofErr w:type="spellStart"/>
      <w:r w:rsidRPr="00506115">
        <w:t>tekne</w:t>
      </w:r>
      <w:proofErr w:type="spellEnd"/>
      <w:r w:rsidRPr="00506115">
        <w:t xml:space="preserve"> vare på. Nye prosjektområde vil bli lyst ut med jamne mellomrom.</w:t>
      </w:r>
    </w:p>
    <w:p w14:paraId="5BC93EE7" w14:textId="77777777" w:rsidR="00A02896" w:rsidRPr="00506115" w:rsidRDefault="00AE1379" w:rsidP="00506115">
      <w:r w:rsidRPr="00506115">
        <w:t xml:space="preserve">To areal, Utsira Nord og </w:t>
      </w:r>
      <w:proofErr w:type="spellStart"/>
      <w:r w:rsidRPr="00506115">
        <w:t>Sørlege</w:t>
      </w:r>
      <w:proofErr w:type="spellEnd"/>
      <w:r w:rsidRPr="00506115">
        <w:t xml:space="preserve"> </w:t>
      </w:r>
      <w:proofErr w:type="spellStart"/>
      <w:r w:rsidRPr="00506115">
        <w:t>Nordsjø</w:t>
      </w:r>
      <w:proofErr w:type="spellEnd"/>
      <w:r w:rsidRPr="00506115">
        <w:t xml:space="preserve"> II, vart </w:t>
      </w:r>
      <w:proofErr w:type="spellStart"/>
      <w:r w:rsidRPr="00506115">
        <w:t>opna</w:t>
      </w:r>
      <w:proofErr w:type="spellEnd"/>
      <w:r w:rsidRPr="00506115">
        <w:t xml:space="preserve"> for fornybar energiproduksjon ved </w:t>
      </w:r>
      <w:proofErr w:type="spellStart"/>
      <w:r w:rsidRPr="00506115">
        <w:t>kongeleg</w:t>
      </w:r>
      <w:proofErr w:type="spellEnd"/>
      <w:r w:rsidRPr="00506115">
        <w:t xml:space="preserve"> resolusjon 12. juni 2020. </w:t>
      </w:r>
      <w:proofErr w:type="spellStart"/>
      <w:r w:rsidRPr="00506115">
        <w:t>Sørlege</w:t>
      </w:r>
      <w:proofErr w:type="spellEnd"/>
      <w:r w:rsidRPr="00506115">
        <w:t xml:space="preserve"> </w:t>
      </w:r>
      <w:proofErr w:type="spellStart"/>
      <w:r w:rsidRPr="00506115">
        <w:t>Nordsjø</w:t>
      </w:r>
      <w:proofErr w:type="spellEnd"/>
      <w:r w:rsidRPr="00506115">
        <w:t xml:space="preserve"> II er eigna både for </w:t>
      </w:r>
      <w:proofErr w:type="spellStart"/>
      <w:r w:rsidRPr="00506115">
        <w:t>flytande</w:t>
      </w:r>
      <w:proofErr w:type="spellEnd"/>
      <w:r w:rsidRPr="00506115">
        <w:t xml:space="preserve"> og botnfast havvind, og prosjektområda vil bli lyst ut stegvis. Utsira Nord er </w:t>
      </w:r>
      <w:proofErr w:type="spellStart"/>
      <w:r w:rsidRPr="00506115">
        <w:t>berre</w:t>
      </w:r>
      <w:proofErr w:type="spellEnd"/>
      <w:r w:rsidRPr="00506115">
        <w:t xml:space="preserve"> eigna for </w:t>
      </w:r>
      <w:proofErr w:type="spellStart"/>
      <w:r w:rsidRPr="00506115">
        <w:t>flytande</w:t>
      </w:r>
      <w:proofErr w:type="spellEnd"/>
      <w:r w:rsidRPr="00506115">
        <w:t xml:space="preserve"> havvind, på grunn av </w:t>
      </w:r>
      <w:proofErr w:type="spellStart"/>
      <w:r w:rsidRPr="00506115">
        <w:t>havdjupna</w:t>
      </w:r>
      <w:proofErr w:type="spellEnd"/>
      <w:r w:rsidRPr="00506115">
        <w:t xml:space="preserve"> i området. </w:t>
      </w:r>
      <w:proofErr w:type="spellStart"/>
      <w:r w:rsidRPr="00506115">
        <w:t>Flytande</w:t>
      </w:r>
      <w:proofErr w:type="spellEnd"/>
      <w:r w:rsidRPr="00506115">
        <w:t xml:space="preserve"> havvind er </w:t>
      </w:r>
      <w:proofErr w:type="spellStart"/>
      <w:r w:rsidRPr="00506115">
        <w:t>ein</w:t>
      </w:r>
      <w:proofErr w:type="spellEnd"/>
      <w:r w:rsidRPr="00506115">
        <w:t xml:space="preserve"> </w:t>
      </w:r>
      <w:proofErr w:type="spellStart"/>
      <w:r w:rsidRPr="00506115">
        <w:t>meir</w:t>
      </w:r>
      <w:proofErr w:type="spellEnd"/>
      <w:r w:rsidRPr="00506115">
        <w:t xml:space="preserve"> umoden teknologi, og det er behov for teknologiutvikling og </w:t>
      </w:r>
      <w:proofErr w:type="spellStart"/>
      <w:r w:rsidRPr="00506115">
        <w:t>kostnadsreduksjonar</w:t>
      </w:r>
      <w:proofErr w:type="spellEnd"/>
      <w:r w:rsidRPr="00506115">
        <w:t xml:space="preserve"> for å </w:t>
      </w:r>
      <w:proofErr w:type="spellStart"/>
      <w:r w:rsidRPr="00506115">
        <w:t>gjere</w:t>
      </w:r>
      <w:proofErr w:type="spellEnd"/>
      <w:r w:rsidRPr="00506115">
        <w:t xml:space="preserve"> teknologien kommersielt </w:t>
      </w:r>
      <w:proofErr w:type="spellStart"/>
      <w:r w:rsidRPr="00506115">
        <w:t>lønsam</w:t>
      </w:r>
      <w:proofErr w:type="spellEnd"/>
      <w:r w:rsidRPr="00506115">
        <w:t xml:space="preserve">, jf. Boks 2.1. Olje- og energidepartementet planlegg å tildele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og Utsira Nord i løpet av 2023. Deretter planlegg departementet neste runde med tildeling av prosjektområde til havvind i 2025. NVE har, </w:t>
      </w:r>
      <w:proofErr w:type="spellStart"/>
      <w:r w:rsidRPr="00506115">
        <w:t>saman</w:t>
      </w:r>
      <w:proofErr w:type="spellEnd"/>
      <w:r w:rsidRPr="00506115">
        <w:t xml:space="preserve"> med ei </w:t>
      </w:r>
      <w:proofErr w:type="spellStart"/>
      <w:r w:rsidRPr="00506115">
        <w:t>direktoratsgruppe</w:t>
      </w:r>
      <w:proofErr w:type="spellEnd"/>
      <w:r w:rsidRPr="00506115">
        <w:t xml:space="preserve">, fått i oppdrag å identifisere nye areal som kan </w:t>
      </w:r>
      <w:proofErr w:type="spellStart"/>
      <w:r w:rsidRPr="00506115">
        <w:t>vere</w:t>
      </w:r>
      <w:proofErr w:type="spellEnd"/>
      <w:r w:rsidRPr="00506115">
        <w:t xml:space="preserve"> aktuelle for havvindproduksjon utover </w:t>
      </w:r>
      <w:proofErr w:type="spellStart"/>
      <w:r w:rsidRPr="00506115">
        <w:t>dei</w:t>
      </w:r>
      <w:proofErr w:type="spellEnd"/>
      <w:r w:rsidRPr="00506115">
        <w:t xml:space="preserve"> to areala som </w:t>
      </w:r>
      <w:proofErr w:type="spellStart"/>
      <w:r w:rsidRPr="00506115">
        <w:t>allereie</w:t>
      </w:r>
      <w:proofErr w:type="spellEnd"/>
      <w:r w:rsidRPr="00506115">
        <w:t xml:space="preserve"> er </w:t>
      </w:r>
      <w:proofErr w:type="spellStart"/>
      <w:r w:rsidRPr="00506115">
        <w:t>opna</w:t>
      </w:r>
      <w:proofErr w:type="spellEnd"/>
      <w:r w:rsidRPr="00506115">
        <w:t>. Oppdraget skal leverast i april 2023.</w:t>
      </w:r>
    </w:p>
    <w:p w14:paraId="527F009A" w14:textId="77777777" w:rsidR="00A02896" w:rsidRPr="00506115" w:rsidRDefault="00AE1379" w:rsidP="00506115">
      <w:r w:rsidRPr="00506115">
        <w:t>Regjeringa sitt mål for havvindsatsinga er gjort greie for i Meld. St. 11(2021–2022):</w:t>
      </w:r>
      <w:r w:rsidRPr="00506115">
        <w:rPr>
          <w:rStyle w:val="Fotnotereferanse"/>
        </w:rPr>
        <w:footnoteReference w:id="1"/>
      </w:r>
    </w:p>
    <w:p w14:paraId="6D47083B" w14:textId="77777777" w:rsidR="00A02896" w:rsidRPr="00506115" w:rsidRDefault="00AE1379" w:rsidP="00AE1379">
      <w:pPr>
        <w:pStyle w:val="Liste"/>
      </w:pPr>
      <w:r w:rsidRPr="00506115">
        <w:t xml:space="preserve">Regjeringa har </w:t>
      </w:r>
      <w:proofErr w:type="spellStart"/>
      <w:r w:rsidRPr="00506115">
        <w:t>eit</w:t>
      </w:r>
      <w:proofErr w:type="spellEnd"/>
      <w:r w:rsidRPr="00506115">
        <w:t xml:space="preserve"> mål om at satsinga på havvind skal bidra til </w:t>
      </w:r>
      <w:r w:rsidRPr="00506115">
        <w:rPr>
          <w:rStyle w:val="kursiv"/>
        </w:rPr>
        <w:t>industriutvikling</w:t>
      </w:r>
      <w:r w:rsidRPr="00506115">
        <w:t xml:space="preserve">. Dette </w:t>
      </w:r>
      <w:proofErr w:type="spellStart"/>
      <w:r w:rsidRPr="00506115">
        <w:t>gjer</w:t>
      </w:r>
      <w:proofErr w:type="spellEnd"/>
      <w:r w:rsidRPr="00506115">
        <w:t xml:space="preserve"> vi gjennom å etablere </w:t>
      </w:r>
      <w:proofErr w:type="spellStart"/>
      <w:r w:rsidRPr="00506115">
        <w:t>ein</w:t>
      </w:r>
      <w:proofErr w:type="spellEnd"/>
      <w:r w:rsidRPr="00506115">
        <w:t xml:space="preserve"> </w:t>
      </w:r>
      <w:proofErr w:type="spellStart"/>
      <w:r w:rsidRPr="00506115">
        <w:t>heimemarknad</w:t>
      </w:r>
      <w:proofErr w:type="spellEnd"/>
      <w:r w:rsidRPr="00506115">
        <w:t xml:space="preserve"> ved utlysing av havvindområde i </w:t>
      </w:r>
      <w:proofErr w:type="spellStart"/>
      <w:r w:rsidRPr="00506115">
        <w:t>Noreg</w:t>
      </w:r>
      <w:proofErr w:type="spellEnd"/>
      <w:r w:rsidRPr="00506115">
        <w:t xml:space="preserve">, der norske </w:t>
      </w:r>
      <w:proofErr w:type="spellStart"/>
      <w:r w:rsidRPr="00506115">
        <w:t>leverandørar</w:t>
      </w:r>
      <w:proofErr w:type="spellEnd"/>
      <w:r w:rsidRPr="00506115">
        <w:t xml:space="preserve"> nært </w:t>
      </w:r>
      <w:proofErr w:type="spellStart"/>
      <w:r w:rsidRPr="00506115">
        <w:t>marknaden</w:t>
      </w:r>
      <w:proofErr w:type="spellEnd"/>
      <w:r w:rsidRPr="00506115">
        <w:t xml:space="preserve">, med erfaring </w:t>
      </w:r>
      <w:proofErr w:type="spellStart"/>
      <w:r w:rsidRPr="00506115">
        <w:t>frå</w:t>
      </w:r>
      <w:proofErr w:type="spellEnd"/>
      <w:r w:rsidRPr="00506115">
        <w:t xml:space="preserve"> norsk sokkel og relevant kompetanse vil ha god </w:t>
      </w:r>
      <w:proofErr w:type="spellStart"/>
      <w:r w:rsidRPr="00506115">
        <w:t>moglegheit</w:t>
      </w:r>
      <w:proofErr w:type="spellEnd"/>
      <w:r w:rsidRPr="00506115">
        <w:t xml:space="preserve"> til å delta. Gjennom deltaking i </w:t>
      </w:r>
      <w:proofErr w:type="spellStart"/>
      <w:r w:rsidRPr="00506115">
        <w:t>ein</w:t>
      </w:r>
      <w:proofErr w:type="spellEnd"/>
      <w:r w:rsidRPr="00506115">
        <w:t xml:space="preserve"> </w:t>
      </w:r>
      <w:proofErr w:type="spellStart"/>
      <w:r w:rsidRPr="00506115">
        <w:t>heimemarknad</w:t>
      </w:r>
      <w:proofErr w:type="spellEnd"/>
      <w:r w:rsidRPr="00506115">
        <w:t xml:space="preserve"> vil norsk leverandørindustri kunne få verdifull erfaring, også når </w:t>
      </w:r>
      <w:proofErr w:type="spellStart"/>
      <w:r w:rsidRPr="00506115">
        <w:t>dei</w:t>
      </w:r>
      <w:proofErr w:type="spellEnd"/>
      <w:r w:rsidRPr="00506115">
        <w:t xml:space="preserve"> skal konkurrere om oppdrag i utlandet. Ei </w:t>
      </w:r>
      <w:proofErr w:type="spellStart"/>
      <w:r w:rsidRPr="00506115">
        <w:t>vellukka</w:t>
      </w:r>
      <w:proofErr w:type="spellEnd"/>
      <w:r w:rsidRPr="00506115">
        <w:t xml:space="preserve"> industriutvikling </w:t>
      </w:r>
      <w:proofErr w:type="spellStart"/>
      <w:r w:rsidRPr="00506115">
        <w:t>føreset</w:t>
      </w:r>
      <w:proofErr w:type="spellEnd"/>
      <w:r w:rsidRPr="00506115">
        <w:t xml:space="preserve"> utdanning og kvalifisering av </w:t>
      </w:r>
      <w:proofErr w:type="spellStart"/>
      <w:r w:rsidRPr="00506115">
        <w:t>tilstrekkeleg</w:t>
      </w:r>
      <w:proofErr w:type="spellEnd"/>
      <w:r w:rsidRPr="00506115">
        <w:t xml:space="preserve"> norsk arbeidskraft, og positive lokale ringverknader.</w:t>
      </w:r>
    </w:p>
    <w:p w14:paraId="5913BC0A" w14:textId="77777777" w:rsidR="00A02896" w:rsidRPr="00506115" w:rsidRDefault="00AE1379" w:rsidP="00AE1379">
      <w:pPr>
        <w:pStyle w:val="Liste"/>
      </w:pPr>
      <w:proofErr w:type="spellStart"/>
      <w:r w:rsidRPr="00506115">
        <w:lastRenderedPageBreak/>
        <w:t>Vidare</w:t>
      </w:r>
      <w:proofErr w:type="spellEnd"/>
      <w:r w:rsidRPr="00506115">
        <w:t xml:space="preserve"> vil regjeringa legge til rette for </w:t>
      </w:r>
      <w:r w:rsidRPr="00506115">
        <w:rPr>
          <w:rStyle w:val="kursiv"/>
        </w:rPr>
        <w:t xml:space="preserve">innovasjon og teknologiutvikling. </w:t>
      </w:r>
      <w:proofErr w:type="spellStart"/>
      <w:r w:rsidRPr="00506115">
        <w:t>Flytande</w:t>
      </w:r>
      <w:proofErr w:type="spellEnd"/>
      <w:r w:rsidRPr="00506115">
        <w:t xml:space="preserve"> havvind har potensial til å bli </w:t>
      </w:r>
      <w:proofErr w:type="gramStart"/>
      <w:r w:rsidRPr="00506115">
        <w:t>ei viktig kjelde</w:t>
      </w:r>
      <w:proofErr w:type="gramEnd"/>
      <w:r w:rsidRPr="00506115">
        <w:t xml:space="preserve"> til fornybar energi, både på verdsbasis og på norsk sokkel. Etter </w:t>
      </w:r>
      <w:proofErr w:type="spellStart"/>
      <w:r w:rsidRPr="00506115">
        <w:t>kvart</w:t>
      </w:r>
      <w:proofErr w:type="spellEnd"/>
      <w:r w:rsidRPr="00506115">
        <w:t xml:space="preserve"> som teknologien blir </w:t>
      </w:r>
      <w:proofErr w:type="spellStart"/>
      <w:r w:rsidRPr="00506115">
        <w:t>vidareutvikla</w:t>
      </w:r>
      <w:proofErr w:type="spellEnd"/>
      <w:r w:rsidRPr="00506115">
        <w:t xml:space="preserve"> og tatt i bruk, </w:t>
      </w:r>
      <w:proofErr w:type="spellStart"/>
      <w:r w:rsidRPr="00506115">
        <w:t>forventar</w:t>
      </w:r>
      <w:proofErr w:type="spellEnd"/>
      <w:r w:rsidRPr="00506115">
        <w:t xml:space="preserve"> vi </w:t>
      </w:r>
      <w:proofErr w:type="spellStart"/>
      <w:r w:rsidRPr="00506115">
        <w:t>kostnadsreduksjonar</w:t>
      </w:r>
      <w:proofErr w:type="spellEnd"/>
      <w:r w:rsidRPr="00506115">
        <w:t xml:space="preserve"> for </w:t>
      </w:r>
      <w:proofErr w:type="spellStart"/>
      <w:r w:rsidRPr="00506115">
        <w:t>flytande</w:t>
      </w:r>
      <w:proofErr w:type="spellEnd"/>
      <w:r w:rsidRPr="00506115">
        <w:t xml:space="preserve"> vindkraft. Gjennom å tildele prosjektområde på Utsira Nord etter kvalitative kriterium vil vi legge til rette for innovasjon og teknologiutvikling som kan bidra til framtidige </w:t>
      </w:r>
      <w:proofErr w:type="spellStart"/>
      <w:r w:rsidRPr="00506115">
        <w:t>kostnadsreduksjonar</w:t>
      </w:r>
      <w:proofErr w:type="spellEnd"/>
      <w:r w:rsidRPr="00506115">
        <w:t xml:space="preserve"> for </w:t>
      </w:r>
      <w:proofErr w:type="spellStart"/>
      <w:r w:rsidRPr="00506115">
        <w:t>flytande</w:t>
      </w:r>
      <w:proofErr w:type="spellEnd"/>
      <w:r w:rsidRPr="00506115">
        <w:t xml:space="preserve"> havvind.</w:t>
      </w:r>
    </w:p>
    <w:p w14:paraId="6521A82B" w14:textId="77777777" w:rsidR="00A02896" w:rsidRPr="00506115" w:rsidRDefault="00AE1379" w:rsidP="00AE1379">
      <w:pPr>
        <w:pStyle w:val="Liste"/>
      </w:pPr>
      <w:r w:rsidRPr="00506115">
        <w:t xml:space="preserve">Utbygging av vindkraft til havs vil </w:t>
      </w:r>
      <w:proofErr w:type="spellStart"/>
      <w:r w:rsidRPr="00506115">
        <w:t>gje</w:t>
      </w:r>
      <w:proofErr w:type="spellEnd"/>
      <w:r w:rsidRPr="00506115">
        <w:t xml:space="preserve"> </w:t>
      </w:r>
      <w:proofErr w:type="spellStart"/>
      <w:r w:rsidRPr="00506115">
        <w:rPr>
          <w:rStyle w:val="kursiv"/>
        </w:rPr>
        <w:t>auka</w:t>
      </w:r>
      <w:proofErr w:type="spellEnd"/>
      <w:r w:rsidRPr="00506115">
        <w:rPr>
          <w:rStyle w:val="kursiv"/>
        </w:rPr>
        <w:t xml:space="preserve"> utsleppsfri kraftproduksjon</w:t>
      </w:r>
      <w:r w:rsidRPr="00506115">
        <w:t xml:space="preserve"> i </w:t>
      </w:r>
      <w:proofErr w:type="spellStart"/>
      <w:r w:rsidRPr="00506115">
        <w:t>Noreg</w:t>
      </w:r>
      <w:proofErr w:type="spellEnd"/>
      <w:r w:rsidRPr="00506115">
        <w:t xml:space="preserve">. Det er </w:t>
      </w:r>
      <w:proofErr w:type="spellStart"/>
      <w:r w:rsidRPr="00506115">
        <w:t>naudsynt</w:t>
      </w:r>
      <w:proofErr w:type="spellEnd"/>
      <w:r w:rsidRPr="00506115">
        <w:t xml:space="preserve"> for å møte </w:t>
      </w:r>
      <w:proofErr w:type="spellStart"/>
      <w:r w:rsidRPr="00506115">
        <w:t>auka</w:t>
      </w:r>
      <w:proofErr w:type="spellEnd"/>
      <w:r w:rsidRPr="00506115">
        <w:t xml:space="preserve"> etterspørsel etter fornybar kraft. Kraftsituasjonen i </w:t>
      </w:r>
      <w:proofErr w:type="spellStart"/>
      <w:r w:rsidRPr="00506115">
        <w:t>Noreg</w:t>
      </w:r>
      <w:proofErr w:type="spellEnd"/>
      <w:r w:rsidRPr="00506115">
        <w:t xml:space="preserve"> og i Europa den siste tida viser kor viktig det er å </w:t>
      </w:r>
      <w:proofErr w:type="spellStart"/>
      <w:r w:rsidRPr="00506115">
        <w:t>auke</w:t>
      </w:r>
      <w:proofErr w:type="spellEnd"/>
      <w:r w:rsidRPr="00506115">
        <w:t xml:space="preserve"> tilgangen på fornybar kraft. </w:t>
      </w:r>
      <w:proofErr w:type="spellStart"/>
      <w:r w:rsidRPr="00506115">
        <w:t>Lønsemda</w:t>
      </w:r>
      <w:proofErr w:type="spellEnd"/>
      <w:r w:rsidRPr="00506115">
        <w:t xml:space="preserve"> for havvind er avhengig av kva </w:t>
      </w:r>
      <w:proofErr w:type="spellStart"/>
      <w:r w:rsidRPr="00506115">
        <w:t>prisar</w:t>
      </w:r>
      <w:proofErr w:type="spellEnd"/>
      <w:r w:rsidRPr="00506115">
        <w:t xml:space="preserve"> </w:t>
      </w:r>
      <w:proofErr w:type="spellStart"/>
      <w:r w:rsidRPr="00506115">
        <w:t>produsentane</w:t>
      </w:r>
      <w:proofErr w:type="spellEnd"/>
      <w:r w:rsidRPr="00506115">
        <w:t xml:space="preserve"> kan oppnå, </w:t>
      </w:r>
      <w:proofErr w:type="spellStart"/>
      <w:r w:rsidRPr="00506115">
        <w:t>noko</w:t>
      </w:r>
      <w:proofErr w:type="spellEnd"/>
      <w:r w:rsidRPr="00506115">
        <w:t xml:space="preserve"> som mellom anna er </w:t>
      </w:r>
      <w:proofErr w:type="spellStart"/>
      <w:r w:rsidRPr="00506115">
        <w:t>påverka</w:t>
      </w:r>
      <w:proofErr w:type="spellEnd"/>
      <w:r w:rsidRPr="00506115">
        <w:t xml:space="preserve"> av kva </w:t>
      </w:r>
      <w:proofErr w:type="spellStart"/>
      <w:r w:rsidRPr="00506115">
        <w:t>marknad</w:t>
      </w:r>
      <w:proofErr w:type="spellEnd"/>
      <w:r w:rsidRPr="00506115">
        <w:t xml:space="preserve"> produksjonen blir knytt til. Ei </w:t>
      </w:r>
      <w:proofErr w:type="spellStart"/>
      <w:r w:rsidRPr="00506115">
        <w:t>tilknyting</w:t>
      </w:r>
      <w:proofErr w:type="spellEnd"/>
      <w:r w:rsidRPr="00506115">
        <w:t xml:space="preserve"> </w:t>
      </w:r>
      <w:proofErr w:type="spellStart"/>
      <w:r w:rsidRPr="00506115">
        <w:t>berre</w:t>
      </w:r>
      <w:proofErr w:type="spellEnd"/>
      <w:r w:rsidRPr="00506115">
        <w:t xml:space="preserve"> til </w:t>
      </w:r>
      <w:proofErr w:type="spellStart"/>
      <w:r w:rsidRPr="00506115">
        <w:t>Noreg</w:t>
      </w:r>
      <w:proofErr w:type="spellEnd"/>
      <w:r w:rsidRPr="00506115">
        <w:t xml:space="preserve"> vil </w:t>
      </w:r>
      <w:proofErr w:type="spellStart"/>
      <w:r w:rsidRPr="00506115">
        <w:t>auke</w:t>
      </w:r>
      <w:proofErr w:type="spellEnd"/>
      <w:r w:rsidRPr="00506115">
        <w:t xml:space="preserve"> det norske </w:t>
      </w:r>
      <w:proofErr w:type="spellStart"/>
      <w:r w:rsidRPr="00506115">
        <w:t>kraftoverskotet</w:t>
      </w:r>
      <w:proofErr w:type="spellEnd"/>
      <w:r w:rsidRPr="00506115">
        <w:t xml:space="preserve">, og er isolert sett </w:t>
      </w:r>
      <w:proofErr w:type="spellStart"/>
      <w:r w:rsidRPr="00506115">
        <w:t>ein</w:t>
      </w:r>
      <w:proofErr w:type="spellEnd"/>
      <w:r w:rsidRPr="00506115">
        <w:t xml:space="preserve"> </w:t>
      </w:r>
      <w:proofErr w:type="spellStart"/>
      <w:r w:rsidRPr="00506115">
        <w:t>bidragsytar</w:t>
      </w:r>
      <w:proofErr w:type="spellEnd"/>
      <w:r w:rsidRPr="00506115">
        <w:t xml:space="preserve"> til </w:t>
      </w:r>
      <w:proofErr w:type="spellStart"/>
      <w:r w:rsidRPr="00506115">
        <w:t>lågare</w:t>
      </w:r>
      <w:proofErr w:type="spellEnd"/>
      <w:r w:rsidRPr="00506115">
        <w:t xml:space="preserve"> </w:t>
      </w:r>
      <w:proofErr w:type="spellStart"/>
      <w:r w:rsidRPr="00506115">
        <w:t>kraftprisar</w:t>
      </w:r>
      <w:proofErr w:type="spellEnd"/>
      <w:r w:rsidRPr="00506115">
        <w:t xml:space="preserve"> i det området produksjonen blir knytt til. For at </w:t>
      </w:r>
      <w:proofErr w:type="spellStart"/>
      <w:r w:rsidRPr="00506115">
        <w:t>flytande</w:t>
      </w:r>
      <w:proofErr w:type="spellEnd"/>
      <w:r w:rsidRPr="00506115">
        <w:t xml:space="preserve"> havvind skal bli </w:t>
      </w:r>
      <w:proofErr w:type="spellStart"/>
      <w:r w:rsidRPr="00506115">
        <w:t>lønsamt</w:t>
      </w:r>
      <w:proofErr w:type="spellEnd"/>
      <w:r w:rsidRPr="00506115">
        <w:t xml:space="preserve"> er det behov for teknologiutvikling og </w:t>
      </w:r>
      <w:proofErr w:type="spellStart"/>
      <w:r w:rsidRPr="00506115">
        <w:t>kostnadsreduksjonar</w:t>
      </w:r>
      <w:proofErr w:type="spellEnd"/>
      <w:r w:rsidRPr="00506115">
        <w:t>.</w:t>
      </w:r>
    </w:p>
    <w:p w14:paraId="573D5FF9" w14:textId="77777777" w:rsidR="00A02896" w:rsidRPr="00506115" w:rsidRDefault="00AE1379" w:rsidP="00506115">
      <w:r w:rsidRPr="00506115">
        <w:t xml:space="preserve">Det er </w:t>
      </w:r>
      <w:proofErr w:type="spellStart"/>
      <w:r w:rsidRPr="00506115">
        <w:t>særleg</w:t>
      </w:r>
      <w:proofErr w:type="spellEnd"/>
      <w:r w:rsidRPr="00506115">
        <w:t xml:space="preserve"> måla om </w:t>
      </w:r>
      <w:r w:rsidRPr="00506115">
        <w:rPr>
          <w:rStyle w:val="kursiv"/>
        </w:rPr>
        <w:t>industriutvikling</w:t>
      </w:r>
      <w:r w:rsidRPr="00506115">
        <w:t xml:space="preserve"> og </w:t>
      </w:r>
      <w:proofErr w:type="spellStart"/>
      <w:r w:rsidRPr="00506115">
        <w:rPr>
          <w:rStyle w:val="kursiv"/>
        </w:rPr>
        <w:t>auka</w:t>
      </w:r>
      <w:proofErr w:type="spellEnd"/>
      <w:r w:rsidRPr="00506115">
        <w:rPr>
          <w:rStyle w:val="kursiv"/>
        </w:rPr>
        <w:t xml:space="preserve"> utsleppsfri kraftproduksjon </w:t>
      </w:r>
      <w:r w:rsidRPr="00506115">
        <w:t xml:space="preserve">i </w:t>
      </w:r>
      <w:proofErr w:type="spellStart"/>
      <w:r w:rsidRPr="00506115">
        <w:t>Noreg</w:t>
      </w:r>
      <w:proofErr w:type="spellEnd"/>
      <w:r w:rsidRPr="00506115">
        <w:t xml:space="preserve"> som er relevante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w:t>
      </w:r>
      <w:proofErr w:type="spellStart"/>
      <w:r w:rsidRPr="00506115">
        <w:t>Fleire</w:t>
      </w:r>
      <w:proofErr w:type="spellEnd"/>
      <w:r w:rsidRPr="00506115">
        <w:t xml:space="preserve"> norske </w:t>
      </w:r>
      <w:proofErr w:type="spellStart"/>
      <w:r w:rsidRPr="00506115">
        <w:t>aktørar</w:t>
      </w:r>
      <w:proofErr w:type="spellEnd"/>
      <w:r w:rsidRPr="00506115">
        <w:t xml:space="preserve"> </w:t>
      </w:r>
      <w:proofErr w:type="spellStart"/>
      <w:r w:rsidRPr="00506115">
        <w:t>hevdar</w:t>
      </w:r>
      <w:proofErr w:type="spellEnd"/>
      <w:r w:rsidRPr="00506115">
        <w:t xml:space="preserve"> seg </w:t>
      </w:r>
      <w:proofErr w:type="spellStart"/>
      <w:r w:rsidRPr="00506115">
        <w:t>allereie</w:t>
      </w:r>
      <w:proofErr w:type="spellEnd"/>
      <w:r w:rsidRPr="00506115">
        <w:t xml:space="preserve"> godt internasjonalt i ulike ledd i </w:t>
      </w:r>
      <w:proofErr w:type="spellStart"/>
      <w:r w:rsidRPr="00506115">
        <w:t>verdikjeda</w:t>
      </w:r>
      <w:proofErr w:type="spellEnd"/>
      <w:r w:rsidRPr="00506115">
        <w:t xml:space="preserve"> til havvind. Til dømes </w:t>
      </w:r>
      <w:proofErr w:type="spellStart"/>
      <w:r w:rsidRPr="00506115">
        <w:t>innan</w:t>
      </w:r>
      <w:proofErr w:type="spellEnd"/>
      <w:r w:rsidRPr="00506115">
        <w:t xml:space="preserve"> </w:t>
      </w:r>
      <w:proofErr w:type="spellStart"/>
      <w:r w:rsidRPr="00506115">
        <w:t>sjøkablar</w:t>
      </w:r>
      <w:proofErr w:type="spellEnd"/>
      <w:r w:rsidRPr="00506115">
        <w:t xml:space="preserve">, installasjons- og driftsfartøy og </w:t>
      </w:r>
      <w:proofErr w:type="spellStart"/>
      <w:r w:rsidRPr="00506115">
        <w:t>utbyggingstenester</w:t>
      </w:r>
      <w:proofErr w:type="spellEnd"/>
      <w:r w:rsidRPr="00506115">
        <w:t xml:space="preserve">. I 2021 </w:t>
      </w:r>
      <w:proofErr w:type="spellStart"/>
      <w:r w:rsidRPr="00506115">
        <w:t>auka</w:t>
      </w:r>
      <w:proofErr w:type="spellEnd"/>
      <w:r w:rsidRPr="00506115">
        <w:t xml:space="preserve"> norske </w:t>
      </w:r>
      <w:proofErr w:type="spellStart"/>
      <w:r w:rsidRPr="00506115">
        <w:t>aktørar</w:t>
      </w:r>
      <w:proofErr w:type="spellEnd"/>
      <w:r w:rsidRPr="00506115">
        <w:t xml:space="preserve"> si internasjonale omsetning med 57 prosent, til </w:t>
      </w:r>
      <w:proofErr w:type="spellStart"/>
      <w:r w:rsidRPr="00506115">
        <w:t>meir</w:t>
      </w:r>
      <w:proofErr w:type="spellEnd"/>
      <w:r w:rsidRPr="00506115">
        <w:t xml:space="preserve"> enn 25 mrd. kroner.</w:t>
      </w:r>
      <w:r w:rsidRPr="00506115">
        <w:rPr>
          <w:rStyle w:val="Fotnotereferanse"/>
        </w:rPr>
        <w:footnoteReference w:id="2"/>
      </w:r>
      <w:r w:rsidRPr="00506115">
        <w:t xml:space="preserve"> Den totale omsetninga for den norskbaserte næringa </w:t>
      </w:r>
      <w:proofErr w:type="spellStart"/>
      <w:r w:rsidRPr="00506115">
        <w:t>innan</w:t>
      </w:r>
      <w:proofErr w:type="spellEnd"/>
      <w:r w:rsidRPr="00506115">
        <w:t xml:space="preserve"> havvind var 29,3 mrd. kroner. I same år </w:t>
      </w:r>
      <w:proofErr w:type="spellStart"/>
      <w:r w:rsidRPr="00506115">
        <w:t>auka</w:t>
      </w:r>
      <w:proofErr w:type="spellEnd"/>
      <w:r w:rsidRPr="00506115">
        <w:t xml:space="preserve"> </w:t>
      </w:r>
      <w:proofErr w:type="spellStart"/>
      <w:r w:rsidRPr="00506115">
        <w:t>talet</w:t>
      </w:r>
      <w:proofErr w:type="spellEnd"/>
      <w:r w:rsidRPr="00506115">
        <w:t xml:space="preserve"> på </w:t>
      </w:r>
      <w:proofErr w:type="gramStart"/>
      <w:r w:rsidRPr="00506115">
        <w:t>sysselsette</w:t>
      </w:r>
      <w:proofErr w:type="gramEnd"/>
      <w:r w:rsidRPr="00506115">
        <w:t xml:space="preserve"> til 4 300 årsverk, som </w:t>
      </w:r>
      <w:proofErr w:type="spellStart"/>
      <w:r w:rsidRPr="00506115">
        <w:t>tilsvarar</w:t>
      </w:r>
      <w:proofErr w:type="spellEnd"/>
      <w:r w:rsidRPr="00506115">
        <w:t xml:space="preserve"> </w:t>
      </w:r>
      <w:proofErr w:type="spellStart"/>
      <w:r w:rsidRPr="00506115">
        <w:t>ein</w:t>
      </w:r>
      <w:proofErr w:type="spellEnd"/>
      <w:r w:rsidRPr="00506115">
        <w:t xml:space="preserve"> firedel av alle årsverk i fornybarnæringa.</w:t>
      </w:r>
      <w:r w:rsidRPr="00506115">
        <w:rPr>
          <w:rStyle w:val="Fotnotereferanse"/>
        </w:rPr>
        <w:footnoteReference w:id="3"/>
      </w:r>
    </w:p>
    <w:p w14:paraId="6897B1F1" w14:textId="77777777" w:rsidR="00A02896" w:rsidRPr="00506115" w:rsidRDefault="00AE1379" w:rsidP="00AE1379">
      <w:pPr>
        <w:pStyle w:val="tittel-ramme"/>
      </w:pPr>
      <w:r w:rsidRPr="00506115">
        <w:t>Utsira Nord</w:t>
      </w:r>
    </w:p>
    <w:p w14:paraId="1E924644" w14:textId="77777777" w:rsidR="00A02896" w:rsidRPr="00506115" w:rsidRDefault="00AE1379" w:rsidP="00506115">
      <w:r w:rsidRPr="00506115">
        <w:t xml:space="preserve">Utsira Nord ligg nært land </w:t>
      </w:r>
      <w:proofErr w:type="spellStart"/>
      <w:r w:rsidRPr="00506115">
        <w:t>utanfor</w:t>
      </w:r>
      <w:proofErr w:type="spellEnd"/>
      <w:r w:rsidRPr="00506115">
        <w:t xml:space="preserve"> Karmøy og vil bli knytt til fastlands-</w:t>
      </w:r>
      <w:proofErr w:type="spellStart"/>
      <w:r w:rsidRPr="00506115">
        <w:t>Noreg</w:t>
      </w:r>
      <w:proofErr w:type="spellEnd"/>
      <w:r w:rsidRPr="00506115">
        <w:t xml:space="preserve">. Det følger av </w:t>
      </w:r>
      <w:proofErr w:type="spellStart"/>
      <w:r w:rsidRPr="00506115">
        <w:t>opningsvedtaket</w:t>
      </w:r>
      <w:proofErr w:type="spellEnd"/>
      <w:r w:rsidRPr="00506115">
        <w:t xml:space="preserve"> til Utsira Nord at det maksimalt kan bli gjeve konsesjon til utbygging av 1500 MW produksjon. Gjennomsnittsdjupna i Utsira Nord er om lag 265 meter, og arealet </w:t>
      </w:r>
      <w:proofErr w:type="spellStart"/>
      <w:r w:rsidRPr="00506115">
        <w:t>eignar</w:t>
      </w:r>
      <w:proofErr w:type="spellEnd"/>
      <w:r w:rsidRPr="00506115">
        <w:t xml:space="preserve"> seg derfor </w:t>
      </w:r>
      <w:proofErr w:type="spellStart"/>
      <w:r w:rsidRPr="00506115">
        <w:t>berre</w:t>
      </w:r>
      <w:proofErr w:type="spellEnd"/>
      <w:r w:rsidRPr="00506115">
        <w:t xml:space="preserve"> for </w:t>
      </w:r>
      <w:proofErr w:type="spellStart"/>
      <w:r w:rsidRPr="00506115">
        <w:t>flytande</w:t>
      </w:r>
      <w:proofErr w:type="spellEnd"/>
      <w:r w:rsidRPr="00506115">
        <w:t xml:space="preserve"> havvind. Dette er </w:t>
      </w:r>
      <w:proofErr w:type="spellStart"/>
      <w:r w:rsidRPr="00506115">
        <w:t>ein</w:t>
      </w:r>
      <w:proofErr w:type="spellEnd"/>
      <w:r w:rsidRPr="00506115">
        <w:t xml:space="preserve"> </w:t>
      </w:r>
      <w:proofErr w:type="spellStart"/>
      <w:r w:rsidRPr="00506115">
        <w:t>meir</w:t>
      </w:r>
      <w:proofErr w:type="spellEnd"/>
      <w:r w:rsidRPr="00506115">
        <w:t xml:space="preserve"> umoden teknologi, og det er behov for teknologiutvikling og </w:t>
      </w:r>
      <w:proofErr w:type="spellStart"/>
      <w:r w:rsidRPr="00506115">
        <w:t>kostnadsreduksjonar</w:t>
      </w:r>
      <w:proofErr w:type="spellEnd"/>
      <w:r w:rsidRPr="00506115">
        <w:t xml:space="preserve"> for å </w:t>
      </w:r>
      <w:proofErr w:type="spellStart"/>
      <w:r w:rsidRPr="00506115">
        <w:t>gjere</w:t>
      </w:r>
      <w:proofErr w:type="spellEnd"/>
      <w:r w:rsidRPr="00506115">
        <w:t xml:space="preserve"> teknologien </w:t>
      </w:r>
      <w:proofErr w:type="spellStart"/>
      <w:r w:rsidRPr="00506115">
        <w:t>lønsam</w:t>
      </w:r>
      <w:proofErr w:type="spellEnd"/>
      <w:r w:rsidRPr="00506115">
        <w:t xml:space="preserve">. Departementet har delt Utsira Nord inn i </w:t>
      </w:r>
      <w:proofErr w:type="gramStart"/>
      <w:r w:rsidRPr="00506115">
        <w:t>tre prosjektområde</w:t>
      </w:r>
      <w:proofErr w:type="gramEnd"/>
      <w:r w:rsidRPr="00506115">
        <w:t xml:space="preserve"> som kvar har </w:t>
      </w:r>
      <w:proofErr w:type="spellStart"/>
      <w:r w:rsidRPr="00506115">
        <w:t>ein</w:t>
      </w:r>
      <w:proofErr w:type="spellEnd"/>
      <w:r w:rsidRPr="00506115">
        <w:t xml:space="preserve"> kapasitet på 500 MW, som vil bli lyst ut samtidig som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Prosjektområda vil bli tildelt i </w:t>
      </w:r>
      <w:proofErr w:type="spellStart"/>
      <w:r w:rsidRPr="00506115">
        <w:t>ein</w:t>
      </w:r>
      <w:proofErr w:type="spellEnd"/>
      <w:r w:rsidRPr="00506115">
        <w:t xml:space="preserve"> kvalitativ konkurranse. Målet med </w:t>
      </w:r>
      <w:proofErr w:type="spellStart"/>
      <w:r w:rsidRPr="00506115">
        <w:t>ein</w:t>
      </w:r>
      <w:proofErr w:type="spellEnd"/>
      <w:r w:rsidRPr="00506115">
        <w:t xml:space="preserve"> kvalitativ tildelingsmodell er å stimulere til teknologiutvikling og </w:t>
      </w:r>
      <w:proofErr w:type="spellStart"/>
      <w:r w:rsidRPr="00506115">
        <w:t>kostnadsreduksjonar</w:t>
      </w:r>
      <w:proofErr w:type="spellEnd"/>
      <w:r w:rsidRPr="00506115">
        <w:t xml:space="preserve">, som kan bidra til å </w:t>
      </w:r>
      <w:proofErr w:type="spellStart"/>
      <w:r w:rsidRPr="00506115">
        <w:t>gjere</w:t>
      </w:r>
      <w:proofErr w:type="spellEnd"/>
      <w:r w:rsidRPr="00506115">
        <w:t xml:space="preserve"> teknologien kommersielt </w:t>
      </w:r>
      <w:proofErr w:type="spellStart"/>
      <w:r w:rsidRPr="00506115">
        <w:t>lønsam</w:t>
      </w:r>
      <w:proofErr w:type="spellEnd"/>
      <w:r w:rsidRPr="00506115">
        <w:t xml:space="preserve"> på sikt. Før tildeling av støtte til </w:t>
      </w:r>
      <w:proofErr w:type="spellStart"/>
      <w:r w:rsidRPr="00506115">
        <w:t>flytande</w:t>
      </w:r>
      <w:proofErr w:type="spellEnd"/>
      <w:r w:rsidRPr="00506115">
        <w:t xml:space="preserve"> havvind i Utsira Nord vil departementet legge fram </w:t>
      </w:r>
      <w:proofErr w:type="spellStart"/>
      <w:r w:rsidRPr="00506115">
        <w:t>ein</w:t>
      </w:r>
      <w:proofErr w:type="spellEnd"/>
      <w:r w:rsidRPr="00506115">
        <w:t xml:space="preserve"> eigen proposisjon til Stortinget. </w:t>
      </w:r>
      <w:proofErr w:type="spellStart"/>
      <w:r w:rsidRPr="00506115">
        <w:t>Flytande</w:t>
      </w:r>
      <w:proofErr w:type="spellEnd"/>
      <w:r w:rsidRPr="00506115">
        <w:t xml:space="preserve"> havvind er </w:t>
      </w:r>
      <w:proofErr w:type="spellStart"/>
      <w:r w:rsidRPr="00506115">
        <w:t>dyrare</w:t>
      </w:r>
      <w:proofErr w:type="spellEnd"/>
      <w:r w:rsidRPr="00506115">
        <w:t xml:space="preserve"> enn botnfast havvind, slik at støttebehovet for Utsira Nord </w:t>
      </w:r>
      <w:proofErr w:type="spellStart"/>
      <w:r w:rsidRPr="00506115">
        <w:t>truleg</w:t>
      </w:r>
      <w:proofErr w:type="spellEnd"/>
      <w:r w:rsidRPr="00506115">
        <w:t xml:space="preserve"> vil </w:t>
      </w:r>
      <w:proofErr w:type="spellStart"/>
      <w:r w:rsidRPr="00506115">
        <w:t>vere</w:t>
      </w:r>
      <w:proofErr w:type="spellEnd"/>
      <w:r w:rsidRPr="00506115">
        <w:t xml:space="preserve"> høgre per kWh enn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w:t>
      </w:r>
    </w:p>
    <w:p w14:paraId="6C9E5EC4" w14:textId="77777777" w:rsidR="00A02896" w:rsidRPr="00506115" w:rsidRDefault="00AE1379" w:rsidP="00506115">
      <w:pPr>
        <w:pStyle w:val="Ramme-slutt"/>
      </w:pPr>
      <w:r w:rsidRPr="00506115">
        <w:t>[Boks slutt]</w:t>
      </w:r>
    </w:p>
    <w:p w14:paraId="12A66AA9" w14:textId="77777777" w:rsidR="00A02896" w:rsidRPr="00506115" w:rsidRDefault="00AE1379" w:rsidP="00AE1379">
      <w:pPr>
        <w:pStyle w:val="Overskrift2"/>
      </w:pPr>
      <w:proofErr w:type="spellStart"/>
      <w:r w:rsidRPr="00506115">
        <w:lastRenderedPageBreak/>
        <w:t>Sørlege</w:t>
      </w:r>
      <w:proofErr w:type="spellEnd"/>
      <w:r w:rsidRPr="00506115">
        <w:t xml:space="preserve"> </w:t>
      </w:r>
      <w:proofErr w:type="spellStart"/>
      <w:r w:rsidRPr="00506115">
        <w:t>Nordsjø</w:t>
      </w:r>
      <w:proofErr w:type="spellEnd"/>
      <w:r w:rsidRPr="00506115">
        <w:t xml:space="preserve"> II</w:t>
      </w:r>
    </w:p>
    <w:p w14:paraId="155686C6" w14:textId="77777777" w:rsidR="00A02896" w:rsidRPr="00506115" w:rsidRDefault="00AE1379" w:rsidP="00506115">
      <w:proofErr w:type="spellStart"/>
      <w:r w:rsidRPr="00506115">
        <w:t>Sørlege</w:t>
      </w:r>
      <w:proofErr w:type="spellEnd"/>
      <w:r w:rsidRPr="00506115">
        <w:t xml:space="preserve"> </w:t>
      </w:r>
      <w:proofErr w:type="spellStart"/>
      <w:r w:rsidRPr="00506115">
        <w:t>Nordsjø</w:t>
      </w:r>
      <w:proofErr w:type="spellEnd"/>
      <w:r w:rsidRPr="00506115">
        <w:t xml:space="preserve"> II ligg sørvest for Kristiansand, ved grensa til dansk økonomisk sone. Arealet er totalt 2 591 km</w:t>
      </w:r>
      <w:r w:rsidRPr="00506115">
        <w:rPr>
          <w:rStyle w:val="skrift-hevet"/>
        </w:rPr>
        <w:t>2</w:t>
      </w:r>
      <w:r w:rsidRPr="00506115">
        <w:t xml:space="preserve">, og ligg om lag 140 kilometer </w:t>
      </w:r>
      <w:proofErr w:type="spellStart"/>
      <w:r w:rsidRPr="00506115">
        <w:t>frå</w:t>
      </w:r>
      <w:proofErr w:type="spellEnd"/>
      <w:r w:rsidRPr="00506115">
        <w:t xml:space="preserve"> norskekysten. Heile arealet ligg </w:t>
      </w:r>
      <w:proofErr w:type="spellStart"/>
      <w:r w:rsidRPr="00506115">
        <w:t>utanfor</w:t>
      </w:r>
      <w:proofErr w:type="spellEnd"/>
      <w:r w:rsidRPr="00506115">
        <w:t xml:space="preserve"> grunnlinja. I vedtak om </w:t>
      </w:r>
      <w:proofErr w:type="spellStart"/>
      <w:r w:rsidRPr="00506115">
        <w:t>opning</w:t>
      </w:r>
      <w:proofErr w:type="spellEnd"/>
      <w:r w:rsidRPr="00506115">
        <w:t xml:space="preserve"> går det fram at det maksimalt kan bli </w:t>
      </w:r>
      <w:proofErr w:type="spellStart"/>
      <w:r w:rsidRPr="00506115">
        <w:t>gjeven</w:t>
      </w:r>
      <w:proofErr w:type="spellEnd"/>
      <w:r w:rsidRPr="00506115">
        <w:t xml:space="preserve"> konsesjon til utbygging av 3 000 MW produksjon. Både botnfaste og </w:t>
      </w:r>
      <w:proofErr w:type="spellStart"/>
      <w:r w:rsidRPr="00506115">
        <w:t>flytande</w:t>
      </w:r>
      <w:proofErr w:type="spellEnd"/>
      <w:r w:rsidRPr="00506115">
        <w:t xml:space="preserve"> fundament kan </w:t>
      </w:r>
      <w:proofErr w:type="spellStart"/>
      <w:r w:rsidRPr="00506115">
        <w:t>vere</w:t>
      </w:r>
      <w:proofErr w:type="spellEnd"/>
      <w:r w:rsidRPr="00506115">
        <w:t xml:space="preserve"> aktuelle, </w:t>
      </w:r>
      <w:proofErr w:type="spellStart"/>
      <w:r w:rsidRPr="00506115">
        <w:t>sidan</w:t>
      </w:r>
      <w:proofErr w:type="spellEnd"/>
      <w:r w:rsidRPr="00506115">
        <w:t xml:space="preserve"> store </w:t>
      </w:r>
      <w:proofErr w:type="spellStart"/>
      <w:r w:rsidRPr="00506115">
        <w:t>delar</w:t>
      </w:r>
      <w:proofErr w:type="spellEnd"/>
      <w:r w:rsidRPr="00506115">
        <w:t xml:space="preserve"> av arealet har </w:t>
      </w:r>
      <w:proofErr w:type="spellStart"/>
      <w:r w:rsidRPr="00506115">
        <w:t>havdjupne</w:t>
      </w:r>
      <w:proofErr w:type="spellEnd"/>
      <w:r w:rsidRPr="00506115">
        <w:t xml:space="preserve"> mellom 60 og 70 meter. </w:t>
      </w:r>
      <w:proofErr w:type="spellStart"/>
      <w:r w:rsidRPr="00506115">
        <w:t>Sørlege</w:t>
      </w:r>
      <w:proofErr w:type="spellEnd"/>
      <w:r w:rsidRPr="00506115">
        <w:t xml:space="preserve"> </w:t>
      </w:r>
      <w:proofErr w:type="spellStart"/>
      <w:r w:rsidRPr="00506115">
        <w:t>Nordsjø</w:t>
      </w:r>
      <w:proofErr w:type="spellEnd"/>
      <w:r w:rsidRPr="00506115">
        <w:t xml:space="preserve"> II har gode vindforhold, med </w:t>
      </w:r>
      <w:proofErr w:type="spellStart"/>
      <w:r w:rsidRPr="00506115">
        <w:t>ein</w:t>
      </w:r>
      <w:proofErr w:type="spellEnd"/>
      <w:r w:rsidRPr="00506115">
        <w:t xml:space="preserve"> estimert netto kapasitetsfaktor på om lag 56 prosent.</w:t>
      </w:r>
    </w:p>
    <w:p w14:paraId="337D284E" w14:textId="62E34777" w:rsidR="00A02896" w:rsidRPr="00506115" w:rsidRDefault="006400BF" w:rsidP="00506115">
      <w:r>
        <w:rPr>
          <w:noProof/>
        </w:rPr>
        <w:lastRenderedPageBreak/>
        <w:drawing>
          <wp:inline distT="0" distB="0" distL="0" distR="0" wp14:anchorId="7394B960" wp14:editId="6BE59DCA">
            <wp:extent cx="6086475" cy="82962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8296275"/>
                    </a:xfrm>
                    <a:prstGeom prst="rect">
                      <a:avLst/>
                    </a:prstGeom>
                    <a:noFill/>
                    <a:ln>
                      <a:noFill/>
                    </a:ln>
                  </pic:spPr>
                </pic:pic>
              </a:graphicData>
            </a:graphic>
          </wp:inline>
        </w:drawing>
      </w:r>
    </w:p>
    <w:p w14:paraId="63801206" w14:textId="77777777" w:rsidR="00A02896" w:rsidRPr="00506115" w:rsidRDefault="00AE1379" w:rsidP="00AE1379">
      <w:pPr>
        <w:pStyle w:val="figur-tittel"/>
      </w:pPr>
      <w:r w:rsidRPr="00506115">
        <w:t xml:space="preserve">Kart over </w:t>
      </w:r>
      <w:proofErr w:type="spellStart"/>
      <w:r w:rsidRPr="00506115">
        <w:t>Sørlege</w:t>
      </w:r>
      <w:proofErr w:type="spellEnd"/>
      <w:r w:rsidRPr="00506115">
        <w:t xml:space="preserve"> </w:t>
      </w:r>
      <w:proofErr w:type="spellStart"/>
      <w:r w:rsidRPr="00506115">
        <w:t>Nordsjø</w:t>
      </w:r>
      <w:proofErr w:type="spellEnd"/>
      <w:r w:rsidRPr="00506115">
        <w:t xml:space="preserve"> II og Utsira Nord</w:t>
      </w:r>
    </w:p>
    <w:p w14:paraId="43405A47" w14:textId="77777777" w:rsidR="00A02896" w:rsidRPr="00506115" w:rsidRDefault="00AE1379" w:rsidP="00506115">
      <w:pPr>
        <w:pStyle w:val="Kilde"/>
      </w:pPr>
      <w:r w:rsidRPr="00506115">
        <w:t>Kjelde: NVE</w:t>
      </w:r>
    </w:p>
    <w:p w14:paraId="16D4376D" w14:textId="77777777" w:rsidR="00A02896" w:rsidRPr="00506115" w:rsidRDefault="00AE1379" w:rsidP="00506115">
      <w:r w:rsidRPr="00506115">
        <w:lastRenderedPageBreak/>
        <w:t xml:space="preserve">Departementet har avgrensa </w:t>
      </w:r>
      <w:proofErr w:type="spellStart"/>
      <w:r w:rsidRPr="00506115">
        <w:t>eit</w:t>
      </w:r>
      <w:proofErr w:type="spellEnd"/>
      <w:r w:rsidRPr="00506115">
        <w:t xml:space="preserve"> prosjektområde i den austlege delen av </w:t>
      </w:r>
      <w:proofErr w:type="spellStart"/>
      <w:r w:rsidRPr="00506115">
        <w:t>Sørlege</w:t>
      </w:r>
      <w:proofErr w:type="spellEnd"/>
      <w:r w:rsidRPr="00506115">
        <w:t xml:space="preserve"> </w:t>
      </w:r>
      <w:proofErr w:type="spellStart"/>
      <w:r w:rsidRPr="00506115">
        <w:t>Nordsjø</w:t>
      </w:r>
      <w:proofErr w:type="spellEnd"/>
      <w:r w:rsidRPr="00506115">
        <w:t xml:space="preserve"> II. Det austlege arealet vil bli lyst ut som </w:t>
      </w:r>
      <w:proofErr w:type="spellStart"/>
      <w:r w:rsidRPr="00506115">
        <w:t>eitt</w:t>
      </w:r>
      <w:proofErr w:type="spellEnd"/>
      <w:r w:rsidRPr="00506115">
        <w:t xml:space="preserve"> prosjekt i første fase, jf. figur 2.2. Første fase vil ha </w:t>
      </w:r>
      <w:proofErr w:type="spellStart"/>
      <w:r w:rsidRPr="00506115">
        <w:t>ein</w:t>
      </w:r>
      <w:proofErr w:type="spellEnd"/>
      <w:r w:rsidRPr="00506115">
        <w:t xml:space="preserve"> maksimal </w:t>
      </w:r>
      <w:proofErr w:type="spellStart"/>
      <w:r w:rsidRPr="00506115">
        <w:t>tillaten</w:t>
      </w:r>
      <w:proofErr w:type="spellEnd"/>
      <w:r w:rsidRPr="00506115">
        <w:t xml:space="preserve"> kapasitet på 1 500 MW. Vindkraftproduksjonen </w:t>
      </w:r>
      <w:proofErr w:type="spellStart"/>
      <w:r w:rsidRPr="00506115">
        <w:t>frå</w:t>
      </w:r>
      <w:proofErr w:type="spellEnd"/>
      <w:r w:rsidRPr="00506115">
        <w:t xml:space="preserve"> første fase skal bli knytt til fastlands-</w:t>
      </w:r>
      <w:proofErr w:type="spellStart"/>
      <w:r w:rsidRPr="00506115">
        <w:t>Noreg</w:t>
      </w:r>
      <w:proofErr w:type="spellEnd"/>
      <w:r w:rsidRPr="00506115">
        <w:t xml:space="preserve"> og vil bidra til </w:t>
      </w:r>
      <w:proofErr w:type="spellStart"/>
      <w:r w:rsidRPr="00506115">
        <w:t>auka</w:t>
      </w:r>
      <w:proofErr w:type="spellEnd"/>
      <w:r w:rsidRPr="00506115">
        <w:t xml:space="preserve"> fornybar kraftproduksjon i Sør-</w:t>
      </w:r>
      <w:proofErr w:type="spellStart"/>
      <w:r w:rsidRPr="00506115">
        <w:t>Noreg</w:t>
      </w:r>
      <w:proofErr w:type="spellEnd"/>
      <w:r w:rsidRPr="00506115">
        <w:t xml:space="preserve">. I samband med at NVE har fått i </w:t>
      </w:r>
      <w:proofErr w:type="spellStart"/>
      <w:r w:rsidRPr="00506115">
        <w:t>oppgåve</w:t>
      </w:r>
      <w:proofErr w:type="spellEnd"/>
      <w:r w:rsidRPr="00506115">
        <w:t xml:space="preserve"> å identifisere nye areal for fornybar energiproduksjon til havs, er </w:t>
      </w:r>
      <w:proofErr w:type="spellStart"/>
      <w:r w:rsidRPr="00506115">
        <w:t>dei</w:t>
      </w:r>
      <w:proofErr w:type="spellEnd"/>
      <w:r w:rsidRPr="00506115">
        <w:t xml:space="preserve"> samtidig </w:t>
      </w:r>
      <w:proofErr w:type="spellStart"/>
      <w:r w:rsidRPr="00506115">
        <w:t>bedne</w:t>
      </w:r>
      <w:proofErr w:type="spellEnd"/>
      <w:r w:rsidRPr="00506115">
        <w:t xml:space="preserve"> om å vurdere om kapasiteten i </w:t>
      </w:r>
      <w:proofErr w:type="spellStart"/>
      <w:r w:rsidRPr="00506115">
        <w:t>Sørlege</w:t>
      </w:r>
      <w:proofErr w:type="spellEnd"/>
      <w:r w:rsidRPr="00506115">
        <w:t xml:space="preserve"> </w:t>
      </w:r>
      <w:proofErr w:type="spellStart"/>
      <w:r w:rsidRPr="00506115">
        <w:t>Nordsjø</w:t>
      </w:r>
      <w:proofErr w:type="spellEnd"/>
      <w:r w:rsidRPr="00506115">
        <w:t xml:space="preserve"> II og Utsira Nord kan </w:t>
      </w:r>
      <w:proofErr w:type="spellStart"/>
      <w:r w:rsidRPr="00506115">
        <w:t>aukast</w:t>
      </w:r>
      <w:proofErr w:type="spellEnd"/>
      <w:r w:rsidRPr="00506115">
        <w:t>.</w:t>
      </w:r>
    </w:p>
    <w:p w14:paraId="665F1E12" w14:textId="2392A6F9" w:rsidR="00A02896" w:rsidRPr="00506115" w:rsidRDefault="006400BF" w:rsidP="00506115">
      <w:r>
        <w:rPr>
          <w:noProof/>
        </w:rPr>
        <w:drawing>
          <wp:inline distT="0" distB="0" distL="0" distR="0" wp14:anchorId="7985E9B4" wp14:editId="2C7870F8">
            <wp:extent cx="6076950" cy="43053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305300"/>
                    </a:xfrm>
                    <a:prstGeom prst="rect">
                      <a:avLst/>
                    </a:prstGeom>
                    <a:noFill/>
                    <a:ln>
                      <a:noFill/>
                    </a:ln>
                  </pic:spPr>
                </pic:pic>
              </a:graphicData>
            </a:graphic>
          </wp:inline>
        </w:drawing>
      </w:r>
    </w:p>
    <w:p w14:paraId="6A1191B2" w14:textId="77777777" w:rsidR="00A02896" w:rsidRPr="00506115" w:rsidRDefault="00AE1379" w:rsidP="00AE1379">
      <w:pPr>
        <w:pStyle w:val="figur-tittel"/>
      </w:pPr>
      <w:r w:rsidRPr="00506115">
        <w:t xml:space="preserve">Illustrasjon av prosjektområdet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w:t>
      </w:r>
    </w:p>
    <w:p w14:paraId="3F0F4EDA" w14:textId="77777777" w:rsidR="00A02896" w:rsidRPr="00506115" w:rsidRDefault="00AE1379" w:rsidP="00506115">
      <w:pPr>
        <w:pStyle w:val="figur-noter"/>
      </w:pPr>
      <w:r w:rsidRPr="00506115">
        <w:t xml:space="preserve">Departementet har fått </w:t>
      </w:r>
      <w:proofErr w:type="spellStart"/>
      <w:r w:rsidRPr="00506115">
        <w:t>fleire</w:t>
      </w:r>
      <w:proofErr w:type="spellEnd"/>
      <w:r w:rsidRPr="00506115">
        <w:t xml:space="preserve"> </w:t>
      </w:r>
      <w:proofErr w:type="spellStart"/>
      <w:r w:rsidRPr="00506115">
        <w:t>innspel</w:t>
      </w:r>
      <w:proofErr w:type="spellEnd"/>
      <w:r w:rsidRPr="00506115">
        <w:t xml:space="preserve"> om at det </w:t>
      </w:r>
      <w:proofErr w:type="spellStart"/>
      <w:r w:rsidRPr="00506115">
        <w:t>opprinnelege</w:t>
      </w:r>
      <w:proofErr w:type="spellEnd"/>
      <w:r w:rsidRPr="00506115">
        <w:t xml:space="preserve"> prosjektområdet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var for stort i forhold til </w:t>
      </w:r>
      <w:proofErr w:type="spellStart"/>
      <w:r w:rsidRPr="00506115">
        <w:t>tillaten</w:t>
      </w:r>
      <w:proofErr w:type="spellEnd"/>
      <w:r w:rsidRPr="00506115">
        <w:t xml:space="preserve"> kapasitetsgrense på 1500 MW, blant anna i </w:t>
      </w:r>
      <w:proofErr w:type="spellStart"/>
      <w:r w:rsidRPr="00506115">
        <w:t>høyringa</w:t>
      </w:r>
      <w:proofErr w:type="spellEnd"/>
      <w:r w:rsidRPr="00506115">
        <w:t xml:space="preserve">. Departementet har derfor redusert prosjektområdet </w:t>
      </w:r>
      <w:proofErr w:type="spellStart"/>
      <w:r w:rsidRPr="00506115">
        <w:t>noko</w:t>
      </w:r>
      <w:proofErr w:type="spellEnd"/>
      <w:r w:rsidRPr="00506115">
        <w:t xml:space="preserve"> </w:t>
      </w:r>
      <w:proofErr w:type="spellStart"/>
      <w:r w:rsidRPr="00506115">
        <w:t>samanlikna</w:t>
      </w:r>
      <w:proofErr w:type="spellEnd"/>
      <w:r w:rsidRPr="00506115">
        <w:t xml:space="preserve"> med </w:t>
      </w:r>
      <w:proofErr w:type="spellStart"/>
      <w:r w:rsidRPr="00506115">
        <w:t>tidlegare</w:t>
      </w:r>
      <w:proofErr w:type="spellEnd"/>
      <w:r w:rsidRPr="00506115">
        <w:t xml:space="preserve"> forslag. </w:t>
      </w:r>
    </w:p>
    <w:p w14:paraId="4950DE55" w14:textId="77777777" w:rsidR="00A02896" w:rsidRPr="00506115" w:rsidRDefault="00AE1379" w:rsidP="00506115">
      <w:pPr>
        <w:pStyle w:val="Kilde"/>
      </w:pPr>
      <w:r w:rsidRPr="00506115">
        <w:t>Kjelde: NVE</w:t>
      </w:r>
    </w:p>
    <w:p w14:paraId="3E6E3440" w14:textId="77777777" w:rsidR="00A02896" w:rsidRPr="00506115" w:rsidRDefault="00AE1379" w:rsidP="00506115">
      <w:proofErr w:type="spellStart"/>
      <w:r w:rsidRPr="00506115">
        <w:t>Sørlege</w:t>
      </w:r>
      <w:proofErr w:type="spellEnd"/>
      <w:r w:rsidRPr="00506115">
        <w:t xml:space="preserve"> </w:t>
      </w:r>
      <w:proofErr w:type="spellStart"/>
      <w:r w:rsidRPr="00506115">
        <w:t>Nordsjø</w:t>
      </w:r>
      <w:proofErr w:type="spellEnd"/>
      <w:r w:rsidRPr="00506115">
        <w:t xml:space="preserve"> II ligg langt </w:t>
      </w:r>
      <w:proofErr w:type="spellStart"/>
      <w:r w:rsidRPr="00506115">
        <w:t>frå</w:t>
      </w:r>
      <w:proofErr w:type="spellEnd"/>
      <w:r w:rsidRPr="00506115">
        <w:t xml:space="preserve"> land. Avstanden til fastlandet er om lag 140 kilometer, og det er om lag 200 kilometer til </w:t>
      </w:r>
      <w:proofErr w:type="spellStart"/>
      <w:r w:rsidRPr="00506115">
        <w:t>næraste</w:t>
      </w:r>
      <w:proofErr w:type="spellEnd"/>
      <w:r w:rsidRPr="00506115">
        <w:t xml:space="preserve"> </w:t>
      </w:r>
      <w:proofErr w:type="spellStart"/>
      <w:r w:rsidRPr="00506115">
        <w:t>tilknytingspunkt</w:t>
      </w:r>
      <w:proofErr w:type="spellEnd"/>
      <w:r w:rsidRPr="00506115">
        <w:t xml:space="preserve"> i transmisjonsnettet. Dei fleste </w:t>
      </w:r>
      <w:proofErr w:type="spellStart"/>
      <w:r w:rsidRPr="00506115">
        <w:t>havvindparkane</w:t>
      </w:r>
      <w:proofErr w:type="spellEnd"/>
      <w:r w:rsidRPr="00506115">
        <w:t xml:space="preserve"> som er bygde i dag ligg relativt nært land. Den </w:t>
      </w:r>
      <w:proofErr w:type="spellStart"/>
      <w:r w:rsidRPr="00506115">
        <w:t>gjennomsnittlege</w:t>
      </w:r>
      <w:proofErr w:type="spellEnd"/>
      <w:r w:rsidRPr="00506115">
        <w:t xml:space="preserve"> avstanden til land for </w:t>
      </w:r>
      <w:proofErr w:type="spellStart"/>
      <w:r w:rsidRPr="00506115">
        <w:t>havvindparkar</w:t>
      </w:r>
      <w:proofErr w:type="spellEnd"/>
      <w:r w:rsidRPr="00506115">
        <w:t xml:space="preserve"> under konstruksjon i Europa var 44 km i 2020.</w:t>
      </w:r>
      <w:r w:rsidRPr="00506115">
        <w:rPr>
          <w:rStyle w:val="Fotnotereferanse"/>
        </w:rPr>
        <w:footnoteReference w:id="4"/>
      </w:r>
      <w:r w:rsidRPr="00506115">
        <w:t xml:space="preserve"> Det </w:t>
      </w:r>
      <w:proofErr w:type="spellStart"/>
      <w:r w:rsidRPr="00506115">
        <w:t>finst</w:t>
      </w:r>
      <w:proofErr w:type="spellEnd"/>
      <w:r w:rsidRPr="00506115">
        <w:t xml:space="preserve"> døme på </w:t>
      </w:r>
      <w:proofErr w:type="spellStart"/>
      <w:r w:rsidRPr="00506115">
        <w:t>havvindparkar</w:t>
      </w:r>
      <w:proofErr w:type="spellEnd"/>
      <w:r w:rsidRPr="00506115">
        <w:t xml:space="preserve"> under utvikling som ligg lengre til havs. Dogger Bank ligg til dømes 130 km </w:t>
      </w:r>
      <w:proofErr w:type="spellStart"/>
      <w:r w:rsidRPr="00506115">
        <w:t>frå</w:t>
      </w:r>
      <w:proofErr w:type="spellEnd"/>
      <w:r w:rsidRPr="00506115">
        <w:t xml:space="preserve"> kysten til Storbritannia.</w:t>
      </w:r>
    </w:p>
    <w:p w14:paraId="24D75F22" w14:textId="77777777" w:rsidR="00A02896" w:rsidRPr="00506115" w:rsidRDefault="00AE1379" w:rsidP="00506115">
      <w:proofErr w:type="spellStart"/>
      <w:r w:rsidRPr="00506115">
        <w:lastRenderedPageBreak/>
        <w:t>Sjølv</w:t>
      </w:r>
      <w:proofErr w:type="spellEnd"/>
      <w:r w:rsidRPr="00506115">
        <w:t xml:space="preserve"> om </w:t>
      </w:r>
      <w:proofErr w:type="spellStart"/>
      <w:r w:rsidRPr="00506115">
        <w:t>Sørlege</w:t>
      </w:r>
      <w:proofErr w:type="spellEnd"/>
      <w:r w:rsidRPr="00506115">
        <w:t xml:space="preserve"> </w:t>
      </w:r>
      <w:proofErr w:type="spellStart"/>
      <w:r w:rsidRPr="00506115">
        <w:t>Nordsjø</w:t>
      </w:r>
      <w:proofErr w:type="spellEnd"/>
      <w:r w:rsidRPr="00506115">
        <w:t xml:space="preserve"> II er grunt nok til å </w:t>
      </w:r>
      <w:proofErr w:type="spellStart"/>
      <w:r w:rsidRPr="00506115">
        <w:t>vere</w:t>
      </w:r>
      <w:proofErr w:type="spellEnd"/>
      <w:r w:rsidRPr="00506115">
        <w:t xml:space="preserve"> eigna for botnfast havvind, er det også djupt </w:t>
      </w:r>
      <w:proofErr w:type="spellStart"/>
      <w:r w:rsidRPr="00506115">
        <w:t>samanlikna</w:t>
      </w:r>
      <w:proofErr w:type="spellEnd"/>
      <w:r w:rsidRPr="00506115">
        <w:t xml:space="preserve"> med </w:t>
      </w:r>
      <w:proofErr w:type="spellStart"/>
      <w:r w:rsidRPr="00506115">
        <w:t>dei</w:t>
      </w:r>
      <w:proofErr w:type="spellEnd"/>
      <w:r w:rsidRPr="00506115">
        <w:t xml:space="preserve"> fleste havvindprosjekta som er under utvikling. </w:t>
      </w:r>
      <w:proofErr w:type="spellStart"/>
      <w:r w:rsidRPr="00506115">
        <w:t>Havdjupna</w:t>
      </w:r>
      <w:proofErr w:type="spellEnd"/>
      <w:r w:rsidRPr="00506115">
        <w:t xml:space="preserve"> i området er 53–70 meter, med ei </w:t>
      </w:r>
      <w:proofErr w:type="spellStart"/>
      <w:r w:rsidRPr="00506115">
        <w:t>gjennomsnittleg</w:t>
      </w:r>
      <w:proofErr w:type="spellEnd"/>
      <w:r w:rsidRPr="00506115">
        <w:t xml:space="preserve"> </w:t>
      </w:r>
      <w:proofErr w:type="spellStart"/>
      <w:r w:rsidRPr="00506115">
        <w:t>djupne</w:t>
      </w:r>
      <w:proofErr w:type="spellEnd"/>
      <w:r w:rsidRPr="00506115">
        <w:t xml:space="preserve"> på 60 meter.</w:t>
      </w:r>
      <w:r w:rsidRPr="00506115">
        <w:rPr>
          <w:rStyle w:val="Fotnotereferanse"/>
        </w:rPr>
        <w:footnoteReference w:id="5"/>
      </w:r>
      <w:r w:rsidRPr="00506115">
        <w:t xml:space="preserve"> Til </w:t>
      </w:r>
      <w:proofErr w:type="spellStart"/>
      <w:r w:rsidRPr="00506115">
        <w:t>samanlikning</w:t>
      </w:r>
      <w:proofErr w:type="spellEnd"/>
      <w:r w:rsidRPr="00506115">
        <w:t xml:space="preserve"> er den djupaste botnfaste havvindparken som er under bygging i dag, </w:t>
      </w:r>
      <w:proofErr w:type="spellStart"/>
      <w:r w:rsidRPr="00506115">
        <w:t>Seagreen</w:t>
      </w:r>
      <w:proofErr w:type="spellEnd"/>
      <w:r w:rsidRPr="00506115">
        <w:t xml:space="preserve"> i Skottland, 59 meter på det djupaste, jf. boks 2.2. Gjennomsnittsdjupna for </w:t>
      </w:r>
      <w:proofErr w:type="spellStart"/>
      <w:r w:rsidRPr="00506115">
        <w:t>havvindparkar</w:t>
      </w:r>
      <w:proofErr w:type="spellEnd"/>
      <w:r w:rsidRPr="00506115">
        <w:t xml:space="preserve"> under konstruksjon i Europa var 36 meter i 2020</w:t>
      </w:r>
      <w:r w:rsidRPr="00506115">
        <w:rPr>
          <w:rStyle w:val="Fotnotereferanse"/>
        </w:rPr>
        <w:footnoteReference w:id="6"/>
      </w:r>
      <w:r w:rsidRPr="00506115">
        <w:t>.</w:t>
      </w:r>
    </w:p>
    <w:p w14:paraId="756953B2" w14:textId="77777777" w:rsidR="00A02896" w:rsidRPr="00506115" w:rsidRDefault="00AE1379" w:rsidP="00AE1379">
      <w:pPr>
        <w:pStyle w:val="tittel-ramme"/>
      </w:pPr>
      <w:proofErr w:type="spellStart"/>
      <w:r w:rsidRPr="00506115">
        <w:t>Seagreen</w:t>
      </w:r>
      <w:proofErr w:type="spellEnd"/>
    </w:p>
    <w:p w14:paraId="64BCC448" w14:textId="77777777" w:rsidR="00A02896" w:rsidRPr="00506115" w:rsidRDefault="00AE1379" w:rsidP="00506115">
      <w:proofErr w:type="spellStart"/>
      <w:r w:rsidRPr="00506115">
        <w:t>Seagreen</w:t>
      </w:r>
      <w:proofErr w:type="spellEnd"/>
      <w:r w:rsidRPr="00506115">
        <w:t xml:space="preserve"> er </w:t>
      </w:r>
      <w:proofErr w:type="spellStart"/>
      <w:r w:rsidRPr="00506115">
        <w:t>ein</w:t>
      </w:r>
      <w:proofErr w:type="spellEnd"/>
      <w:r w:rsidRPr="00506115">
        <w:t xml:space="preserve"> nesten ferdig utbygd botnfast havvindpark 27 km </w:t>
      </w:r>
      <w:proofErr w:type="spellStart"/>
      <w:r w:rsidRPr="00506115">
        <w:t>frå</w:t>
      </w:r>
      <w:proofErr w:type="spellEnd"/>
      <w:r w:rsidRPr="00506115">
        <w:t xml:space="preserve"> kysten av Skottland. Dei første </w:t>
      </w:r>
      <w:proofErr w:type="spellStart"/>
      <w:r w:rsidRPr="00506115">
        <w:t>turbinane</w:t>
      </w:r>
      <w:proofErr w:type="spellEnd"/>
      <w:r w:rsidRPr="00506115">
        <w:t xml:space="preserve"> har levert energi til land </w:t>
      </w:r>
      <w:proofErr w:type="spellStart"/>
      <w:r w:rsidRPr="00506115">
        <w:t>sidan</w:t>
      </w:r>
      <w:proofErr w:type="spellEnd"/>
      <w:r w:rsidRPr="00506115">
        <w:t xml:space="preserve"> i fjor haust, </w:t>
      </w:r>
      <w:proofErr w:type="spellStart"/>
      <w:r w:rsidRPr="00506115">
        <w:t>medan</w:t>
      </w:r>
      <w:proofErr w:type="spellEnd"/>
      <w:r w:rsidRPr="00506115">
        <w:t xml:space="preserve"> </w:t>
      </w:r>
      <w:proofErr w:type="spellStart"/>
      <w:r w:rsidRPr="00506115">
        <w:t>dei</w:t>
      </w:r>
      <w:proofErr w:type="spellEnd"/>
      <w:r w:rsidRPr="00506115">
        <w:t xml:space="preserve"> siste </w:t>
      </w:r>
      <w:proofErr w:type="spellStart"/>
      <w:r w:rsidRPr="00506115">
        <w:t>turbinane</w:t>
      </w:r>
      <w:proofErr w:type="spellEnd"/>
      <w:r w:rsidRPr="00506115">
        <w:t xml:space="preserve"> skal </w:t>
      </w:r>
      <w:proofErr w:type="spellStart"/>
      <w:r w:rsidRPr="00506115">
        <w:t>installerast</w:t>
      </w:r>
      <w:proofErr w:type="spellEnd"/>
      <w:r w:rsidRPr="00506115">
        <w:t xml:space="preserve"> i løpet av våren. Når parken er ferdig utbygd i </w:t>
      </w:r>
      <w:proofErr w:type="spellStart"/>
      <w:r w:rsidRPr="00506115">
        <w:t>sommar</w:t>
      </w:r>
      <w:proofErr w:type="spellEnd"/>
      <w:r w:rsidRPr="00506115">
        <w:t xml:space="preserve"> vil den ha </w:t>
      </w:r>
      <w:proofErr w:type="spellStart"/>
      <w:r w:rsidRPr="00506115">
        <w:t>ein</w:t>
      </w:r>
      <w:proofErr w:type="spellEnd"/>
      <w:r w:rsidRPr="00506115">
        <w:t xml:space="preserve"> kapasitet på 1 075 MW og </w:t>
      </w:r>
      <w:proofErr w:type="spellStart"/>
      <w:r w:rsidRPr="00506115">
        <w:t>vere</w:t>
      </w:r>
      <w:proofErr w:type="spellEnd"/>
      <w:r w:rsidRPr="00506115">
        <w:t xml:space="preserve"> den største havvindparken i Skottland.</w:t>
      </w:r>
    </w:p>
    <w:p w14:paraId="38C2D84C" w14:textId="77777777" w:rsidR="00A02896" w:rsidRPr="00506115" w:rsidRDefault="00AE1379" w:rsidP="00506115">
      <w:proofErr w:type="spellStart"/>
      <w:r w:rsidRPr="00506115">
        <w:t>Seagreen</w:t>
      </w:r>
      <w:proofErr w:type="spellEnd"/>
      <w:r w:rsidRPr="00506115">
        <w:t xml:space="preserve"> er verdas djupaste botnfaste havvindpark med 59 meter på det djupaste. Fundamenta som </w:t>
      </w:r>
      <w:proofErr w:type="spellStart"/>
      <w:r w:rsidRPr="00506115">
        <w:t>turbinane</w:t>
      </w:r>
      <w:proofErr w:type="spellEnd"/>
      <w:r w:rsidRPr="00506115">
        <w:t xml:space="preserve"> står på er </w:t>
      </w:r>
      <w:proofErr w:type="spellStart"/>
      <w:r w:rsidRPr="00506115">
        <w:t>såkalla</w:t>
      </w:r>
      <w:proofErr w:type="spellEnd"/>
      <w:r w:rsidRPr="00506115">
        <w:t xml:space="preserve"> jackets, og kvart fundament veg 2 000 tonn.</w:t>
      </w:r>
    </w:p>
    <w:p w14:paraId="25F0A2CB" w14:textId="77777777" w:rsidR="00A02896" w:rsidRPr="00506115" w:rsidRDefault="00AE1379" w:rsidP="00506115">
      <w:proofErr w:type="spellStart"/>
      <w:r w:rsidRPr="00506115">
        <w:t>Seagreen</w:t>
      </w:r>
      <w:proofErr w:type="spellEnd"/>
      <w:r w:rsidRPr="00506115">
        <w:t xml:space="preserve"> </w:t>
      </w:r>
      <w:proofErr w:type="spellStart"/>
      <w:r w:rsidRPr="00506115">
        <w:t>fekk</w:t>
      </w:r>
      <w:proofErr w:type="spellEnd"/>
      <w:r w:rsidRPr="00506115">
        <w:t xml:space="preserve"> i 2019 </w:t>
      </w:r>
      <w:proofErr w:type="spellStart"/>
      <w:r w:rsidRPr="00506115">
        <w:t>tilsegn</w:t>
      </w:r>
      <w:proofErr w:type="spellEnd"/>
      <w:r w:rsidRPr="00506115">
        <w:t xml:space="preserve"> om </w:t>
      </w:r>
      <w:proofErr w:type="spellStart"/>
      <w:r w:rsidRPr="00506115">
        <w:t>differansekontraktar</w:t>
      </w:r>
      <w:proofErr w:type="spellEnd"/>
      <w:r w:rsidRPr="00506115">
        <w:t xml:space="preserve"> for 42 prosent av den </w:t>
      </w:r>
      <w:proofErr w:type="spellStart"/>
      <w:r w:rsidRPr="00506115">
        <w:t>planlagde</w:t>
      </w:r>
      <w:proofErr w:type="spellEnd"/>
      <w:r w:rsidRPr="00506115">
        <w:t xml:space="preserve"> produksjonen </w:t>
      </w:r>
      <w:proofErr w:type="spellStart"/>
      <w:r w:rsidRPr="00506115">
        <w:t>frå</w:t>
      </w:r>
      <w:proofErr w:type="spellEnd"/>
      <w:r w:rsidRPr="00506115">
        <w:t xml:space="preserve"> prosjektet. Kontraktsprisen i differansekontrakten ligg på 51,31 øre/kWh</w:t>
      </w:r>
      <w:r w:rsidRPr="00506115">
        <w:rPr>
          <w:rStyle w:val="skrift-hevet"/>
        </w:rPr>
        <w:t>1</w:t>
      </w:r>
      <w:r w:rsidRPr="00506115">
        <w:t xml:space="preserve"> (oppgitt i 2012 </w:t>
      </w:r>
      <w:proofErr w:type="spellStart"/>
      <w:r w:rsidRPr="00506115">
        <w:t>prisar</w:t>
      </w:r>
      <w:proofErr w:type="spellEnd"/>
      <w:r w:rsidRPr="00506115">
        <w:t xml:space="preserve">). </w:t>
      </w:r>
      <w:proofErr w:type="spellStart"/>
      <w:r w:rsidRPr="00506115">
        <w:t>Differansekontraktane</w:t>
      </w:r>
      <w:proofErr w:type="spellEnd"/>
      <w:r w:rsidRPr="00506115">
        <w:t xml:space="preserve"> i Storbritannia er tosidige og </w:t>
      </w:r>
      <w:proofErr w:type="spellStart"/>
      <w:r w:rsidRPr="00506115">
        <w:t>dei</w:t>
      </w:r>
      <w:proofErr w:type="spellEnd"/>
      <w:r w:rsidRPr="00506115">
        <w:t xml:space="preserve"> </w:t>
      </w:r>
      <w:proofErr w:type="spellStart"/>
      <w:r w:rsidRPr="00506115">
        <w:t>varar</w:t>
      </w:r>
      <w:proofErr w:type="spellEnd"/>
      <w:r w:rsidRPr="00506115">
        <w:t xml:space="preserve"> i 15 år.</w:t>
      </w:r>
    </w:p>
    <w:p w14:paraId="1BA20EA7" w14:textId="77777777" w:rsidR="00A02896" w:rsidRPr="00506115" w:rsidRDefault="00AE1379" w:rsidP="00506115">
      <w:pPr>
        <w:pStyle w:val="ramme-noter"/>
      </w:pPr>
      <w:r w:rsidRPr="00506115">
        <w:rPr>
          <w:rStyle w:val="skrift-hevet"/>
        </w:rPr>
        <w:t>1</w:t>
      </w:r>
      <w:r w:rsidRPr="00506115">
        <w:tab/>
        <w:t xml:space="preserve">Omrekna </w:t>
      </w:r>
      <w:proofErr w:type="spellStart"/>
      <w:r w:rsidRPr="00506115">
        <w:t>frå</w:t>
      </w:r>
      <w:proofErr w:type="spellEnd"/>
      <w:r w:rsidRPr="00506115">
        <w:t xml:space="preserve"> £/</w:t>
      </w:r>
      <w:proofErr w:type="spellStart"/>
      <w:r w:rsidRPr="00506115">
        <w:t>MWh</w:t>
      </w:r>
      <w:proofErr w:type="spellEnd"/>
      <w:r w:rsidRPr="00506115">
        <w:t>. Valutakurs: 12,33 NOK pr. 14. feb. 23. Storbritannia auksjonerer alt i 2012-prisar og inflasjonsjusterer i etterkant.</w:t>
      </w:r>
    </w:p>
    <w:p w14:paraId="3318EC65" w14:textId="294ADD5E" w:rsidR="00A02896" w:rsidRPr="00506115" w:rsidRDefault="006400BF" w:rsidP="00506115">
      <w:r>
        <w:rPr>
          <w:noProof/>
        </w:rPr>
        <w:drawing>
          <wp:inline distT="0" distB="0" distL="0" distR="0" wp14:anchorId="16A9B667" wp14:editId="0115B15F">
            <wp:extent cx="1852238" cy="220980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55" cy="2215904"/>
                    </a:xfrm>
                    <a:prstGeom prst="rect">
                      <a:avLst/>
                    </a:prstGeom>
                    <a:noFill/>
                    <a:ln>
                      <a:noFill/>
                    </a:ln>
                  </pic:spPr>
                </pic:pic>
              </a:graphicData>
            </a:graphic>
          </wp:inline>
        </w:drawing>
      </w:r>
    </w:p>
    <w:p w14:paraId="5E319C5B" w14:textId="77777777" w:rsidR="00A02896" w:rsidRPr="00506115" w:rsidRDefault="00AE1379" w:rsidP="00AE1379">
      <w:pPr>
        <w:pStyle w:val="figur-tittel"/>
      </w:pPr>
      <w:r w:rsidRPr="00506115">
        <w:t>Illustrasjon av jacketfundament</w:t>
      </w:r>
    </w:p>
    <w:p w14:paraId="30483BB5" w14:textId="77777777" w:rsidR="00A02896" w:rsidRPr="00506115" w:rsidRDefault="00AE1379" w:rsidP="00506115">
      <w:pPr>
        <w:pStyle w:val="Kilde"/>
      </w:pPr>
      <w:r w:rsidRPr="00506115">
        <w:t>Kjelde: Olje- og energidepartementet</w:t>
      </w:r>
    </w:p>
    <w:p w14:paraId="5E2750C4" w14:textId="77777777" w:rsidR="00A02896" w:rsidRPr="00506115" w:rsidRDefault="00AE1379" w:rsidP="00506115">
      <w:pPr>
        <w:pStyle w:val="Ramme-slutt"/>
      </w:pPr>
      <w:r w:rsidRPr="00506115">
        <w:t>[Boks slutt]</w:t>
      </w:r>
    </w:p>
    <w:p w14:paraId="25524A05" w14:textId="77777777" w:rsidR="00A02896" w:rsidRPr="00506115" w:rsidRDefault="00AE1379" w:rsidP="00AE1379">
      <w:pPr>
        <w:pStyle w:val="Overskrift3"/>
      </w:pPr>
      <w:r w:rsidRPr="00506115">
        <w:lastRenderedPageBreak/>
        <w:t>Tilkopling til nettet</w:t>
      </w:r>
    </w:p>
    <w:p w14:paraId="60EE5AFC" w14:textId="77777777" w:rsidR="00A02896" w:rsidRPr="00506115" w:rsidRDefault="00AE1379" w:rsidP="00506115">
      <w:r w:rsidRPr="00506115">
        <w:t xml:space="preserve">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vil bli knytt til </w:t>
      </w:r>
      <w:proofErr w:type="spellStart"/>
      <w:r w:rsidRPr="00506115">
        <w:t>Noreg</w:t>
      </w:r>
      <w:proofErr w:type="spellEnd"/>
      <w:r w:rsidRPr="00506115">
        <w:t xml:space="preserve"> via </w:t>
      </w:r>
      <w:proofErr w:type="spellStart"/>
      <w:r w:rsidRPr="00506115">
        <w:t>ein</w:t>
      </w:r>
      <w:proofErr w:type="spellEnd"/>
      <w:r w:rsidRPr="00506115">
        <w:t xml:space="preserve"> radial. Aktøren vil eige nettet </w:t>
      </w:r>
      <w:proofErr w:type="spellStart"/>
      <w:r w:rsidRPr="00506115">
        <w:t>frå</w:t>
      </w:r>
      <w:proofErr w:type="spellEnd"/>
      <w:r w:rsidRPr="00506115">
        <w:t xml:space="preserve"> havvindparken fram til </w:t>
      </w:r>
      <w:proofErr w:type="spellStart"/>
      <w:r w:rsidRPr="00506115">
        <w:t>tilknytingspunktet</w:t>
      </w:r>
      <w:proofErr w:type="spellEnd"/>
      <w:r w:rsidRPr="00506115">
        <w:t xml:space="preserve"> i transmisjonsnettet og nettet vil </w:t>
      </w:r>
      <w:proofErr w:type="spellStart"/>
      <w:r w:rsidRPr="00506115">
        <w:t>vere</w:t>
      </w:r>
      <w:proofErr w:type="spellEnd"/>
      <w:r w:rsidRPr="00506115">
        <w:t xml:space="preserve"> klassifisert som kundespesifikt nett. Det vil dermed </w:t>
      </w:r>
      <w:proofErr w:type="spellStart"/>
      <w:r w:rsidRPr="00506115">
        <w:t>vere</w:t>
      </w:r>
      <w:proofErr w:type="spellEnd"/>
      <w:r w:rsidRPr="00506115">
        <w:t xml:space="preserve"> aktøren </w:t>
      </w:r>
      <w:proofErr w:type="spellStart"/>
      <w:r w:rsidRPr="00506115">
        <w:t>sjølv</w:t>
      </w:r>
      <w:proofErr w:type="spellEnd"/>
      <w:r w:rsidRPr="00506115">
        <w:t xml:space="preserve"> som planlegg, bygg, </w:t>
      </w:r>
      <w:proofErr w:type="spellStart"/>
      <w:r w:rsidRPr="00506115">
        <w:t>driftar</w:t>
      </w:r>
      <w:proofErr w:type="spellEnd"/>
      <w:r w:rsidRPr="00506115">
        <w:t xml:space="preserve">, finansierer og </w:t>
      </w:r>
      <w:proofErr w:type="spellStart"/>
      <w:r w:rsidRPr="00506115">
        <w:t>eig</w:t>
      </w:r>
      <w:proofErr w:type="spellEnd"/>
      <w:r w:rsidRPr="00506115">
        <w:t xml:space="preserve"> nettanlegget. Dette </w:t>
      </w:r>
      <w:proofErr w:type="spellStart"/>
      <w:r w:rsidRPr="00506115">
        <w:t>gjeld</w:t>
      </w:r>
      <w:proofErr w:type="spellEnd"/>
      <w:r w:rsidRPr="00506115">
        <w:t xml:space="preserve"> også om det blir knytt til forbruk eller andre </w:t>
      </w:r>
      <w:proofErr w:type="spellStart"/>
      <w:r w:rsidRPr="00506115">
        <w:t>sluttbrukarar</w:t>
      </w:r>
      <w:proofErr w:type="spellEnd"/>
      <w:r w:rsidRPr="00506115">
        <w:t xml:space="preserve"> til nettanlegget, så framt nettanlegget </w:t>
      </w:r>
      <w:proofErr w:type="spellStart"/>
      <w:r w:rsidRPr="00506115">
        <w:t>berre</w:t>
      </w:r>
      <w:proofErr w:type="spellEnd"/>
      <w:r w:rsidRPr="00506115">
        <w:t xml:space="preserve"> </w:t>
      </w:r>
      <w:proofErr w:type="spellStart"/>
      <w:r w:rsidRPr="00506115">
        <w:t>betener</w:t>
      </w:r>
      <w:proofErr w:type="spellEnd"/>
      <w:r w:rsidRPr="00506115">
        <w:t xml:space="preserve"> </w:t>
      </w:r>
      <w:proofErr w:type="spellStart"/>
      <w:r w:rsidRPr="00506115">
        <w:t>ein</w:t>
      </w:r>
      <w:proofErr w:type="spellEnd"/>
      <w:r w:rsidRPr="00506115">
        <w:t xml:space="preserve"> enkelt eller </w:t>
      </w:r>
      <w:proofErr w:type="spellStart"/>
      <w:r w:rsidRPr="00506115">
        <w:t>eit</w:t>
      </w:r>
      <w:proofErr w:type="spellEnd"/>
      <w:r w:rsidRPr="00506115">
        <w:t xml:space="preserve"> </w:t>
      </w:r>
      <w:proofErr w:type="spellStart"/>
      <w:r w:rsidRPr="00506115">
        <w:t>fåtal</w:t>
      </w:r>
      <w:proofErr w:type="spellEnd"/>
      <w:r w:rsidRPr="00506115">
        <w:t xml:space="preserve"> </w:t>
      </w:r>
      <w:proofErr w:type="spellStart"/>
      <w:r w:rsidRPr="00506115">
        <w:t>brukarar</w:t>
      </w:r>
      <w:proofErr w:type="spellEnd"/>
      <w:r w:rsidRPr="00506115">
        <w:t xml:space="preserve">. Departementet </w:t>
      </w:r>
      <w:proofErr w:type="spellStart"/>
      <w:r w:rsidRPr="00506115">
        <w:t>tek</w:t>
      </w:r>
      <w:proofErr w:type="spellEnd"/>
      <w:r w:rsidRPr="00506115">
        <w:t xml:space="preserve"> sikte på å innføre krav om tredjepartsadgang til havs. Departementet </w:t>
      </w:r>
      <w:proofErr w:type="spellStart"/>
      <w:r w:rsidRPr="00506115">
        <w:t>legg</w:t>
      </w:r>
      <w:proofErr w:type="spellEnd"/>
      <w:r w:rsidRPr="00506115">
        <w:t xml:space="preserve"> likevel opp til at aktøren </w:t>
      </w:r>
      <w:proofErr w:type="spellStart"/>
      <w:r w:rsidRPr="00506115">
        <w:t>ikkje</w:t>
      </w:r>
      <w:proofErr w:type="spellEnd"/>
      <w:r w:rsidRPr="00506115">
        <w:t xml:space="preserve"> skal ha </w:t>
      </w:r>
      <w:proofErr w:type="spellStart"/>
      <w:r w:rsidRPr="00506115">
        <w:t>ein</w:t>
      </w:r>
      <w:proofErr w:type="spellEnd"/>
      <w:r w:rsidRPr="00506115">
        <w:t xml:space="preserve"> plikt til å oppgradere nettet viss </w:t>
      </w:r>
      <w:proofErr w:type="spellStart"/>
      <w:r w:rsidRPr="00506115">
        <w:t>ein</w:t>
      </w:r>
      <w:proofErr w:type="spellEnd"/>
      <w:r w:rsidRPr="00506115">
        <w:t xml:space="preserve"> tredjepart ønsker tilkopling. Det </w:t>
      </w:r>
      <w:proofErr w:type="spellStart"/>
      <w:r w:rsidRPr="00506115">
        <w:t>inneber</w:t>
      </w:r>
      <w:proofErr w:type="spellEnd"/>
      <w:r w:rsidRPr="00506115">
        <w:t xml:space="preserve"> at aktøren må kople til andre </w:t>
      </w:r>
      <w:proofErr w:type="spellStart"/>
      <w:r w:rsidRPr="00506115">
        <w:t>sluttbrukarar</w:t>
      </w:r>
      <w:proofErr w:type="spellEnd"/>
      <w:r w:rsidRPr="00506115">
        <w:t xml:space="preserve"> som ønsker </w:t>
      </w:r>
      <w:proofErr w:type="spellStart"/>
      <w:r w:rsidRPr="00506115">
        <w:t>tilknyting</w:t>
      </w:r>
      <w:proofErr w:type="spellEnd"/>
      <w:r w:rsidRPr="00506115">
        <w:t xml:space="preserve"> om nettanlegget er utforma på </w:t>
      </w:r>
      <w:proofErr w:type="spellStart"/>
      <w:r w:rsidRPr="00506115">
        <w:t>ein</w:t>
      </w:r>
      <w:proofErr w:type="spellEnd"/>
      <w:r w:rsidRPr="00506115">
        <w:t xml:space="preserve"> måte som </w:t>
      </w:r>
      <w:proofErr w:type="spellStart"/>
      <w:r w:rsidRPr="00506115">
        <w:t>gjer</w:t>
      </w:r>
      <w:proofErr w:type="spellEnd"/>
      <w:r w:rsidRPr="00506115">
        <w:t xml:space="preserve"> at slike </w:t>
      </w:r>
      <w:proofErr w:type="spellStart"/>
      <w:r w:rsidRPr="00506115">
        <w:t>tilkoplingar</w:t>
      </w:r>
      <w:proofErr w:type="spellEnd"/>
      <w:r w:rsidRPr="00506115">
        <w:t xml:space="preserve"> er </w:t>
      </w:r>
      <w:proofErr w:type="spellStart"/>
      <w:r w:rsidRPr="00506115">
        <w:t>mogleg</w:t>
      </w:r>
      <w:proofErr w:type="spellEnd"/>
      <w:r w:rsidRPr="00506115">
        <w:t xml:space="preserve"> og har ledig kapasitet. Aktøren vil likevel </w:t>
      </w:r>
      <w:proofErr w:type="spellStart"/>
      <w:r w:rsidRPr="00506115">
        <w:t>ikkje</w:t>
      </w:r>
      <w:proofErr w:type="spellEnd"/>
      <w:r w:rsidRPr="00506115">
        <w:t xml:space="preserve"> </w:t>
      </w:r>
      <w:proofErr w:type="spellStart"/>
      <w:r w:rsidRPr="00506115">
        <w:t>vere</w:t>
      </w:r>
      <w:proofErr w:type="spellEnd"/>
      <w:r w:rsidRPr="00506115">
        <w:t xml:space="preserve"> pålagt å gjennomføre </w:t>
      </w:r>
      <w:proofErr w:type="spellStart"/>
      <w:r w:rsidRPr="00506115">
        <w:t>investeringar</w:t>
      </w:r>
      <w:proofErr w:type="spellEnd"/>
      <w:r w:rsidRPr="00506115">
        <w:t xml:space="preserve"> som </w:t>
      </w:r>
      <w:proofErr w:type="spellStart"/>
      <w:r w:rsidRPr="00506115">
        <w:t>gjer</w:t>
      </w:r>
      <w:proofErr w:type="spellEnd"/>
      <w:r w:rsidRPr="00506115">
        <w:t xml:space="preserve"> </w:t>
      </w:r>
      <w:proofErr w:type="spellStart"/>
      <w:r w:rsidRPr="00506115">
        <w:t>tilknyting</w:t>
      </w:r>
      <w:proofErr w:type="spellEnd"/>
      <w:r w:rsidRPr="00506115">
        <w:t xml:space="preserve"> </w:t>
      </w:r>
      <w:proofErr w:type="spellStart"/>
      <w:r w:rsidRPr="00506115">
        <w:t>mogleg</w:t>
      </w:r>
      <w:proofErr w:type="spellEnd"/>
      <w:r w:rsidRPr="00506115">
        <w:t xml:space="preserve">, slik </w:t>
      </w:r>
      <w:proofErr w:type="spellStart"/>
      <w:r w:rsidRPr="00506115">
        <w:t>aktørar</w:t>
      </w:r>
      <w:proofErr w:type="spellEnd"/>
      <w:r w:rsidRPr="00506115">
        <w:t xml:space="preserve"> på land er plikta til. Dette er fordi nettanlegg til havs har høgre tilpasningskostnader enn nettanlegg på land. </w:t>
      </w:r>
    </w:p>
    <w:p w14:paraId="33256617" w14:textId="77777777" w:rsidR="00A02896" w:rsidRPr="00506115" w:rsidRDefault="00AE1379" w:rsidP="00506115">
      <w:r w:rsidRPr="00506115">
        <w:t xml:space="preserve">Ifølge Statnett er Kvinesdal det mest aktuelle </w:t>
      </w:r>
      <w:proofErr w:type="spellStart"/>
      <w:r w:rsidRPr="00506115">
        <w:t>tilknytingspunktet</w:t>
      </w:r>
      <w:proofErr w:type="spellEnd"/>
      <w:r w:rsidRPr="00506115">
        <w:t xml:space="preserve"> for første fase, fordi dette er </w:t>
      </w:r>
      <w:proofErr w:type="spellStart"/>
      <w:r w:rsidRPr="00506115">
        <w:t>nærast</w:t>
      </w:r>
      <w:proofErr w:type="spellEnd"/>
      <w:r w:rsidRPr="00506115">
        <w:t xml:space="preserve"> </w:t>
      </w:r>
      <w:proofErr w:type="spellStart"/>
      <w:r w:rsidRPr="00506115">
        <w:t>Sørlege</w:t>
      </w:r>
      <w:proofErr w:type="spellEnd"/>
      <w:r w:rsidRPr="00506115">
        <w:t xml:space="preserve"> </w:t>
      </w:r>
      <w:proofErr w:type="spellStart"/>
      <w:r w:rsidRPr="00506115">
        <w:t>Nordsjø</w:t>
      </w:r>
      <w:proofErr w:type="spellEnd"/>
      <w:r w:rsidRPr="00506115">
        <w:t xml:space="preserve"> II og er </w:t>
      </w:r>
      <w:proofErr w:type="spellStart"/>
      <w:r w:rsidRPr="00506115">
        <w:t>eit</w:t>
      </w:r>
      <w:proofErr w:type="spellEnd"/>
      <w:r w:rsidRPr="00506115">
        <w:t xml:space="preserve"> sterkt punkt i transmisjonsnettet.</w:t>
      </w:r>
      <w:r w:rsidRPr="00506115">
        <w:rPr>
          <w:rStyle w:val="Fotnotereferanse"/>
        </w:rPr>
        <w:footnoteReference w:id="7"/>
      </w:r>
      <w:r w:rsidRPr="00506115">
        <w:t xml:space="preserve"> Nye Mosby stasjon, i nærleiken av dagens Kristiansand stasjon, kan også </w:t>
      </w:r>
      <w:proofErr w:type="spellStart"/>
      <w:r w:rsidRPr="00506115">
        <w:t>vere</w:t>
      </w:r>
      <w:proofErr w:type="spellEnd"/>
      <w:r w:rsidRPr="00506115">
        <w:t xml:space="preserve"> </w:t>
      </w:r>
      <w:proofErr w:type="spellStart"/>
      <w:r w:rsidRPr="00506115">
        <w:t>eit</w:t>
      </w:r>
      <w:proofErr w:type="spellEnd"/>
      <w:r w:rsidRPr="00506115">
        <w:t xml:space="preserve"> aktuelt alternativ, men vil </w:t>
      </w:r>
      <w:proofErr w:type="spellStart"/>
      <w:r w:rsidRPr="00506115">
        <w:t>truleg</w:t>
      </w:r>
      <w:proofErr w:type="spellEnd"/>
      <w:r w:rsidRPr="00506115">
        <w:t xml:space="preserve"> ha </w:t>
      </w:r>
      <w:proofErr w:type="spellStart"/>
      <w:r w:rsidRPr="00506115">
        <w:t>noko</w:t>
      </w:r>
      <w:proofErr w:type="spellEnd"/>
      <w:r w:rsidRPr="00506115">
        <w:t xml:space="preserve"> høgre kostnader på grunn av større avstand til </w:t>
      </w:r>
      <w:proofErr w:type="spellStart"/>
      <w:r w:rsidRPr="00506115">
        <w:t>Sørlege</w:t>
      </w:r>
      <w:proofErr w:type="spellEnd"/>
      <w:r w:rsidRPr="00506115">
        <w:t xml:space="preserve"> </w:t>
      </w:r>
      <w:proofErr w:type="spellStart"/>
      <w:r w:rsidRPr="00506115">
        <w:t>Nordsjø</w:t>
      </w:r>
      <w:proofErr w:type="spellEnd"/>
      <w:r w:rsidRPr="00506115">
        <w:t xml:space="preserve"> II. Aktøren som blir tildelt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må dekke </w:t>
      </w:r>
      <w:proofErr w:type="spellStart"/>
      <w:r w:rsidRPr="00506115">
        <w:t>ein</w:t>
      </w:r>
      <w:proofErr w:type="spellEnd"/>
      <w:r w:rsidRPr="00506115">
        <w:t xml:space="preserve"> forholdsmessig del av eventuelle kostnader for </w:t>
      </w:r>
      <w:proofErr w:type="spellStart"/>
      <w:r w:rsidRPr="00506115">
        <w:t>naudsynte</w:t>
      </w:r>
      <w:proofErr w:type="spellEnd"/>
      <w:r w:rsidRPr="00506115">
        <w:t xml:space="preserve"> </w:t>
      </w:r>
      <w:proofErr w:type="spellStart"/>
      <w:r w:rsidRPr="00506115">
        <w:t>forsterkingar</w:t>
      </w:r>
      <w:proofErr w:type="spellEnd"/>
      <w:r w:rsidRPr="00506115">
        <w:t xml:space="preserve"> i nettet på land, i samsvar med regelverket for anleggsbidrag.</w:t>
      </w:r>
    </w:p>
    <w:p w14:paraId="3CCA5374" w14:textId="77777777" w:rsidR="00A02896" w:rsidRPr="00506115" w:rsidRDefault="00AE1379" w:rsidP="00506115">
      <w:r w:rsidRPr="00506115">
        <w:t xml:space="preserve">Det er ei teknisk avgrensing på 1 400 MW for kor </w:t>
      </w:r>
      <w:proofErr w:type="spellStart"/>
      <w:r w:rsidRPr="00506115">
        <w:t>mykje</w:t>
      </w:r>
      <w:proofErr w:type="spellEnd"/>
      <w:r w:rsidRPr="00506115">
        <w:t xml:space="preserve"> kraft som kan </w:t>
      </w:r>
      <w:proofErr w:type="spellStart"/>
      <w:r w:rsidRPr="00506115">
        <w:t>matast</w:t>
      </w:r>
      <w:proofErr w:type="spellEnd"/>
      <w:r w:rsidRPr="00506115">
        <w:t xml:space="preserve"> inn i </w:t>
      </w:r>
      <w:proofErr w:type="spellStart"/>
      <w:r w:rsidRPr="00506115">
        <w:t>eit</w:t>
      </w:r>
      <w:proofErr w:type="spellEnd"/>
      <w:r w:rsidRPr="00506115">
        <w:t xml:space="preserve"> enkelt punkt i transmisjonsnettet på land fordi kraftnettet er dimensjonert slik at dette er </w:t>
      </w:r>
      <w:proofErr w:type="spellStart"/>
      <w:r w:rsidRPr="00506115">
        <w:t>høgste</w:t>
      </w:r>
      <w:proofErr w:type="spellEnd"/>
      <w:r w:rsidRPr="00506115">
        <w:t xml:space="preserve"> effektutfallet transmisjonsnettet</w:t>
      </w:r>
      <w:r w:rsidRPr="00506115">
        <w:rPr>
          <w:rStyle w:val="Fotnotereferanse"/>
        </w:rPr>
        <w:footnoteReference w:id="8"/>
      </w:r>
      <w:r w:rsidRPr="00506115">
        <w:t xml:space="preserve"> kan handtere. Det kan likevel </w:t>
      </w:r>
      <w:proofErr w:type="spellStart"/>
      <w:r w:rsidRPr="00506115">
        <w:t>vere</w:t>
      </w:r>
      <w:proofErr w:type="spellEnd"/>
      <w:r w:rsidRPr="00506115">
        <w:t xml:space="preserve"> aktuelt for aktøren som blir tildelt prosjektområdet å bygge ut total </w:t>
      </w:r>
      <w:proofErr w:type="spellStart"/>
      <w:r w:rsidRPr="00506115">
        <w:t>tillaten</w:t>
      </w:r>
      <w:proofErr w:type="spellEnd"/>
      <w:r w:rsidRPr="00506115">
        <w:t xml:space="preserve"> kapasitet på 1 500 MW. For det første er det </w:t>
      </w:r>
      <w:proofErr w:type="spellStart"/>
      <w:r w:rsidRPr="00506115">
        <w:t>vanleg</w:t>
      </w:r>
      <w:proofErr w:type="spellEnd"/>
      <w:r w:rsidRPr="00506115">
        <w:t xml:space="preserve"> å overdimensjonere havvindparken </w:t>
      </w:r>
      <w:proofErr w:type="spellStart"/>
      <w:r w:rsidRPr="00506115">
        <w:t>noko</w:t>
      </w:r>
      <w:proofErr w:type="spellEnd"/>
      <w:r w:rsidRPr="00506115">
        <w:t xml:space="preserve"> </w:t>
      </w:r>
      <w:proofErr w:type="spellStart"/>
      <w:r w:rsidRPr="00506115">
        <w:t>samanlikna</w:t>
      </w:r>
      <w:proofErr w:type="spellEnd"/>
      <w:r w:rsidRPr="00506115">
        <w:t xml:space="preserve"> med </w:t>
      </w:r>
      <w:proofErr w:type="spellStart"/>
      <w:r w:rsidRPr="00506115">
        <w:t>nettløysninga</w:t>
      </w:r>
      <w:proofErr w:type="spellEnd"/>
      <w:r w:rsidRPr="00506115">
        <w:t xml:space="preserve">, fordi det er </w:t>
      </w:r>
      <w:proofErr w:type="spellStart"/>
      <w:r w:rsidRPr="00506115">
        <w:t>sjeldan</w:t>
      </w:r>
      <w:proofErr w:type="spellEnd"/>
      <w:r w:rsidRPr="00506115">
        <w:t xml:space="preserve"> at alle </w:t>
      </w:r>
      <w:proofErr w:type="spellStart"/>
      <w:r w:rsidRPr="00506115">
        <w:t>turbinane</w:t>
      </w:r>
      <w:proofErr w:type="spellEnd"/>
      <w:r w:rsidRPr="00506115">
        <w:t xml:space="preserve"> produserer for fullt. For det andre kan det </w:t>
      </w:r>
      <w:proofErr w:type="spellStart"/>
      <w:r w:rsidRPr="00506115">
        <w:t>vere</w:t>
      </w:r>
      <w:proofErr w:type="spellEnd"/>
      <w:r w:rsidRPr="00506115">
        <w:t xml:space="preserve"> aktuelt å legge til rette for </w:t>
      </w:r>
      <w:proofErr w:type="spellStart"/>
      <w:r w:rsidRPr="00506115">
        <w:t>tilknyting</w:t>
      </w:r>
      <w:proofErr w:type="spellEnd"/>
      <w:r w:rsidRPr="00506115">
        <w:t xml:space="preserve"> av kraftforbruk til havs. Departementet vil </w:t>
      </w:r>
      <w:proofErr w:type="spellStart"/>
      <w:r w:rsidRPr="00506115">
        <w:t>ikkje</w:t>
      </w:r>
      <w:proofErr w:type="spellEnd"/>
      <w:r w:rsidRPr="00506115">
        <w:t xml:space="preserve"> stille krav om at aktøren </w:t>
      </w:r>
      <w:proofErr w:type="spellStart"/>
      <w:r w:rsidRPr="00506115">
        <w:t>klargjer</w:t>
      </w:r>
      <w:proofErr w:type="spellEnd"/>
      <w:r w:rsidRPr="00506115">
        <w:t xml:space="preserve"> anlegget for </w:t>
      </w:r>
      <w:proofErr w:type="spellStart"/>
      <w:r w:rsidRPr="00506115">
        <w:t>tilknyting</w:t>
      </w:r>
      <w:proofErr w:type="spellEnd"/>
      <w:r w:rsidRPr="00506115">
        <w:t xml:space="preserve"> av andre </w:t>
      </w:r>
      <w:proofErr w:type="spellStart"/>
      <w:r w:rsidRPr="00506115">
        <w:t>sluttbrukarar</w:t>
      </w:r>
      <w:proofErr w:type="spellEnd"/>
      <w:r w:rsidRPr="00506115">
        <w:t xml:space="preserve">, som til dømes petroleumsindustrien. Aktøren som blir tildelt prosjektområdet står fritt til å </w:t>
      </w:r>
      <w:proofErr w:type="spellStart"/>
      <w:r w:rsidRPr="00506115">
        <w:t>gjere</w:t>
      </w:r>
      <w:proofErr w:type="spellEnd"/>
      <w:r w:rsidRPr="00506115">
        <w:t xml:space="preserve"> dette på eige initiativ eller i samarbeid med andre </w:t>
      </w:r>
      <w:proofErr w:type="spellStart"/>
      <w:r w:rsidRPr="00506115">
        <w:t>sluttbrukarar</w:t>
      </w:r>
      <w:proofErr w:type="spellEnd"/>
      <w:r w:rsidRPr="00506115">
        <w:t xml:space="preserve"> som ønsker å kople seg til havvindparken.</w:t>
      </w:r>
    </w:p>
    <w:p w14:paraId="38F04D7A" w14:textId="77777777" w:rsidR="00A02896" w:rsidRPr="00506115" w:rsidRDefault="00AE1379" w:rsidP="00AE1379">
      <w:pPr>
        <w:pStyle w:val="Overskrift3"/>
      </w:pPr>
      <w:proofErr w:type="spellStart"/>
      <w:r w:rsidRPr="00506115">
        <w:t>Grunnundersøkingar</w:t>
      </w:r>
      <w:proofErr w:type="spellEnd"/>
    </w:p>
    <w:p w14:paraId="75D90DF8" w14:textId="77777777" w:rsidR="00A02896" w:rsidRPr="00506115" w:rsidRDefault="00AE1379" w:rsidP="00506115">
      <w:proofErr w:type="spellStart"/>
      <w:r w:rsidRPr="00506115">
        <w:t>Hausten</w:t>
      </w:r>
      <w:proofErr w:type="spellEnd"/>
      <w:r w:rsidRPr="00506115">
        <w:t xml:space="preserve"> 2022 blei det samla inn geofysiske data i den austlege delen av </w:t>
      </w:r>
      <w:proofErr w:type="spellStart"/>
      <w:r w:rsidRPr="00506115">
        <w:t>Sørlege</w:t>
      </w:r>
      <w:proofErr w:type="spellEnd"/>
      <w:r w:rsidRPr="00506115">
        <w:t xml:space="preserve"> </w:t>
      </w:r>
      <w:proofErr w:type="spellStart"/>
      <w:r w:rsidRPr="00506115">
        <w:t>Nordsjø</w:t>
      </w:r>
      <w:proofErr w:type="spellEnd"/>
      <w:r w:rsidRPr="00506115">
        <w:t xml:space="preserve"> II for å kartlegge havbotnen og undergrunnen ned til cirka 200 meter under </w:t>
      </w:r>
      <w:proofErr w:type="spellStart"/>
      <w:r w:rsidRPr="00506115">
        <w:t>sjøbotnen</w:t>
      </w:r>
      <w:proofErr w:type="spellEnd"/>
      <w:r w:rsidRPr="00506115">
        <w:t xml:space="preserve">. På grunn av </w:t>
      </w:r>
      <w:proofErr w:type="spellStart"/>
      <w:r w:rsidRPr="00506115">
        <w:t>dårleg</w:t>
      </w:r>
      <w:proofErr w:type="spellEnd"/>
      <w:r w:rsidRPr="00506115">
        <w:t xml:space="preserve"> </w:t>
      </w:r>
      <w:proofErr w:type="spellStart"/>
      <w:r w:rsidRPr="00506115">
        <w:t>vêr</w:t>
      </w:r>
      <w:proofErr w:type="spellEnd"/>
      <w:r w:rsidRPr="00506115">
        <w:t xml:space="preserve"> og problem med datainnsamlinga blei </w:t>
      </w:r>
      <w:proofErr w:type="spellStart"/>
      <w:r w:rsidRPr="00506115">
        <w:t>berre</w:t>
      </w:r>
      <w:proofErr w:type="spellEnd"/>
      <w:r w:rsidRPr="00506115">
        <w:t xml:space="preserve"> om lag 35 prosent av </w:t>
      </w:r>
      <w:proofErr w:type="spellStart"/>
      <w:r w:rsidRPr="00506115">
        <w:t>undersøkingane</w:t>
      </w:r>
      <w:proofErr w:type="spellEnd"/>
      <w:r w:rsidRPr="00506115">
        <w:t xml:space="preserve"> for første fase gjennomført. </w:t>
      </w:r>
      <w:proofErr w:type="spellStart"/>
      <w:r w:rsidRPr="00506115">
        <w:t>Undersøkingane</w:t>
      </w:r>
      <w:proofErr w:type="spellEnd"/>
      <w:r w:rsidRPr="00506115">
        <w:t xml:space="preserve"> i </w:t>
      </w:r>
      <w:proofErr w:type="spellStart"/>
      <w:r w:rsidRPr="00506115">
        <w:t>Sørlege</w:t>
      </w:r>
      <w:proofErr w:type="spellEnd"/>
      <w:r w:rsidRPr="00506115">
        <w:t xml:space="preserve"> </w:t>
      </w:r>
      <w:proofErr w:type="spellStart"/>
      <w:r w:rsidRPr="00506115">
        <w:t>Nordsjø</w:t>
      </w:r>
      <w:proofErr w:type="spellEnd"/>
      <w:r w:rsidRPr="00506115">
        <w:t xml:space="preserve"> II og Utsira Nord vil </w:t>
      </w:r>
      <w:proofErr w:type="spellStart"/>
      <w:r w:rsidRPr="00506115">
        <w:t>halde</w:t>
      </w:r>
      <w:proofErr w:type="spellEnd"/>
      <w:r w:rsidRPr="00506115">
        <w:t xml:space="preserve"> fram i 2023.</w:t>
      </w:r>
    </w:p>
    <w:p w14:paraId="22F9DC54" w14:textId="77777777" w:rsidR="00A02896" w:rsidRPr="00506115" w:rsidRDefault="00AE1379" w:rsidP="00506115">
      <w:r w:rsidRPr="00506115">
        <w:t xml:space="preserve">Aktøren som blir tildelt </w:t>
      </w:r>
      <w:proofErr w:type="spellStart"/>
      <w:r w:rsidRPr="00506115">
        <w:t>prosjekområdet</w:t>
      </w:r>
      <w:proofErr w:type="spellEnd"/>
      <w:r w:rsidRPr="00506115">
        <w:t xml:space="preserve"> i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vil bli belasta staten sine utgifter for </w:t>
      </w:r>
      <w:proofErr w:type="spellStart"/>
      <w:r w:rsidRPr="00506115">
        <w:t>undersøkingane</w:t>
      </w:r>
      <w:proofErr w:type="spellEnd"/>
      <w:r w:rsidRPr="00506115">
        <w:t xml:space="preserve"> som er knytt til prosjektområdet. Kostnaden </w:t>
      </w:r>
      <w:proofErr w:type="spellStart"/>
      <w:r w:rsidRPr="00506115">
        <w:t>omfattar</w:t>
      </w:r>
      <w:proofErr w:type="spellEnd"/>
      <w:r w:rsidRPr="00506115">
        <w:t xml:space="preserve"> 28 mill. kroner for </w:t>
      </w:r>
      <w:proofErr w:type="spellStart"/>
      <w:r w:rsidRPr="00506115">
        <w:t>undersøkingane</w:t>
      </w:r>
      <w:proofErr w:type="spellEnd"/>
      <w:r w:rsidRPr="00506115">
        <w:t xml:space="preserve"> som blei gjennomført i 2022. I tillegg kjem </w:t>
      </w:r>
      <w:proofErr w:type="spellStart"/>
      <w:r w:rsidRPr="00506115">
        <w:t>ein</w:t>
      </w:r>
      <w:proofErr w:type="spellEnd"/>
      <w:r w:rsidRPr="00506115">
        <w:t xml:space="preserve"> forholdsmessig </w:t>
      </w:r>
      <w:r w:rsidRPr="00506115">
        <w:lastRenderedPageBreak/>
        <w:t xml:space="preserve">kostnadsdel av </w:t>
      </w:r>
      <w:proofErr w:type="spellStart"/>
      <w:r w:rsidRPr="00506115">
        <w:t>dei</w:t>
      </w:r>
      <w:proofErr w:type="spellEnd"/>
      <w:r w:rsidRPr="00506115">
        <w:t xml:space="preserve"> </w:t>
      </w:r>
      <w:proofErr w:type="spellStart"/>
      <w:r w:rsidRPr="00506115">
        <w:t>planlagde</w:t>
      </w:r>
      <w:proofErr w:type="spellEnd"/>
      <w:r w:rsidRPr="00506115">
        <w:t xml:space="preserve"> </w:t>
      </w:r>
      <w:proofErr w:type="spellStart"/>
      <w:r w:rsidRPr="00506115">
        <w:t>undersøkingane</w:t>
      </w:r>
      <w:proofErr w:type="spellEnd"/>
      <w:r w:rsidRPr="00506115">
        <w:t xml:space="preserve"> i 2023. </w:t>
      </w:r>
      <w:proofErr w:type="spellStart"/>
      <w:r w:rsidRPr="00506115">
        <w:t>Desse</w:t>
      </w:r>
      <w:proofErr w:type="spellEnd"/>
      <w:r w:rsidRPr="00506115">
        <w:t xml:space="preserve"> er foreløpig estimert til 23,65 mill. kroner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w:t>
      </w:r>
    </w:p>
    <w:p w14:paraId="66865875" w14:textId="77777777" w:rsidR="00A02896" w:rsidRPr="00506115" w:rsidRDefault="00AE1379" w:rsidP="00AE1379">
      <w:pPr>
        <w:pStyle w:val="Overskrift3"/>
      </w:pPr>
      <w:proofErr w:type="spellStart"/>
      <w:r w:rsidRPr="00506115">
        <w:t>Innspel</w:t>
      </w:r>
      <w:proofErr w:type="spellEnd"/>
      <w:r w:rsidRPr="00506115">
        <w:t xml:space="preserve"> til departementet</w:t>
      </w:r>
    </w:p>
    <w:p w14:paraId="4AFC6774" w14:textId="77777777" w:rsidR="00A02896" w:rsidRPr="00506115" w:rsidRDefault="00AE1379" w:rsidP="00506115">
      <w:r w:rsidRPr="00506115">
        <w:t xml:space="preserve">Vista Analyse og Guidehouse har på oppdrag </w:t>
      </w:r>
      <w:proofErr w:type="spellStart"/>
      <w:r w:rsidRPr="00506115">
        <w:t>frå</w:t>
      </w:r>
      <w:proofErr w:type="spellEnd"/>
      <w:r w:rsidRPr="00506115">
        <w:t xml:space="preserve"> Olje- og energidepartementet, gjeve </w:t>
      </w:r>
      <w:proofErr w:type="spellStart"/>
      <w:r w:rsidRPr="00506115">
        <w:t>anbefalingar</w:t>
      </w:r>
      <w:proofErr w:type="spellEnd"/>
      <w:r w:rsidRPr="00506115">
        <w:t xml:space="preserve"> om utforming av auksjonsmodell og støtteordning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Utforming av prekvalifiseringskriteria har </w:t>
      </w:r>
      <w:proofErr w:type="spellStart"/>
      <w:r w:rsidRPr="00506115">
        <w:t>ikkje</w:t>
      </w:r>
      <w:proofErr w:type="spellEnd"/>
      <w:r w:rsidRPr="00506115">
        <w:t xml:space="preserve"> </w:t>
      </w:r>
      <w:proofErr w:type="spellStart"/>
      <w:r w:rsidRPr="00506115">
        <w:t>vore</w:t>
      </w:r>
      <w:proofErr w:type="spellEnd"/>
      <w:r w:rsidRPr="00506115">
        <w:t xml:space="preserve"> </w:t>
      </w:r>
      <w:proofErr w:type="spellStart"/>
      <w:r w:rsidRPr="00506115">
        <w:t>ein</w:t>
      </w:r>
      <w:proofErr w:type="spellEnd"/>
      <w:r w:rsidRPr="00506115">
        <w:t xml:space="preserve"> del av oppdraget. Olje- og energidepartementet sende forslag til tildelings- og støttemodell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på </w:t>
      </w:r>
      <w:proofErr w:type="spellStart"/>
      <w:r w:rsidRPr="00506115">
        <w:t>høyring</w:t>
      </w:r>
      <w:proofErr w:type="spellEnd"/>
      <w:r w:rsidRPr="00506115">
        <w:t xml:space="preserve"> 6. desember 2022. Totalt </w:t>
      </w:r>
      <w:proofErr w:type="spellStart"/>
      <w:r w:rsidRPr="00506115">
        <w:t>fekk</w:t>
      </w:r>
      <w:proofErr w:type="spellEnd"/>
      <w:r w:rsidRPr="00506115">
        <w:t xml:space="preserve"> departementet inn 130 </w:t>
      </w:r>
      <w:proofErr w:type="spellStart"/>
      <w:r w:rsidRPr="00506115">
        <w:t>høyringsinnspel</w:t>
      </w:r>
      <w:proofErr w:type="spellEnd"/>
      <w:r w:rsidRPr="00506115">
        <w:t xml:space="preserve">. Departementet har vurdert </w:t>
      </w:r>
      <w:proofErr w:type="spellStart"/>
      <w:r w:rsidRPr="00506115">
        <w:t>innspela</w:t>
      </w:r>
      <w:proofErr w:type="spellEnd"/>
      <w:r w:rsidRPr="00506115">
        <w:t xml:space="preserve"> </w:t>
      </w:r>
      <w:proofErr w:type="spellStart"/>
      <w:r w:rsidRPr="00506115">
        <w:t>frå</w:t>
      </w:r>
      <w:proofErr w:type="spellEnd"/>
      <w:r w:rsidRPr="00506115">
        <w:t xml:space="preserve"> både </w:t>
      </w:r>
      <w:proofErr w:type="spellStart"/>
      <w:r w:rsidRPr="00506115">
        <w:t>auksjonsrådgivaren</w:t>
      </w:r>
      <w:proofErr w:type="spellEnd"/>
      <w:r w:rsidRPr="00506115">
        <w:t xml:space="preserve"> og </w:t>
      </w:r>
      <w:proofErr w:type="spellStart"/>
      <w:r w:rsidRPr="00506115">
        <w:t>høyringa</w:t>
      </w:r>
      <w:proofErr w:type="spellEnd"/>
      <w:r w:rsidRPr="00506115">
        <w:t xml:space="preserve"> i utforminga av den </w:t>
      </w:r>
      <w:proofErr w:type="spellStart"/>
      <w:r w:rsidRPr="00506115">
        <w:t>endelege</w:t>
      </w:r>
      <w:proofErr w:type="spellEnd"/>
      <w:r w:rsidRPr="00506115">
        <w:t xml:space="preserve"> tildelings- og støttemodellen for første fase av </w:t>
      </w:r>
      <w:proofErr w:type="spellStart"/>
      <w:r w:rsidRPr="00506115">
        <w:t>Sørlge</w:t>
      </w:r>
      <w:proofErr w:type="spellEnd"/>
      <w:r w:rsidRPr="00506115">
        <w:t xml:space="preserve"> </w:t>
      </w:r>
      <w:proofErr w:type="spellStart"/>
      <w:r w:rsidRPr="00506115">
        <w:t>Nordsjø</w:t>
      </w:r>
      <w:proofErr w:type="spellEnd"/>
      <w:r w:rsidRPr="00506115">
        <w:t xml:space="preserve"> II.</w:t>
      </w:r>
    </w:p>
    <w:p w14:paraId="5019BD02" w14:textId="77777777" w:rsidR="00A02896" w:rsidRPr="00506115" w:rsidRDefault="00AE1379" w:rsidP="00AE1379">
      <w:pPr>
        <w:pStyle w:val="Overskrift3"/>
      </w:pPr>
      <w:r w:rsidRPr="00506115">
        <w:t>Notifisering av tiltaket til ESA</w:t>
      </w:r>
    </w:p>
    <w:p w14:paraId="0674D6D6" w14:textId="77777777" w:rsidR="00A02896" w:rsidRPr="00506115" w:rsidRDefault="00AE1379" w:rsidP="00506115">
      <w:r w:rsidRPr="00506115">
        <w:t xml:space="preserve">Statsstøtte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må følge EØS-avtalen sine </w:t>
      </w:r>
      <w:proofErr w:type="spellStart"/>
      <w:r w:rsidRPr="00506115">
        <w:t>reglar</w:t>
      </w:r>
      <w:proofErr w:type="spellEnd"/>
      <w:r w:rsidRPr="00506115">
        <w:t xml:space="preserve"> om </w:t>
      </w:r>
      <w:proofErr w:type="spellStart"/>
      <w:r w:rsidRPr="00506115">
        <w:t>offentleg</w:t>
      </w:r>
      <w:proofErr w:type="spellEnd"/>
      <w:r w:rsidRPr="00506115">
        <w:t xml:space="preserve"> støtte. Olje- og energidepartementet har sett i gong prosessen for pre-notifisering med ESA. Statsstøtte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w:t>
      </w:r>
      <w:proofErr w:type="spellStart"/>
      <w:r w:rsidRPr="00506115">
        <w:t>føreset</w:t>
      </w:r>
      <w:proofErr w:type="spellEnd"/>
      <w:r w:rsidRPr="00506115">
        <w:t xml:space="preserve"> at tiltaket blir </w:t>
      </w:r>
      <w:proofErr w:type="spellStart"/>
      <w:r w:rsidRPr="00506115">
        <w:t>godkjend</w:t>
      </w:r>
      <w:proofErr w:type="spellEnd"/>
      <w:r w:rsidRPr="00506115">
        <w:t xml:space="preserve"> av ESA. Departementet tar </w:t>
      </w:r>
      <w:proofErr w:type="spellStart"/>
      <w:r w:rsidRPr="00506115">
        <w:t>atterhald</w:t>
      </w:r>
      <w:proofErr w:type="spellEnd"/>
      <w:r w:rsidRPr="00506115">
        <w:t xml:space="preserve"> om eventuelle </w:t>
      </w:r>
      <w:proofErr w:type="spellStart"/>
      <w:r w:rsidRPr="00506115">
        <w:t>endringar</w:t>
      </w:r>
      <w:proofErr w:type="spellEnd"/>
      <w:r w:rsidRPr="00506115">
        <w:t xml:space="preserve"> som er </w:t>
      </w:r>
      <w:proofErr w:type="spellStart"/>
      <w:r w:rsidRPr="00506115">
        <w:t>naudsynte</w:t>
      </w:r>
      <w:proofErr w:type="spellEnd"/>
      <w:r w:rsidRPr="00506115">
        <w:t xml:space="preserve"> for at tiltaket skal </w:t>
      </w:r>
      <w:proofErr w:type="spellStart"/>
      <w:r w:rsidRPr="00506115">
        <w:t>vere</w:t>
      </w:r>
      <w:proofErr w:type="spellEnd"/>
      <w:r w:rsidRPr="00506115">
        <w:t xml:space="preserve"> i tråd med statsstøtteretten.</w:t>
      </w:r>
    </w:p>
    <w:p w14:paraId="4B6292CD" w14:textId="77777777" w:rsidR="00A02896" w:rsidRPr="00506115" w:rsidRDefault="00AE1379" w:rsidP="00AE1379">
      <w:pPr>
        <w:pStyle w:val="Overskrift1"/>
      </w:pPr>
      <w:r w:rsidRPr="00506115">
        <w:t>Arealtildeling og konsesjonsprosess</w:t>
      </w:r>
    </w:p>
    <w:p w14:paraId="1FA6B21E" w14:textId="77777777" w:rsidR="00A02896" w:rsidRPr="00506115" w:rsidRDefault="00AE1379" w:rsidP="00AE1379">
      <w:pPr>
        <w:pStyle w:val="Overskrift2"/>
      </w:pPr>
      <w:r w:rsidRPr="00506115">
        <w:t>Prekvalifiseringa</w:t>
      </w:r>
    </w:p>
    <w:p w14:paraId="590BF519" w14:textId="77777777" w:rsidR="00A02896" w:rsidRPr="00506115" w:rsidRDefault="00AE1379" w:rsidP="00506115">
      <w:r w:rsidRPr="00506115">
        <w:t xml:space="preserve">Auksjon er </w:t>
      </w:r>
      <w:proofErr w:type="spellStart"/>
      <w:r w:rsidRPr="00506115">
        <w:t>hovudmodellen</w:t>
      </w:r>
      <w:proofErr w:type="spellEnd"/>
      <w:r w:rsidRPr="00506115">
        <w:t xml:space="preserve"> for tildeling av prosjektområde for fornybar energiproduksjon til havs. Ifølge havenergilova § 2-3, kan departementet </w:t>
      </w:r>
      <w:proofErr w:type="spellStart"/>
      <w:r w:rsidRPr="00506115">
        <w:t>krevje</w:t>
      </w:r>
      <w:proofErr w:type="spellEnd"/>
      <w:r w:rsidRPr="00506115">
        <w:t xml:space="preserve"> at </w:t>
      </w:r>
      <w:proofErr w:type="spellStart"/>
      <w:r w:rsidRPr="00506115">
        <w:t>aktørar</w:t>
      </w:r>
      <w:proofErr w:type="spellEnd"/>
      <w:r w:rsidRPr="00506115">
        <w:t xml:space="preserve"> som vil delta i </w:t>
      </w:r>
      <w:proofErr w:type="spellStart"/>
      <w:r w:rsidRPr="00506115">
        <w:t>ein</w:t>
      </w:r>
      <w:proofErr w:type="spellEnd"/>
      <w:r w:rsidRPr="00506115">
        <w:t xml:space="preserve"> konkurranse om tildeling av areal skal </w:t>
      </w:r>
      <w:proofErr w:type="spellStart"/>
      <w:r w:rsidRPr="00506115">
        <w:t>prekvalifiserast</w:t>
      </w:r>
      <w:proofErr w:type="spellEnd"/>
      <w:r w:rsidRPr="00506115">
        <w:t xml:space="preserve"> før deltaking;</w:t>
      </w:r>
    </w:p>
    <w:p w14:paraId="3AC6B5DF" w14:textId="77777777" w:rsidR="00A02896" w:rsidRPr="00506115" w:rsidRDefault="00AE1379" w:rsidP="00506115">
      <w:pPr>
        <w:pStyle w:val="blokksit"/>
      </w:pPr>
      <w:r w:rsidRPr="00506115">
        <w:t xml:space="preserve">«Ved tildeling av areal må </w:t>
      </w:r>
      <w:proofErr w:type="spellStart"/>
      <w:r w:rsidRPr="00506115">
        <w:t>søkarar</w:t>
      </w:r>
      <w:proofErr w:type="spellEnd"/>
      <w:r w:rsidRPr="00506115">
        <w:t xml:space="preserve"> ha </w:t>
      </w:r>
      <w:proofErr w:type="spellStart"/>
      <w:r w:rsidRPr="00506115">
        <w:t>tilfredsstillande</w:t>
      </w:r>
      <w:proofErr w:type="spellEnd"/>
      <w:r w:rsidRPr="00506115">
        <w:t xml:space="preserve"> teknisk kompetanse og finansiell styrke, og oppfylle relevante krav til helse, miljø og </w:t>
      </w:r>
      <w:proofErr w:type="spellStart"/>
      <w:r w:rsidRPr="00506115">
        <w:t>sikkerheit</w:t>
      </w:r>
      <w:proofErr w:type="spellEnd"/>
      <w:r w:rsidRPr="00506115">
        <w:t xml:space="preserve">. Departementet kan </w:t>
      </w:r>
      <w:proofErr w:type="spellStart"/>
      <w:r w:rsidRPr="00506115">
        <w:t>krevje</w:t>
      </w:r>
      <w:proofErr w:type="spellEnd"/>
      <w:r w:rsidRPr="00506115">
        <w:t xml:space="preserve"> at </w:t>
      </w:r>
      <w:proofErr w:type="spellStart"/>
      <w:r w:rsidRPr="00506115">
        <w:t>aktørane</w:t>
      </w:r>
      <w:proofErr w:type="spellEnd"/>
      <w:r w:rsidRPr="00506115">
        <w:t xml:space="preserve"> som vil delta i </w:t>
      </w:r>
      <w:proofErr w:type="spellStart"/>
      <w:r w:rsidRPr="00506115">
        <w:t>ein</w:t>
      </w:r>
      <w:proofErr w:type="spellEnd"/>
      <w:r w:rsidRPr="00506115">
        <w:t xml:space="preserve"> konkurranse om tildeling av areal skal </w:t>
      </w:r>
      <w:proofErr w:type="spellStart"/>
      <w:r w:rsidRPr="00506115">
        <w:t>prekvalifiserast</w:t>
      </w:r>
      <w:proofErr w:type="spellEnd"/>
      <w:r w:rsidRPr="00506115">
        <w:t xml:space="preserve"> før deltakinga. Ved utlysing kan departementet også sette andre objektive og </w:t>
      </w:r>
      <w:proofErr w:type="spellStart"/>
      <w:r w:rsidRPr="00506115">
        <w:t>ikkje-diskriminerande</w:t>
      </w:r>
      <w:proofErr w:type="spellEnd"/>
      <w:r w:rsidRPr="00506115">
        <w:t xml:space="preserve"> vilkår.»</w:t>
      </w:r>
    </w:p>
    <w:p w14:paraId="743BF42A" w14:textId="3F7F34F2" w:rsidR="00A02896" w:rsidRPr="00506115" w:rsidRDefault="00AE1379" w:rsidP="00506115">
      <w:r w:rsidRPr="00506115">
        <w:t xml:space="preserve">Departementet sende forslag til prekvalifiseringskriterium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på </w:t>
      </w:r>
      <w:proofErr w:type="spellStart"/>
      <w:r w:rsidRPr="00506115">
        <w:t>høyring</w:t>
      </w:r>
      <w:proofErr w:type="spellEnd"/>
      <w:r w:rsidRPr="00506115">
        <w:t xml:space="preserve"> 6. desember 2022, med </w:t>
      </w:r>
      <w:proofErr w:type="spellStart"/>
      <w:r w:rsidRPr="00506115">
        <w:t>høyringsfrist</w:t>
      </w:r>
      <w:proofErr w:type="spellEnd"/>
      <w:r w:rsidRPr="00506115">
        <w:t xml:space="preserve"> 6. januar 2023. Departementet vil vurdere </w:t>
      </w:r>
      <w:proofErr w:type="spellStart"/>
      <w:r w:rsidRPr="00506115">
        <w:t>aktørane</w:t>
      </w:r>
      <w:proofErr w:type="spellEnd"/>
      <w:r w:rsidRPr="00506115">
        <w:t xml:space="preserve"> etter kriteria gjennomføringsevne, </w:t>
      </w:r>
      <w:proofErr w:type="spellStart"/>
      <w:r w:rsidRPr="00506115">
        <w:t>berekraft</w:t>
      </w:r>
      <w:proofErr w:type="spellEnd"/>
      <w:r w:rsidRPr="00506115">
        <w:t xml:space="preserve"> og positive lokale ringverknader for å vurdere om </w:t>
      </w:r>
      <w:proofErr w:type="spellStart"/>
      <w:r w:rsidRPr="00506115">
        <w:t>aktørane</w:t>
      </w:r>
      <w:proofErr w:type="spellEnd"/>
      <w:r w:rsidRPr="00506115">
        <w:t xml:space="preserve"> er kvalifisert. For å </w:t>
      </w:r>
      <w:proofErr w:type="spellStart"/>
      <w:r w:rsidRPr="00506115">
        <w:t>gje</w:t>
      </w:r>
      <w:proofErr w:type="spellEnd"/>
      <w:r w:rsidRPr="00506115">
        <w:t xml:space="preserve"> </w:t>
      </w:r>
      <w:proofErr w:type="spellStart"/>
      <w:r w:rsidRPr="00506115">
        <w:t>aktørane</w:t>
      </w:r>
      <w:proofErr w:type="spellEnd"/>
      <w:r w:rsidRPr="00506115">
        <w:t xml:space="preserve"> </w:t>
      </w:r>
      <w:proofErr w:type="spellStart"/>
      <w:r w:rsidRPr="00506115">
        <w:t>sterkare</w:t>
      </w:r>
      <w:proofErr w:type="spellEnd"/>
      <w:r w:rsidRPr="00506115">
        <w:t xml:space="preserve"> insentiv til å utvikle prosjektkonsept i tråd med kvalifikasjonskrava, vil departementet sette ei nedre og øvre grense for kor mange </w:t>
      </w:r>
      <w:proofErr w:type="spellStart"/>
      <w:r w:rsidRPr="00506115">
        <w:t>aktørar</w:t>
      </w:r>
      <w:proofErr w:type="spellEnd"/>
      <w:r w:rsidRPr="00506115">
        <w:t xml:space="preserve"> som kan bli kvalifisert. For å legge til rette for at prosjektet blir gjennomført slik det er skildra i dokumentasjonen som ligg til grunn for prekvalifiseringa, vil tilgangen til å </w:t>
      </w:r>
      <w:proofErr w:type="spellStart"/>
      <w:r w:rsidRPr="00506115">
        <w:t>gjere</w:t>
      </w:r>
      <w:proofErr w:type="spellEnd"/>
      <w:r w:rsidRPr="00506115">
        <w:t xml:space="preserve"> </w:t>
      </w:r>
      <w:proofErr w:type="spellStart"/>
      <w:r w:rsidRPr="00506115">
        <w:t>endringar</w:t>
      </w:r>
      <w:proofErr w:type="spellEnd"/>
      <w:r w:rsidRPr="00506115">
        <w:t xml:space="preserve"> etter tildeling </w:t>
      </w:r>
      <w:proofErr w:type="spellStart"/>
      <w:r w:rsidRPr="00506115">
        <w:t>vere</w:t>
      </w:r>
      <w:proofErr w:type="spellEnd"/>
      <w:r w:rsidRPr="00506115">
        <w:t xml:space="preserve"> regulert i differansekontrakten. </w:t>
      </w:r>
      <w:proofErr w:type="spellStart"/>
      <w:r w:rsidRPr="00506115">
        <w:t>Vesentlege</w:t>
      </w:r>
      <w:proofErr w:type="spellEnd"/>
      <w:r w:rsidRPr="00506115">
        <w:t xml:space="preserve"> </w:t>
      </w:r>
      <w:proofErr w:type="spellStart"/>
      <w:r w:rsidRPr="00506115">
        <w:t>endringar</w:t>
      </w:r>
      <w:proofErr w:type="spellEnd"/>
      <w:r w:rsidRPr="00506115">
        <w:t xml:space="preserve"> vil </w:t>
      </w:r>
      <w:proofErr w:type="spellStart"/>
      <w:r w:rsidRPr="00506115">
        <w:t>krevje</w:t>
      </w:r>
      <w:proofErr w:type="spellEnd"/>
      <w:r w:rsidRPr="00506115">
        <w:t xml:space="preserve"> samtykke på førehand, og aktøren kan </w:t>
      </w:r>
      <w:proofErr w:type="spellStart"/>
      <w:r w:rsidRPr="00506115">
        <w:t>ikkje</w:t>
      </w:r>
      <w:proofErr w:type="spellEnd"/>
      <w:r w:rsidRPr="00506115">
        <w:t xml:space="preserve"> </w:t>
      </w:r>
      <w:proofErr w:type="spellStart"/>
      <w:r w:rsidRPr="00506115">
        <w:t>rekne</w:t>
      </w:r>
      <w:proofErr w:type="spellEnd"/>
      <w:r w:rsidRPr="00506115">
        <w:t xml:space="preserve"> med å få</w:t>
      </w:r>
      <w:r w:rsidR="00506115">
        <w:t xml:space="preserve"> </w:t>
      </w:r>
      <w:r w:rsidRPr="00506115">
        <w:t xml:space="preserve">samtykke med mindre prosjektet blir endra til </w:t>
      </w:r>
      <w:proofErr w:type="spellStart"/>
      <w:r w:rsidRPr="00506115">
        <w:t>noko</w:t>
      </w:r>
      <w:proofErr w:type="spellEnd"/>
      <w:r w:rsidRPr="00506115">
        <w:t xml:space="preserve"> som er kvalitativt likt eller betre. Det vil </w:t>
      </w:r>
      <w:proofErr w:type="spellStart"/>
      <w:r w:rsidRPr="00506115">
        <w:t>vere</w:t>
      </w:r>
      <w:proofErr w:type="spellEnd"/>
      <w:r w:rsidRPr="00506115">
        <w:t xml:space="preserve"> aktøren sitt ansvar å dokumentere at eventuelle </w:t>
      </w:r>
      <w:proofErr w:type="spellStart"/>
      <w:r w:rsidRPr="00506115">
        <w:t>endringar</w:t>
      </w:r>
      <w:proofErr w:type="spellEnd"/>
      <w:r w:rsidRPr="00506115">
        <w:t xml:space="preserve"> gjev </w:t>
      </w:r>
      <w:proofErr w:type="spellStart"/>
      <w:r w:rsidRPr="00506115">
        <w:t>eit</w:t>
      </w:r>
      <w:proofErr w:type="spellEnd"/>
      <w:r w:rsidRPr="00506115">
        <w:t xml:space="preserve"> kvalitativt likt eller betre prosjekt. </w:t>
      </w:r>
    </w:p>
    <w:p w14:paraId="3B12EC64" w14:textId="77777777" w:rsidR="00A02896" w:rsidRPr="00506115" w:rsidRDefault="00AE1379" w:rsidP="00AE1379">
      <w:pPr>
        <w:pStyle w:val="Overskrift2"/>
      </w:pPr>
      <w:r w:rsidRPr="00506115">
        <w:lastRenderedPageBreak/>
        <w:t>Auksjonen</w:t>
      </w:r>
    </w:p>
    <w:p w14:paraId="600378FD" w14:textId="77777777" w:rsidR="00A02896" w:rsidRPr="00506115" w:rsidRDefault="00AE1379" w:rsidP="00506115">
      <w:proofErr w:type="spellStart"/>
      <w:r w:rsidRPr="00506115">
        <w:t>Aktørane</w:t>
      </w:r>
      <w:proofErr w:type="spellEnd"/>
      <w:r w:rsidRPr="00506115">
        <w:t xml:space="preserve"> som vert kvalifisert vil delta i </w:t>
      </w:r>
      <w:proofErr w:type="spellStart"/>
      <w:r w:rsidRPr="00506115">
        <w:t>ein</w:t>
      </w:r>
      <w:proofErr w:type="spellEnd"/>
      <w:r w:rsidRPr="00506115">
        <w:t xml:space="preserve"> monetær auksjon. I auksjonen vil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bli tildelt aktøren som er villig til å utvikle havvindprosjektet med minst statsstøtte. Departementet sende forslag om auksjonsmodell på </w:t>
      </w:r>
      <w:proofErr w:type="spellStart"/>
      <w:r w:rsidRPr="00506115">
        <w:t>høyring</w:t>
      </w:r>
      <w:proofErr w:type="spellEnd"/>
      <w:r w:rsidRPr="00506115">
        <w:t xml:space="preserve"> 6. desember 2022. I </w:t>
      </w:r>
      <w:proofErr w:type="spellStart"/>
      <w:r w:rsidRPr="00506115">
        <w:t>høyringsnotatet</w:t>
      </w:r>
      <w:proofErr w:type="spellEnd"/>
      <w:r w:rsidRPr="00506115">
        <w:t xml:space="preserve"> </w:t>
      </w:r>
      <w:proofErr w:type="spellStart"/>
      <w:r w:rsidRPr="00506115">
        <w:t>føreslo</w:t>
      </w:r>
      <w:proofErr w:type="spellEnd"/>
      <w:r w:rsidRPr="00506115">
        <w:t xml:space="preserve"> departementet </w:t>
      </w:r>
      <w:proofErr w:type="spellStart"/>
      <w:r w:rsidRPr="00506115">
        <w:t>ein</w:t>
      </w:r>
      <w:proofErr w:type="spellEnd"/>
      <w:r w:rsidRPr="00506115">
        <w:t xml:space="preserve"> </w:t>
      </w:r>
      <w:proofErr w:type="spellStart"/>
      <w:r w:rsidRPr="00506115">
        <w:t>såkalla</w:t>
      </w:r>
      <w:proofErr w:type="spellEnd"/>
      <w:r w:rsidRPr="00506115">
        <w:t xml:space="preserve"> «Anglo-Dutch»-auksjon, i tråd med </w:t>
      </w:r>
      <w:proofErr w:type="spellStart"/>
      <w:r w:rsidRPr="00506115">
        <w:t>anbefalingane</w:t>
      </w:r>
      <w:proofErr w:type="spellEnd"/>
      <w:r w:rsidRPr="00506115">
        <w:t xml:space="preserve"> </w:t>
      </w:r>
      <w:proofErr w:type="spellStart"/>
      <w:r w:rsidRPr="00506115">
        <w:t>frå</w:t>
      </w:r>
      <w:proofErr w:type="spellEnd"/>
      <w:r w:rsidRPr="00506115">
        <w:t xml:space="preserve"> Vista Analyse og Guidehouse, jf. boks 3.1. </w:t>
      </w:r>
      <w:proofErr w:type="spellStart"/>
      <w:r w:rsidRPr="00506115">
        <w:t>Høyringsinstansane</w:t>
      </w:r>
      <w:proofErr w:type="spellEnd"/>
      <w:r w:rsidRPr="00506115">
        <w:t xml:space="preserve"> hadde ulike </w:t>
      </w:r>
      <w:proofErr w:type="spellStart"/>
      <w:r w:rsidRPr="00506115">
        <w:t>innspel</w:t>
      </w:r>
      <w:proofErr w:type="spellEnd"/>
      <w:r w:rsidRPr="00506115">
        <w:t xml:space="preserve">, men </w:t>
      </w:r>
      <w:proofErr w:type="spellStart"/>
      <w:r w:rsidRPr="00506115">
        <w:t>dei</w:t>
      </w:r>
      <w:proofErr w:type="spellEnd"/>
      <w:r w:rsidRPr="00506115">
        <w:t xml:space="preserve"> fleste stilte seg negative til den </w:t>
      </w:r>
      <w:proofErr w:type="spellStart"/>
      <w:r w:rsidRPr="00506115">
        <w:t>føreslegne</w:t>
      </w:r>
      <w:proofErr w:type="spellEnd"/>
      <w:r w:rsidRPr="00506115">
        <w:t xml:space="preserve"> auksjonsmodellen. Dei meinte at den vil </w:t>
      </w:r>
      <w:proofErr w:type="spellStart"/>
      <w:r w:rsidRPr="00506115">
        <w:t>gje</w:t>
      </w:r>
      <w:proofErr w:type="spellEnd"/>
      <w:r w:rsidRPr="00506115">
        <w:t xml:space="preserve"> større risiko for spekulative bod i den </w:t>
      </w:r>
      <w:proofErr w:type="spellStart"/>
      <w:r w:rsidRPr="00506115">
        <w:t>avsluttande</w:t>
      </w:r>
      <w:proofErr w:type="spellEnd"/>
      <w:r w:rsidRPr="00506115">
        <w:t xml:space="preserve"> fasen, og dermed større risiko for at prosjektet </w:t>
      </w:r>
      <w:proofErr w:type="spellStart"/>
      <w:r w:rsidRPr="00506115">
        <w:t>ikkje</w:t>
      </w:r>
      <w:proofErr w:type="spellEnd"/>
      <w:r w:rsidRPr="00506115">
        <w:t xml:space="preserve"> blir gjennomført. </w:t>
      </w:r>
      <w:proofErr w:type="spellStart"/>
      <w:r w:rsidRPr="00506115">
        <w:t>Vidare</w:t>
      </w:r>
      <w:proofErr w:type="spellEnd"/>
      <w:r w:rsidRPr="00506115">
        <w:t xml:space="preserve"> var det </w:t>
      </w:r>
      <w:proofErr w:type="spellStart"/>
      <w:r w:rsidRPr="00506115">
        <w:t>fleire</w:t>
      </w:r>
      <w:proofErr w:type="spellEnd"/>
      <w:r w:rsidRPr="00506115">
        <w:t xml:space="preserve"> som </w:t>
      </w:r>
      <w:proofErr w:type="spellStart"/>
      <w:r w:rsidRPr="00506115">
        <w:t>peikte</w:t>
      </w:r>
      <w:proofErr w:type="spellEnd"/>
      <w:r w:rsidRPr="00506115">
        <w:t xml:space="preserve"> på at auksjonsmodellen er for komplisert, </w:t>
      </w:r>
      <w:proofErr w:type="spellStart"/>
      <w:r w:rsidRPr="00506115">
        <w:t>særleg</w:t>
      </w:r>
      <w:proofErr w:type="spellEnd"/>
      <w:r w:rsidRPr="00506115">
        <w:t xml:space="preserve"> med tanke på at det er den første havvindauksjonen i </w:t>
      </w:r>
      <w:proofErr w:type="spellStart"/>
      <w:r w:rsidRPr="00506115">
        <w:t>Noreg</w:t>
      </w:r>
      <w:proofErr w:type="spellEnd"/>
      <w:r w:rsidRPr="00506115">
        <w:t xml:space="preserve">. </w:t>
      </w:r>
      <w:proofErr w:type="spellStart"/>
      <w:r w:rsidRPr="00506115">
        <w:t>Eit</w:t>
      </w:r>
      <w:proofErr w:type="spellEnd"/>
      <w:r w:rsidRPr="00506115">
        <w:t xml:space="preserve"> </w:t>
      </w:r>
      <w:proofErr w:type="spellStart"/>
      <w:r w:rsidRPr="00506115">
        <w:t>fleirtal</w:t>
      </w:r>
      <w:proofErr w:type="spellEnd"/>
      <w:r w:rsidRPr="00506115">
        <w:t xml:space="preserve"> av </w:t>
      </w:r>
      <w:proofErr w:type="spellStart"/>
      <w:r w:rsidRPr="00506115">
        <w:t>høyringsinstansane</w:t>
      </w:r>
      <w:proofErr w:type="spellEnd"/>
      <w:r w:rsidRPr="00506115">
        <w:t xml:space="preserve"> ønska </w:t>
      </w:r>
      <w:proofErr w:type="spellStart"/>
      <w:r w:rsidRPr="00506115">
        <w:t>ein</w:t>
      </w:r>
      <w:proofErr w:type="spellEnd"/>
      <w:r w:rsidRPr="00506115">
        <w:t xml:space="preserve"> auksjonsmodell med </w:t>
      </w:r>
      <w:proofErr w:type="spellStart"/>
      <w:r w:rsidRPr="00506115">
        <w:t>berre</w:t>
      </w:r>
      <w:proofErr w:type="spellEnd"/>
      <w:r w:rsidRPr="00506115">
        <w:t xml:space="preserve"> </w:t>
      </w:r>
      <w:proofErr w:type="spellStart"/>
      <w:r w:rsidRPr="00506115">
        <w:t>opne</w:t>
      </w:r>
      <w:proofErr w:type="spellEnd"/>
      <w:r w:rsidRPr="00506115">
        <w:t xml:space="preserve"> bod. På bakgrunn av </w:t>
      </w:r>
      <w:proofErr w:type="spellStart"/>
      <w:r w:rsidRPr="00506115">
        <w:t>tilbakemeldingane</w:t>
      </w:r>
      <w:proofErr w:type="spellEnd"/>
      <w:r w:rsidRPr="00506115">
        <w:t xml:space="preserve"> </w:t>
      </w:r>
      <w:proofErr w:type="spellStart"/>
      <w:r w:rsidRPr="00506115">
        <w:t>frå</w:t>
      </w:r>
      <w:proofErr w:type="spellEnd"/>
      <w:r w:rsidRPr="00506115">
        <w:t xml:space="preserve"> </w:t>
      </w:r>
      <w:proofErr w:type="spellStart"/>
      <w:r w:rsidRPr="00506115">
        <w:t>høyringa</w:t>
      </w:r>
      <w:proofErr w:type="spellEnd"/>
      <w:r w:rsidRPr="00506115">
        <w:t xml:space="preserve"> har Olje- og energidepartementet derfor </w:t>
      </w:r>
      <w:proofErr w:type="spellStart"/>
      <w:r w:rsidRPr="00506115">
        <w:t>kome</w:t>
      </w:r>
      <w:proofErr w:type="spellEnd"/>
      <w:r w:rsidRPr="00506115">
        <w:t xml:space="preserve"> til at auksjonen bør </w:t>
      </w:r>
      <w:proofErr w:type="spellStart"/>
      <w:r w:rsidRPr="00506115">
        <w:t>gjennomførast</w:t>
      </w:r>
      <w:proofErr w:type="spellEnd"/>
      <w:r w:rsidRPr="00506115">
        <w:t xml:space="preserve"> som engelsk auksjon. Engelsk auksjon er </w:t>
      </w:r>
      <w:proofErr w:type="spellStart"/>
      <w:r w:rsidRPr="00506115">
        <w:t>ein</w:t>
      </w:r>
      <w:proofErr w:type="spellEnd"/>
      <w:r w:rsidRPr="00506115">
        <w:t xml:space="preserve"> </w:t>
      </w:r>
      <w:proofErr w:type="spellStart"/>
      <w:r w:rsidRPr="00506115">
        <w:t>enklare</w:t>
      </w:r>
      <w:proofErr w:type="spellEnd"/>
      <w:r w:rsidRPr="00506115">
        <w:t xml:space="preserve"> auksjonsmodell, </w:t>
      </w:r>
      <w:proofErr w:type="spellStart"/>
      <w:r w:rsidRPr="00506115">
        <w:t>samanlikna</w:t>
      </w:r>
      <w:proofErr w:type="spellEnd"/>
      <w:r w:rsidRPr="00506115">
        <w:t xml:space="preserve"> med forslaget </w:t>
      </w:r>
      <w:proofErr w:type="spellStart"/>
      <w:r w:rsidRPr="00506115">
        <w:t>frå</w:t>
      </w:r>
      <w:proofErr w:type="spellEnd"/>
      <w:r w:rsidRPr="00506115">
        <w:t xml:space="preserve"> </w:t>
      </w:r>
      <w:proofErr w:type="spellStart"/>
      <w:r w:rsidRPr="00506115">
        <w:t>auksjonsrådgivar</w:t>
      </w:r>
      <w:proofErr w:type="spellEnd"/>
      <w:r w:rsidRPr="00506115">
        <w:t xml:space="preserve">, med </w:t>
      </w:r>
      <w:proofErr w:type="spellStart"/>
      <w:r w:rsidRPr="00506115">
        <w:t>berre</w:t>
      </w:r>
      <w:proofErr w:type="spellEnd"/>
      <w:r w:rsidRPr="00506115">
        <w:t xml:space="preserve"> </w:t>
      </w:r>
      <w:proofErr w:type="spellStart"/>
      <w:r w:rsidRPr="00506115">
        <w:t>open</w:t>
      </w:r>
      <w:proofErr w:type="spellEnd"/>
      <w:r w:rsidRPr="00506115">
        <w:t xml:space="preserve"> </w:t>
      </w:r>
      <w:proofErr w:type="spellStart"/>
      <w:r w:rsidRPr="00506115">
        <w:t>bodgjeving</w:t>
      </w:r>
      <w:proofErr w:type="spellEnd"/>
      <w:r w:rsidRPr="00506115">
        <w:t xml:space="preserve">. Departementet planlegg å gjennomføre auksjonen i løpet av </w:t>
      </w:r>
      <w:proofErr w:type="spellStart"/>
      <w:r w:rsidRPr="00506115">
        <w:t>hausten</w:t>
      </w:r>
      <w:proofErr w:type="spellEnd"/>
      <w:r w:rsidRPr="00506115">
        <w:t xml:space="preserve"> 2023, slik at prosjektområdet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kan bli tildelt </w:t>
      </w:r>
      <w:proofErr w:type="spellStart"/>
      <w:r w:rsidRPr="00506115">
        <w:t>innan</w:t>
      </w:r>
      <w:proofErr w:type="spellEnd"/>
      <w:r w:rsidRPr="00506115">
        <w:t xml:space="preserve"> utgangen av året.</w:t>
      </w:r>
    </w:p>
    <w:p w14:paraId="004578C0" w14:textId="77777777" w:rsidR="00A02896" w:rsidRPr="00506115" w:rsidRDefault="00AE1379" w:rsidP="00AE1379">
      <w:pPr>
        <w:pStyle w:val="tittel-ramme"/>
      </w:pPr>
      <w:proofErr w:type="spellStart"/>
      <w:r w:rsidRPr="00506115">
        <w:t>Anbefalingar</w:t>
      </w:r>
      <w:proofErr w:type="spellEnd"/>
      <w:r w:rsidRPr="00506115">
        <w:t xml:space="preserve"> om auksjonsmodell </w:t>
      </w:r>
      <w:proofErr w:type="spellStart"/>
      <w:r w:rsidRPr="00506115">
        <w:t>frå</w:t>
      </w:r>
      <w:proofErr w:type="spellEnd"/>
      <w:r w:rsidRPr="00506115">
        <w:t xml:space="preserve"> Vista Analyse og Guidehouse</w:t>
      </w:r>
    </w:p>
    <w:p w14:paraId="04361460" w14:textId="77777777" w:rsidR="00A02896" w:rsidRPr="00506115" w:rsidRDefault="00AE1379" w:rsidP="00506115">
      <w:r w:rsidRPr="00506115">
        <w:t xml:space="preserve">Vista Analyse og Guidehouse har vurdert tre ulike </w:t>
      </w:r>
      <w:proofErr w:type="spellStart"/>
      <w:r w:rsidRPr="00506115">
        <w:t>auksjonsmodellar</w:t>
      </w:r>
      <w:proofErr w:type="spellEnd"/>
      <w:r w:rsidRPr="00506115">
        <w:t xml:space="preserve"> for tildeling av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Den første modellen er </w:t>
      </w:r>
      <w:proofErr w:type="spellStart"/>
      <w:r w:rsidRPr="00506115">
        <w:t>ein</w:t>
      </w:r>
      <w:proofErr w:type="spellEnd"/>
      <w:r w:rsidRPr="00506115">
        <w:t xml:space="preserve"> engelsk auksjon med </w:t>
      </w:r>
      <w:proofErr w:type="spellStart"/>
      <w:r w:rsidRPr="00506115">
        <w:t>berre</w:t>
      </w:r>
      <w:proofErr w:type="spellEnd"/>
      <w:r w:rsidRPr="00506115">
        <w:t xml:space="preserve"> </w:t>
      </w:r>
      <w:proofErr w:type="spellStart"/>
      <w:r w:rsidRPr="00506115">
        <w:t>open</w:t>
      </w:r>
      <w:proofErr w:type="spellEnd"/>
      <w:r w:rsidRPr="00506115">
        <w:t xml:space="preserve"> </w:t>
      </w:r>
      <w:proofErr w:type="spellStart"/>
      <w:r w:rsidRPr="00506115">
        <w:t>bodgjeving</w:t>
      </w:r>
      <w:proofErr w:type="spellEnd"/>
      <w:r w:rsidRPr="00506115">
        <w:t xml:space="preserve"> («</w:t>
      </w:r>
      <w:proofErr w:type="spellStart"/>
      <w:r w:rsidRPr="00506115">
        <w:t>descending</w:t>
      </w:r>
      <w:proofErr w:type="spellEnd"/>
      <w:r w:rsidRPr="00506115">
        <w:t xml:space="preserve"> </w:t>
      </w:r>
      <w:proofErr w:type="spellStart"/>
      <w:r w:rsidRPr="00506115">
        <w:t>auction</w:t>
      </w:r>
      <w:proofErr w:type="spellEnd"/>
      <w:r w:rsidRPr="00506115">
        <w:t xml:space="preserve">»). Auksjonen </w:t>
      </w:r>
      <w:proofErr w:type="spellStart"/>
      <w:r w:rsidRPr="00506115">
        <w:t>startar</w:t>
      </w:r>
      <w:proofErr w:type="spellEnd"/>
      <w:r w:rsidRPr="00506115">
        <w:t xml:space="preserve"> på </w:t>
      </w:r>
      <w:proofErr w:type="spellStart"/>
      <w:r w:rsidRPr="00506115">
        <w:t>eit</w:t>
      </w:r>
      <w:proofErr w:type="spellEnd"/>
      <w:r w:rsidRPr="00506115">
        <w:t xml:space="preserve"> høgt støttenivå som blir redusert gjennom </w:t>
      </w:r>
      <w:proofErr w:type="spellStart"/>
      <w:r w:rsidRPr="00506115">
        <w:t>bodgjevinga</w:t>
      </w:r>
      <w:proofErr w:type="spellEnd"/>
      <w:r w:rsidRPr="00506115">
        <w:t xml:space="preserve">. Auksjonen held fram til det står att </w:t>
      </w:r>
      <w:proofErr w:type="spellStart"/>
      <w:r w:rsidRPr="00506115">
        <w:t>ein</w:t>
      </w:r>
      <w:proofErr w:type="spellEnd"/>
      <w:r w:rsidRPr="00506115">
        <w:t xml:space="preserve"> </w:t>
      </w:r>
      <w:proofErr w:type="spellStart"/>
      <w:r w:rsidRPr="00506115">
        <w:t>bodgjevar</w:t>
      </w:r>
      <w:proofErr w:type="spellEnd"/>
      <w:r w:rsidRPr="00506115">
        <w:t xml:space="preserve"> som vinn retten til prosjektområdet. </w:t>
      </w:r>
      <w:proofErr w:type="spellStart"/>
      <w:r w:rsidRPr="00506115">
        <w:t>Ein</w:t>
      </w:r>
      <w:proofErr w:type="spellEnd"/>
      <w:r w:rsidRPr="00506115">
        <w:t xml:space="preserve"> viktig styrke med </w:t>
      </w:r>
      <w:proofErr w:type="spellStart"/>
      <w:r w:rsidRPr="00506115">
        <w:t>ein</w:t>
      </w:r>
      <w:proofErr w:type="spellEnd"/>
      <w:r w:rsidRPr="00506115">
        <w:t xml:space="preserve"> </w:t>
      </w:r>
      <w:proofErr w:type="spellStart"/>
      <w:r w:rsidRPr="00506115">
        <w:t>open</w:t>
      </w:r>
      <w:proofErr w:type="spellEnd"/>
      <w:r w:rsidRPr="00506115">
        <w:t xml:space="preserve"> auksjon er at </w:t>
      </w:r>
      <w:proofErr w:type="spellStart"/>
      <w:r w:rsidRPr="00506115">
        <w:t>deltakarane</w:t>
      </w:r>
      <w:proofErr w:type="spellEnd"/>
      <w:r w:rsidRPr="00506115">
        <w:t xml:space="preserve"> får prisinformasjon om prosjektområdet gjennom </w:t>
      </w:r>
      <w:proofErr w:type="spellStart"/>
      <w:r w:rsidRPr="00506115">
        <w:t>bodgjevinga</w:t>
      </w:r>
      <w:proofErr w:type="spellEnd"/>
      <w:r w:rsidRPr="00506115">
        <w:t xml:space="preserve">. Dette reduserer risikoen for at </w:t>
      </w:r>
      <w:proofErr w:type="spellStart"/>
      <w:r w:rsidRPr="00506115">
        <w:t>auksjonsvinnaren</w:t>
      </w:r>
      <w:proofErr w:type="spellEnd"/>
      <w:r w:rsidRPr="00506115">
        <w:t xml:space="preserve"> har estimert verdien av prosjektområdet for høgt, og gjev høgre </w:t>
      </w:r>
      <w:proofErr w:type="spellStart"/>
      <w:r w:rsidRPr="00506115">
        <w:t>sannsyn</w:t>
      </w:r>
      <w:proofErr w:type="spellEnd"/>
      <w:r w:rsidRPr="00506115">
        <w:t xml:space="preserve"> for at prosjektet blir gjennomført. Den andre modellen er </w:t>
      </w:r>
      <w:proofErr w:type="spellStart"/>
      <w:r w:rsidRPr="00506115">
        <w:t>ein</w:t>
      </w:r>
      <w:proofErr w:type="spellEnd"/>
      <w:r w:rsidRPr="00506115">
        <w:t xml:space="preserve"> auksjon der alle </w:t>
      </w:r>
      <w:proofErr w:type="spellStart"/>
      <w:r w:rsidRPr="00506115">
        <w:t>aktørane</w:t>
      </w:r>
      <w:proofErr w:type="spellEnd"/>
      <w:r w:rsidRPr="00506115">
        <w:t xml:space="preserve"> </w:t>
      </w:r>
      <w:proofErr w:type="spellStart"/>
      <w:r w:rsidRPr="00506115">
        <w:t>berre</w:t>
      </w:r>
      <w:proofErr w:type="spellEnd"/>
      <w:r w:rsidRPr="00506115">
        <w:t xml:space="preserve"> gjev </w:t>
      </w:r>
      <w:proofErr w:type="spellStart"/>
      <w:r w:rsidRPr="00506115">
        <w:t>eit</w:t>
      </w:r>
      <w:proofErr w:type="spellEnd"/>
      <w:r w:rsidRPr="00506115">
        <w:t xml:space="preserve"> lukka bod («First </w:t>
      </w:r>
      <w:proofErr w:type="spellStart"/>
      <w:r w:rsidRPr="00506115">
        <w:t>price</w:t>
      </w:r>
      <w:proofErr w:type="spellEnd"/>
      <w:r w:rsidRPr="00506115">
        <w:t xml:space="preserve"> </w:t>
      </w:r>
      <w:proofErr w:type="spellStart"/>
      <w:r w:rsidRPr="00506115">
        <w:t>sealed</w:t>
      </w:r>
      <w:proofErr w:type="spellEnd"/>
      <w:r w:rsidRPr="00506115">
        <w:t xml:space="preserve"> </w:t>
      </w:r>
      <w:proofErr w:type="spellStart"/>
      <w:r w:rsidRPr="00506115">
        <w:t>bid</w:t>
      </w:r>
      <w:proofErr w:type="spellEnd"/>
      <w:r w:rsidRPr="00506115">
        <w:t xml:space="preserve"> </w:t>
      </w:r>
      <w:proofErr w:type="spellStart"/>
      <w:r w:rsidRPr="00506115">
        <w:t>auction</w:t>
      </w:r>
      <w:proofErr w:type="spellEnd"/>
      <w:r w:rsidRPr="00506115">
        <w:t xml:space="preserve">»). Prosjektområdet blir tildelt aktøren med det </w:t>
      </w:r>
      <w:proofErr w:type="spellStart"/>
      <w:r w:rsidRPr="00506115">
        <w:t>lågaste</w:t>
      </w:r>
      <w:proofErr w:type="spellEnd"/>
      <w:r w:rsidRPr="00506115">
        <w:t xml:space="preserve"> støttenivået. </w:t>
      </w:r>
      <w:proofErr w:type="spellStart"/>
      <w:r w:rsidRPr="00506115">
        <w:t>Ein</w:t>
      </w:r>
      <w:proofErr w:type="spellEnd"/>
      <w:r w:rsidRPr="00506115">
        <w:t xml:space="preserve"> lukka auksjon gjev </w:t>
      </w:r>
      <w:proofErr w:type="spellStart"/>
      <w:r w:rsidRPr="00506115">
        <w:t>aktørane</w:t>
      </w:r>
      <w:proofErr w:type="spellEnd"/>
      <w:r w:rsidRPr="00506115">
        <w:t xml:space="preserve"> sterke insentiv til å by inn </w:t>
      </w:r>
      <w:proofErr w:type="spellStart"/>
      <w:r w:rsidRPr="00506115">
        <w:t>eit</w:t>
      </w:r>
      <w:proofErr w:type="spellEnd"/>
      <w:r w:rsidRPr="00506115">
        <w:t xml:space="preserve"> så lågt støttenivå som </w:t>
      </w:r>
      <w:proofErr w:type="spellStart"/>
      <w:r w:rsidRPr="00506115">
        <w:t>mogleg</w:t>
      </w:r>
      <w:proofErr w:type="spellEnd"/>
      <w:r w:rsidRPr="00506115">
        <w:t xml:space="preserve">, </w:t>
      </w:r>
      <w:proofErr w:type="spellStart"/>
      <w:r w:rsidRPr="00506115">
        <w:t>noko</w:t>
      </w:r>
      <w:proofErr w:type="spellEnd"/>
      <w:r w:rsidRPr="00506115">
        <w:t xml:space="preserve"> som kan </w:t>
      </w:r>
      <w:proofErr w:type="spellStart"/>
      <w:r w:rsidRPr="00506115">
        <w:t>gje</w:t>
      </w:r>
      <w:proofErr w:type="spellEnd"/>
      <w:r w:rsidRPr="00506115">
        <w:t xml:space="preserve"> </w:t>
      </w:r>
      <w:proofErr w:type="spellStart"/>
      <w:r w:rsidRPr="00506115">
        <w:t>eit</w:t>
      </w:r>
      <w:proofErr w:type="spellEnd"/>
      <w:r w:rsidRPr="00506115">
        <w:t xml:space="preserve"> </w:t>
      </w:r>
      <w:proofErr w:type="spellStart"/>
      <w:r w:rsidRPr="00506115">
        <w:t>lågare</w:t>
      </w:r>
      <w:proofErr w:type="spellEnd"/>
      <w:r w:rsidRPr="00506115">
        <w:t xml:space="preserve"> støttenivå enn i </w:t>
      </w:r>
      <w:proofErr w:type="spellStart"/>
      <w:r w:rsidRPr="00506115">
        <w:t>ein</w:t>
      </w:r>
      <w:proofErr w:type="spellEnd"/>
      <w:r w:rsidRPr="00506115">
        <w:t xml:space="preserve"> </w:t>
      </w:r>
      <w:proofErr w:type="spellStart"/>
      <w:r w:rsidRPr="00506115">
        <w:t>open</w:t>
      </w:r>
      <w:proofErr w:type="spellEnd"/>
      <w:r w:rsidRPr="00506115">
        <w:t xml:space="preserve"> auksjon. Modellen gjev samtidig høgre risiko for at aktøren som vinn prosjektområdet har overvurdert verdien av prosjektet. Dette gjev høgre risiko for at prosjektet </w:t>
      </w:r>
      <w:proofErr w:type="spellStart"/>
      <w:r w:rsidRPr="00506115">
        <w:t>ikkje</w:t>
      </w:r>
      <w:proofErr w:type="spellEnd"/>
      <w:r w:rsidRPr="00506115">
        <w:t xml:space="preserve"> blir gjennomført. Den tredje auksjonsmodellen er </w:t>
      </w:r>
      <w:proofErr w:type="spellStart"/>
      <w:r w:rsidRPr="00506115">
        <w:t>ein</w:t>
      </w:r>
      <w:proofErr w:type="spellEnd"/>
      <w:r w:rsidRPr="00506115">
        <w:t xml:space="preserve"> kombinasjonsmodell («Anglo-Dutch» auksjon), med </w:t>
      </w:r>
      <w:proofErr w:type="spellStart"/>
      <w:r w:rsidRPr="00506115">
        <w:t>open</w:t>
      </w:r>
      <w:proofErr w:type="spellEnd"/>
      <w:r w:rsidRPr="00506115">
        <w:t xml:space="preserve"> </w:t>
      </w:r>
      <w:proofErr w:type="spellStart"/>
      <w:r w:rsidRPr="00506115">
        <w:t>bodgjeving</w:t>
      </w:r>
      <w:proofErr w:type="spellEnd"/>
      <w:r w:rsidRPr="00506115">
        <w:t xml:space="preserve"> fram til det står att to </w:t>
      </w:r>
      <w:proofErr w:type="spellStart"/>
      <w:r w:rsidRPr="00506115">
        <w:t>bodgjevarar</w:t>
      </w:r>
      <w:proofErr w:type="spellEnd"/>
      <w:r w:rsidRPr="00506115">
        <w:t xml:space="preserve">. Dei to </w:t>
      </w:r>
      <w:proofErr w:type="spellStart"/>
      <w:r w:rsidRPr="00506115">
        <w:t>bodgjevarane</w:t>
      </w:r>
      <w:proofErr w:type="spellEnd"/>
      <w:r w:rsidRPr="00506115">
        <w:t xml:space="preserve"> gjev då </w:t>
      </w:r>
      <w:proofErr w:type="spellStart"/>
      <w:r w:rsidRPr="00506115">
        <w:t>eit</w:t>
      </w:r>
      <w:proofErr w:type="spellEnd"/>
      <w:r w:rsidRPr="00506115">
        <w:t xml:space="preserve"> siste lukka bod, og aktøren med det beste </w:t>
      </w:r>
      <w:proofErr w:type="spellStart"/>
      <w:r w:rsidRPr="00506115">
        <w:t>bodet</w:t>
      </w:r>
      <w:proofErr w:type="spellEnd"/>
      <w:r w:rsidRPr="00506115">
        <w:t xml:space="preserve">, som </w:t>
      </w:r>
      <w:proofErr w:type="spellStart"/>
      <w:r w:rsidRPr="00506115">
        <w:t>inneber</w:t>
      </w:r>
      <w:proofErr w:type="spellEnd"/>
      <w:r w:rsidRPr="00506115">
        <w:t xml:space="preserve"> minst støtte, vinn auksjonen. </w:t>
      </w:r>
      <w:proofErr w:type="spellStart"/>
      <w:r w:rsidRPr="00506115">
        <w:t>Ein</w:t>
      </w:r>
      <w:proofErr w:type="spellEnd"/>
      <w:r w:rsidRPr="00506115">
        <w:t xml:space="preserve"> fordel med denne modellen er at </w:t>
      </w:r>
      <w:proofErr w:type="spellStart"/>
      <w:r w:rsidRPr="00506115">
        <w:t>aktørane</w:t>
      </w:r>
      <w:proofErr w:type="spellEnd"/>
      <w:r w:rsidRPr="00506115">
        <w:t xml:space="preserve"> får prisinformasjon om prosjektområdet gjennom </w:t>
      </w:r>
      <w:proofErr w:type="spellStart"/>
      <w:r w:rsidRPr="00506115">
        <w:t>dei</w:t>
      </w:r>
      <w:proofErr w:type="spellEnd"/>
      <w:r w:rsidRPr="00506115">
        <w:t xml:space="preserve"> </w:t>
      </w:r>
      <w:proofErr w:type="spellStart"/>
      <w:r w:rsidRPr="00506115">
        <w:t>innleiande</w:t>
      </w:r>
      <w:proofErr w:type="spellEnd"/>
      <w:r w:rsidRPr="00506115">
        <w:t xml:space="preserve"> </w:t>
      </w:r>
      <w:proofErr w:type="spellStart"/>
      <w:r w:rsidRPr="00506115">
        <w:t>auksjonsrundane</w:t>
      </w:r>
      <w:proofErr w:type="spellEnd"/>
      <w:r w:rsidRPr="00506115">
        <w:t xml:space="preserve">, samtidig som den siste lukka runden gjev </w:t>
      </w:r>
      <w:proofErr w:type="spellStart"/>
      <w:r w:rsidRPr="00506115">
        <w:t>aktørane</w:t>
      </w:r>
      <w:proofErr w:type="spellEnd"/>
      <w:r w:rsidRPr="00506115">
        <w:t xml:space="preserve"> sterke insentiv til å by </w:t>
      </w:r>
      <w:proofErr w:type="spellStart"/>
      <w:r w:rsidRPr="00506115">
        <w:t>eit</w:t>
      </w:r>
      <w:proofErr w:type="spellEnd"/>
      <w:r w:rsidRPr="00506115">
        <w:t xml:space="preserve"> så lågt støttenivå som </w:t>
      </w:r>
      <w:proofErr w:type="spellStart"/>
      <w:r w:rsidRPr="00506115">
        <w:t>mogleg</w:t>
      </w:r>
      <w:proofErr w:type="spellEnd"/>
      <w:r w:rsidRPr="00506115">
        <w:t>. Vista Analyse og Guidehouse anbefaler derfor den kombinerte auksjonsmodellen.</w:t>
      </w:r>
    </w:p>
    <w:p w14:paraId="29B86A50" w14:textId="77777777" w:rsidR="00A02896" w:rsidRPr="00506115" w:rsidRDefault="00AE1379" w:rsidP="00506115">
      <w:pPr>
        <w:pStyle w:val="Ramme-slutt"/>
      </w:pPr>
      <w:r w:rsidRPr="00506115">
        <w:t>[Boks slutt]</w:t>
      </w:r>
    </w:p>
    <w:p w14:paraId="22D35332" w14:textId="77777777" w:rsidR="00A02896" w:rsidRPr="00506115" w:rsidRDefault="00AE1379" w:rsidP="00AE1379">
      <w:pPr>
        <w:pStyle w:val="Overskrift2"/>
      </w:pPr>
      <w:r w:rsidRPr="00506115">
        <w:lastRenderedPageBreak/>
        <w:t>Konsesjonsprosessen</w:t>
      </w:r>
    </w:p>
    <w:p w14:paraId="202B6771" w14:textId="77777777" w:rsidR="00A02896" w:rsidRPr="00506115" w:rsidRDefault="00AE1379" w:rsidP="00506115">
      <w:proofErr w:type="spellStart"/>
      <w:r w:rsidRPr="00506115">
        <w:t>Vinnaren</w:t>
      </w:r>
      <w:proofErr w:type="spellEnd"/>
      <w:r w:rsidRPr="00506115">
        <w:t xml:space="preserve"> av auksjonen får </w:t>
      </w:r>
      <w:proofErr w:type="spellStart"/>
      <w:r w:rsidRPr="00506115">
        <w:t>einerett</w:t>
      </w:r>
      <w:proofErr w:type="spellEnd"/>
      <w:r w:rsidRPr="00506115">
        <w:t xml:space="preserve"> til å søke om konsesjon for fornybar energiproduksjon </w:t>
      </w:r>
      <w:proofErr w:type="spellStart"/>
      <w:r w:rsidRPr="00506115">
        <w:t>innanfor</w:t>
      </w:r>
      <w:proofErr w:type="spellEnd"/>
      <w:r w:rsidRPr="00506115">
        <w:t xml:space="preserve"> prosjektområdet. Før aktøren kan søke om konsesjon, må aktøren gjennomføre ei prosjektspesifikk konsekvensutgreiing. </w:t>
      </w:r>
      <w:proofErr w:type="spellStart"/>
      <w:r w:rsidRPr="00506115">
        <w:t>Eineretten</w:t>
      </w:r>
      <w:proofErr w:type="spellEnd"/>
      <w:r w:rsidRPr="00506115">
        <w:t xml:space="preserve"> er avgrensa i tid, og departementet vil </w:t>
      </w:r>
      <w:proofErr w:type="spellStart"/>
      <w:r w:rsidRPr="00506115">
        <w:t>krevje</w:t>
      </w:r>
      <w:proofErr w:type="spellEnd"/>
      <w:r w:rsidRPr="00506115">
        <w:t xml:space="preserve"> at aktøren følger </w:t>
      </w:r>
      <w:proofErr w:type="spellStart"/>
      <w:r w:rsidRPr="00506115">
        <w:t>ein</w:t>
      </w:r>
      <w:proofErr w:type="spellEnd"/>
      <w:r w:rsidRPr="00506115">
        <w:t xml:space="preserve"> avtalt framdriftsplan. Om aktøren bryt </w:t>
      </w:r>
      <w:proofErr w:type="spellStart"/>
      <w:r w:rsidRPr="00506115">
        <w:t>nokre</w:t>
      </w:r>
      <w:proofErr w:type="spellEnd"/>
      <w:r w:rsidRPr="00506115">
        <w:t xml:space="preserve"> av </w:t>
      </w:r>
      <w:proofErr w:type="spellStart"/>
      <w:r w:rsidRPr="00506115">
        <w:t>tidsfristane</w:t>
      </w:r>
      <w:proofErr w:type="spellEnd"/>
      <w:r w:rsidRPr="00506115">
        <w:t xml:space="preserve">, </w:t>
      </w:r>
      <w:proofErr w:type="spellStart"/>
      <w:r w:rsidRPr="00506115">
        <w:t>utan</w:t>
      </w:r>
      <w:proofErr w:type="spellEnd"/>
      <w:r w:rsidRPr="00506115">
        <w:t xml:space="preserve"> samtykke </w:t>
      </w:r>
      <w:proofErr w:type="spellStart"/>
      <w:r w:rsidRPr="00506115">
        <w:t>frå</w:t>
      </w:r>
      <w:proofErr w:type="spellEnd"/>
      <w:r w:rsidRPr="00506115">
        <w:t xml:space="preserve"> departementet, vil det </w:t>
      </w:r>
      <w:proofErr w:type="spellStart"/>
      <w:r w:rsidRPr="00506115">
        <w:t>vere</w:t>
      </w:r>
      <w:proofErr w:type="spellEnd"/>
      <w:r w:rsidRPr="00506115">
        <w:t xml:space="preserve"> </w:t>
      </w:r>
      <w:proofErr w:type="spellStart"/>
      <w:r w:rsidRPr="00506115">
        <w:t>mekanismar</w:t>
      </w:r>
      <w:proofErr w:type="spellEnd"/>
      <w:r w:rsidRPr="00506115">
        <w:t xml:space="preserve"> i differansekontrakten for å handtere dette.</w:t>
      </w:r>
      <w:r w:rsidRPr="00506115">
        <w:rPr>
          <w:rStyle w:val="Fotnotereferanse"/>
        </w:rPr>
        <w:footnoteReference w:id="9"/>
      </w:r>
      <w:r w:rsidRPr="00506115">
        <w:t xml:space="preserve"> Aktøren kan også miste </w:t>
      </w:r>
      <w:proofErr w:type="spellStart"/>
      <w:r w:rsidRPr="00506115">
        <w:t>eineretten</w:t>
      </w:r>
      <w:proofErr w:type="spellEnd"/>
      <w:r w:rsidRPr="00506115">
        <w:t xml:space="preserve"> til prosjektområdet. I </w:t>
      </w:r>
      <w:proofErr w:type="spellStart"/>
      <w:r w:rsidRPr="00506115">
        <w:t>sistnemnde</w:t>
      </w:r>
      <w:proofErr w:type="spellEnd"/>
      <w:r w:rsidRPr="00506115">
        <w:t xml:space="preserve"> tilfelle kan departementet </w:t>
      </w:r>
      <w:proofErr w:type="spellStart"/>
      <w:r w:rsidRPr="00506115">
        <w:t>velje</w:t>
      </w:r>
      <w:proofErr w:type="spellEnd"/>
      <w:r w:rsidRPr="00506115">
        <w:t xml:space="preserve"> å lyse ut og tildele prosjektområdet på nytt.</w:t>
      </w:r>
    </w:p>
    <w:p w14:paraId="3C2C13B5" w14:textId="77777777" w:rsidR="00A02896" w:rsidRPr="00506115" w:rsidRDefault="00AE1379" w:rsidP="00506115">
      <w:pPr>
        <w:pStyle w:val="avsnitt-undertittel"/>
      </w:pPr>
      <w:r w:rsidRPr="00506115">
        <w:t>Fastsetting av prosjektspesifikt utgreiingsprogram</w:t>
      </w:r>
    </w:p>
    <w:p w14:paraId="01FCEB0D" w14:textId="77777777" w:rsidR="00A02896" w:rsidRPr="00506115" w:rsidRDefault="00AE1379" w:rsidP="00506115">
      <w:r w:rsidRPr="00506115">
        <w:t xml:space="preserve">Når departementet har erklært konkurransen for avgjort og </w:t>
      </w:r>
      <w:proofErr w:type="spellStart"/>
      <w:r w:rsidRPr="00506115">
        <w:t>ein</w:t>
      </w:r>
      <w:proofErr w:type="spellEnd"/>
      <w:r w:rsidRPr="00506115">
        <w:t xml:space="preserve"> aktør har blitt tildelt </w:t>
      </w:r>
      <w:proofErr w:type="spellStart"/>
      <w:r w:rsidRPr="00506115">
        <w:t>eit</w:t>
      </w:r>
      <w:proofErr w:type="spellEnd"/>
      <w:r w:rsidRPr="00506115">
        <w:t xml:space="preserve"> prosjektområde, må aktøren sende inn melding med forslag til prosjektspesifikt utgreiingsprogram </w:t>
      </w:r>
      <w:proofErr w:type="spellStart"/>
      <w:r w:rsidRPr="00506115">
        <w:t>seinast</w:t>
      </w:r>
      <w:proofErr w:type="spellEnd"/>
      <w:r w:rsidRPr="00506115">
        <w:t xml:space="preserve"> seks veker etter tildeling. Meldinga vert lagt ut på </w:t>
      </w:r>
      <w:proofErr w:type="spellStart"/>
      <w:r w:rsidRPr="00506115">
        <w:t>offentleg</w:t>
      </w:r>
      <w:proofErr w:type="spellEnd"/>
      <w:r w:rsidRPr="00506115">
        <w:t xml:space="preserve"> </w:t>
      </w:r>
      <w:proofErr w:type="spellStart"/>
      <w:r w:rsidRPr="00506115">
        <w:t>høyring</w:t>
      </w:r>
      <w:proofErr w:type="spellEnd"/>
      <w:r w:rsidRPr="00506115">
        <w:t xml:space="preserve"> i minimum seks veker, og departementet vil fastsette utgreiingsprogrammet etter </w:t>
      </w:r>
      <w:proofErr w:type="spellStart"/>
      <w:r w:rsidRPr="00506115">
        <w:t>høyringa</w:t>
      </w:r>
      <w:proofErr w:type="spellEnd"/>
      <w:r w:rsidRPr="00506115">
        <w:t>.</w:t>
      </w:r>
    </w:p>
    <w:p w14:paraId="5ED1F6E3" w14:textId="77777777" w:rsidR="00A02896" w:rsidRPr="00506115" w:rsidRDefault="00AE1379" w:rsidP="00506115">
      <w:pPr>
        <w:pStyle w:val="avsnitt-undertittel"/>
      </w:pPr>
      <w:r w:rsidRPr="00506115">
        <w:t>Konsesjonsvedtak</w:t>
      </w:r>
    </w:p>
    <w:p w14:paraId="37F93FE7" w14:textId="77777777" w:rsidR="00A02896" w:rsidRPr="00506115" w:rsidRDefault="00AE1379" w:rsidP="00506115">
      <w:r w:rsidRPr="00506115">
        <w:t xml:space="preserve">Etter at det prosjektspesifikke utgreiingsprogrammet er fastsett, har aktøren to år på seg til å sende inn konsesjonssøknad til departementet. Det er </w:t>
      </w:r>
      <w:proofErr w:type="spellStart"/>
      <w:r w:rsidRPr="00506115">
        <w:t>mogleg</w:t>
      </w:r>
      <w:proofErr w:type="spellEnd"/>
      <w:r w:rsidRPr="00506115">
        <w:t xml:space="preserve"> å søke om forlenga frist før fristen går ut. </w:t>
      </w:r>
      <w:proofErr w:type="spellStart"/>
      <w:r w:rsidRPr="00506115">
        <w:t>Ein</w:t>
      </w:r>
      <w:proofErr w:type="spellEnd"/>
      <w:r w:rsidRPr="00506115">
        <w:t xml:space="preserve"> eventuell forlenga frist </w:t>
      </w:r>
      <w:proofErr w:type="spellStart"/>
      <w:r w:rsidRPr="00506115">
        <w:t>føreset</w:t>
      </w:r>
      <w:proofErr w:type="spellEnd"/>
      <w:r w:rsidRPr="00506115">
        <w:t xml:space="preserve"> godkjenning av departementet. Den prosjektspesifikke konsekvensutgreiinga skal </w:t>
      </w:r>
      <w:proofErr w:type="spellStart"/>
      <w:r w:rsidRPr="00506115">
        <w:t>leggast</w:t>
      </w:r>
      <w:proofErr w:type="spellEnd"/>
      <w:r w:rsidRPr="00506115">
        <w:t xml:space="preserve"> ved konsesjonssøknaden. I konsesjonsvedtaket kan departementet sette vilkår av omsyn til mellom anna natur og </w:t>
      </w:r>
      <w:proofErr w:type="spellStart"/>
      <w:r w:rsidRPr="00506115">
        <w:t>mangfaldet</w:t>
      </w:r>
      <w:proofErr w:type="spellEnd"/>
      <w:r w:rsidRPr="00506115">
        <w:t xml:space="preserve"> i naturen. Konsesjonssøknaden vert lagt ut på </w:t>
      </w:r>
      <w:proofErr w:type="spellStart"/>
      <w:r w:rsidRPr="00506115">
        <w:t>offentleg</w:t>
      </w:r>
      <w:proofErr w:type="spellEnd"/>
      <w:r w:rsidRPr="00506115">
        <w:t xml:space="preserve"> </w:t>
      </w:r>
      <w:proofErr w:type="spellStart"/>
      <w:r w:rsidRPr="00506115">
        <w:t>høyring</w:t>
      </w:r>
      <w:proofErr w:type="spellEnd"/>
      <w:r w:rsidRPr="00506115">
        <w:t xml:space="preserve"> i minimum seks veker.</w:t>
      </w:r>
    </w:p>
    <w:p w14:paraId="70155ECD" w14:textId="77777777" w:rsidR="00A02896" w:rsidRPr="00506115" w:rsidRDefault="00AE1379" w:rsidP="00506115">
      <w:pPr>
        <w:pStyle w:val="avsnitt-undertittel"/>
      </w:pPr>
      <w:r w:rsidRPr="00506115">
        <w:t>Detaljplan</w:t>
      </w:r>
    </w:p>
    <w:p w14:paraId="7EE2CF29" w14:textId="77777777" w:rsidR="00A02896" w:rsidRPr="00506115" w:rsidRDefault="00AE1379" w:rsidP="00506115">
      <w:r w:rsidRPr="00506115">
        <w:t xml:space="preserve">Søknad om å få </w:t>
      </w:r>
      <w:proofErr w:type="spellStart"/>
      <w:r w:rsidRPr="00506115">
        <w:t>godkjend</w:t>
      </w:r>
      <w:proofErr w:type="spellEnd"/>
      <w:r w:rsidRPr="00506115">
        <w:t xml:space="preserve"> detaljplan skal etter </w:t>
      </w:r>
      <w:proofErr w:type="spellStart"/>
      <w:r w:rsidRPr="00506115">
        <w:t>noverande</w:t>
      </w:r>
      <w:proofErr w:type="spellEnd"/>
      <w:r w:rsidRPr="00506115">
        <w:t xml:space="preserve"> regelverk bli sendt til NVE </w:t>
      </w:r>
      <w:proofErr w:type="spellStart"/>
      <w:r w:rsidRPr="00506115">
        <w:t>innan</w:t>
      </w:r>
      <w:proofErr w:type="spellEnd"/>
      <w:r w:rsidRPr="00506115">
        <w:t xml:space="preserve"> to år etter vedtak om konsesjon. Det er </w:t>
      </w:r>
      <w:proofErr w:type="spellStart"/>
      <w:r w:rsidRPr="00506115">
        <w:t>mogleg</w:t>
      </w:r>
      <w:proofErr w:type="spellEnd"/>
      <w:r w:rsidRPr="00506115">
        <w:t xml:space="preserve"> å søke om forlenga frist før fristen går ut. Detaljplanen vert lagt ut på </w:t>
      </w:r>
      <w:proofErr w:type="spellStart"/>
      <w:r w:rsidRPr="00506115">
        <w:t>offentleg</w:t>
      </w:r>
      <w:proofErr w:type="spellEnd"/>
      <w:r w:rsidRPr="00506115">
        <w:t xml:space="preserve"> </w:t>
      </w:r>
      <w:proofErr w:type="spellStart"/>
      <w:r w:rsidRPr="00506115">
        <w:t>høyring</w:t>
      </w:r>
      <w:proofErr w:type="spellEnd"/>
      <w:r w:rsidRPr="00506115">
        <w:t xml:space="preserve"> i minimum seks veker. Handsamingstida vil variere med storleik og kompleksitet i saka. Anlegget skal </w:t>
      </w:r>
      <w:proofErr w:type="spellStart"/>
      <w:r w:rsidRPr="00506115">
        <w:t>vere</w:t>
      </w:r>
      <w:proofErr w:type="spellEnd"/>
      <w:r w:rsidRPr="00506115">
        <w:t xml:space="preserve"> sett i drift </w:t>
      </w:r>
      <w:proofErr w:type="spellStart"/>
      <w:r w:rsidRPr="00506115">
        <w:t>innan</w:t>
      </w:r>
      <w:proofErr w:type="spellEnd"/>
      <w:r w:rsidRPr="00506115">
        <w:t xml:space="preserve"> tre år etter vedtak om godkjent detaljplan.</w:t>
      </w:r>
    </w:p>
    <w:p w14:paraId="5E325F4A" w14:textId="77777777" w:rsidR="00A02896" w:rsidRPr="00506115" w:rsidRDefault="00AE1379" w:rsidP="00506115">
      <w:r w:rsidRPr="00506115">
        <w:t xml:space="preserve">Departementet arbeider med å effektivisere konsesjonsprosessen og vurderer mellom anna å slå </w:t>
      </w:r>
      <w:proofErr w:type="spellStart"/>
      <w:r w:rsidRPr="00506115">
        <w:t>saman</w:t>
      </w:r>
      <w:proofErr w:type="spellEnd"/>
      <w:r w:rsidRPr="00506115">
        <w:t xml:space="preserve"> konsesjonsvedtak og godkjenning av detaljplan. Etter den første tildelingsrunden vil det bli gjennomført ei evaluering av prosessen med sikte på å identifisere læringspunkt og eventuelt </w:t>
      </w:r>
      <w:proofErr w:type="spellStart"/>
      <w:r w:rsidRPr="00506115">
        <w:t>gjere</w:t>
      </w:r>
      <w:proofErr w:type="spellEnd"/>
      <w:r w:rsidRPr="00506115">
        <w:t xml:space="preserve"> </w:t>
      </w:r>
      <w:proofErr w:type="spellStart"/>
      <w:r w:rsidRPr="00506115">
        <w:t>justeringar</w:t>
      </w:r>
      <w:proofErr w:type="spellEnd"/>
      <w:r w:rsidRPr="00506115">
        <w:t>.</w:t>
      </w:r>
    </w:p>
    <w:p w14:paraId="4D7E7C6A" w14:textId="77777777" w:rsidR="00A02896" w:rsidRPr="00506115" w:rsidRDefault="00AE1379" w:rsidP="00AE1379">
      <w:pPr>
        <w:pStyle w:val="Overskrift1"/>
      </w:pPr>
      <w:proofErr w:type="spellStart"/>
      <w:r w:rsidRPr="00506115">
        <w:t>Føresetnader</w:t>
      </w:r>
      <w:proofErr w:type="spellEnd"/>
      <w:r w:rsidRPr="00506115">
        <w:t xml:space="preserve"> for </w:t>
      </w:r>
      <w:proofErr w:type="spellStart"/>
      <w:r w:rsidRPr="00506115">
        <w:t>eit</w:t>
      </w:r>
      <w:proofErr w:type="spellEnd"/>
      <w:r w:rsidRPr="00506115">
        <w:t xml:space="preserve"> anslag for </w:t>
      </w:r>
      <w:proofErr w:type="spellStart"/>
      <w:r w:rsidRPr="00506115">
        <w:t>statleg</w:t>
      </w:r>
      <w:proofErr w:type="spellEnd"/>
      <w:r w:rsidRPr="00506115">
        <w:t xml:space="preserve"> støtte</w:t>
      </w:r>
    </w:p>
    <w:p w14:paraId="0877C2E1" w14:textId="77777777" w:rsidR="00A02896" w:rsidRPr="00506115" w:rsidRDefault="00AE1379" w:rsidP="00506115">
      <w:r w:rsidRPr="00506115">
        <w:t xml:space="preserve">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vil </w:t>
      </w:r>
      <w:proofErr w:type="spellStart"/>
      <w:r w:rsidRPr="00506115">
        <w:t>truleg</w:t>
      </w:r>
      <w:proofErr w:type="spellEnd"/>
      <w:r w:rsidRPr="00506115">
        <w:t xml:space="preserve"> ha behov for </w:t>
      </w:r>
      <w:proofErr w:type="spellStart"/>
      <w:r w:rsidRPr="00506115">
        <w:t>statleg</w:t>
      </w:r>
      <w:proofErr w:type="spellEnd"/>
      <w:r w:rsidRPr="00506115">
        <w:t xml:space="preserve"> støtte for å bli realisert. Prosjektområdet ligg langt til havs og det er om lag 200 kilometer til </w:t>
      </w:r>
      <w:proofErr w:type="spellStart"/>
      <w:r w:rsidRPr="00506115">
        <w:t>næraste</w:t>
      </w:r>
      <w:proofErr w:type="spellEnd"/>
      <w:r w:rsidRPr="00506115">
        <w:t xml:space="preserve"> </w:t>
      </w:r>
      <w:proofErr w:type="spellStart"/>
      <w:r w:rsidRPr="00506115">
        <w:t>tilknytingspunkt</w:t>
      </w:r>
      <w:proofErr w:type="spellEnd"/>
      <w:r w:rsidRPr="00506115">
        <w:t xml:space="preserve"> i transmisjonsnettet, jf. avsnitt 2.2. </w:t>
      </w:r>
      <w:proofErr w:type="spellStart"/>
      <w:r w:rsidRPr="00506115">
        <w:t>Sørlege</w:t>
      </w:r>
      <w:proofErr w:type="spellEnd"/>
      <w:r w:rsidRPr="00506115">
        <w:t xml:space="preserve"> </w:t>
      </w:r>
      <w:proofErr w:type="spellStart"/>
      <w:r w:rsidRPr="00506115">
        <w:t>Nordsjø</w:t>
      </w:r>
      <w:proofErr w:type="spellEnd"/>
      <w:r w:rsidRPr="00506115">
        <w:t xml:space="preserve"> II er grunt nok til å </w:t>
      </w:r>
      <w:proofErr w:type="spellStart"/>
      <w:r w:rsidRPr="00506115">
        <w:t>vere</w:t>
      </w:r>
      <w:proofErr w:type="spellEnd"/>
      <w:r w:rsidRPr="00506115">
        <w:t xml:space="preserve"> eigna for botnfast havvind, </w:t>
      </w:r>
      <w:r w:rsidRPr="00506115">
        <w:lastRenderedPageBreak/>
        <w:t xml:space="preserve">som er </w:t>
      </w:r>
      <w:proofErr w:type="spellStart"/>
      <w:r w:rsidRPr="00506115">
        <w:t>ein</w:t>
      </w:r>
      <w:proofErr w:type="spellEnd"/>
      <w:r w:rsidRPr="00506115">
        <w:t xml:space="preserve"> moden teknologi. Første fase vil likevel ligge i </w:t>
      </w:r>
      <w:proofErr w:type="spellStart"/>
      <w:r w:rsidRPr="00506115">
        <w:t>eit</w:t>
      </w:r>
      <w:proofErr w:type="spellEnd"/>
      <w:r w:rsidRPr="00506115">
        <w:t xml:space="preserve"> djupt område </w:t>
      </w:r>
      <w:proofErr w:type="spellStart"/>
      <w:r w:rsidRPr="00506115">
        <w:t>samanlikna</w:t>
      </w:r>
      <w:proofErr w:type="spellEnd"/>
      <w:r w:rsidRPr="00506115">
        <w:t xml:space="preserve"> med </w:t>
      </w:r>
      <w:proofErr w:type="spellStart"/>
      <w:r w:rsidRPr="00506115">
        <w:t>dei</w:t>
      </w:r>
      <w:proofErr w:type="spellEnd"/>
      <w:r w:rsidRPr="00506115">
        <w:t xml:space="preserve"> fleste havvindprosjekta i Europa. </w:t>
      </w:r>
      <w:proofErr w:type="spellStart"/>
      <w:r w:rsidRPr="00506115">
        <w:t>Desse</w:t>
      </w:r>
      <w:proofErr w:type="spellEnd"/>
      <w:r w:rsidRPr="00506115">
        <w:t xml:space="preserve"> </w:t>
      </w:r>
      <w:proofErr w:type="spellStart"/>
      <w:r w:rsidRPr="00506115">
        <w:t>eigenskapane</w:t>
      </w:r>
      <w:proofErr w:type="spellEnd"/>
      <w:r w:rsidRPr="00506115">
        <w:t xml:space="preserve"> vil kunne </w:t>
      </w:r>
      <w:proofErr w:type="spellStart"/>
      <w:r w:rsidRPr="00506115">
        <w:t>gje</w:t>
      </w:r>
      <w:proofErr w:type="spellEnd"/>
      <w:r w:rsidRPr="00506115">
        <w:t xml:space="preserve"> havvindparken høgre investerings- og driftskostnader enn </w:t>
      </w:r>
      <w:proofErr w:type="spellStart"/>
      <w:r w:rsidRPr="00506115">
        <w:t>havvindparkar</w:t>
      </w:r>
      <w:proofErr w:type="spellEnd"/>
      <w:r w:rsidRPr="00506115">
        <w:t xml:space="preserve"> som er bygd ut i </w:t>
      </w:r>
      <w:proofErr w:type="spellStart"/>
      <w:r w:rsidRPr="00506115">
        <w:t>grunnare</w:t>
      </w:r>
      <w:proofErr w:type="spellEnd"/>
      <w:r w:rsidRPr="00506115">
        <w:t xml:space="preserve"> havområde og </w:t>
      </w:r>
      <w:proofErr w:type="spellStart"/>
      <w:r w:rsidRPr="00506115">
        <w:t>nærare</w:t>
      </w:r>
      <w:proofErr w:type="spellEnd"/>
      <w:r w:rsidRPr="00506115">
        <w:t xml:space="preserve"> land. Første fase vil bli knytt til </w:t>
      </w:r>
      <w:proofErr w:type="spellStart"/>
      <w:r w:rsidRPr="00506115">
        <w:t>Noreg</w:t>
      </w:r>
      <w:proofErr w:type="spellEnd"/>
      <w:r w:rsidRPr="00506115">
        <w:t xml:space="preserve"> med </w:t>
      </w:r>
      <w:proofErr w:type="spellStart"/>
      <w:r w:rsidRPr="00506115">
        <w:t>ein</w:t>
      </w:r>
      <w:proofErr w:type="spellEnd"/>
      <w:r w:rsidRPr="00506115">
        <w:t xml:space="preserve"> radial og forventa kraftprisutvikling </w:t>
      </w:r>
      <w:proofErr w:type="spellStart"/>
      <w:r w:rsidRPr="00506115">
        <w:t>tilseier</w:t>
      </w:r>
      <w:proofErr w:type="spellEnd"/>
      <w:r w:rsidRPr="00506115">
        <w:t xml:space="preserve"> at kraftprisen </w:t>
      </w:r>
      <w:proofErr w:type="spellStart"/>
      <w:r w:rsidRPr="00506115">
        <w:t>truleg</w:t>
      </w:r>
      <w:proofErr w:type="spellEnd"/>
      <w:r w:rsidRPr="00506115">
        <w:t xml:space="preserve"> </w:t>
      </w:r>
      <w:proofErr w:type="spellStart"/>
      <w:r w:rsidRPr="00506115">
        <w:t>ikkje</w:t>
      </w:r>
      <w:proofErr w:type="spellEnd"/>
      <w:r w:rsidRPr="00506115">
        <w:t xml:space="preserve"> er </w:t>
      </w:r>
      <w:proofErr w:type="spellStart"/>
      <w:r w:rsidRPr="00506115">
        <w:t>høg</w:t>
      </w:r>
      <w:proofErr w:type="spellEnd"/>
      <w:r w:rsidRPr="00506115">
        <w:t xml:space="preserve"> nok til å dekke investerings- og driftskostnadene til prosjektet.</w:t>
      </w:r>
    </w:p>
    <w:p w14:paraId="757BF971" w14:textId="77777777" w:rsidR="00A02896" w:rsidRPr="00506115" w:rsidRDefault="00AE1379" w:rsidP="00506115">
      <w:proofErr w:type="spellStart"/>
      <w:r w:rsidRPr="00506115">
        <w:t>Truleg</w:t>
      </w:r>
      <w:proofErr w:type="spellEnd"/>
      <w:r w:rsidRPr="00506115">
        <w:t xml:space="preserve"> vil investerings- og driftskostnader variere mellom </w:t>
      </w:r>
      <w:proofErr w:type="spellStart"/>
      <w:r w:rsidRPr="00506115">
        <w:t>aktørane</w:t>
      </w:r>
      <w:proofErr w:type="spellEnd"/>
      <w:r w:rsidRPr="00506115">
        <w:t xml:space="preserve">. </w:t>
      </w:r>
      <w:proofErr w:type="spellStart"/>
      <w:r w:rsidRPr="00506115">
        <w:t>Aktørane</w:t>
      </w:r>
      <w:proofErr w:type="spellEnd"/>
      <w:r w:rsidRPr="00506115">
        <w:t xml:space="preserve"> vil til dømes ha prosjekt med ulike </w:t>
      </w:r>
      <w:proofErr w:type="spellStart"/>
      <w:r w:rsidRPr="00506115">
        <w:t>løysingar</w:t>
      </w:r>
      <w:proofErr w:type="spellEnd"/>
      <w:r w:rsidRPr="00506115">
        <w:t xml:space="preserve"> og finansiering, og ha ulikt nivå av erfaring som påverkar prosjektkostnadene. </w:t>
      </w:r>
      <w:proofErr w:type="spellStart"/>
      <w:r w:rsidRPr="00506115">
        <w:t>Ein</w:t>
      </w:r>
      <w:proofErr w:type="spellEnd"/>
      <w:r w:rsidRPr="00506115">
        <w:t xml:space="preserve"> tildelingsmodell for prosjektområde må legge til rette for at det mest </w:t>
      </w:r>
      <w:proofErr w:type="spellStart"/>
      <w:r w:rsidRPr="00506115">
        <w:t>lønsame</w:t>
      </w:r>
      <w:proofErr w:type="spellEnd"/>
      <w:r w:rsidRPr="00506115">
        <w:t xml:space="preserve"> av </w:t>
      </w:r>
      <w:proofErr w:type="spellStart"/>
      <w:r w:rsidRPr="00506115">
        <w:t>dei</w:t>
      </w:r>
      <w:proofErr w:type="spellEnd"/>
      <w:r w:rsidRPr="00506115">
        <w:t xml:space="preserve"> prekvalifiserte prosjekta blir realisert. Tildeling av prosjektområdet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i </w:t>
      </w:r>
      <w:proofErr w:type="spellStart"/>
      <w:r w:rsidRPr="00506115">
        <w:t>ein</w:t>
      </w:r>
      <w:proofErr w:type="spellEnd"/>
      <w:r w:rsidRPr="00506115">
        <w:t xml:space="preserve"> auksjon etter prekvalifisering, vil </w:t>
      </w:r>
      <w:proofErr w:type="spellStart"/>
      <w:r w:rsidRPr="00506115">
        <w:t>gje</w:t>
      </w:r>
      <w:proofErr w:type="spellEnd"/>
      <w:r w:rsidRPr="00506115">
        <w:t xml:space="preserve"> konkurranse om den </w:t>
      </w:r>
      <w:proofErr w:type="spellStart"/>
      <w:r w:rsidRPr="00506115">
        <w:t>statlege</w:t>
      </w:r>
      <w:proofErr w:type="spellEnd"/>
      <w:r w:rsidRPr="00506115">
        <w:t xml:space="preserve"> støtta og </w:t>
      </w:r>
      <w:proofErr w:type="spellStart"/>
      <w:r w:rsidRPr="00506115">
        <w:t>legg</w:t>
      </w:r>
      <w:proofErr w:type="spellEnd"/>
      <w:r w:rsidRPr="00506115">
        <w:t xml:space="preserve"> til rette for at prosjektområdet blir tildelt den prekvalifiserte aktøren som kan realisere prosjektet til </w:t>
      </w:r>
      <w:proofErr w:type="spellStart"/>
      <w:r w:rsidRPr="00506115">
        <w:t>lågast</w:t>
      </w:r>
      <w:proofErr w:type="spellEnd"/>
      <w:r w:rsidRPr="00506115">
        <w:t xml:space="preserve"> kostnad. Samtidig </w:t>
      </w:r>
      <w:proofErr w:type="spellStart"/>
      <w:r w:rsidRPr="00506115">
        <w:t>inneber</w:t>
      </w:r>
      <w:proofErr w:type="spellEnd"/>
      <w:r w:rsidRPr="00506115">
        <w:t xml:space="preserve"> denne tildelingsmodellen at nivået på statsstøtta er ukjent fram til auksjonen er gjennomført. Departementet presenterer i denne proposisjonen anslag på støttebehovet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under ulike </w:t>
      </w:r>
      <w:proofErr w:type="spellStart"/>
      <w:r w:rsidRPr="00506115">
        <w:t>føresetnader</w:t>
      </w:r>
      <w:proofErr w:type="spellEnd"/>
      <w:r w:rsidRPr="00506115">
        <w:t xml:space="preserve">. Anslaga er basert på </w:t>
      </w:r>
      <w:proofErr w:type="spellStart"/>
      <w:r w:rsidRPr="00506115">
        <w:t>kostnadstal</w:t>
      </w:r>
      <w:proofErr w:type="spellEnd"/>
      <w:r w:rsidRPr="00506115">
        <w:t xml:space="preserve"> </w:t>
      </w:r>
      <w:proofErr w:type="spellStart"/>
      <w:r w:rsidRPr="00506115">
        <w:t>frå</w:t>
      </w:r>
      <w:proofErr w:type="spellEnd"/>
      <w:r w:rsidRPr="00506115">
        <w:t xml:space="preserve"> NVE, og </w:t>
      </w:r>
      <w:proofErr w:type="spellStart"/>
      <w:r w:rsidRPr="00506115">
        <w:t>kraftprisprognosar</w:t>
      </w:r>
      <w:proofErr w:type="spellEnd"/>
      <w:r w:rsidRPr="00506115">
        <w:t xml:space="preserve"> </w:t>
      </w:r>
      <w:proofErr w:type="spellStart"/>
      <w:r w:rsidRPr="00506115">
        <w:t>frå</w:t>
      </w:r>
      <w:proofErr w:type="spellEnd"/>
      <w:r w:rsidRPr="00506115">
        <w:t xml:space="preserve"> NVE og </w:t>
      </w:r>
      <w:proofErr w:type="spellStart"/>
      <w:r w:rsidRPr="00506115">
        <w:t>Thema</w:t>
      </w:r>
      <w:proofErr w:type="spellEnd"/>
      <w:r w:rsidRPr="00506115">
        <w:t xml:space="preserve"> </w:t>
      </w:r>
      <w:proofErr w:type="spellStart"/>
      <w:r w:rsidRPr="00506115">
        <w:t>Consulting</w:t>
      </w:r>
      <w:proofErr w:type="spellEnd"/>
      <w:r w:rsidRPr="00506115">
        <w:t xml:space="preserve">. </w:t>
      </w:r>
      <w:proofErr w:type="spellStart"/>
      <w:r w:rsidRPr="00506115">
        <w:t>Kraftprisprognosane</w:t>
      </w:r>
      <w:proofErr w:type="spellEnd"/>
      <w:r w:rsidRPr="00506115">
        <w:t xml:space="preserve"> </w:t>
      </w:r>
      <w:proofErr w:type="spellStart"/>
      <w:r w:rsidRPr="00506115">
        <w:t>frå</w:t>
      </w:r>
      <w:proofErr w:type="spellEnd"/>
      <w:r w:rsidRPr="00506115">
        <w:t xml:space="preserve"> NVE er </w:t>
      </w:r>
      <w:proofErr w:type="spellStart"/>
      <w:r w:rsidRPr="00506115">
        <w:t>frå</w:t>
      </w:r>
      <w:proofErr w:type="spellEnd"/>
      <w:r w:rsidRPr="00506115">
        <w:t xml:space="preserve"> 2021, som er før </w:t>
      </w:r>
      <w:proofErr w:type="spellStart"/>
      <w:r w:rsidRPr="00506115">
        <w:t>dei</w:t>
      </w:r>
      <w:proofErr w:type="spellEnd"/>
      <w:r w:rsidRPr="00506115">
        <w:t xml:space="preserve"> ekstraordinære høge </w:t>
      </w:r>
      <w:proofErr w:type="spellStart"/>
      <w:r w:rsidRPr="00506115">
        <w:t>kraftprisane</w:t>
      </w:r>
      <w:proofErr w:type="spellEnd"/>
      <w:r w:rsidRPr="00506115">
        <w:t xml:space="preserve"> vi </w:t>
      </w:r>
      <w:proofErr w:type="spellStart"/>
      <w:r w:rsidRPr="00506115">
        <w:t>no</w:t>
      </w:r>
      <w:proofErr w:type="spellEnd"/>
      <w:r w:rsidRPr="00506115">
        <w:t xml:space="preserve"> ser, </w:t>
      </w:r>
      <w:proofErr w:type="spellStart"/>
      <w:r w:rsidRPr="00506115">
        <w:t>medan</w:t>
      </w:r>
      <w:proofErr w:type="spellEnd"/>
      <w:r w:rsidRPr="00506115">
        <w:t xml:space="preserve"> </w:t>
      </w:r>
      <w:proofErr w:type="spellStart"/>
      <w:r w:rsidRPr="00506115">
        <w:t>kraftprisprognosane</w:t>
      </w:r>
      <w:proofErr w:type="spellEnd"/>
      <w:r w:rsidRPr="00506115">
        <w:t xml:space="preserve"> </w:t>
      </w:r>
      <w:proofErr w:type="spellStart"/>
      <w:r w:rsidRPr="00506115">
        <w:t>frå</w:t>
      </w:r>
      <w:proofErr w:type="spellEnd"/>
      <w:r w:rsidRPr="00506115">
        <w:t xml:space="preserve"> </w:t>
      </w:r>
      <w:proofErr w:type="spellStart"/>
      <w:r w:rsidRPr="00506115">
        <w:t>Thema</w:t>
      </w:r>
      <w:proofErr w:type="spellEnd"/>
      <w:r w:rsidRPr="00506115">
        <w:t xml:space="preserve"> er </w:t>
      </w:r>
      <w:proofErr w:type="spellStart"/>
      <w:r w:rsidRPr="00506115">
        <w:t>frå</w:t>
      </w:r>
      <w:proofErr w:type="spellEnd"/>
      <w:r w:rsidRPr="00506115">
        <w:t xml:space="preserve"> september 2022. Departementet har sett på tre ulike scenario som vil </w:t>
      </w:r>
      <w:proofErr w:type="spellStart"/>
      <w:r w:rsidRPr="00506115">
        <w:t>gje</w:t>
      </w:r>
      <w:proofErr w:type="spellEnd"/>
      <w:r w:rsidRPr="00506115">
        <w:t xml:space="preserve"> prosjektet </w:t>
      </w:r>
      <w:proofErr w:type="spellStart"/>
      <w:r w:rsidRPr="00506115">
        <w:t>eit</w:t>
      </w:r>
      <w:proofErr w:type="spellEnd"/>
      <w:r w:rsidRPr="00506115">
        <w:t xml:space="preserve"> høgt støttebehov: Høg investeringskostnad, låg kraftpris og </w:t>
      </w:r>
      <w:proofErr w:type="spellStart"/>
      <w:r w:rsidRPr="00506115">
        <w:t>eit</w:t>
      </w:r>
      <w:proofErr w:type="spellEnd"/>
      <w:r w:rsidRPr="00506115">
        <w:t xml:space="preserve"> scenario med både høge investeringskostnader og låge </w:t>
      </w:r>
      <w:proofErr w:type="spellStart"/>
      <w:r w:rsidRPr="00506115">
        <w:t>kraftprisar</w:t>
      </w:r>
      <w:proofErr w:type="spellEnd"/>
      <w:r w:rsidRPr="00506115">
        <w:t xml:space="preserve">. I tillegg presenterer departementet tre ulike scenario som vil </w:t>
      </w:r>
      <w:proofErr w:type="spellStart"/>
      <w:r w:rsidRPr="00506115">
        <w:t>gje</w:t>
      </w:r>
      <w:proofErr w:type="spellEnd"/>
      <w:r w:rsidRPr="00506115">
        <w:t xml:space="preserve"> </w:t>
      </w:r>
      <w:proofErr w:type="spellStart"/>
      <w:r w:rsidRPr="00506115">
        <w:t>eit</w:t>
      </w:r>
      <w:proofErr w:type="spellEnd"/>
      <w:r w:rsidRPr="00506115">
        <w:t xml:space="preserve"> lågt støttebehov: Låg investeringskostnad, høg kraftpris og </w:t>
      </w:r>
      <w:proofErr w:type="spellStart"/>
      <w:r w:rsidRPr="00506115">
        <w:t>ein</w:t>
      </w:r>
      <w:proofErr w:type="spellEnd"/>
      <w:r w:rsidRPr="00506115">
        <w:t xml:space="preserve"> kombinasjon av </w:t>
      </w:r>
      <w:proofErr w:type="spellStart"/>
      <w:r w:rsidRPr="00506115">
        <w:t>desse</w:t>
      </w:r>
      <w:proofErr w:type="spellEnd"/>
      <w:r w:rsidRPr="00506115">
        <w:t xml:space="preserve">. Anslaga er usikre og må </w:t>
      </w:r>
      <w:proofErr w:type="spellStart"/>
      <w:r w:rsidRPr="00506115">
        <w:t>tolkast</w:t>
      </w:r>
      <w:proofErr w:type="spellEnd"/>
      <w:r w:rsidRPr="00506115">
        <w:t xml:space="preserve"> som </w:t>
      </w:r>
      <w:proofErr w:type="spellStart"/>
      <w:r w:rsidRPr="00506115">
        <w:t>indikatorar</w:t>
      </w:r>
      <w:proofErr w:type="spellEnd"/>
      <w:r w:rsidRPr="00506115">
        <w:t xml:space="preserve"> for støttebehovet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w:t>
      </w:r>
    </w:p>
    <w:p w14:paraId="301D5DBC" w14:textId="77777777" w:rsidR="00A02896" w:rsidRPr="00506115" w:rsidRDefault="00AE1379" w:rsidP="00AE1379">
      <w:pPr>
        <w:pStyle w:val="Overskrift2"/>
      </w:pPr>
      <w:proofErr w:type="spellStart"/>
      <w:r w:rsidRPr="00506115">
        <w:t>Kraftprisprognosar</w:t>
      </w:r>
      <w:proofErr w:type="spellEnd"/>
    </w:p>
    <w:p w14:paraId="71A1CE89" w14:textId="77777777" w:rsidR="00A02896" w:rsidRPr="00506115" w:rsidRDefault="00AE1379" w:rsidP="00506115">
      <w:r w:rsidRPr="00506115">
        <w:t xml:space="preserve">Inntekta til havvindprodusenten er avhengig av kraftprisen og kor </w:t>
      </w:r>
      <w:proofErr w:type="spellStart"/>
      <w:r w:rsidRPr="00506115">
        <w:t>mykje</w:t>
      </w:r>
      <w:proofErr w:type="spellEnd"/>
      <w:r w:rsidRPr="00506115">
        <w:t xml:space="preserve"> energi kraftverket produserer i kvar enkelt time. Det tar </w:t>
      </w:r>
      <w:proofErr w:type="spellStart"/>
      <w:r w:rsidRPr="00506115">
        <w:t>fleire</w:t>
      </w:r>
      <w:proofErr w:type="spellEnd"/>
      <w:r w:rsidRPr="00506115">
        <w:t xml:space="preserve"> år å planlegge og bygge </w:t>
      </w:r>
      <w:proofErr w:type="spellStart"/>
      <w:r w:rsidRPr="00506115">
        <w:t>eit</w:t>
      </w:r>
      <w:proofErr w:type="spellEnd"/>
      <w:r w:rsidRPr="00506115">
        <w:t xml:space="preserve"> havvindanlegg, og regjeringa sitt mål er at </w:t>
      </w:r>
      <w:proofErr w:type="spellStart"/>
      <w:r w:rsidRPr="00506115">
        <w:t>dei</w:t>
      </w:r>
      <w:proofErr w:type="spellEnd"/>
      <w:r w:rsidRPr="00506115">
        <w:t xml:space="preserve"> første prosjekta er i drift </w:t>
      </w:r>
      <w:proofErr w:type="spellStart"/>
      <w:r w:rsidRPr="00506115">
        <w:t>innan</w:t>
      </w:r>
      <w:proofErr w:type="spellEnd"/>
      <w:r w:rsidRPr="00506115">
        <w:t xml:space="preserve"> 2030. Når anlegget er sett i drift, har kraftverket ei levetid på om lag 30 år. Det er dermed kraftprisen på lang sikt som vil ha størst </w:t>
      </w:r>
      <w:proofErr w:type="spellStart"/>
      <w:r w:rsidRPr="00506115">
        <w:t>innverknad</w:t>
      </w:r>
      <w:proofErr w:type="spellEnd"/>
      <w:r w:rsidRPr="00506115">
        <w:t xml:space="preserve"> på </w:t>
      </w:r>
      <w:proofErr w:type="spellStart"/>
      <w:r w:rsidRPr="00506115">
        <w:t>innteninga</w:t>
      </w:r>
      <w:proofErr w:type="spellEnd"/>
      <w:r w:rsidRPr="00506115">
        <w:t xml:space="preserve"> til kraftverket. Denne er uviss, og vil mellom anna avhenge av forbruksutvikling, norsk og europeisk klimapolitikk og utbyggingstakt til ny kraftproduksjon i både </w:t>
      </w:r>
      <w:proofErr w:type="spellStart"/>
      <w:r w:rsidRPr="00506115">
        <w:t>Noreg</w:t>
      </w:r>
      <w:proofErr w:type="spellEnd"/>
      <w:r w:rsidRPr="00506115">
        <w:t xml:space="preserve"> og resten av Europa.</w:t>
      </w:r>
    </w:p>
    <w:p w14:paraId="677D446B" w14:textId="77777777" w:rsidR="00A02896" w:rsidRPr="00506115" w:rsidRDefault="00AE1379" w:rsidP="00506115">
      <w:r w:rsidRPr="00506115">
        <w:t xml:space="preserve">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vil bli knytt til prisområdet NO2 (Sørlandet). Figur 4.1 viser </w:t>
      </w:r>
      <w:proofErr w:type="spellStart"/>
      <w:r w:rsidRPr="00506115">
        <w:t>kraftprisprognosar</w:t>
      </w:r>
      <w:proofErr w:type="spellEnd"/>
      <w:r w:rsidRPr="00506115">
        <w:t xml:space="preserve"> </w:t>
      </w:r>
      <w:proofErr w:type="spellStart"/>
      <w:r w:rsidRPr="00506115">
        <w:t>frå</w:t>
      </w:r>
      <w:proofErr w:type="spellEnd"/>
      <w:r w:rsidRPr="00506115">
        <w:t xml:space="preserve"> NVE og </w:t>
      </w:r>
      <w:proofErr w:type="spellStart"/>
      <w:r w:rsidRPr="00506115">
        <w:t>Thema</w:t>
      </w:r>
      <w:proofErr w:type="spellEnd"/>
      <w:r w:rsidRPr="00506115">
        <w:t xml:space="preserve"> </w:t>
      </w:r>
      <w:proofErr w:type="spellStart"/>
      <w:r w:rsidRPr="00506115">
        <w:t>Consulting</w:t>
      </w:r>
      <w:proofErr w:type="spellEnd"/>
      <w:r w:rsidRPr="00506115">
        <w:t xml:space="preserve"> for NO2 i perioden 2026–2060.</w:t>
      </w:r>
      <w:r w:rsidRPr="00506115">
        <w:rPr>
          <w:rStyle w:val="Fotnotereferanse"/>
        </w:rPr>
        <w:footnoteReference w:id="10"/>
      </w:r>
      <w:r w:rsidRPr="00506115">
        <w:t xml:space="preserve"> Prognosen viser at det er venta høge, men </w:t>
      </w:r>
      <w:proofErr w:type="spellStart"/>
      <w:r w:rsidRPr="00506115">
        <w:t>fallande</w:t>
      </w:r>
      <w:proofErr w:type="spellEnd"/>
      <w:r w:rsidRPr="00506115">
        <w:t xml:space="preserve"> </w:t>
      </w:r>
      <w:proofErr w:type="spellStart"/>
      <w:r w:rsidRPr="00506115">
        <w:t>kraftprisar</w:t>
      </w:r>
      <w:proofErr w:type="spellEnd"/>
      <w:r w:rsidRPr="00506115">
        <w:t xml:space="preserve"> fram mot 2030, og forholdsvis </w:t>
      </w:r>
      <w:proofErr w:type="spellStart"/>
      <w:r w:rsidRPr="00506115">
        <w:t>låg</w:t>
      </w:r>
      <w:proofErr w:type="spellEnd"/>
      <w:r w:rsidRPr="00506115">
        <w:t xml:space="preserve"> kraftpris på lang sikt. Utviklinga har </w:t>
      </w:r>
      <w:proofErr w:type="spellStart"/>
      <w:r w:rsidRPr="00506115">
        <w:t>samanheng</w:t>
      </w:r>
      <w:proofErr w:type="spellEnd"/>
      <w:r w:rsidRPr="00506115">
        <w:t xml:space="preserve"> med at det er venta </w:t>
      </w:r>
      <w:proofErr w:type="spellStart"/>
      <w:r w:rsidRPr="00506115">
        <w:t>ein</w:t>
      </w:r>
      <w:proofErr w:type="spellEnd"/>
      <w:r w:rsidRPr="00506115">
        <w:t xml:space="preserve"> </w:t>
      </w:r>
      <w:proofErr w:type="spellStart"/>
      <w:r w:rsidRPr="00506115">
        <w:t>betydeleg</w:t>
      </w:r>
      <w:proofErr w:type="spellEnd"/>
      <w:r w:rsidRPr="00506115">
        <w:t xml:space="preserve"> </w:t>
      </w:r>
      <w:proofErr w:type="spellStart"/>
      <w:r w:rsidRPr="00506115">
        <w:t>auke</w:t>
      </w:r>
      <w:proofErr w:type="spellEnd"/>
      <w:r w:rsidRPr="00506115">
        <w:t xml:space="preserve"> i kapasiteten av fornybar energi i Europa. Det blir då </w:t>
      </w:r>
      <w:proofErr w:type="spellStart"/>
      <w:r w:rsidRPr="00506115">
        <w:t>fleire</w:t>
      </w:r>
      <w:proofErr w:type="spellEnd"/>
      <w:r w:rsidRPr="00506115">
        <w:t xml:space="preserve"> </w:t>
      </w:r>
      <w:proofErr w:type="spellStart"/>
      <w:r w:rsidRPr="00506115">
        <w:t>timar</w:t>
      </w:r>
      <w:proofErr w:type="spellEnd"/>
      <w:r w:rsidRPr="00506115">
        <w:t xml:space="preserve"> med låge </w:t>
      </w:r>
      <w:proofErr w:type="spellStart"/>
      <w:r w:rsidRPr="00506115">
        <w:t>kraftprisar</w:t>
      </w:r>
      <w:proofErr w:type="spellEnd"/>
      <w:r w:rsidRPr="00506115">
        <w:t>, og CO</w:t>
      </w:r>
      <w:r w:rsidRPr="00506115">
        <w:rPr>
          <w:rStyle w:val="skrift-senket"/>
        </w:rPr>
        <w:t>2</w:t>
      </w:r>
      <w:r w:rsidRPr="00506115">
        <w:t xml:space="preserve">-prisen påverkar etter kvart </w:t>
      </w:r>
      <w:proofErr w:type="spellStart"/>
      <w:r w:rsidRPr="00506115">
        <w:t>kraftprisane</w:t>
      </w:r>
      <w:proofErr w:type="spellEnd"/>
      <w:r w:rsidRPr="00506115">
        <w:t xml:space="preserve"> i mindre grad enn i dag. NVE anslår </w:t>
      </w:r>
      <w:proofErr w:type="spellStart"/>
      <w:r w:rsidRPr="00506115">
        <w:t>ein</w:t>
      </w:r>
      <w:proofErr w:type="spellEnd"/>
      <w:r w:rsidRPr="00506115">
        <w:t xml:space="preserve"> </w:t>
      </w:r>
      <w:proofErr w:type="spellStart"/>
      <w:r w:rsidRPr="00506115">
        <w:t>gjennomsnittleg</w:t>
      </w:r>
      <w:proofErr w:type="spellEnd"/>
      <w:r w:rsidRPr="00506115">
        <w:t xml:space="preserve"> kraftpris på 52 øre/kWh i perioden 2030–2060, </w:t>
      </w:r>
      <w:proofErr w:type="spellStart"/>
      <w:r w:rsidRPr="00506115">
        <w:t>medan</w:t>
      </w:r>
      <w:proofErr w:type="spellEnd"/>
      <w:r w:rsidRPr="00506115">
        <w:t xml:space="preserve"> </w:t>
      </w:r>
      <w:proofErr w:type="spellStart"/>
      <w:r w:rsidRPr="00506115">
        <w:t>Thema</w:t>
      </w:r>
      <w:proofErr w:type="spellEnd"/>
      <w:r w:rsidRPr="00506115">
        <w:t xml:space="preserve"> </w:t>
      </w:r>
      <w:proofErr w:type="spellStart"/>
      <w:r w:rsidRPr="00506115">
        <w:t>Consulting</w:t>
      </w:r>
      <w:proofErr w:type="spellEnd"/>
      <w:r w:rsidRPr="00506115">
        <w:t xml:space="preserve"> anslår </w:t>
      </w:r>
      <w:proofErr w:type="spellStart"/>
      <w:r w:rsidRPr="00506115">
        <w:t>ein</w:t>
      </w:r>
      <w:proofErr w:type="spellEnd"/>
      <w:r w:rsidRPr="00506115">
        <w:t xml:space="preserve"> </w:t>
      </w:r>
      <w:proofErr w:type="spellStart"/>
      <w:r w:rsidRPr="00506115">
        <w:t>gjennomsnittleg</w:t>
      </w:r>
      <w:proofErr w:type="spellEnd"/>
      <w:r w:rsidRPr="00506115">
        <w:t xml:space="preserve"> kraftpris på 46 øre/kWh i same periode i </w:t>
      </w:r>
      <w:proofErr w:type="spellStart"/>
      <w:r w:rsidRPr="00506115">
        <w:t>hovudscenariet</w:t>
      </w:r>
      <w:proofErr w:type="spellEnd"/>
      <w:r w:rsidRPr="00506115">
        <w:t xml:space="preserve"> sitt.</w:t>
      </w:r>
    </w:p>
    <w:p w14:paraId="4BB6B761" w14:textId="3632A954" w:rsidR="00A02896" w:rsidRPr="00506115" w:rsidRDefault="006400BF" w:rsidP="00506115">
      <w:r>
        <w:rPr>
          <w:noProof/>
        </w:rPr>
        <w:lastRenderedPageBreak/>
        <w:drawing>
          <wp:inline distT="0" distB="0" distL="0" distR="0" wp14:anchorId="1BA9DB85" wp14:editId="4DEDC886">
            <wp:extent cx="6086475" cy="2886075"/>
            <wp:effectExtent l="0" t="0" r="9525"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BA5DD67" w14:textId="77777777" w:rsidR="00A02896" w:rsidRPr="00506115" w:rsidRDefault="00AE1379" w:rsidP="00AE1379">
      <w:pPr>
        <w:pStyle w:val="figur-tittel"/>
      </w:pPr>
      <w:proofErr w:type="spellStart"/>
      <w:r w:rsidRPr="00506115">
        <w:t>Kraftprisprognosar</w:t>
      </w:r>
      <w:proofErr w:type="spellEnd"/>
      <w:r w:rsidRPr="00506115">
        <w:t xml:space="preserve"> for NO2 (Sørlandet)</w:t>
      </w:r>
    </w:p>
    <w:p w14:paraId="652B9819" w14:textId="77777777" w:rsidR="00A02896" w:rsidRPr="00506115" w:rsidRDefault="00AE1379" w:rsidP="00506115">
      <w:pPr>
        <w:pStyle w:val="Kilde"/>
      </w:pPr>
      <w:r w:rsidRPr="00506115">
        <w:t xml:space="preserve">Kjelde: NVE og </w:t>
      </w:r>
      <w:proofErr w:type="spellStart"/>
      <w:r w:rsidRPr="00506115">
        <w:t>Thema</w:t>
      </w:r>
      <w:proofErr w:type="spellEnd"/>
      <w:r w:rsidRPr="00506115">
        <w:t xml:space="preserve"> </w:t>
      </w:r>
      <w:proofErr w:type="spellStart"/>
      <w:r w:rsidRPr="00506115">
        <w:t>Consulting</w:t>
      </w:r>
      <w:proofErr w:type="spellEnd"/>
    </w:p>
    <w:p w14:paraId="5476F58F" w14:textId="77777777" w:rsidR="00A02896" w:rsidRPr="00506115" w:rsidRDefault="00AE1379" w:rsidP="00506115">
      <w:proofErr w:type="spellStart"/>
      <w:r w:rsidRPr="00506115">
        <w:t>Sørlege</w:t>
      </w:r>
      <w:proofErr w:type="spellEnd"/>
      <w:r w:rsidRPr="00506115">
        <w:t xml:space="preserve"> </w:t>
      </w:r>
      <w:proofErr w:type="spellStart"/>
      <w:r w:rsidRPr="00506115">
        <w:t>Nordsjø</w:t>
      </w:r>
      <w:proofErr w:type="spellEnd"/>
      <w:r w:rsidRPr="00506115">
        <w:t xml:space="preserve"> II har svært gode vindforhold. Likevel vil det </w:t>
      </w:r>
      <w:proofErr w:type="spellStart"/>
      <w:r w:rsidRPr="00506115">
        <w:t>vere</w:t>
      </w:r>
      <w:proofErr w:type="spellEnd"/>
      <w:r w:rsidRPr="00506115">
        <w:t xml:space="preserve"> tidspunkt der det </w:t>
      </w:r>
      <w:proofErr w:type="spellStart"/>
      <w:r w:rsidRPr="00506115">
        <w:t>blæs</w:t>
      </w:r>
      <w:proofErr w:type="spellEnd"/>
      <w:r w:rsidRPr="00506115">
        <w:t xml:space="preserve"> lite eller er heilt vindstille. Det er også </w:t>
      </w:r>
      <w:proofErr w:type="spellStart"/>
      <w:r w:rsidRPr="00506115">
        <w:t>høg</w:t>
      </w:r>
      <w:proofErr w:type="spellEnd"/>
      <w:r w:rsidRPr="00506115">
        <w:t xml:space="preserve"> grad av samvariasjon mellom vindkraftproduksjon i Nordsjøen.</w:t>
      </w:r>
      <w:r w:rsidRPr="00506115">
        <w:rPr>
          <w:rStyle w:val="Fotnotereferanse"/>
        </w:rPr>
        <w:footnoteReference w:id="11"/>
      </w:r>
      <w:r w:rsidRPr="00506115">
        <w:t xml:space="preserve"> Dette </w:t>
      </w:r>
      <w:proofErr w:type="spellStart"/>
      <w:r w:rsidRPr="00506115">
        <w:t>gjer</w:t>
      </w:r>
      <w:proofErr w:type="spellEnd"/>
      <w:r w:rsidRPr="00506115">
        <w:t xml:space="preserve"> at energiproduksjonen i </w:t>
      </w:r>
      <w:proofErr w:type="spellStart"/>
      <w:r w:rsidRPr="00506115">
        <w:t>Sørlege</w:t>
      </w:r>
      <w:proofErr w:type="spellEnd"/>
      <w:r w:rsidRPr="00506115">
        <w:t xml:space="preserve"> </w:t>
      </w:r>
      <w:proofErr w:type="spellStart"/>
      <w:r w:rsidRPr="00506115">
        <w:t>Nordsjø</w:t>
      </w:r>
      <w:proofErr w:type="spellEnd"/>
      <w:r w:rsidRPr="00506115">
        <w:t xml:space="preserve"> II mest </w:t>
      </w:r>
      <w:proofErr w:type="spellStart"/>
      <w:r w:rsidRPr="00506115">
        <w:t>sannsynleg</w:t>
      </w:r>
      <w:proofErr w:type="spellEnd"/>
      <w:r w:rsidRPr="00506115">
        <w:t xml:space="preserve"> vil </w:t>
      </w:r>
      <w:proofErr w:type="spellStart"/>
      <w:r w:rsidRPr="00506115">
        <w:t>vere</w:t>
      </w:r>
      <w:proofErr w:type="spellEnd"/>
      <w:r w:rsidRPr="00506115">
        <w:t xml:space="preserve"> høgst i </w:t>
      </w:r>
      <w:proofErr w:type="spellStart"/>
      <w:r w:rsidRPr="00506115">
        <w:t>timar</w:t>
      </w:r>
      <w:proofErr w:type="spellEnd"/>
      <w:r w:rsidRPr="00506115">
        <w:t xml:space="preserve"> med </w:t>
      </w:r>
      <w:proofErr w:type="spellStart"/>
      <w:r w:rsidRPr="00506115">
        <w:t>mykje</w:t>
      </w:r>
      <w:proofErr w:type="spellEnd"/>
      <w:r w:rsidRPr="00506115">
        <w:t xml:space="preserve"> (variabel) kraftproduksjon i energisystemet. Det kan </w:t>
      </w:r>
      <w:proofErr w:type="spellStart"/>
      <w:r w:rsidRPr="00506115">
        <w:t>påverke</w:t>
      </w:r>
      <w:proofErr w:type="spellEnd"/>
      <w:r w:rsidRPr="00506115">
        <w:t xml:space="preserve"> </w:t>
      </w:r>
      <w:proofErr w:type="spellStart"/>
      <w:r w:rsidRPr="00506115">
        <w:t>innteninga</w:t>
      </w:r>
      <w:proofErr w:type="spellEnd"/>
      <w:r w:rsidRPr="00506115">
        <w:t xml:space="preserve"> til energiproduksjon i </w:t>
      </w:r>
      <w:proofErr w:type="spellStart"/>
      <w:r w:rsidRPr="00506115">
        <w:t>Sørlege</w:t>
      </w:r>
      <w:proofErr w:type="spellEnd"/>
      <w:r w:rsidRPr="00506115">
        <w:t xml:space="preserve"> </w:t>
      </w:r>
      <w:proofErr w:type="spellStart"/>
      <w:r w:rsidRPr="00506115">
        <w:t>Nordsjø</w:t>
      </w:r>
      <w:proofErr w:type="spellEnd"/>
      <w:r w:rsidRPr="00506115">
        <w:t xml:space="preserve"> II, mellom anna fordi </w:t>
      </w:r>
      <w:proofErr w:type="spellStart"/>
      <w:r w:rsidRPr="00506115">
        <w:t>fleire</w:t>
      </w:r>
      <w:proofErr w:type="spellEnd"/>
      <w:r w:rsidRPr="00506115">
        <w:t xml:space="preserve"> land med havareal i Nordsjøen har store </w:t>
      </w:r>
      <w:proofErr w:type="spellStart"/>
      <w:r w:rsidRPr="00506115">
        <w:t>ambisjonar</w:t>
      </w:r>
      <w:proofErr w:type="spellEnd"/>
      <w:r w:rsidRPr="00506115">
        <w:t xml:space="preserve"> om utbygging av havvind. </w:t>
      </w:r>
      <w:proofErr w:type="spellStart"/>
      <w:r w:rsidRPr="00506115">
        <w:t>Truleg</w:t>
      </w:r>
      <w:proofErr w:type="spellEnd"/>
      <w:r w:rsidRPr="00506115">
        <w:t xml:space="preserve"> vil </w:t>
      </w:r>
      <w:r w:rsidRPr="00506115">
        <w:rPr>
          <w:rStyle w:val="kursiv"/>
        </w:rPr>
        <w:t>oppnådd</w:t>
      </w:r>
      <w:r w:rsidRPr="00506115">
        <w:t xml:space="preserve"> kraftpris for havvindparken derfor </w:t>
      </w:r>
      <w:proofErr w:type="spellStart"/>
      <w:r w:rsidRPr="00506115">
        <w:t>vere</w:t>
      </w:r>
      <w:proofErr w:type="spellEnd"/>
      <w:r w:rsidRPr="00506115">
        <w:t xml:space="preserve"> </w:t>
      </w:r>
      <w:proofErr w:type="spellStart"/>
      <w:r w:rsidRPr="00506115">
        <w:t>noko</w:t>
      </w:r>
      <w:proofErr w:type="spellEnd"/>
      <w:r w:rsidRPr="00506115">
        <w:t xml:space="preserve"> </w:t>
      </w:r>
      <w:proofErr w:type="spellStart"/>
      <w:r w:rsidRPr="00506115">
        <w:t>lågare</w:t>
      </w:r>
      <w:proofErr w:type="spellEnd"/>
      <w:r w:rsidRPr="00506115">
        <w:t xml:space="preserve"> enn kraftprisen elles i </w:t>
      </w:r>
      <w:proofErr w:type="spellStart"/>
      <w:r w:rsidRPr="00506115">
        <w:t>marknaden</w:t>
      </w:r>
      <w:proofErr w:type="spellEnd"/>
      <w:r w:rsidRPr="00506115">
        <w:t xml:space="preserve">. Samtidig har </w:t>
      </w:r>
      <w:proofErr w:type="spellStart"/>
      <w:r w:rsidRPr="00506115">
        <w:t>Noreg</w:t>
      </w:r>
      <w:proofErr w:type="spellEnd"/>
      <w:r w:rsidRPr="00506115">
        <w:t xml:space="preserve"> </w:t>
      </w:r>
      <w:proofErr w:type="spellStart"/>
      <w:r w:rsidRPr="00506115">
        <w:t>mykje</w:t>
      </w:r>
      <w:proofErr w:type="spellEnd"/>
      <w:r w:rsidRPr="00506115">
        <w:t xml:space="preserve"> vasskraft som kan </w:t>
      </w:r>
      <w:proofErr w:type="spellStart"/>
      <w:r w:rsidRPr="00506115">
        <w:t>regulerast</w:t>
      </w:r>
      <w:proofErr w:type="spellEnd"/>
      <w:r w:rsidRPr="00506115">
        <w:t xml:space="preserve"> ned i </w:t>
      </w:r>
      <w:proofErr w:type="spellStart"/>
      <w:r w:rsidRPr="00506115">
        <w:t>timar</w:t>
      </w:r>
      <w:proofErr w:type="spellEnd"/>
      <w:r w:rsidRPr="00506115">
        <w:t xml:space="preserve"> med </w:t>
      </w:r>
      <w:proofErr w:type="spellStart"/>
      <w:r w:rsidRPr="00506115">
        <w:t>mykje</w:t>
      </w:r>
      <w:proofErr w:type="spellEnd"/>
      <w:r w:rsidRPr="00506115">
        <w:t xml:space="preserve"> variabel energiproduksjon. </w:t>
      </w:r>
      <w:proofErr w:type="spellStart"/>
      <w:r w:rsidRPr="00506115">
        <w:t>Samanlikna</w:t>
      </w:r>
      <w:proofErr w:type="spellEnd"/>
      <w:r w:rsidRPr="00506115">
        <w:t xml:space="preserve"> med andre land i Europa er forbruket også </w:t>
      </w:r>
      <w:proofErr w:type="spellStart"/>
      <w:r w:rsidRPr="00506115">
        <w:t>vesentleg</w:t>
      </w:r>
      <w:proofErr w:type="spellEnd"/>
      <w:r w:rsidRPr="00506115">
        <w:t xml:space="preserve"> høgre på vinteren enn resten av året, </w:t>
      </w:r>
      <w:proofErr w:type="spellStart"/>
      <w:r w:rsidRPr="00506115">
        <w:t>noko</w:t>
      </w:r>
      <w:proofErr w:type="spellEnd"/>
      <w:r w:rsidRPr="00506115">
        <w:t xml:space="preserve"> som </w:t>
      </w:r>
      <w:proofErr w:type="spellStart"/>
      <w:r w:rsidRPr="00506115">
        <w:t>passar</w:t>
      </w:r>
      <w:proofErr w:type="spellEnd"/>
      <w:r w:rsidRPr="00506115">
        <w:t xml:space="preserve"> godt med sesongprofilen for havvind. Dette vil kunne </w:t>
      </w:r>
      <w:proofErr w:type="spellStart"/>
      <w:r w:rsidRPr="00506115">
        <w:t>gje</w:t>
      </w:r>
      <w:proofErr w:type="spellEnd"/>
      <w:r w:rsidRPr="00506115">
        <w:t xml:space="preserve"> havvindparken </w:t>
      </w:r>
      <w:proofErr w:type="spellStart"/>
      <w:r w:rsidRPr="00506115">
        <w:t>ein</w:t>
      </w:r>
      <w:proofErr w:type="spellEnd"/>
      <w:r w:rsidRPr="00506115">
        <w:t xml:space="preserve"> høgre oppnådd kraftpris enn </w:t>
      </w:r>
      <w:proofErr w:type="spellStart"/>
      <w:r w:rsidRPr="00506115">
        <w:t>havvindparkar</w:t>
      </w:r>
      <w:proofErr w:type="spellEnd"/>
      <w:r w:rsidRPr="00506115">
        <w:t xml:space="preserve"> i land med høgre innslag av variabel kraftproduksjon. Dette vil gjelde uavhengig av om havvindparken sel krafta direkte i </w:t>
      </w:r>
      <w:proofErr w:type="spellStart"/>
      <w:r w:rsidRPr="00506115">
        <w:t>marknaden</w:t>
      </w:r>
      <w:proofErr w:type="spellEnd"/>
      <w:r w:rsidRPr="00506115">
        <w:t xml:space="preserve"> eller </w:t>
      </w:r>
      <w:proofErr w:type="spellStart"/>
      <w:r w:rsidRPr="00506115">
        <w:t>sikrar</w:t>
      </w:r>
      <w:proofErr w:type="spellEnd"/>
      <w:r w:rsidRPr="00506115">
        <w:t xml:space="preserve"> seg gjennom </w:t>
      </w:r>
      <w:proofErr w:type="spellStart"/>
      <w:r w:rsidRPr="00506115">
        <w:t>ein</w:t>
      </w:r>
      <w:proofErr w:type="spellEnd"/>
      <w:r w:rsidRPr="00506115">
        <w:t xml:space="preserve"> langsiktig kraftkjøpsavtale (PPA). Kor </w:t>
      </w:r>
      <w:proofErr w:type="spellStart"/>
      <w:r w:rsidRPr="00506115">
        <w:t>mykje</w:t>
      </w:r>
      <w:proofErr w:type="spellEnd"/>
      <w:r w:rsidRPr="00506115">
        <w:t xml:space="preserve"> høgre er </w:t>
      </w:r>
      <w:proofErr w:type="spellStart"/>
      <w:r w:rsidRPr="00506115">
        <w:t>vanskeleg</w:t>
      </w:r>
      <w:proofErr w:type="spellEnd"/>
      <w:r w:rsidRPr="00506115">
        <w:t xml:space="preserve"> å vurdere på førehand. Statnett har estimert at havvind </w:t>
      </w:r>
      <w:proofErr w:type="spellStart"/>
      <w:r w:rsidRPr="00506115">
        <w:t>frå</w:t>
      </w:r>
      <w:proofErr w:type="spellEnd"/>
      <w:r w:rsidRPr="00506115">
        <w:t xml:space="preserve"> </w:t>
      </w:r>
      <w:proofErr w:type="spellStart"/>
      <w:r w:rsidRPr="00506115">
        <w:t>Sørlege</w:t>
      </w:r>
      <w:proofErr w:type="spellEnd"/>
      <w:r w:rsidRPr="00506115">
        <w:t xml:space="preserve"> </w:t>
      </w:r>
      <w:proofErr w:type="spellStart"/>
      <w:r w:rsidRPr="00506115">
        <w:t>Nordsjø</w:t>
      </w:r>
      <w:proofErr w:type="spellEnd"/>
      <w:r w:rsidRPr="00506115">
        <w:t xml:space="preserve"> II knytt radielt til </w:t>
      </w:r>
      <w:proofErr w:type="spellStart"/>
      <w:r w:rsidRPr="00506115">
        <w:t>Noreg</w:t>
      </w:r>
      <w:proofErr w:type="spellEnd"/>
      <w:r w:rsidRPr="00506115">
        <w:t xml:space="preserve"> vil oppnå </w:t>
      </w:r>
      <w:proofErr w:type="spellStart"/>
      <w:r w:rsidRPr="00506115">
        <w:t>ein</w:t>
      </w:r>
      <w:proofErr w:type="spellEnd"/>
      <w:r w:rsidRPr="00506115">
        <w:t xml:space="preserve"> </w:t>
      </w:r>
      <w:proofErr w:type="spellStart"/>
      <w:r w:rsidRPr="00506115">
        <w:t>gjennomsnittleg</w:t>
      </w:r>
      <w:proofErr w:type="spellEnd"/>
      <w:r w:rsidRPr="00506115">
        <w:t xml:space="preserve"> kraftpris på 39 øre/kWh, med </w:t>
      </w:r>
      <w:proofErr w:type="spellStart"/>
      <w:r w:rsidRPr="00506115">
        <w:t>eit</w:t>
      </w:r>
      <w:proofErr w:type="spellEnd"/>
      <w:r w:rsidRPr="00506115">
        <w:t xml:space="preserve"> utfallsrom mellom 34 og 43 øre/kWh.</w:t>
      </w:r>
      <w:r w:rsidRPr="00506115">
        <w:rPr>
          <w:rStyle w:val="Fotnotereferanse"/>
        </w:rPr>
        <w:footnoteReference w:id="12"/>
      </w:r>
      <w:r w:rsidRPr="00506115">
        <w:t xml:space="preserve"> Det </w:t>
      </w:r>
      <w:proofErr w:type="spellStart"/>
      <w:r w:rsidRPr="00506115">
        <w:t>svarar</w:t>
      </w:r>
      <w:proofErr w:type="spellEnd"/>
      <w:r w:rsidRPr="00506115">
        <w:t xml:space="preserve"> til omtrent 60–80 prosent av den estimerte kraftprisen i NO2.</w:t>
      </w:r>
    </w:p>
    <w:p w14:paraId="72B7602A" w14:textId="77777777" w:rsidR="00A02896" w:rsidRPr="00506115" w:rsidRDefault="00AE1379" w:rsidP="00AE1379">
      <w:pPr>
        <w:pStyle w:val="Overskrift2"/>
      </w:pPr>
      <w:r w:rsidRPr="00506115">
        <w:t>Estimerte kostnader for havvind</w:t>
      </w:r>
    </w:p>
    <w:p w14:paraId="7FF116B4" w14:textId="77777777" w:rsidR="00A02896" w:rsidRPr="00506115" w:rsidRDefault="00AE1379" w:rsidP="00506115">
      <w:r w:rsidRPr="00506115">
        <w:t xml:space="preserve">Det </w:t>
      </w:r>
      <w:proofErr w:type="spellStart"/>
      <w:r w:rsidRPr="00506115">
        <w:t>finst</w:t>
      </w:r>
      <w:proofErr w:type="spellEnd"/>
      <w:r w:rsidRPr="00506115">
        <w:t xml:space="preserve"> </w:t>
      </w:r>
      <w:proofErr w:type="spellStart"/>
      <w:r w:rsidRPr="00506115">
        <w:t>ikkje</w:t>
      </w:r>
      <w:proofErr w:type="spellEnd"/>
      <w:r w:rsidRPr="00506115">
        <w:t xml:space="preserve"> </w:t>
      </w:r>
      <w:proofErr w:type="spellStart"/>
      <w:r w:rsidRPr="00506115">
        <w:t>erfaringstal</w:t>
      </w:r>
      <w:proofErr w:type="spellEnd"/>
      <w:r w:rsidRPr="00506115">
        <w:t xml:space="preserve"> for kostnader ved å bygge ut botnfast havvind på norsk sokkel. Kostnadsgrunnlaget er derfor basert på </w:t>
      </w:r>
      <w:proofErr w:type="spellStart"/>
      <w:r w:rsidRPr="00506115">
        <w:t>erfaringstal</w:t>
      </w:r>
      <w:proofErr w:type="spellEnd"/>
      <w:r w:rsidRPr="00506115">
        <w:t xml:space="preserve"> </w:t>
      </w:r>
      <w:proofErr w:type="spellStart"/>
      <w:r w:rsidRPr="00506115">
        <w:t>frå</w:t>
      </w:r>
      <w:proofErr w:type="spellEnd"/>
      <w:r w:rsidRPr="00506115">
        <w:t xml:space="preserve"> andre land og er utarbeida av NVE til analysen </w:t>
      </w:r>
      <w:r w:rsidRPr="00506115">
        <w:rPr>
          <w:rStyle w:val="kursiv"/>
        </w:rPr>
        <w:t xml:space="preserve">«Verknader på kraftsystemet av ulike </w:t>
      </w:r>
      <w:proofErr w:type="spellStart"/>
      <w:r w:rsidRPr="00506115">
        <w:rPr>
          <w:rStyle w:val="kursiv"/>
        </w:rPr>
        <w:t>nettløysningar</w:t>
      </w:r>
      <w:proofErr w:type="spellEnd"/>
      <w:r w:rsidRPr="00506115">
        <w:rPr>
          <w:rStyle w:val="kursiv"/>
        </w:rPr>
        <w:t xml:space="preserve"> for vindkraft til havs»</w:t>
      </w:r>
      <w:r w:rsidRPr="00506115">
        <w:t xml:space="preserve"> som </w:t>
      </w:r>
      <w:proofErr w:type="spellStart"/>
      <w:r w:rsidRPr="00506115">
        <w:t>vart</w:t>
      </w:r>
      <w:proofErr w:type="spellEnd"/>
      <w:r w:rsidRPr="00506115">
        <w:t xml:space="preserve"> lagt fram i </w:t>
      </w:r>
      <w:r w:rsidRPr="00506115">
        <w:lastRenderedPageBreak/>
        <w:t xml:space="preserve">mars 2023. NVE anslår at </w:t>
      </w:r>
      <w:proofErr w:type="spellStart"/>
      <w:r w:rsidRPr="00506115">
        <w:t>dei</w:t>
      </w:r>
      <w:proofErr w:type="spellEnd"/>
      <w:r w:rsidRPr="00506115">
        <w:t xml:space="preserve"> totale investeringskostnadene vil </w:t>
      </w:r>
      <w:proofErr w:type="spellStart"/>
      <w:r w:rsidRPr="00506115">
        <w:t>vere</w:t>
      </w:r>
      <w:proofErr w:type="spellEnd"/>
      <w:r w:rsidRPr="00506115">
        <w:t xml:space="preserve"> om lag 40 mrd. kroner. Investeringskostnadene inkluderer havvindparken og </w:t>
      </w:r>
      <w:proofErr w:type="spellStart"/>
      <w:r w:rsidRPr="00506115">
        <w:t>nettløysninga</w:t>
      </w:r>
      <w:proofErr w:type="spellEnd"/>
      <w:r w:rsidRPr="00506115">
        <w:t xml:space="preserve"> fram til </w:t>
      </w:r>
      <w:proofErr w:type="spellStart"/>
      <w:r w:rsidRPr="00506115">
        <w:t>tilknytingspunktet</w:t>
      </w:r>
      <w:proofErr w:type="spellEnd"/>
      <w:r w:rsidRPr="00506115">
        <w:t xml:space="preserve"> i transmisjonsnettet på land. Eventuelle anleggsbidrag som følge av </w:t>
      </w:r>
      <w:proofErr w:type="spellStart"/>
      <w:r w:rsidRPr="00506115">
        <w:t>naudsynte</w:t>
      </w:r>
      <w:proofErr w:type="spellEnd"/>
      <w:r w:rsidRPr="00506115">
        <w:t xml:space="preserve"> </w:t>
      </w:r>
      <w:proofErr w:type="spellStart"/>
      <w:r w:rsidRPr="00506115">
        <w:t>forsterkingar</w:t>
      </w:r>
      <w:proofErr w:type="spellEnd"/>
      <w:r w:rsidRPr="00506115">
        <w:t xml:space="preserve"> i nettet på land vil </w:t>
      </w:r>
      <w:proofErr w:type="spellStart"/>
      <w:r w:rsidRPr="00506115">
        <w:t>kome</w:t>
      </w:r>
      <w:proofErr w:type="spellEnd"/>
      <w:r w:rsidRPr="00506115">
        <w:t xml:space="preserve"> i tillegg. Drifts- og </w:t>
      </w:r>
      <w:proofErr w:type="spellStart"/>
      <w:r w:rsidRPr="00506115">
        <w:t>vedlikehaldskostnadene</w:t>
      </w:r>
      <w:proofErr w:type="spellEnd"/>
      <w:r w:rsidRPr="00506115">
        <w:t xml:space="preserve"> for havvindparken og nettløysinga er estimert til rundt 750 mill. kroner </w:t>
      </w:r>
      <w:proofErr w:type="spellStart"/>
      <w:r w:rsidRPr="00506115">
        <w:t>årleg</w:t>
      </w:r>
      <w:proofErr w:type="spellEnd"/>
      <w:r w:rsidRPr="00506115">
        <w:t>.</w:t>
      </w:r>
    </w:p>
    <w:p w14:paraId="5F00E383" w14:textId="77777777" w:rsidR="00A02896" w:rsidRPr="00506115" w:rsidRDefault="00AE1379" w:rsidP="00AE1379">
      <w:pPr>
        <w:pStyle w:val="Overskrift2"/>
      </w:pPr>
      <w:proofErr w:type="spellStart"/>
      <w:r w:rsidRPr="00506115">
        <w:t>Usikkerheit</w:t>
      </w:r>
      <w:proofErr w:type="spellEnd"/>
      <w:r w:rsidRPr="00506115">
        <w:t xml:space="preserve"> i anslaga</w:t>
      </w:r>
    </w:p>
    <w:p w14:paraId="4024F6A0" w14:textId="77777777" w:rsidR="00A02896" w:rsidRPr="00506115" w:rsidRDefault="00AE1379" w:rsidP="00506115">
      <w:r w:rsidRPr="00506115">
        <w:t xml:space="preserve">Det er </w:t>
      </w:r>
      <w:proofErr w:type="spellStart"/>
      <w:r w:rsidRPr="00506115">
        <w:t>særleg</w:t>
      </w:r>
      <w:proofErr w:type="spellEnd"/>
      <w:r w:rsidRPr="00506115">
        <w:t xml:space="preserve"> </w:t>
      </w:r>
      <w:proofErr w:type="spellStart"/>
      <w:r w:rsidRPr="00506115">
        <w:t>havdjupna</w:t>
      </w:r>
      <w:proofErr w:type="spellEnd"/>
      <w:r w:rsidRPr="00506115">
        <w:t xml:space="preserve"> og avstanden til land som </w:t>
      </w:r>
      <w:proofErr w:type="spellStart"/>
      <w:r w:rsidRPr="00506115">
        <w:t>skil</w:t>
      </w:r>
      <w:proofErr w:type="spellEnd"/>
      <w:r w:rsidRPr="00506115">
        <w:t xml:space="preserve"> </w:t>
      </w:r>
      <w:proofErr w:type="spellStart"/>
      <w:r w:rsidRPr="00506115">
        <w:t>Sørlege</w:t>
      </w:r>
      <w:proofErr w:type="spellEnd"/>
      <w:r w:rsidRPr="00506115">
        <w:t xml:space="preserve"> </w:t>
      </w:r>
      <w:proofErr w:type="spellStart"/>
      <w:r w:rsidRPr="00506115">
        <w:t>Nordsjø</w:t>
      </w:r>
      <w:proofErr w:type="spellEnd"/>
      <w:r w:rsidRPr="00506115">
        <w:t xml:space="preserve"> II </w:t>
      </w:r>
      <w:proofErr w:type="spellStart"/>
      <w:r w:rsidRPr="00506115">
        <w:t>frå</w:t>
      </w:r>
      <w:proofErr w:type="spellEnd"/>
      <w:r w:rsidRPr="00506115">
        <w:t xml:space="preserve"> andre prosjekt i Europa. I tillegg er det generell </w:t>
      </w:r>
      <w:proofErr w:type="spellStart"/>
      <w:r w:rsidRPr="00506115">
        <w:t>usikkerheit</w:t>
      </w:r>
      <w:proofErr w:type="spellEnd"/>
      <w:r w:rsidRPr="00506115">
        <w:t xml:space="preserve"> ved framtidige utbyggingskostnader til havvind, blant anna på grunn av Europa sine store </w:t>
      </w:r>
      <w:proofErr w:type="spellStart"/>
      <w:r w:rsidRPr="00506115">
        <w:t>havvindambisjonar</w:t>
      </w:r>
      <w:proofErr w:type="spellEnd"/>
      <w:r w:rsidRPr="00506115">
        <w:t xml:space="preserve"> kombinert med </w:t>
      </w:r>
      <w:proofErr w:type="spellStart"/>
      <w:r w:rsidRPr="00506115">
        <w:t>ein</w:t>
      </w:r>
      <w:proofErr w:type="spellEnd"/>
      <w:r w:rsidRPr="00506115">
        <w:t xml:space="preserve"> pressa situasjon i </w:t>
      </w:r>
      <w:proofErr w:type="spellStart"/>
      <w:r w:rsidRPr="00506115">
        <w:t>leverandørmarknadene</w:t>
      </w:r>
      <w:proofErr w:type="spellEnd"/>
      <w:r w:rsidRPr="00506115">
        <w:t xml:space="preserve">. Det er også </w:t>
      </w:r>
      <w:proofErr w:type="spellStart"/>
      <w:r w:rsidRPr="00506115">
        <w:t>eit</w:t>
      </w:r>
      <w:proofErr w:type="spellEnd"/>
      <w:r w:rsidRPr="00506115">
        <w:t xml:space="preserve"> stort utfallsrom for kraftprisutviklinga. Dette </w:t>
      </w:r>
      <w:proofErr w:type="spellStart"/>
      <w:r w:rsidRPr="00506115">
        <w:t>gjer</w:t>
      </w:r>
      <w:proofErr w:type="spellEnd"/>
      <w:r w:rsidRPr="00506115">
        <w:t xml:space="preserve"> vurderinga av storleiken på støttebehovet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usikker.</w:t>
      </w:r>
    </w:p>
    <w:p w14:paraId="65163063" w14:textId="77777777" w:rsidR="00A02896" w:rsidRPr="00506115" w:rsidRDefault="00AE1379" w:rsidP="00AE1379">
      <w:pPr>
        <w:pStyle w:val="Overskrift3"/>
      </w:pPr>
      <w:r w:rsidRPr="00506115">
        <w:t>Usikre kostnadsanslag</w:t>
      </w:r>
    </w:p>
    <w:p w14:paraId="1F4B451F" w14:textId="77777777" w:rsidR="00A02896" w:rsidRPr="00506115" w:rsidRDefault="00AE1379" w:rsidP="00506115">
      <w:r w:rsidRPr="00506115">
        <w:t xml:space="preserve">Dei siste ti åra har kostnadene for havvind stort sett gått ned på grunn av høg utbyggingstakt og teknologiutvikling. Estimata </w:t>
      </w:r>
      <w:proofErr w:type="spellStart"/>
      <w:r w:rsidRPr="00506115">
        <w:t>frå</w:t>
      </w:r>
      <w:proofErr w:type="spellEnd"/>
      <w:r w:rsidRPr="00506115">
        <w:t xml:space="preserve"> NVE </w:t>
      </w:r>
      <w:proofErr w:type="spellStart"/>
      <w:r w:rsidRPr="00506115">
        <w:t>speglar</w:t>
      </w:r>
      <w:proofErr w:type="spellEnd"/>
      <w:r w:rsidRPr="00506115">
        <w:t xml:space="preserve"> denne utviklinga, og </w:t>
      </w:r>
      <w:proofErr w:type="spellStart"/>
      <w:r w:rsidRPr="00506115">
        <w:t>legg</w:t>
      </w:r>
      <w:proofErr w:type="spellEnd"/>
      <w:r w:rsidRPr="00506115">
        <w:t xml:space="preserve"> til grunn at kostnadene </w:t>
      </w:r>
      <w:proofErr w:type="spellStart"/>
      <w:r w:rsidRPr="00506115">
        <w:t>framleis</w:t>
      </w:r>
      <w:proofErr w:type="spellEnd"/>
      <w:r w:rsidRPr="00506115">
        <w:t xml:space="preserve"> vil gå ned som følge av læring. NVE har lagt til grunn ei læringsrate på sju prosent for havvindparken og fire prosent for nettløysinga fram mot 2030.</w:t>
      </w:r>
    </w:p>
    <w:p w14:paraId="25A7731B" w14:textId="77777777" w:rsidR="00A02896" w:rsidRPr="00506115" w:rsidRDefault="00AE1379" w:rsidP="00506115">
      <w:r w:rsidRPr="00506115">
        <w:t xml:space="preserve">Dei to siste åra har derimot kostnadene </w:t>
      </w:r>
      <w:proofErr w:type="spellStart"/>
      <w:r w:rsidRPr="00506115">
        <w:t>vore</w:t>
      </w:r>
      <w:proofErr w:type="spellEnd"/>
      <w:r w:rsidRPr="00506115">
        <w:t xml:space="preserve"> </w:t>
      </w:r>
      <w:proofErr w:type="spellStart"/>
      <w:r w:rsidRPr="00506115">
        <w:t>vanskelegare</w:t>
      </w:r>
      <w:proofErr w:type="spellEnd"/>
      <w:r w:rsidRPr="00506115">
        <w:t xml:space="preserve"> å anslå. Kostnadene har </w:t>
      </w:r>
      <w:proofErr w:type="spellStart"/>
      <w:r w:rsidRPr="00506115">
        <w:t>vore</w:t>
      </w:r>
      <w:proofErr w:type="spellEnd"/>
      <w:r w:rsidRPr="00506115">
        <w:t xml:space="preserve"> prega av volatile </w:t>
      </w:r>
      <w:proofErr w:type="spellStart"/>
      <w:r w:rsidRPr="00506115">
        <w:t>råvareprisar</w:t>
      </w:r>
      <w:proofErr w:type="spellEnd"/>
      <w:r w:rsidRPr="00506115">
        <w:t xml:space="preserve">, logistikkproblem etter Covid-19-pandemien, inflasjon og </w:t>
      </w:r>
      <w:proofErr w:type="spellStart"/>
      <w:r w:rsidRPr="00506115">
        <w:t>konsekvensar</w:t>
      </w:r>
      <w:proofErr w:type="spellEnd"/>
      <w:r w:rsidRPr="00506115">
        <w:t xml:space="preserve"> av Russlands militære invasjon av Ukraina. Dette har slått ut i </w:t>
      </w:r>
      <w:proofErr w:type="spellStart"/>
      <w:r w:rsidRPr="00506115">
        <w:t>auka</w:t>
      </w:r>
      <w:proofErr w:type="spellEnd"/>
      <w:r w:rsidRPr="00506115">
        <w:t xml:space="preserve"> kostnader. Til dømes </w:t>
      </w:r>
      <w:proofErr w:type="spellStart"/>
      <w:r w:rsidRPr="00506115">
        <w:t>auka</w:t>
      </w:r>
      <w:proofErr w:type="spellEnd"/>
      <w:r w:rsidRPr="00506115">
        <w:t xml:space="preserve"> kostnadsindeksen for </w:t>
      </w:r>
      <w:proofErr w:type="spellStart"/>
      <w:r w:rsidRPr="00506115">
        <w:t>vindturbinar</w:t>
      </w:r>
      <w:proofErr w:type="spellEnd"/>
      <w:r w:rsidRPr="00506115">
        <w:t xml:space="preserve"> på land med om lag 20 pst. </w:t>
      </w:r>
      <w:proofErr w:type="spellStart"/>
      <w:r w:rsidRPr="00506115">
        <w:t>frå</w:t>
      </w:r>
      <w:proofErr w:type="spellEnd"/>
      <w:r w:rsidRPr="00506115">
        <w:t xml:space="preserve"> 2020 til 2022. I tillegg fører </w:t>
      </w:r>
      <w:proofErr w:type="spellStart"/>
      <w:r w:rsidRPr="00506115">
        <w:t>auka</w:t>
      </w:r>
      <w:proofErr w:type="spellEnd"/>
      <w:r w:rsidRPr="00506115">
        <w:t xml:space="preserve"> press i </w:t>
      </w:r>
      <w:proofErr w:type="spellStart"/>
      <w:r w:rsidRPr="00506115">
        <w:t>leverandørmarknaden</w:t>
      </w:r>
      <w:proofErr w:type="spellEnd"/>
      <w:r w:rsidRPr="00506115">
        <w:t xml:space="preserve"> til </w:t>
      </w:r>
      <w:proofErr w:type="spellStart"/>
      <w:r w:rsidRPr="00506115">
        <w:t>usikkerheit</w:t>
      </w:r>
      <w:proofErr w:type="spellEnd"/>
      <w:r w:rsidRPr="00506115">
        <w:t xml:space="preserve"> rundt både leveringstid og kostnader. Det er </w:t>
      </w:r>
      <w:proofErr w:type="spellStart"/>
      <w:r w:rsidRPr="00506115">
        <w:t>ikkje</w:t>
      </w:r>
      <w:proofErr w:type="spellEnd"/>
      <w:r w:rsidRPr="00506115">
        <w:t xml:space="preserve"> tatt omsyn til den store </w:t>
      </w:r>
      <w:proofErr w:type="spellStart"/>
      <w:r w:rsidRPr="00506115">
        <w:t>auken</w:t>
      </w:r>
      <w:proofErr w:type="spellEnd"/>
      <w:r w:rsidRPr="00506115">
        <w:t xml:space="preserve"> i kostnader </w:t>
      </w:r>
      <w:proofErr w:type="spellStart"/>
      <w:r w:rsidRPr="00506115">
        <w:t>dei</w:t>
      </w:r>
      <w:proofErr w:type="spellEnd"/>
      <w:r w:rsidRPr="00506115">
        <w:t xml:space="preserve"> siste to åra i NVE sine estimat. Over tid er det forventa at </w:t>
      </w:r>
      <w:proofErr w:type="spellStart"/>
      <w:r w:rsidRPr="00506115">
        <w:t>råvareprisane</w:t>
      </w:r>
      <w:proofErr w:type="spellEnd"/>
      <w:r w:rsidRPr="00506115">
        <w:t xml:space="preserve"> vil stabilisere seg, leverandørindustrien vil bygge ut </w:t>
      </w:r>
      <w:proofErr w:type="spellStart"/>
      <w:r w:rsidRPr="00506115">
        <w:t>auka</w:t>
      </w:r>
      <w:proofErr w:type="spellEnd"/>
      <w:r w:rsidRPr="00506115">
        <w:t xml:space="preserve"> kapasitet, logistikksituasjonen vil i stor grad </w:t>
      </w:r>
      <w:proofErr w:type="spellStart"/>
      <w:r w:rsidRPr="00506115">
        <w:t>normaliserast</w:t>
      </w:r>
      <w:proofErr w:type="spellEnd"/>
      <w:r w:rsidRPr="00506115">
        <w:t xml:space="preserve"> og kostnadene for havvind vil på lang sikt falle i takt med installert kapasitet. Det er usikkert når denne normaliseringa vil skje.</w:t>
      </w:r>
    </w:p>
    <w:p w14:paraId="23F7992B" w14:textId="77777777" w:rsidR="00A02896" w:rsidRPr="00506115" w:rsidRDefault="00AE1379" w:rsidP="00AE1379">
      <w:pPr>
        <w:pStyle w:val="Overskrift3"/>
      </w:pPr>
      <w:r w:rsidRPr="00506115">
        <w:t>Usikker kraftprisutvikling</w:t>
      </w:r>
    </w:p>
    <w:p w14:paraId="6CBBCF99" w14:textId="77777777" w:rsidR="00A02896" w:rsidRPr="00506115" w:rsidRDefault="00AE1379" w:rsidP="00506115">
      <w:r w:rsidRPr="00506115">
        <w:t xml:space="preserve">Det er også </w:t>
      </w:r>
      <w:proofErr w:type="spellStart"/>
      <w:r w:rsidRPr="00506115">
        <w:t>eit</w:t>
      </w:r>
      <w:proofErr w:type="spellEnd"/>
      <w:r w:rsidRPr="00506115">
        <w:t xml:space="preserve"> stort utfallsrom for kraftprisutviklinga framover. </w:t>
      </w:r>
      <w:proofErr w:type="spellStart"/>
      <w:r w:rsidRPr="00506115">
        <w:t>Noreg</w:t>
      </w:r>
      <w:proofErr w:type="spellEnd"/>
      <w:r w:rsidRPr="00506115">
        <w:t xml:space="preserve"> sitt utgangspunkt, med ei fornybar og </w:t>
      </w:r>
      <w:proofErr w:type="spellStart"/>
      <w:r w:rsidRPr="00506115">
        <w:t>vêravhengig</w:t>
      </w:r>
      <w:proofErr w:type="spellEnd"/>
      <w:r w:rsidRPr="00506115">
        <w:t xml:space="preserve"> kraftforsyning, og </w:t>
      </w:r>
      <w:proofErr w:type="spellStart"/>
      <w:r w:rsidRPr="00506115">
        <w:t>eit</w:t>
      </w:r>
      <w:proofErr w:type="spellEnd"/>
      <w:r w:rsidRPr="00506115">
        <w:t xml:space="preserve"> temperaturavhengig forbruk av kraft har ført til </w:t>
      </w:r>
      <w:proofErr w:type="spellStart"/>
      <w:r w:rsidRPr="00506115">
        <w:t>variasjonar</w:t>
      </w:r>
      <w:proofErr w:type="spellEnd"/>
      <w:r w:rsidRPr="00506115">
        <w:t xml:space="preserve"> i </w:t>
      </w:r>
      <w:proofErr w:type="spellStart"/>
      <w:r w:rsidRPr="00506115">
        <w:t>dei</w:t>
      </w:r>
      <w:proofErr w:type="spellEnd"/>
      <w:r w:rsidRPr="00506115">
        <w:t xml:space="preserve"> norske </w:t>
      </w:r>
      <w:proofErr w:type="spellStart"/>
      <w:r w:rsidRPr="00506115">
        <w:t>kraftprisane</w:t>
      </w:r>
      <w:proofErr w:type="spellEnd"/>
      <w:r w:rsidRPr="00506115">
        <w:t xml:space="preserve"> </w:t>
      </w:r>
      <w:proofErr w:type="spellStart"/>
      <w:r w:rsidRPr="00506115">
        <w:t>frå</w:t>
      </w:r>
      <w:proofErr w:type="spellEnd"/>
      <w:r w:rsidRPr="00506115">
        <w:t xml:space="preserve"> år til år, og mellom </w:t>
      </w:r>
      <w:proofErr w:type="spellStart"/>
      <w:r w:rsidRPr="00506115">
        <w:t>sesongar</w:t>
      </w:r>
      <w:proofErr w:type="spellEnd"/>
      <w:r w:rsidRPr="00506115">
        <w:t xml:space="preserve"> og veker. Dette vil også </w:t>
      </w:r>
      <w:proofErr w:type="spellStart"/>
      <w:r w:rsidRPr="00506115">
        <w:t>vere</w:t>
      </w:r>
      <w:proofErr w:type="spellEnd"/>
      <w:r w:rsidRPr="00506115">
        <w:t xml:space="preserve"> tilfelle i framtida. </w:t>
      </w:r>
      <w:proofErr w:type="spellStart"/>
      <w:r w:rsidRPr="00506115">
        <w:t>Noreg</w:t>
      </w:r>
      <w:proofErr w:type="spellEnd"/>
      <w:r w:rsidRPr="00506115">
        <w:t xml:space="preserve"> er kopla </w:t>
      </w:r>
      <w:proofErr w:type="spellStart"/>
      <w:r w:rsidRPr="00506115">
        <w:t>saman</w:t>
      </w:r>
      <w:proofErr w:type="spellEnd"/>
      <w:r w:rsidRPr="00506115">
        <w:t xml:space="preserve"> med den europeiske </w:t>
      </w:r>
      <w:proofErr w:type="spellStart"/>
      <w:r w:rsidRPr="00506115">
        <w:t>kraftmarknaden</w:t>
      </w:r>
      <w:proofErr w:type="spellEnd"/>
      <w:r w:rsidRPr="00506115">
        <w:t xml:space="preserve"> gjennom </w:t>
      </w:r>
      <w:proofErr w:type="spellStart"/>
      <w:r w:rsidRPr="00506115">
        <w:t>fleire</w:t>
      </w:r>
      <w:proofErr w:type="spellEnd"/>
      <w:r w:rsidRPr="00506115">
        <w:t xml:space="preserve"> </w:t>
      </w:r>
      <w:proofErr w:type="spellStart"/>
      <w:r w:rsidRPr="00506115">
        <w:t>overføringskablar</w:t>
      </w:r>
      <w:proofErr w:type="spellEnd"/>
      <w:r w:rsidRPr="00506115">
        <w:t xml:space="preserve">, som </w:t>
      </w:r>
      <w:proofErr w:type="spellStart"/>
      <w:r w:rsidRPr="00506115">
        <w:t>gjer</w:t>
      </w:r>
      <w:proofErr w:type="spellEnd"/>
      <w:r w:rsidRPr="00506115">
        <w:t xml:space="preserve"> at norske </w:t>
      </w:r>
      <w:proofErr w:type="spellStart"/>
      <w:r w:rsidRPr="00506115">
        <w:t>kraftprisar</w:t>
      </w:r>
      <w:proofErr w:type="spellEnd"/>
      <w:r w:rsidRPr="00506115">
        <w:t xml:space="preserve"> blir </w:t>
      </w:r>
      <w:proofErr w:type="spellStart"/>
      <w:r w:rsidRPr="00506115">
        <w:t>påverka</w:t>
      </w:r>
      <w:proofErr w:type="spellEnd"/>
      <w:r w:rsidRPr="00506115">
        <w:t xml:space="preserve"> av utviklinga i den europeiske </w:t>
      </w:r>
      <w:proofErr w:type="spellStart"/>
      <w:r w:rsidRPr="00506115">
        <w:t>kraftmarknaden</w:t>
      </w:r>
      <w:proofErr w:type="spellEnd"/>
      <w:r w:rsidRPr="00506115">
        <w:t xml:space="preserve">. Europa har sett seg ambisiøse mål for reduksjon av klimagassutslepp og energiomstilling. Dette </w:t>
      </w:r>
      <w:proofErr w:type="spellStart"/>
      <w:r w:rsidRPr="00506115">
        <w:t>inneber</w:t>
      </w:r>
      <w:proofErr w:type="spellEnd"/>
      <w:r w:rsidRPr="00506115">
        <w:t xml:space="preserve"> mellom anna </w:t>
      </w:r>
      <w:proofErr w:type="spellStart"/>
      <w:r w:rsidRPr="00506115">
        <w:t>ambisjonar</w:t>
      </w:r>
      <w:proofErr w:type="spellEnd"/>
      <w:r w:rsidRPr="00506115">
        <w:t xml:space="preserve"> om at </w:t>
      </w:r>
      <w:proofErr w:type="spellStart"/>
      <w:r w:rsidRPr="00506115">
        <w:t>ein</w:t>
      </w:r>
      <w:proofErr w:type="spellEnd"/>
      <w:r w:rsidRPr="00506115">
        <w:t xml:space="preserve"> stor del av den regulerte produksjonskapasiteten som kol og gass blir erstatta med ny, fornybar variabel kraftproduksjon som solkraft, havvind og vindkraft på land. Kor raskt denne utviklinga skjer vil ha stor </w:t>
      </w:r>
      <w:proofErr w:type="spellStart"/>
      <w:r w:rsidRPr="00506115">
        <w:t>innverknad</w:t>
      </w:r>
      <w:proofErr w:type="spellEnd"/>
      <w:r w:rsidRPr="00506115">
        <w:t xml:space="preserve"> på kraftprisen og gjev </w:t>
      </w:r>
      <w:proofErr w:type="spellStart"/>
      <w:r w:rsidRPr="00506115">
        <w:t>eit</w:t>
      </w:r>
      <w:proofErr w:type="spellEnd"/>
      <w:r w:rsidRPr="00506115">
        <w:t xml:space="preserve"> stort utfallsrom. </w:t>
      </w:r>
      <w:proofErr w:type="spellStart"/>
      <w:r w:rsidRPr="00506115">
        <w:t>Thema</w:t>
      </w:r>
      <w:proofErr w:type="spellEnd"/>
      <w:r w:rsidRPr="00506115">
        <w:t xml:space="preserve"> anslår </w:t>
      </w:r>
      <w:proofErr w:type="spellStart"/>
      <w:r w:rsidRPr="00506115">
        <w:t>ein</w:t>
      </w:r>
      <w:proofErr w:type="spellEnd"/>
      <w:r w:rsidRPr="00506115">
        <w:t xml:space="preserve"> </w:t>
      </w:r>
      <w:proofErr w:type="spellStart"/>
      <w:r w:rsidRPr="00506115">
        <w:t>gjennomsnittleg</w:t>
      </w:r>
      <w:proofErr w:type="spellEnd"/>
      <w:r w:rsidRPr="00506115">
        <w:t xml:space="preserve"> kraftpris i NO2 på 35 øre/kWh i 2030 og 32 øre/kWh i 2040 i sitt </w:t>
      </w:r>
      <w:proofErr w:type="spellStart"/>
      <w:r w:rsidRPr="00506115">
        <w:t>lågscenario</w:t>
      </w:r>
      <w:proofErr w:type="spellEnd"/>
      <w:r w:rsidRPr="00506115">
        <w:t xml:space="preserve">. I høgscenarioet anslår </w:t>
      </w:r>
      <w:proofErr w:type="spellStart"/>
      <w:r w:rsidRPr="00506115">
        <w:t>Thema</w:t>
      </w:r>
      <w:proofErr w:type="spellEnd"/>
      <w:r w:rsidRPr="00506115">
        <w:t xml:space="preserve"> </w:t>
      </w:r>
      <w:proofErr w:type="spellStart"/>
      <w:r w:rsidRPr="00506115">
        <w:t>ein</w:t>
      </w:r>
      <w:proofErr w:type="spellEnd"/>
      <w:r w:rsidRPr="00506115">
        <w:t xml:space="preserve"> </w:t>
      </w:r>
      <w:proofErr w:type="spellStart"/>
      <w:r w:rsidRPr="00506115">
        <w:t>gjennomsnittleg</w:t>
      </w:r>
      <w:proofErr w:type="spellEnd"/>
      <w:r w:rsidRPr="00506115">
        <w:t xml:space="preserve"> kraftpris på 93 øre/kWh i 2030 og 73 øre/kWh i 2040.</w:t>
      </w:r>
    </w:p>
    <w:p w14:paraId="7C181DA2" w14:textId="77777777" w:rsidR="00A02896" w:rsidRPr="00506115" w:rsidRDefault="00AE1379" w:rsidP="00AE1379">
      <w:pPr>
        <w:pStyle w:val="Overskrift2"/>
      </w:pPr>
      <w:r w:rsidRPr="00506115">
        <w:lastRenderedPageBreak/>
        <w:t xml:space="preserve">Estimert behov for </w:t>
      </w:r>
      <w:proofErr w:type="spellStart"/>
      <w:r w:rsidRPr="00506115">
        <w:t>statleg</w:t>
      </w:r>
      <w:proofErr w:type="spellEnd"/>
      <w:r w:rsidRPr="00506115">
        <w:t xml:space="preserve"> støtte</w:t>
      </w:r>
    </w:p>
    <w:p w14:paraId="4435D633" w14:textId="111F8D80" w:rsidR="00A02896" w:rsidRPr="00506115" w:rsidRDefault="00AE1379" w:rsidP="00506115">
      <w:r w:rsidRPr="00506115">
        <w:t xml:space="preserve">Gitt forventa kraftprisutvikling og NVE sine estimerte investerings- og driftskostnader, er behovet for statsstøtte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estimert til om lag 9 mrd. kroner i </w:t>
      </w:r>
      <w:proofErr w:type="spellStart"/>
      <w:r w:rsidRPr="00506115">
        <w:t>noverdi</w:t>
      </w:r>
      <w:proofErr w:type="spellEnd"/>
      <w:r w:rsidRPr="00506115">
        <w:t xml:space="preserve">. Det er likevel </w:t>
      </w:r>
      <w:proofErr w:type="spellStart"/>
      <w:r w:rsidRPr="00506115">
        <w:t>eit</w:t>
      </w:r>
      <w:proofErr w:type="spellEnd"/>
      <w:r w:rsidRPr="00506115">
        <w:t xml:space="preserve"> stort utfallsrom for behovet for </w:t>
      </w:r>
      <w:proofErr w:type="spellStart"/>
      <w:r w:rsidRPr="00506115">
        <w:t>statleg</w:t>
      </w:r>
      <w:proofErr w:type="spellEnd"/>
      <w:r w:rsidRPr="00506115">
        <w:t xml:space="preserve"> støtte, som vist i tabell 4.1. Dette </w:t>
      </w:r>
      <w:proofErr w:type="spellStart"/>
      <w:r w:rsidRPr="00506115">
        <w:t>skuldast</w:t>
      </w:r>
      <w:proofErr w:type="spellEnd"/>
      <w:r w:rsidRPr="00506115">
        <w:t xml:space="preserve"> at støttebehovet er svært avhengig av både kostnader og kraftprisutvikling, som begge er usikre. Anslaga </w:t>
      </w:r>
      <w:proofErr w:type="spellStart"/>
      <w:r w:rsidRPr="00506115">
        <w:t>føreset</w:t>
      </w:r>
      <w:proofErr w:type="spellEnd"/>
      <w:r w:rsidRPr="00506115">
        <w:t xml:space="preserve"> ei diskonteringsrente på seks prosent og ei levetid for havvindparken på 30 år. Behovet for statsstøtte </w:t>
      </w:r>
      <w:proofErr w:type="spellStart"/>
      <w:r w:rsidRPr="00506115">
        <w:t>aukar</w:t>
      </w:r>
      <w:proofErr w:type="spellEnd"/>
      <w:r w:rsidRPr="00506115">
        <w:t xml:space="preserve"> til 17 mrd. kroner om investeringskostnadene for havvindparken blir 30 prosent høgre enn i NVE sitt estimat. Med låge </w:t>
      </w:r>
      <w:proofErr w:type="spellStart"/>
      <w:r w:rsidRPr="00506115">
        <w:t>kraftprisar</w:t>
      </w:r>
      <w:proofErr w:type="spellEnd"/>
      <w:r w:rsidRPr="00506115">
        <w:t xml:space="preserve"> og </w:t>
      </w:r>
      <w:proofErr w:type="spellStart"/>
      <w:r w:rsidRPr="00506115">
        <w:t>tilsvarande</w:t>
      </w:r>
      <w:proofErr w:type="spellEnd"/>
      <w:r w:rsidRPr="00506115">
        <w:t xml:space="preserve"> nivå på investeringskostnader vil støttebehovet bli </w:t>
      </w:r>
      <w:proofErr w:type="spellStart"/>
      <w:r w:rsidRPr="00506115">
        <w:t>endå</w:t>
      </w:r>
      <w:proofErr w:type="spellEnd"/>
      <w:r w:rsidRPr="00506115">
        <w:t xml:space="preserve"> høgre. Under enkelte </w:t>
      </w:r>
      <w:proofErr w:type="spellStart"/>
      <w:r w:rsidRPr="00506115">
        <w:t>føresetnader</w:t>
      </w:r>
      <w:proofErr w:type="spellEnd"/>
      <w:r w:rsidRPr="00506115">
        <w:t xml:space="preserve"> kan prosjektet også </w:t>
      </w:r>
      <w:proofErr w:type="spellStart"/>
      <w:r w:rsidRPr="00506115">
        <w:t>gje</w:t>
      </w:r>
      <w:proofErr w:type="spellEnd"/>
      <w:r w:rsidRPr="00506115">
        <w:t xml:space="preserve"> </w:t>
      </w:r>
      <w:proofErr w:type="spellStart"/>
      <w:r w:rsidRPr="00506115">
        <w:t>statlege</w:t>
      </w:r>
      <w:proofErr w:type="spellEnd"/>
      <w:r w:rsidRPr="00506115">
        <w:t xml:space="preserve"> inntekter.</w:t>
      </w:r>
    </w:p>
    <w:p w14:paraId="02841536" w14:textId="202E6474" w:rsidR="00506115" w:rsidRPr="00506115" w:rsidRDefault="00506115" w:rsidP="00AE1379">
      <w:pPr>
        <w:pStyle w:val="tabell-tittel"/>
      </w:pPr>
      <w:r w:rsidRPr="00506115">
        <w:t xml:space="preserve">Ulike scenario for støttebehov. </w:t>
      </w:r>
      <w:proofErr w:type="spellStart"/>
      <w:r w:rsidRPr="00506115">
        <w:t>Noverdi</w:t>
      </w:r>
      <w:proofErr w:type="spellEnd"/>
    </w:p>
    <w:p w14:paraId="6067303A" w14:textId="77777777" w:rsidR="00A02896" w:rsidRPr="00506115" w:rsidRDefault="00AE1379" w:rsidP="00506115">
      <w:pPr>
        <w:pStyle w:val="Tabellnavn"/>
      </w:pPr>
      <w:r w:rsidRPr="00506115">
        <w:t>03J0xt2</w:t>
      </w:r>
    </w:p>
    <w:tbl>
      <w:tblPr>
        <w:tblW w:w="9356" w:type="dxa"/>
        <w:tblInd w:w="43" w:type="dxa"/>
        <w:tblLayout w:type="fixed"/>
        <w:tblCellMar>
          <w:top w:w="128" w:type="dxa"/>
          <w:left w:w="43" w:type="dxa"/>
          <w:bottom w:w="43" w:type="dxa"/>
          <w:right w:w="43" w:type="dxa"/>
        </w:tblCellMar>
        <w:tblLook w:val="0000" w:firstRow="0" w:lastRow="0" w:firstColumn="0" w:lastColumn="0" w:noHBand="0" w:noVBand="0"/>
      </w:tblPr>
      <w:tblGrid>
        <w:gridCol w:w="3643"/>
        <w:gridCol w:w="2835"/>
        <w:gridCol w:w="2878"/>
      </w:tblGrid>
      <w:tr w:rsidR="00A02896" w:rsidRPr="00506115" w14:paraId="36E0FF89" w14:textId="77777777" w:rsidTr="00506115">
        <w:trPr>
          <w:trHeight w:val="420"/>
        </w:trPr>
        <w:tc>
          <w:tcPr>
            <w:tcW w:w="9356"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728A18A9" w14:textId="77777777" w:rsidR="00A02896" w:rsidRPr="00506115" w:rsidRDefault="00AE1379" w:rsidP="00506115">
            <w:r w:rsidRPr="00506115">
              <w:rPr>
                <w:rStyle w:val="kursiv"/>
              </w:rPr>
              <w:t>Basisscenario</w:t>
            </w:r>
          </w:p>
        </w:tc>
      </w:tr>
      <w:tr w:rsidR="00A02896" w:rsidRPr="00506115" w14:paraId="5BFAC459" w14:textId="77777777" w:rsidTr="00506115">
        <w:trPr>
          <w:trHeight w:val="420"/>
        </w:trPr>
        <w:tc>
          <w:tcPr>
            <w:tcW w:w="9356" w:type="dxa"/>
            <w:gridSpan w:val="3"/>
            <w:tcBorders>
              <w:top w:val="nil"/>
              <w:left w:val="nil"/>
              <w:bottom w:val="single" w:sz="4" w:space="0" w:color="000000"/>
              <w:right w:val="nil"/>
            </w:tcBorders>
            <w:tcMar>
              <w:top w:w="128" w:type="dxa"/>
              <w:left w:w="43" w:type="dxa"/>
              <w:bottom w:w="43" w:type="dxa"/>
              <w:right w:w="43" w:type="dxa"/>
            </w:tcMar>
          </w:tcPr>
          <w:p w14:paraId="70B7F339" w14:textId="77777777" w:rsidR="00A02896" w:rsidRPr="00506115" w:rsidRDefault="00AE1379" w:rsidP="00506115">
            <w:r w:rsidRPr="00506115">
              <w:t>9 mrd. kroner</w:t>
            </w:r>
          </w:p>
        </w:tc>
      </w:tr>
      <w:tr w:rsidR="00A02896" w:rsidRPr="00506115" w14:paraId="6CD04358" w14:textId="77777777" w:rsidTr="00506115">
        <w:trPr>
          <w:trHeight w:val="420"/>
        </w:trPr>
        <w:tc>
          <w:tcPr>
            <w:tcW w:w="9356"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3E4B60E0" w14:textId="77777777" w:rsidR="00A02896" w:rsidRPr="00506115" w:rsidRDefault="00AE1379" w:rsidP="00506115">
            <w:r w:rsidRPr="00506115">
              <w:rPr>
                <w:rStyle w:val="kursiv"/>
              </w:rPr>
              <w:t>Høge scenario for støttebehov</w:t>
            </w:r>
          </w:p>
        </w:tc>
      </w:tr>
      <w:tr w:rsidR="00A02896" w:rsidRPr="00506115" w14:paraId="792AF0F3" w14:textId="77777777" w:rsidTr="006400BF">
        <w:trPr>
          <w:trHeight w:val="880"/>
        </w:trPr>
        <w:tc>
          <w:tcPr>
            <w:tcW w:w="3643" w:type="dxa"/>
            <w:tcBorders>
              <w:top w:val="nil"/>
              <w:left w:val="nil"/>
              <w:bottom w:val="nil"/>
              <w:right w:val="nil"/>
            </w:tcBorders>
            <w:tcMar>
              <w:top w:w="128" w:type="dxa"/>
              <w:left w:w="43" w:type="dxa"/>
              <w:bottom w:w="43" w:type="dxa"/>
              <w:right w:w="43" w:type="dxa"/>
            </w:tcMar>
          </w:tcPr>
          <w:p w14:paraId="0CB47C3C" w14:textId="77777777" w:rsidR="00A02896" w:rsidRPr="00506115" w:rsidRDefault="00AE1379" w:rsidP="00506115">
            <w:pPr>
              <w:rPr>
                <w:rStyle w:val="kursiv"/>
              </w:rPr>
            </w:pPr>
            <w:r w:rsidRPr="00506115">
              <w:rPr>
                <w:rStyle w:val="kursiv"/>
              </w:rPr>
              <w:t>Høg investeringskostnad</w:t>
            </w:r>
          </w:p>
          <w:p w14:paraId="030EC79E" w14:textId="77777777" w:rsidR="00A02896" w:rsidRPr="00506115" w:rsidRDefault="00AE1379" w:rsidP="00506115">
            <w:r w:rsidRPr="00506115">
              <w:rPr>
                <w:rStyle w:val="kursiv"/>
              </w:rPr>
              <w:t>(+ 30 pst.)</w:t>
            </w:r>
          </w:p>
        </w:tc>
        <w:tc>
          <w:tcPr>
            <w:tcW w:w="2835" w:type="dxa"/>
            <w:tcBorders>
              <w:top w:val="nil"/>
              <w:left w:val="nil"/>
              <w:bottom w:val="nil"/>
              <w:right w:val="nil"/>
            </w:tcBorders>
            <w:tcMar>
              <w:top w:w="128" w:type="dxa"/>
              <w:left w:w="43" w:type="dxa"/>
              <w:bottom w:w="43" w:type="dxa"/>
              <w:right w:w="43" w:type="dxa"/>
            </w:tcMar>
          </w:tcPr>
          <w:p w14:paraId="690CA641" w14:textId="77777777" w:rsidR="00A02896" w:rsidRPr="00506115" w:rsidRDefault="00AE1379" w:rsidP="00506115">
            <w:r w:rsidRPr="00506115">
              <w:rPr>
                <w:rStyle w:val="kursiv"/>
              </w:rPr>
              <w:t xml:space="preserve">Låg kraftpris </w:t>
            </w:r>
            <w:r w:rsidRPr="00506115">
              <w:rPr>
                <w:rStyle w:val="kursiv"/>
              </w:rPr>
              <w:br/>
              <w:t xml:space="preserve">(31 øre/kWh i </w:t>
            </w:r>
            <w:proofErr w:type="spellStart"/>
            <w:proofErr w:type="gramStart"/>
            <w:r w:rsidRPr="00506115">
              <w:rPr>
                <w:rStyle w:val="kursiv"/>
              </w:rPr>
              <w:t>gj.snitt</w:t>
            </w:r>
            <w:proofErr w:type="spellEnd"/>
            <w:proofErr w:type="gramEnd"/>
            <w:r w:rsidRPr="00506115">
              <w:rPr>
                <w:rStyle w:val="kursiv"/>
              </w:rPr>
              <w:t>)</w:t>
            </w:r>
          </w:p>
        </w:tc>
        <w:tc>
          <w:tcPr>
            <w:tcW w:w="2878" w:type="dxa"/>
            <w:tcBorders>
              <w:top w:val="nil"/>
              <w:left w:val="nil"/>
              <w:bottom w:val="nil"/>
              <w:right w:val="nil"/>
            </w:tcBorders>
            <w:tcMar>
              <w:top w:w="128" w:type="dxa"/>
              <w:left w:w="43" w:type="dxa"/>
              <w:bottom w:w="43" w:type="dxa"/>
              <w:right w:w="43" w:type="dxa"/>
            </w:tcMar>
          </w:tcPr>
          <w:p w14:paraId="2552EBC0" w14:textId="55B00500" w:rsidR="00A02896" w:rsidRPr="00506115" w:rsidRDefault="00AE1379" w:rsidP="00506115">
            <w:r w:rsidRPr="00506115">
              <w:rPr>
                <w:rStyle w:val="kursiv"/>
              </w:rPr>
              <w:t xml:space="preserve">Låg kraftpris </w:t>
            </w:r>
            <w:r w:rsidRPr="00506115">
              <w:rPr>
                <w:rStyle w:val="kursiv"/>
              </w:rPr>
              <w:br/>
              <w:t xml:space="preserve">(31 øre/kWh i </w:t>
            </w:r>
            <w:proofErr w:type="spellStart"/>
            <w:proofErr w:type="gramStart"/>
            <w:r w:rsidRPr="00506115">
              <w:rPr>
                <w:rStyle w:val="kursiv"/>
              </w:rPr>
              <w:t>gj.snitt</w:t>
            </w:r>
            <w:proofErr w:type="spellEnd"/>
            <w:proofErr w:type="gramEnd"/>
            <w:r w:rsidRPr="00506115">
              <w:rPr>
                <w:rStyle w:val="kursiv"/>
              </w:rPr>
              <w:t>) og høg investeringskostnad</w:t>
            </w:r>
            <w:r w:rsidR="00506115">
              <w:rPr>
                <w:rStyle w:val="kursiv"/>
              </w:rPr>
              <w:t xml:space="preserve"> </w:t>
            </w:r>
            <w:r w:rsidRPr="00506115">
              <w:rPr>
                <w:rStyle w:val="kursiv"/>
              </w:rPr>
              <w:t>(+30 pst.)</w:t>
            </w:r>
          </w:p>
        </w:tc>
      </w:tr>
      <w:tr w:rsidR="00A02896" w:rsidRPr="00506115" w14:paraId="68E6ABB0" w14:textId="77777777" w:rsidTr="006400BF">
        <w:trPr>
          <w:trHeight w:val="380"/>
        </w:trPr>
        <w:tc>
          <w:tcPr>
            <w:tcW w:w="3643" w:type="dxa"/>
            <w:tcBorders>
              <w:top w:val="nil"/>
              <w:left w:val="nil"/>
              <w:bottom w:val="single" w:sz="4" w:space="0" w:color="000000"/>
              <w:right w:val="nil"/>
            </w:tcBorders>
            <w:tcMar>
              <w:top w:w="128" w:type="dxa"/>
              <w:left w:w="43" w:type="dxa"/>
              <w:bottom w:w="43" w:type="dxa"/>
              <w:right w:w="43" w:type="dxa"/>
            </w:tcMar>
          </w:tcPr>
          <w:p w14:paraId="7F6A9010" w14:textId="77777777" w:rsidR="00A02896" w:rsidRPr="00506115" w:rsidRDefault="00AE1379" w:rsidP="00506115">
            <w:r w:rsidRPr="00506115">
              <w:t xml:space="preserve">17 mrd. </w:t>
            </w:r>
          </w:p>
        </w:tc>
        <w:tc>
          <w:tcPr>
            <w:tcW w:w="2835" w:type="dxa"/>
            <w:tcBorders>
              <w:top w:val="nil"/>
              <w:left w:val="nil"/>
              <w:bottom w:val="single" w:sz="4" w:space="0" w:color="000000"/>
              <w:right w:val="nil"/>
            </w:tcBorders>
            <w:tcMar>
              <w:top w:w="128" w:type="dxa"/>
              <w:left w:w="43" w:type="dxa"/>
              <w:bottom w:w="43" w:type="dxa"/>
              <w:right w:w="43" w:type="dxa"/>
            </w:tcMar>
          </w:tcPr>
          <w:p w14:paraId="3625A455" w14:textId="77777777" w:rsidR="00A02896" w:rsidRPr="00506115" w:rsidRDefault="00AE1379" w:rsidP="00506115">
            <w:r w:rsidRPr="00506115">
              <w:t xml:space="preserve">15 mrd. </w:t>
            </w:r>
          </w:p>
        </w:tc>
        <w:tc>
          <w:tcPr>
            <w:tcW w:w="2878" w:type="dxa"/>
            <w:tcBorders>
              <w:top w:val="nil"/>
              <w:left w:val="nil"/>
              <w:bottom w:val="single" w:sz="4" w:space="0" w:color="000000"/>
              <w:right w:val="nil"/>
            </w:tcBorders>
            <w:tcMar>
              <w:top w:w="128" w:type="dxa"/>
              <w:left w:w="43" w:type="dxa"/>
              <w:bottom w:w="43" w:type="dxa"/>
              <w:right w:w="43" w:type="dxa"/>
            </w:tcMar>
          </w:tcPr>
          <w:p w14:paraId="5D1E27B8" w14:textId="77777777" w:rsidR="00A02896" w:rsidRPr="00506115" w:rsidRDefault="00AE1379" w:rsidP="00506115">
            <w:r w:rsidRPr="00506115">
              <w:t>23 mrd.</w:t>
            </w:r>
          </w:p>
        </w:tc>
      </w:tr>
      <w:tr w:rsidR="00A02896" w:rsidRPr="00506115" w14:paraId="0ADF4916" w14:textId="77777777" w:rsidTr="00506115">
        <w:trPr>
          <w:trHeight w:val="380"/>
        </w:trPr>
        <w:tc>
          <w:tcPr>
            <w:tcW w:w="9356"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745563B7" w14:textId="77777777" w:rsidR="00A02896" w:rsidRPr="00506115" w:rsidRDefault="00AE1379" w:rsidP="00506115">
            <w:r w:rsidRPr="00506115">
              <w:rPr>
                <w:rStyle w:val="kursiv"/>
              </w:rPr>
              <w:t>Låge scenario for støttebehov</w:t>
            </w:r>
          </w:p>
        </w:tc>
      </w:tr>
      <w:tr w:rsidR="00A02896" w:rsidRPr="00506115" w14:paraId="4582FA3B" w14:textId="77777777" w:rsidTr="006400BF">
        <w:trPr>
          <w:trHeight w:val="880"/>
        </w:trPr>
        <w:tc>
          <w:tcPr>
            <w:tcW w:w="3643" w:type="dxa"/>
            <w:tcBorders>
              <w:top w:val="nil"/>
              <w:left w:val="nil"/>
              <w:bottom w:val="nil"/>
              <w:right w:val="nil"/>
            </w:tcBorders>
            <w:tcMar>
              <w:top w:w="128" w:type="dxa"/>
              <w:left w:w="43" w:type="dxa"/>
              <w:bottom w:w="43" w:type="dxa"/>
              <w:right w:w="43" w:type="dxa"/>
            </w:tcMar>
          </w:tcPr>
          <w:p w14:paraId="33039028" w14:textId="77777777" w:rsidR="00A02896" w:rsidRPr="00506115" w:rsidRDefault="00AE1379" w:rsidP="00506115">
            <w:pPr>
              <w:rPr>
                <w:rStyle w:val="kursiv"/>
              </w:rPr>
            </w:pPr>
            <w:r w:rsidRPr="00506115">
              <w:rPr>
                <w:rStyle w:val="kursiv"/>
              </w:rPr>
              <w:t>Låg investeringskostnad</w:t>
            </w:r>
          </w:p>
          <w:p w14:paraId="2ABE2D18" w14:textId="77777777" w:rsidR="00A02896" w:rsidRPr="00506115" w:rsidRDefault="00AE1379" w:rsidP="00506115">
            <w:r w:rsidRPr="00506115">
              <w:rPr>
                <w:rStyle w:val="kursiv"/>
              </w:rPr>
              <w:t>(-30 pst.)</w:t>
            </w:r>
          </w:p>
        </w:tc>
        <w:tc>
          <w:tcPr>
            <w:tcW w:w="2835" w:type="dxa"/>
            <w:tcBorders>
              <w:top w:val="nil"/>
              <w:left w:val="nil"/>
              <w:bottom w:val="nil"/>
              <w:right w:val="nil"/>
            </w:tcBorders>
            <w:tcMar>
              <w:top w:w="128" w:type="dxa"/>
              <w:left w:w="43" w:type="dxa"/>
              <w:bottom w:w="43" w:type="dxa"/>
              <w:right w:w="43" w:type="dxa"/>
            </w:tcMar>
          </w:tcPr>
          <w:p w14:paraId="5CD4AE09" w14:textId="77777777" w:rsidR="00A02896" w:rsidRPr="00506115" w:rsidRDefault="00AE1379" w:rsidP="00506115">
            <w:r w:rsidRPr="00506115">
              <w:rPr>
                <w:rStyle w:val="kursiv"/>
              </w:rPr>
              <w:t xml:space="preserve">Høg kraftpris </w:t>
            </w:r>
            <w:r w:rsidRPr="00506115">
              <w:rPr>
                <w:rStyle w:val="kursiv"/>
              </w:rPr>
              <w:br/>
              <w:t xml:space="preserve">(70 øre/kWh i </w:t>
            </w:r>
            <w:proofErr w:type="spellStart"/>
            <w:proofErr w:type="gramStart"/>
            <w:r w:rsidRPr="00506115">
              <w:rPr>
                <w:rStyle w:val="kursiv"/>
              </w:rPr>
              <w:t>gj.snitt</w:t>
            </w:r>
            <w:proofErr w:type="spellEnd"/>
            <w:proofErr w:type="gramEnd"/>
            <w:r w:rsidRPr="00506115">
              <w:rPr>
                <w:rStyle w:val="kursiv"/>
              </w:rPr>
              <w:t>)</w:t>
            </w:r>
          </w:p>
        </w:tc>
        <w:tc>
          <w:tcPr>
            <w:tcW w:w="2878" w:type="dxa"/>
            <w:tcBorders>
              <w:top w:val="nil"/>
              <w:left w:val="nil"/>
              <w:bottom w:val="nil"/>
              <w:right w:val="nil"/>
            </w:tcBorders>
            <w:tcMar>
              <w:top w:w="128" w:type="dxa"/>
              <w:left w:w="43" w:type="dxa"/>
              <w:bottom w:w="43" w:type="dxa"/>
              <w:right w:w="43" w:type="dxa"/>
            </w:tcMar>
          </w:tcPr>
          <w:p w14:paraId="66257193" w14:textId="77777777" w:rsidR="00A02896" w:rsidRPr="00506115" w:rsidRDefault="00AE1379" w:rsidP="00506115">
            <w:r w:rsidRPr="00506115">
              <w:rPr>
                <w:rStyle w:val="kursiv"/>
              </w:rPr>
              <w:t xml:space="preserve">Høg kraftpris </w:t>
            </w:r>
            <w:r w:rsidRPr="00506115">
              <w:rPr>
                <w:rStyle w:val="kursiv"/>
              </w:rPr>
              <w:br/>
              <w:t xml:space="preserve">(70 øre/kWh i </w:t>
            </w:r>
            <w:proofErr w:type="spellStart"/>
            <w:proofErr w:type="gramStart"/>
            <w:r w:rsidRPr="00506115">
              <w:rPr>
                <w:rStyle w:val="kursiv"/>
              </w:rPr>
              <w:t>gj.snitt</w:t>
            </w:r>
            <w:proofErr w:type="spellEnd"/>
            <w:proofErr w:type="gramEnd"/>
            <w:r w:rsidRPr="00506115">
              <w:rPr>
                <w:rStyle w:val="kursiv"/>
              </w:rPr>
              <w:t xml:space="preserve">) og </w:t>
            </w:r>
            <w:proofErr w:type="spellStart"/>
            <w:r w:rsidRPr="00506115">
              <w:rPr>
                <w:rStyle w:val="kursiv"/>
              </w:rPr>
              <w:t>låg</w:t>
            </w:r>
            <w:proofErr w:type="spellEnd"/>
            <w:r w:rsidRPr="00506115">
              <w:rPr>
                <w:rStyle w:val="kursiv"/>
              </w:rPr>
              <w:t xml:space="preserve"> investeringskostnad (-30 pst.)</w:t>
            </w:r>
          </w:p>
        </w:tc>
      </w:tr>
      <w:tr w:rsidR="00A02896" w:rsidRPr="00506115" w14:paraId="695A5C5A" w14:textId="77777777" w:rsidTr="006400BF">
        <w:trPr>
          <w:trHeight w:val="380"/>
        </w:trPr>
        <w:tc>
          <w:tcPr>
            <w:tcW w:w="364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CC67D81" w14:textId="77777777" w:rsidR="00A02896" w:rsidRPr="00506115" w:rsidRDefault="00AE1379" w:rsidP="00506115">
            <w:r w:rsidRPr="00506115">
              <w:t xml:space="preserve">0 mrd. </w:t>
            </w:r>
          </w:p>
        </w:tc>
        <w:tc>
          <w:tcPr>
            <w:tcW w:w="283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5C9900F" w14:textId="77777777" w:rsidR="00A02896" w:rsidRPr="00506115" w:rsidRDefault="00AE1379" w:rsidP="00506115">
            <w:r w:rsidRPr="00506115">
              <w:t xml:space="preserve">-11 mrd. </w:t>
            </w:r>
          </w:p>
        </w:tc>
        <w:tc>
          <w:tcPr>
            <w:tcW w:w="287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0A87341" w14:textId="77777777" w:rsidR="00A02896" w:rsidRPr="00506115" w:rsidRDefault="00AE1379" w:rsidP="00506115">
            <w:r w:rsidRPr="00506115">
              <w:t xml:space="preserve">-19 mrd. </w:t>
            </w:r>
          </w:p>
        </w:tc>
      </w:tr>
    </w:tbl>
    <w:p w14:paraId="725CC503" w14:textId="77777777" w:rsidR="00A02896" w:rsidRPr="00506115" w:rsidRDefault="00AE1379" w:rsidP="00506115">
      <w:pPr>
        <w:pStyle w:val="Kilde"/>
      </w:pPr>
      <w:r w:rsidRPr="00506115">
        <w:t>Kjelde: Olje- og energidepartementet</w:t>
      </w:r>
    </w:p>
    <w:p w14:paraId="6BFEEE30" w14:textId="77777777" w:rsidR="00A02896" w:rsidRPr="00506115" w:rsidRDefault="00AE1379" w:rsidP="00AE1379">
      <w:pPr>
        <w:pStyle w:val="Overskrift1"/>
      </w:pPr>
      <w:r w:rsidRPr="00506115">
        <w:lastRenderedPageBreak/>
        <w:t xml:space="preserve">Støtteordning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w:t>
      </w:r>
    </w:p>
    <w:p w14:paraId="2E048912" w14:textId="77777777" w:rsidR="00A02896" w:rsidRPr="00506115" w:rsidRDefault="00AE1379" w:rsidP="00AE1379">
      <w:pPr>
        <w:pStyle w:val="Overskrift2"/>
      </w:pPr>
      <w:r w:rsidRPr="00506115">
        <w:t>Tosidig differansekontrakt</w:t>
      </w:r>
    </w:p>
    <w:p w14:paraId="7F0B4516" w14:textId="77777777" w:rsidR="00A02896" w:rsidRPr="00506115" w:rsidRDefault="00AE1379" w:rsidP="00506115">
      <w:r w:rsidRPr="00506115">
        <w:t xml:space="preserve">Departementet </w:t>
      </w:r>
      <w:proofErr w:type="spellStart"/>
      <w:r w:rsidRPr="00506115">
        <w:t>føreslår</w:t>
      </w:r>
      <w:proofErr w:type="spellEnd"/>
      <w:r w:rsidRPr="00506115">
        <w:t xml:space="preserve"> at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blir støtta gjennom </w:t>
      </w:r>
      <w:proofErr w:type="spellStart"/>
      <w:r w:rsidRPr="00506115">
        <w:t>ein</w:t>
      </w:r>
      <w:proofErr w:type="spellEnd"/>
      <w:r w:rsidRPr="00506115">
        <w:t xml:space="preserve"> tosidig differansekontrakt. Differansekontrakt er same støttemekanisme som Stortinget viser til for </w:t>
      </w:r>
      <w:proofErr w:type="spellStart"/>
      <w:r w:rsidRPr="00506115">
        <w:t>flytande</w:t>
      </w:r>
      <w:proofErr w:type="spellEnd"/>
      <w:r w:rsidRPr="00506115">
        <w:t xml:space="preserve"> havvind i anmodningsvedtak nr. 704 til Meld. St. 11 (2021–2022):</w:t>
      </w:r>
      <w:r w:rsidRPr="00506115">
        <w:rPr>
          <w:rStyle w:val="Fotnotereferanse"/>
        </w:rPr>
        <w:footnoteReference w:id="13"/>
      </w:r>
    </w:p>
    <w:p w14:paraId="6E665D1E" w14:textId="77777777" w:rsidR="00A02896" w:rsidRPr="00506115" w:rsidRDefault="00AE1379" w:rsidP="00506115">
      <w:pPr>
        <w:pStyle w:val="blokksit"/>
        <w:rPr>
          <w:rStyle w:val="kursiv"/>
        </w:rPr>
      </w:pPr>
      <w:r w:rsidRPr="00506115">
        <w:t>«Stortinget ber Regjeringen utrede ulike støtteordninger og virkemidler som kan være utløsende for å få igangsatt prosjekter for flytende havvind, deriblant differansekontrakter.»</w:t>
      </w:r>
    </w:p>
    <w:p w14:paraId="680F391D" w14:textId="77777777" w:rsidR="00A02896" w:rsidRPr="00506115" w:rsidRDefault="00AE1379" w:rsidP="00506115">
      <w:proofErr w:type="spellStart"/>
      <w:r w:rsidRPr="00506115">
        <w:t>Fleire</w:t>
      </w:r>
      <w:proofErr w:type="spellEnd"/>
      <w:r w:rsidRPr="00506115">
        <w:t xml:space="preserve"> andre land brukar tosidige </w:t>
      </w:r>
      <w:proofErr w:type="spellStart"/>
      <w:r w:rsidRPr="00506115">
        <w:t>differansekontraktar</w:t>
      </w:r>
      <w:proofErr w:type="spellEnd"/>
      <w:r w:rsidRPr="00506115">
        <w:t xml:space="preserve"> som støttemodell og det er den mest </w:t>
      </w:r>
      <w:proofErr w:type="spellStart"/>
      <w:r w:rsidRPr="00506115">
        <w:t>utbreidde</w:t>
      </w:r>
      <w:proofErr w:type="spellEnd"/>
      <w:r w:rsidRPr="00506115">
        <w:t xml:space="preserve"> støttemodellen for havvind i Europa. </w:t>
      </w:r>
      <w:proofErr w:type="spellStart"/>
      <w:r w:rsidRPr="00506115">
        <w:t>Ein</w:t>
      </w:r>
      <w:proofErr w:type="spellEnd"/>
      <w:r w:rsidRPr="00506115">
        <w:t xml:space="preserve"> tosidig differansekontrakt er ei langsiktig avtale med staten, som gjev produsenten </w:t>
      </w:r>
      <w:proofErr w:type="spellStart"/>
      <w:r w:rsidRPr="00506115">
        <w:t>risikoavlasting</w:t>
      </w:r>
      <w:proofErr w:type="spellEnd"/>
      <w:r w:rsidRPr="00506115">
        <w:t xml:space="preserve"> i form av </w:t>
      </w:r>
      <w:proofErr w:type="spellStart"/>
      <w:r w:rsidRPr="00506115">
        <w:t>ein</w:t>
      </w:r>
      <w:proofErr w:type="spellEnd"/>
      <w:r w:rsidRPr="00506115">
        <w:t xml:space="preserve"> garantert kraftpris i </w:t>
      </w:r>
      <w:proofErr w:type="spellStart"/>
      <w:r w:rsidRPr="00506115">
        <w:t>ein</w:t>
      </w:r>
      <w:proofErr w:type="spellEnd"/>
      <w:r w:rsidRPr="00506115">
        <w:t xml:space="preserve"> avtalt periode av driftsfasen. Kraftprodusenten får dermed ei </w:t>
      </w:r>
      <w:proofErr w:type="spellStart"/>
      <w:r w:rsidRPr="00506115">
        <w:t>meir</w:t>
      </w:r>
      <w:proofErr w:type="spellEnd"/>
      <w:r w:rsidRPr="00506115">
        <w:t xml:space="preserve"> </w:t>
      </w:r>
      <w:proofErr w:type="spellStart"/>
      <w:r w:rsidRPr="00506115">
        <w:t>føreseieleg</w:t>
      </w:r>
      <w:proofErr w:type="spellEnd"/>
      <w:r w:rsidRPr="00506115">
        <w:t xml:space="preserve"> inntekt i driftsfasen ved at staten tar på seg </w:t>
      </w:r>
      <w:proofErr w:type="spellStart"/>
      <w:r w:rsidRPr="00506115">
        <w:t>delar</w:t>
      </w:r>
      <w:proofErr w:type="spellEnd"/>
      <w:r w:rsidRPr="00506115">
        <w:t xml:space="preserve"> av </w:t>
      </w:r>
      <w:proofErr w:type="spellStart"/>
      <w:r w:rsidRPr="00506115">
        <w:t>kraftprisriskoen</w:t>
      </w:r>
      <w:proofErr w:type="spellEnd"/>
      <w:r w:rsidRPr="00506115">
        <w:t xml:space="preserve">. Det </w:t>
      </w:r>
      <w:proofErr w:type="spellStart"/>
      <w:r w:rsidRPr="00506115">
        <w:t>legg</w:t>
      </w:r>
      <w:proofErr w:type="spellEnd"/>
      <w:r w:rsidRPr="00506115">
        <w:t xml:space="preserve"> til rette for at prosjektet blir realisert. Den tosidige differansekontrakten gjev også ei </w:t>
      </w:r>
      <w:proofErr w:type="spellStart"/>
      <w:r w:rsidRPr="00506115">
        <w:t>mogleg</w:t>
      </w:r>
      <w:proofErr w:type="spellEnd"/>
      <w:r w:rsidRPr="00506115">
        <w:t xml:space="preserve"> oppside for staten viss kraftprisen blir høgre enn forventa. Samtidig </w:t>
      </w:r>
      <w:proofErr w:type="spellStart"/>
      <w:r w:rsidRPr="00506115">
        <w:t>gjer</w:t>
      </w:r>
      <w:proofErr w:type="spellEnd"/>
      <w:r w:rsidRPr="00506115">
        <w:t xml:space="preserve"> det at </w:t>
      </w:r>
      <w:proofErr w:type="spellStart"/>
      <w:r w:rsidRPr="00506115">
        <w:t>kraftprodusentane</w:t>
      </w:r>
      <w:proofErr w:type="spellEnd"/>
      <w:r w:rsidRPr="00506115">
        <w:t xml:space="preserve"> i mindre grad må ta omsyn til </w:t>
      </w:r>
      <w:proofErr w:type="spellStart"/>
      <w:r w:rsidRPr="00506115">
        <w:t>kraftprisar</w:t>
      </w:r>
      <w:proofErr w:type="spellEnd"/>
      <w:r w:rsidRPr="00506115">
        <w:t xml:space="preserve"> i gjennomføringa av prosjektet. Støtta vert fastsett av </w:t>
      </w:r>
      <w:proofErr w:type="spellStart"/>
      <w:r w:rsidRPr="00506115">
        <w:t>ein</w:t>
      </w:r>
      <w:proofErr w:type="spellEnd"/>
      <w:r w:rsidRPr="00506115">
        <w:t xml:space="preserve"> kontraktspris som blir avklart gjennom </w:t>
      </w:r>
      <w:proofErr w:type="spellStart"/>
      <w:r w:rsidRPr="00506115">
        <w:t>bodgjevinga</w:t>
      </w:r>
      <w:proofErr w:type="spellEnd"/>
      <w:r w:rsidRPr="00506115">
        <w:t xml:space="preserve"> i auksjonen. Dersom kraftprisen i </w:t>
      </w:r>
      <w:proofErr w:type="spellStart"/>
      <w:r w:rsidRPr="00506115">
        <w:t>marknaden</w:t>
      </w:r>
      <w:proofErr w:type="spellEnd"/>
      <w:r w:rsidRPr="00506115">
        <w:t xml:space="preserve"> er </w:t>
      </w:r>
      <w:proofErr w:type="spellStart"/>
      <w:r w:rsidRPr="00506115">
        <w:t>lågare</w:t>
      </w:r>
      <w:proofErr w:type="spellEnd"/>
      <w:r w:rsidRPr="00506115">
        <w:t xml:space="preserve"> enn kontraktsprisen, dekker staten differansen. Dersom kraftprisen i </w:t>
      </w:r>
      <w:proofErr w:type="spellStart"/>
      <w:r w:rsidRPr="00506115">
        <w:t>marknaden</w:t>
      </w:r>
      <w:proofErr w:type="spellEnd"/>
      <w:r w:rsidRPr="00506115">
        <w:t xml:space="preserve"> er høgre enn kontraktsprisen får staten differansen </w:t>
      </w:r>
      <w:proofErr w:type="spellStart"/>
      <w:r w:rsidRPr="00506115">
        <w:t>frå</w:t>
      </w:r>
      <w:proofErr w:type="spellEnd"/>
      <w:r w:rsidRPr="00506115">
        <w:t xml:space="preserve"> produsenten. Det totale støttenivået i </w:t>
      </w:r>
      <w:proofErr w:type="spellStart"/>
      <w:r w:rsidRPr="00506115">
        <w:t>periodar</w:t>
      </w:r>
      <w:proofErr w:type="spellEnd"/>
      <w:r w:rsidRPr="00506115">
        <w:t xml:space="preserve"> der kraftprisen er </w:t>
      </w:r>
      <w:proofErr w:type="spellStart"/>
      <w:r w:rsidRPr="00506115">
        <w:t>lågare</w:t>
      </w:r>
      <w:proofErr w:type="spellEnd"/>
      <w:r w:rsidRPr="00506115">
        <w:t xml:space="preserve"> enn kontraktsprisen er lik differansen mellom kontraktsprisen og kraftprisen multiplisert med energiproduksjonen i den same perioden.</w:t>
      </w:r>
    </w:p>
    <w:p w14:paraId="2B0EF90F" w14:textId="49DFB91B" w:rsidR="00A02896" w:rsidRPr="00506115" w:rsidRDefault="006400BF" w:rsidP="00506115">
      <w:r>
        <w:rPr>
          <w:noProof/>
        </w:rPr>
        <w:drawing>
          <wp:inline distT="0" distB="0" distL="0" distR="0" wp14:anchorId="406493CD" wp14:editId="0801D89D">
            <wp:extent cx="6086475" cy="2886075"/>
            <wp:effectExtent l="0" t="0" r="9525"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8758106" w14:textId="77777777" w:rsidR="00A02896" w:rsidRPr="00506115" w:rsidRDefault="00AE1379" w:rsidP="00AE1379">
      <w:pPr>
        <w:pStyle w:val="figur-tittel"/>
      </w:pPr>
      <w:r w:rsidRPr="00506115">
        <w:t>Illustrasjon av tosidig differansekontrakt</w:t>
      </w:r>
    </w:p>
    <w:p w14:paraId="4EE3B572" w14:textId="77777777" w:rsidR="00A02896" w:rsidRPr="00506115" w:rsidRDefault="00AE1379" w:rsidP="00506115">
      <w:pPr>
        <w:pStyle w:val="Kilde"/>
      </w:pPr>
      <w:r w:rsidRPr="00506115">
        <w:t>Kjelde: Olje- og energidepartementet</w:t>
      </w:r>
    </w:p>
    <w:p w14:paraId="10B4B068" w14:textId="77777777" w:rsidR="00A02896" w:rsidRPr="00506115" w:rsidRDefault="00AE1379" w:rsidP="00506115">
      <w:r w:rsidRPr="00506115">
        <w:lastRenderedPageBreak/>
        <w:t xml:space="preserve">Tildeling av prosjektområdet i </w:t>
      </w:r>
      <w:proofErr w:type="spellStart"/>
      <w:r w:rsidRPr="00506115">
        <w:t>ein</w:t>
      </w:r>
      <w:proofErr w:type="spellEnd"/>
      <w:r w:rsidRPr="00506115">
        <w:t xml:space="preserve"> auksjon vil bidra til å minimere støttenivået ved at det gjev konkurranse mellom </w:t>
      </w:r>
      <w:proofErr w:type="spellStart"/>
      <w:r w:rsidRPr="00506115">
        <w:t>dei</w:t>
      </w:r>
      <w:proofErr w:type="spellEnd"/>
      <w:r w:rsidRPr="00506115">
        <w:t xml:space="preserve"> prekvalifiserte </w:t>
      </w:r>
      <w:proofErr w:type="spellStart"/>
      <w:r w:rsidRPr="00506115">
        <w:t>aktørane</w:t>
      </w:r>
      <w:proofErr w:type="spellEnd"/>
      <w:r w:rsidRPr="00506115">
        <w:t xml:space="preserve"> om den </w:t>
      </w:r>
      <w:proofErr w:type="spellStart"/>
      <w:r w:rsidRPr="00506115">
        <w:t>statlege</w:t>
      </w:r>
      <w:proofErr w:type="spellEnd"/>
      <w:r w:rsidRPr="00506115">
        <w:t xml:space="preserve"> støtta. Dette </w:t>
      </w:r>
      <w:proofErr w:type="spellStart"/>
      <w:r w:rsidRPr="00506115">
        <w:t>legg</w:t>
      </w:r>
      <w:proofErr w:type="spellEnd"/>
      <w:r w:rsidRPr="00506115">
        <w:t xml:space="preserve"> til rette for at prosjektområdet vert tildelt den prekvalifiserte aktøren med det mest kostnadseffektive prosjektet. Staten </w:t>
      </w:r>
      <w:proofErr w:type="spellStart"/>
      <w:r w:rsidRPr="00506115">
        <w:t>si</w:t>
      </w:r>
      <w:proofErr w:type="spellEnd"/>
      <w:r w:rsidRPr="00506115">
        <w:t xml:space="preserve"> eksponering blir avgrensa av to </w:t>
      </w:r>
      <w:proofErr w:type="spellStart"/>
      <w:r w:rsidRPr="00506115">
        <w:t>mekanismar</w:t>
      </w:r>
      <w:proofErr w:type="spellEnd"/>
      <w:r w:rsidRPr="00506115">
        <w:t xml:space="preserve">; reservasjonspris og </w:t>
      </w:r>
      <w:proofErr w:type="spellStart"/>
      <w:r w:rsidRPr="00506115">
        <w:t>eit</w:t>
      </w:r>
      <w:proofErr w:type="spellEnd"/>
      <w:r w:rsidRPr="00506115">
        <w:t xml:space="preserve"> øvre tak for statsstøtta, jf. avsnitt 5.2.1 og 5.2.2.</w:t>
      </w:r>
    </w:p>
    <w:p w14:paraId="7EE03F06" w14:textId="77777777" w:rsidR="00A02896" w:rsidRPr="00506115" w:rsidRDefault="00AE1379" w:rsidP="00AE1379">
      <w:pPr>
        <w:pStyle w:val="Overskrift2"/>
      </w:pPr>
      <w:r w:rsidRPr="00506115">
        <w:t>Rammer for den tosidige differansekontrakten</w:t>
      </w:r>
    </w:p>
    <w:p w14:paraId="7BDEC0B0" w14:textId="77777777" w:rsidR="00A02896" w:rsidRPr="00506115" w:rsidRDefault="00AE1379" w:rsidP="00AE1379">
      <w:pPr>
        <w:pStyle w:val="Overskrift3"/>
      </w:pPr>
      <w:r w:rsidRPr="00506115">
        <w:t>Reservasjonspris</w:t>
      </w:r>
    </w:p>
    <w:p w14:paraId="2B93155A" w14:textId="77777777" w:rsidR="00A02896" w:rsidRPr="00506115" w:rsidRDefault="00AE1379" w:rsidP="00506115">
      <w:r w:rsidRPr="00506115">
        <w:t xml:space="preserve">Departementet vil sette </w:t>
      </w:r>
      <w:proofErr w:type="spellStart"/>
      <w:r w:rsidRPr="00506115">
        <w:t>ein</w:t>
      </w:r>
      <w:proofErr w:type="spellEnd"/>
      <w:r w:rsidRPr="00506115">
        <w:t xml:space="preserve"> reservasjonspris for tildeling av prosjektområde til fornybar energiproduksjon i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w:t>
      </w:r>
      <w:proofErr w:type="spellStart"/>
      <w:r w:rsidRPr="00506115">
        <w:t>Ein</w:t>
      </w:r>
      <w:proofErr w:type="spellEnd"/>
      <w:r w:rsidRPr="00506115">
        <w:t xml:space="preserve"> reservasjonspris er </w:t>
      </w:r>
      <w:proofErr w:type="spellStart"/>
      <w:r w:rsidRPr="00506115">
        <w:t>ein</w:t>
      </w:r>
      <w:proofErr w:type="spellEnd"/>
      <w:r w:rsidRPr="00506115">
        <w:t xml:space="preserve"> maksimal kontraktspris som definerer det </w:t>
      </w:r>
      <w:proofErr w:type="spellStart"/>
      <w:r w:rsidRPr="00506115">
        <w:t>høgste</w:t>
      </w:r>
      <w:proofErr w:type="spellEnd"/>
      <w:r w:rsidRPr="00506115">
        <w:t xml:space="preserve"> støttenivået staten er villig til å betale per kilowattime energiproduksjon. Gjennom å sette </w:t>
      </w:r>
      <w:proofErr w:type="spellStart"/>
      <w:r w:rsidRPr="00506115">
        <w:t>ein</w:t>
      </w:r>
      <w:proofErr w:type="spellEnd"/>
      <w:r w:rsidRPr="00506115">
        <w:t xml:space="preserve"> reservasjonspris før auksjonen </w:t>
      </w:r>
      <w:proofErr w:type="spellStart"/>
      <w:r w:rsidRPr="00506115">
        <w:t>startar</w:t>
      </w:r>
      <w:proofErr w:type="spellEnd"/>
      <w:r w:rsidRPr="00506115">
        <w:t xml:space="preserve">, reduserer staten risikoen for svært </w:t>
      </w:r>
      <w:proofErr w:type="spellStart"/>
      <w:r w:rsidRPr="00506115">
        <w:t>høg</w:t>
      </w:r>
      <w:proofErr w:type="spellEnd"/>
      <w:r w:rsidRPr="00506115">
        <w:t xml:space="preserve"> kontraktspris. Reservasjonspris er </w:t>
      </w:r>
      <w:proofErr w:type="spellStart"/>
      <w:r w:rsidRPr="00506115">
        <w:t>eit</w:t>
      </w:r>
      <w:proofErr w:type="spellEnd"/>
      <w:r w:rsidRPr="00506115">
        <w:t xml:space="preserve"> </w:t>
      </w:r>
      <w:proofErr w:type="spellStart"/>
      <w:r w:rsidRPr="00506115">
        <w:t>vanleg</w:t>
      </w:r>
      <w:proofErr w:type="spellEnd"/>
      <w:r w:rsidRPr="00506115">
        <w:t xml:space="preserve"> instrument i </w:t>
      </w:r>
      <w:proofErr w:type="spellStart"/>
      <w:r w:rsidRPr="00506115">
        <w:t>fornybarauksjonar</w:t>
      </w:r>
      <w:proofErr w:type="spellEnd"/>
      <w:r w:rsidRPr="00506115">
        <w:t xml:space="preserve"> i Europa og er </w:t>
      </w:r>
      <w:proofErr w:type="spellStart"/>
      <w:r w:rsidRPr="00506115">
        <w:t>oftast</w:t>
      </w:r>
      <w:proofErr w:type="spellEnd"/>
      <w:r w:rsidRPr="00506115">
        <w:t xml:space="preserve"> basert på energikostnad over levetida, LCOE (</w:t>
      </w:r>
      <w:proofErr w:type="spellStart"/>
      <w:r w:rsidRPr="00506115">
        <w:t>levelized</w:t>
      </w:r>
      <w:proofErr w:type="spellEnd"/>
      <w:r w:rsidRPr="00506115">
        <w:t xml:space="preserve"> </w:t>
      </w:r>
      <w:proofErr w:type="spellStart"/>
      <w:r w:rsidRPr="00506115">
        <w:t>cost</w:t>
      </w:r>
      <w:proofErr w:type="spellEnd"/>
      <w:r w:rsidRPr="00506115">
        <w:t xml:space="preserve"> </w:t>
      </w:r>
      <w:proofErr w:type="spellStart"/>
      <w:r w:rsidRPr="00506115">
        <w:t>of</w:t>
      </w:r>
      <w:proofErr w:type="spellEnd"/>
      <w:r w:rsidRPr="00506115">
        <w:t xml:space="preserve"> </w:t>
      </w:r>
      <w:proofErr w:type="spellStart"/>
      <w:r w:rsidRPr="00506115">
        <w:t>energy</w:t>
      </w:r>
      <w:proofErr w:type="spellEnd"/>
      <w:r w:rsidRPr="00506115">
        <w:t xml:space="preserve">). Reservasjonsprisen bør </w:t>
      </w:r>
      <w:proofErr w:type="spellStart"/>
      <w:r w:rsidRPr="00506115">
        <w:t>ikkje</w:t>
      </w:r>
      <w:proofErr w:type="spellEnd"/>
      <w:r w:rsidRPr="00506115">
        <w:t xml:space="preserve"> </w:t>
      </w:r>
      <w:proofErr w:type="spellStart"/>
      <w:r w:rsidRPr="00506115">
        <w:t>settast</w:t>
      </w:r>
      <w:proofErr w:type="spellEnd"/>
      <w:r w:rsidRPr="00506115">
        <w:t xml:space="preserve"> så lågt at </w:t>
      </w:r>
      <w:proofErr w:type="spellStart"/>
      <w:r w:rsidRPr="00506115">
        <w:t>bodgjevarane</w:t>
      </w:r>
      <w:proofErr w:type="spellEnd"/>
      <w:r w:rsidRPr="00506115">
        <w:t xml:space="preserve"> trekk seg </w:t>
      </w:r>
      <w:proofErr w:type="spellStart"/>
      <w:r w:rsidRPr="00506115">
        <w:t>frå</w:t>
      </w:r>
      <w:proofErr w:type="spellEnd"/>
      <w:r w:rsidRPr="00506115">
        <w:t xml:space="preserve"> konkurransen, det vil </w:t>
      </w:r>
      <w:proofErr w:type="spellStart"/>
      <w:r w:rsidRPr="00506115">
        <w:t>gje</w:t>
      </w:r>
      <w:proofErr w:type="spellEnd"/>
      <w:r w:rsidRPr="00506115">
        <w:t xml:space="preserve"> </w:t>
      </w:r>
      <w:proofErr w:type="spellStart"/>
      <w:r w:rsidRPr="00506115">
        <w:t>ein</w:t>
      </w:r>
      <w:proofErr w:type="spellEnd"/>
      <w:r w:rsidRPr="00506115">
        <w:t xml:space="preserve"> </w:t>
      </w:r>
      <w:proofErr w:type="spellStart"/>
      <w:r w:rsidRPr="00506115">
        <w:t>mislukka</w:t>
      </w:r>
      <w:proofErr w:type="spellEnd"/>
      <w:r w:rsidRPr="00506115">
        <w:t xml:space="preserve"> auksjon. </w:t>
      </w:r>
      <w:proofErr w:type="spellStart"/>
      <w:r w:rsidRPr="00506115">
        <w:t>Auksjonsrådgivarane</w:t>
      </w:r>
      <w:proofErr w:type="spellEnd"/>
      <w:r w:rsidRPr="00506115">
        <w:t xml:space="preserve"> Vista Analyse og Guidehouse anbefaler at reservasjonsprisen vert basert på NVE sine estimat for energikostnad over levetida, LCOE, men at det vert lagt på </w:t>
      </w:r>
      <w:proofErr w:type="spellStart"/>
      <w:r w:rsidRPr="00506115">
        <w:t>ein</w:t>
      </w:r>
      <w:proofErr w:type="spellEnd"/>
      <w:r w:rsidRPr="00506115">
        <w:t xml:space="preserve"> margin på 15 prosent.</w:t>
      </w:r>
    </w:p>
    <w:p w14:paraId="44A6E973" w14:textId="77777777" w:rsidR="00A02896" w:rsidRPr="00506115" w:rsidRDefault="00AE1379" w:rsidP="00506115">
      <w:r w:rsidRPr="00506115">
        <w:t xml:space="preserve">Departementet har brukt NVE sine estimat for energikostnad over levetida, LCOE, og </w:t>
      </w:r>
      <w:proofErr w:type="spellStart"/>
      <w:r w:rsidRPr="00506115">
        <w:t>ein</w:t>
      </w:r>
      <w:proofErr w:type="spellEnd"/>
      <w:r w:rsidRPr="00506115">
        <w:t xml:space="preserve"> margin på 15 prosent for å anslå reservasjonsprisen og </w:t>
      </w:r>
      <w:proofErr w:type="spellStart"/>
      <w:r w:rsidRPr="00506115">
        <w:t>føreslår</w:t>
      </w:r>
      <w:proofErr w:type="spellEnd"/>
      <w:r w:rsidRPr="00506115">
        <w:t xml:space="preserve"> å fastsette </w:t>
      </w:r>
      <w:proofErr w:type="spellStart"/>
      <w:r w:rsidRPr="00506115">
        <w:t>ein</w:t>
      </w:r>
      <w:proofErr w:type="spellEnd"/>
      <w:r w:rsidRPr="00506115">
        <w:t xml:space="preserve"> reservasjonspris på 66 øre/kWh. Anslaget </w:t>
      </w:r>
      <w:proofErr w:type="spellStart"/>
      <w:r w:rsidRPr="00506115">
        <w:t>legg</w:t>
      </w:r>
      <w:proofErr w:type="spellEnd"/>
      <w:r w:rsidRPr="00506115">
        <w:t xml:space="preserve"> til grunn pessimistiske </w:t>
      </w:r>
      <w:proofErr w:type="spellStart"/>
      <w:r w:rsidRPr="00506115">
        <w:t>føresetnader</w:t>
      </w:r>
      <w:proofErr w:type="spellEnd"/>
      <w:r w:rsidRPr="00506115">
        <w:t xml:space="preserve"> for investerings- og driftskostnader.</w:t>
      </w:r>
    </w:p>
    <w:p w14:paraId="5256ACC1" w14:textId="77777777" w:rsidR="00A02896" w:rsidRPr="00506115" w:rsidRDefault="00AE1379" w:rsidP="00AE1379">
      <w:pPr>
        <w:pStyle w:val="Overskrift3"/>
      </w:pPr>
      <w:r w:rsidRPr="00506115">
        <w:t xml:space="preserve">Tak for </w:t>
      </w:r>
      <w:proofErr w:type="spellStart"/>
      <w:r w:rsidRPr="00506115">
        <w:t>utbetalingar</w:t>
      </w:r>
      <w:proofErr w:type="spellEnd"/>
      <w:r w:rsidRPr="00506115">
        <w:t xml:space="preserve"> under støtteordninga</w:t>
      </w:r>
    </w:p>
    <w:p w14:paraId="622E48FE" w14:textId="77777777" w:rsidR="00A02896" w:rsidRPr="00506115" w:rsidRDefault="00AE1379" w:rsidP="00506115">
      <w:r w:rsidRPr="00506115">
        <w:t xml:space="preserve">Dei totale </w:t>
      </w:r>
      <w:proofErr w:type="spellStart"/>
      <w:r w:rsidRPr="00506115">
        <w:t>utbetalingane</w:t>
      </w:r>
      <w:proofErr w:type="spellEnd"/>
      <w:r w:rsidRPr="00506115">
        <w:t xml:space="preserve"> </w:t>
      </w:r>
      <w:proofErr w:type="spellStart"/>
      <w:r w:rsidRPr="00506115">
        <w:t>frå</w:t>
      </w:r>
      <w:proofErr w:type="spellEnd"/>
      <w:r w:rsidRPr="00506115">
        <w:t xml:space="preserve"> staten under den tosidige differansekontrakten kan </w:t>
      </w:r>
      <w:proofErr w:type="spellStart"/>
      <w:r w:rsidRPr="00506115">
        <w:t>avgrensast</w:t>
      </w:r>
      <w:proofErr w:type="spellEnd"/>
      <w:r w:rsidRPr="00506115">
        <w:t xml:space="preserve"> ved å sette </w:t>
      </w:r>
      <w:proofErr w:type="spellStart"/>
      <w:r w:rsidRPr="00506115">
        <w:t>eit</w:t>
      </w:r>
      <w:proofErr w:type="spellEnd"/>
      <w:r w:rsidRPr="00506115">
        <w:t xml:space="preserve"> øvre tak for den totale </w:t>
      </w:r>
      <w:proofErr w:type="spellStart"/>
      <w:r w:rsidRPr="00506115">
        <w:t>statlege</w:t>
      </w:r>
      <w:proofErr w:type="spellEnd"/>
      <w:r w:rsidRPr="00506115">
        <w:t xml:space="preserve"> støtta. På same måte kan det </w:t>
      </w:r>
      <w:proofErr w:type="spellStart"/>
      <w:r w:rsidRPr="00506115">
        <w:t>settast</w:t>
      </w:r>
      <w:proofErr w:type="spellEnd"/>
      <w:r w:rsidRPr="00506115">
        <w:t xml:space="preserve"> </w:t>
      </w:r>
      <w:proofErr w:type="spellStart"/>
      <w:r w:rsidRPr="00506115">
        <w:t>eit</w:t>
      </w:r>
      <w:proofErr w:type="spellEnd"/>
      <w:r w:rsidRPr="00506115">
        <w:t xml:space="preserve"> øvre tak for </w:t>
      </w:r>
      <w:proofErr w:type="spellStart"/>
      <w:r w:rsidRPr="00506115">
        <w:t>dei</w:t>
      </w:r>
      <w:proofErr w:type="spellEnd"/>
      <w:r w:rsidRPr="00506115">
        <w:t xml:space="preserve"> totale </w:t>
      </w:r>
      <w:proofErr w:type="spellStart"/>
      <w:r w:rsidRPr="00506115">
        <w:t>utbetalingane</w:t>
      </w:r>
      <w:proofErr w:type="spellEnd"/>
      <w:r w:rsidRPr="00506115">
        <w:t xml:space="preserve"> </w:t>
      </w:r>
      <w:proofErr w:type="spellStart"/>
      <w:r w:rsidRPr="00506115">
        <w:t>frå</w:t>
      </w:r>
      <w:proofErr w:type="spellEnd"/>
      <w:r w:rsidRPr="00506115">
        <w:t xml:space="preserve"> kraftprodusenten til staten. Korleis og kor høgt dette taket vert sett betyr </w:t>
      </w:r>
      <w:proofErr w:type="spellStart"/>
      <w:r w:rsidRPr="00506115">
        <w:t>mykje</w:t>
      </w:r>
      <w:proofErr w:type="spellEnd"/>
      <w:r w:rsidRPr="00506115">
        <w:t xml:space="preserve"> for risikofordelinga i prosjektet. Dess </w:t>
      </w:r>
      <w:proofErr w:type="spellStart"/>
      <w:r w:rsidRPr="00506115">
        <w:t>lågare</w:t>
      </w:r>
      <w:proofErr w:type="spellEnd"/>
      <w:r w:rsidRPr="00506115">
        <w:t xml:space="preserve"> støttetaket er, dess mindre risiko vert overført </w:t>
      </w:r>
      <w:proofErr w:type="spellStart"/>
      <w:r w:rsidRPr="00506115">
        <w:t>frå</w:t>
      </w:r>
      <w:proofErr w:type="spellEnd"/>
      <w:r w:rsidRPr="00506115">
        <w:t xml:space="preserve"> havvindprodusenten til staten. </w:t>
      </w:r>
      <w:proofErr w:type="spellStart"/>
      <w:r w:rsidRPr="00506115">
        <w:t>Aktørane</w:t>
      </w:r>
      <w:proofErr w:type="spellEnd"/>
      <w:r w:rsidRPr="00506115">
        <w:t xml:space="preserve"> har i </w:t>
      </w:r>
      <w:proofErr w:type="spellStart"/>
      <w:r w:rsidRPr="00506115">
        <w:t>høyringa</w:t>
      </w:r>
      <w:proofErr w:type="spellEnd"/>
      <w:r w:rsidRPr="00506115">
        <w:t xml:space="preserve"> </w:t>
      </w:r>
      <w:proofErr w:type="spellStart"/>
      <w:r w:rsidRPr="00506115">
        <w:t>påpeikt</w:t>
      </w:r>
      <w:proofErr w:type="spellEnd"/>
      <w:r w:rsidRPr="00506115">
        <w:t xml:space="preserve"> at </w:t>
      </w:r>
      <w:proofErr w:type="spellStart"/>
      <w:r w:rsidRPr="00506115">
        <w:t>eit</w:t>
      </w:r>
      <w:proofErr w:type="spellEnd"/>
      <w:r w:rsidRPr="00506115">
        <w:t xml:space="preserve"> </w:t>
      </w:r>
      <w:proofErr w:type="spellStart"/>
      <w:r w:rsidRPr="00506115">
        <w:t>lågare</w:t>
      </w:r>
      <w:proofErr w:type="spellEnd"/>
      <w:r w:rsidRPr="00506115">
        <w:t xml:space="preserve"> tak kan </w:t>
      </w:r>
      <w:proofErr w:type="spellStart"/>
      <w:r w:rsidRPr="00506115">
        <w:t>gje</w:t>
      </w:r>
      <w:proofErr w:type="spellEnd"/>
      <w:r w:rsidRPr="00506115">
        <w:t xml:space="preserve"> høgre bod, fordi det </w:t>
      </w:r>
      <w:proofErr w:type="spellStart"/>
      <w:r w:rsidRPr="00506115">
        <w:t>inneber</w:t>
      </w:r>
      <w:proofErr w:type="spellEnd"/>
      <w:r w:rsidRPr="00506115">
        <w:t xml:space="preserve"> at aktøren tar </w:t>
      </w:r>
      <w:proofErr w:type="spellStart"/>
      <w:r w:rsidRPr="00506115">
        <w:t>ein</w:t>
      </w:r>
      <w:proofErr w:type="spellEnd"/>
      <w:r w:rsidRPr="00506115">
        <w:t xml:space="preserve"> større del av prosjektrisikoen. Høgre bod kan </w:t>
      </w:r>
      <w:proofErr w:type="spellStart"/>
      <w:r w:rsidRPr="00506115">
        <w:t>innebere</w:t>
      </w:r>
      <w:proofErr w:type="spellEnd"/>
      <w:r w:rsidRPr="00506115">
        <w:t xml:space="preserve"> høgre støtte </w:t>
      </w:r>
      <w:proofErr w:type="spellStart"/>
      <w:r w:rsidRPr="00506115">
        <w:t>frå</w:t>
      </w:r>
      <w:proofErr w:type="spellEnd"/>
      <w:r w:rsidRPr="00506115">
        <w:t xml:space="preserve"> staten. </w:t>
      </w:r>
      <w:proofErr w:type="spellStart"/>
      <w:r w:rsidRPr="00506115">
        <w:t>Eit</w:t>
      </w:r>
      <w:proofErr w:type="spellEnd"/>
      <w:r w:rsidRPr="00506115">
        <w:t xml:space="preserve"> lågt tak kan </w:t>
      </w:r>
      <w:proofErr w:type="spellStart"/>
      <w:r w:rsidRPr="00506115">
        <w:t>gje</w:t>
      </w:r>
      <w:proofErr w:type="spellEnd"/>
      <w:r w:rsidRPr="00506115">
        <w:t xml:space="preserve"> risiko for at prosjektet blir gjennomført i </w:t>
      </w:r>
      <w:proofErr w:type="spellStart"/>
      <w:r w:rsidRPr="00506115">
        <w:t>eit</w:t>
      </w:r>
      <w:proofErr w:type="spellEnd"/>
      <w:r w:rsidRPr="00506115">
        <w:t xml:space="preserve"> mindre omfang, eller at prosjektet </w:t>
      </w:r>
      <w:proofErr w:type="spellStart"/>
      <w:r w:rsidRPr="00506115">
        <w:t>ikkje</w:t>
      </w:r>
      <w:proofErr w:type="spellEnd"/>
      <w:r w:rsidRPr="00506115">
        <w:t xml:space="preserve"> blir realisert. Samtidig </w:t>
      </w:r>
      <w:proofErr w:type="spellStart"/>
      <w:r w:rsidRPr="00506115">
        <w:t>set</w:t>
      </w:r>
      <w:proofErr w:type="spellEnd"/>
      <w:r w:rsidRPr="00506115">
        <w:t xml:space="preserve"> taket ei øvre grense for staten </w:t>
      </w:r>
      <w:proofErr w:type="spellStart"/>
      <w:r w:rsidRPr="00506115">
        <w:t>si</w:t>
      </w:r>
      <w:proofErr w:type="spellEnd"/>
      <w:r w:rsidRPr="00506115">
        <w:t xml:space="preserve"> støtte til prosjektet viss kraftprisutviklinga blir </w:t>
      </w:r>
      <w:proofErr w:type="spellStart"/>
      <w:r w:rsidRPr="00506115">
        <w:t>mykje</w:t>
      </w:r>
      <w:proofErr w:type="spellEnd"/>
      <w:r w:rsidRPr="00506115">
        <w:t xml:space="preserve"> </w:t>
      </w:r>
      <w:proofErr w:type="spellStart"/>
      <w:r w:rsidRPr="00506115">
        <w:t>lågare</w:t>
      </w:r>
      <w:proofErr w:type="spellEnd"/>
      <w:r w:rsidRPr="00506115">
        <w:t xml:space="preserve"> enn venta. Dette </w:t>
      </w:r>
      <w:proofErr w:type="spellStart"/>
      <w:r w:rsidRPr="00506115">
        <w:t>bidreg</w:t>
      </w:r>
      <w:proofErr w:type="spellEnd"/>
      <w:r w:rsidRPr="00506115">
        <w:t xml:space="preserve"> til å avgrense staten sin risiko i prosjektet.</w:t>
      </w:r>
    </w:p>
    <w:p w14:paraId="24B33328" w14:textId="77777777" w:rsidR="00A02896" w:rsidRPr="00506115" w:rsidRDefault="00AE1379" w:rsidP="00AE1379">
      <w:pPr>
        <w:pStyle w:val="tittel-ramme"/>
      </w:pPr>
      <w:proofErr w:type="spellStart"/>
      <w:r w:rsidRPr="00506115">
        <w:t>Anbefalingar</w:t>
      </w:r>
      <w:proofErr w:type="spellEnd"/>
      <w:r w:rsidRPr="00506115">
        <w:t xml:space="preserve"> </w:t>
      </w:r>
      <w:proofErr w:type="spellStart"/>
      <w:r w:rsidRPr="00506115">
        <w:t>frå</w:t>
      </w:r>
      <w:proofErr w:type="spellEnd"/>
      <w:r w:rsidRPr="00506115">
        <w:t xml:space="preserve"> </w:t>
      </w:r>
      <w:proofErr w:type="spellStart"/>
      <w:r w:rsidRPr="00506115">
        <w:t>auksjonsrådgivarane</w:t>
      </w:r>
      <w:proofErr w:type="spellEnd"/>
      <w:r w:rsidRPr="00506115">
        <w:t xml:space="preserve"> og </w:t>
      </w:r>
      <w:proofErr w:type="spellStart"/>
      <w:r w:rsidRPr="00506115">
        <w:t>høyringsinstansar</w:t>
      </w:r>
      <w:proofErr w:type="spellEnd"/>
      <w:r w:rsidRPr="00506115">
        <w:t xml:space="preserve"> om tak for </w:t>
      </w:r>
      <w:proofErr w:type="spellStart"/>
      <w:r w:rsidRPr="00506115">
        <w:t>statleg</w:t>
      </w:r>
      <w:proofErr w:type="spellEnd"/>
      <w:r w:rsidRPr="00506115">
        <w:t xml:space="preserve"> støtte og </w:t>
      </w:r>
      <w:proofErr w:type="spellStart"/>
      <w:r w:rsidRPr="00506115">
        <w:t>utbetalingar</w:t>
      </w:r>
      <w:proofErr w:type="spellEnd"/>
      <w:r w:rsidRPr="00506115">
        <w:t xml:space="preserve"> </w:t>
      </w:r>
      <w:proofErr w:type="spellStart"/>
      <w:r w:rsidRPr="00506115">
        <w:t>frå</w:t>
      </w:r>
      <w:proofErr w:type="spellEnd"/>
      <w:r w:rsidRPr="00506115">
        <w:t xml:space="preserve"> produsent</w:t>
      </w:r>
    </w:p>
    <w:p w14:paraId="09BE5B2E" w14:textId="4FAD4C5A" w:rsidR="00A02896" w:rsidRPr="00506115" w:rsidRDefault="00AE1379" w:rsidP="00506115">
      <w:proofErr w:type="spellStart"/>
      <w:r w:rsidRPr="00506115">
        <w:t>Auksjonsrådgivarane</w:t>
      </w:r>
      <w:proofErr w:type="spellEnd"/>
      <w:r w:rsidRPr="00506115">
        <w:t xml:space="preserve"> Vista Analyse og Guidehouse anbefaler at det </w:t>
      </w:r>
      <w:proofErr w:type="spellStart"/>
      <w:r w:rsidRPr="00506115">
        <w:t>ikkje</w:t>
      </w:r>
      <w:proofErr w:type="spellEnd"/>
      <w:r w:rsidRPr="00506115">
        <w:t xml:space="preserve"> vert sett </w:t>
      </w:r>
      <w:proofErr w:type="spellStart"/>
      <w:r w:rsidRPr="00506115">
        <w:t>eit</w:t>
      </w:r>
      <w:proofErr w:type="spellEnd"/>
      <w:r w:rsidRPr="00506115">
        <w:t xml:space="preserve"> tak for støtta </w:t>
      </w:r>
      <w:proofErr w:type="spellStart"/>
      <w:r w:rsidRPr="00506115">
        <w:t>frå</w:t>
      </w:r>
      <w:proofErr w:type="spellEnd"/>
      <w:r w:rsidRPr="00506115">
        <w:t xml:space="preserve"> staten. Dei meiner at </w:t>
      </w:r>
      <w:proofErr w:type="spellStart"/>
      <w:r w:rsidRPr="00506115">
        <w:t>eit</w:t>
      </w:r>
      <w:proofErr w:type="spellEnd"/>
      <w:r w:rsidRPr="00506115">
        <w:t xml:space="preserve"> tak kan </w:t>
      </w:r>
      <w:proofErr w:type="spellStart"/>
      <w:r w:rsidRPr="00506115">
        <w:t>gje</w:t>
      </w:r>
      <w:proofErr w:type="spellEnd"/>
      <w:r w:rsidRPr="00506115">
        <w:t xml:space="preserve"> </w:t>
      </w:r>
      <w:proofErr w:type="spellStart"/>
      <w:r w:rsidRPr="00506115">
        <w:t>ein</w:t>
      </w:r>
      <w:proofErr w:type="spellEnd"/>
      <w:r w:rsidRPr="00506115">
        <w:t xml:space="preserve"> </w:t>
      </w:r>
      <w:proofErr w:type="spellStart"/>
      <w:r w:rsidRPr="00506115">
        <w:t>mislukka</w:t>
      </w:r>
      <w:proofErr w:type="spellEnd"/>
      <w:r w:rsidRPr="00506115">
        <w:t xml:space="preserve"> auksjon, til dømes om ingen </w:t>
      </w:r>
      <w:proofErr w:type="spellStart"/>
      <w:r w:rsidRPr="00506115">
        <w:t>aktørar</w:t>
      </w:r>
      <w:proofErr w:type="spellEnd"/>
      <w:r w:rsidRPr="00506115">
        <w:t xml:space="preserve"> er villige til å gjennomføre prosjektet </w:t>
      </w:r>
      <w:proofErr w:type="spellStart"/>
      <w:r w:rsidRPr="00506115">
        <w:t>innanfor</w:t>
      </w:r>
      <w:proofErr w:type="spellEnd"/>
      <w:r w:rsidRPr="00506115">
        <w:t xml:space="preserve"> taket. I staden anbefaler </w:t>
      </w:r>
      <w:proofErr w:type="spellStart"/>
      <w:r w:rsidRPr="00506115">
        <w:t>dei</w:t>
      </w:r>
      <w:proofErr w:type="spellEnd"/>
      <w:r w:rsidRPr="00506115">
        <w:t xml:space="preserve"> at staten </w:t>
      </w:r>
      <w:proofErr w:type="spellStart"/>
      <w:r w:rsidRPr="00506115">
        <w:t>brukar</w:t>
      </w:r>
      <w:proofErr w:type="spellEnd"/>
      <w:r w:rsidRPr="00506115">
        <w:t xml:space="preserve"> reservasjonsprisen til å avgrense staten sin del av risikoen i prosjektet. Dersom budsjettomsyn </w:t>
      </w:r>
      <w:proofErr w:type="spellStart"/>
      <w:r w:rsidRPr="00506115">
        <w:t>gjer</w:t>
      </w:r>
      <w:proofErr w:type="spellEnd"/>
      <w:r w:rsidRPr="00506115">
        <w:t xml:space="preserve"> </w:t>
      </w:r>
      <w:r w:rsidRPr="00506115">
        <w:lastRenderedPageBreak/>
        <w:t>at det må</w:t>
      </w:r>
      <w:r w:rsidRPr="00506115">
        <w:rPr>
          <w:rStyle w:val="kursiv"/>
        </w:rPr>
        <w:t xml:space="preserve"> </w:t>
      </w:r>
      <w:r w:rsidRPr="00506115">
        <w:t xml:space="preserve">bli sett </w:t>
      </w:r>
      <w:proofErr w:type="spellStart"/>
      <w:r w:rsidRPr="00506115">
        <w:t>eit</w:t>
      </w:r>
      <w:proofErr w:type="spellEnd"/>
      <w:r w:rsidRPr="00506115">
        <w:t xml:space="preserve"> tak, argumenterer </w:t>
      </w:r>
      <w:proofErr w:type="spellStart"/>
      <w:r w:rsidRPr="00506115">
        <w:t>rådgivarane</w:t>
      </w:r>
      <w:proofErr w:type="spellEnd"/>
      <w:r w:rsidRPr="00506115">
        <w:t xml:space="preserve"> for at taket bør </w:t>
      </w:r>
      <w:proofErr w:type="spellStart"/>
      <w:r w:rsidRPr="00506115">
        <w:t>settast</w:t>
      </w:r>
      <w:proofErr w:type="spellEnd"/>
      <w:r w:rsidRPr="00506115">
        <w:t xml:space="preserve"> så høgt at det </w:t>
      </w:r>
      <w:proofErr w:type="spellStart"/>
      <w:r w:rsidRPr="00506115">
        <w:t>ikkje</w:t>
      </w:r>
      <w:proofErr w:type="spellEnd"/>
      <w:r w:rsidRPr="00506115">
        <w:t xml:space="preserve"> er </w:t>
      </w:r>
      <w:proofErr w:type="spellStart"/>
      <w:r w:rsidRPr="00506115">
        <w:t>bindande</w:t>
      </w:r>
      <w:proofErr w:type="spellEnd"/>
      <w:r w:rsidRPr="00506115">
        <w:t xml:space="preserve">. I praksis </w:t>
      </w:r>
      <w:proofErr w:type="spellStart"/>
      <w:r w:rsidRPr="00506115">
        <w:t>inneber</w:t>
      </w:r>
      <w:proofErr w:type="spellEnd"/>
      <w:r w:rsidRPr="00506115">
        <w:t xml:space="preserve"> det at taket vert sett med utgangspunkt i pessimistiske estimat for kostnader og kraftprisutvikling. Gitt anslaga for støttebehovet i avsnitt 4.4 vil det </w:t>
      </w:r>
      <w:proofErr w:type="spellStart"/>
      <w:r w:rsidRPr="00506115">
        <w:t>innebere</w:t>
      </w:r>
      <w:proofErr w:type="spellEnd"/>
      <w:r w:rsidRPr="00506115">
        <w:t xml:space="preserve"> at taket for </w:t>
      </w:r>
      <w:proofErr w:type="spellStart"/>
      <w:r w:rsidRPr="00506115">
        <w:t>statleg</w:t>
      </w:r>
      <w:proofErr w:type="spellEnd"/>
      <w:r w:rsidRPr="00506115">
        <w:t xml:space="preserve"> støtte vert sett lik 23 mrd. kroner. Vista Analyse og Guidehouse anbefaler at det heller </w:t>
      </w:r>
      <w:proofErr w:type="spellStart"/>
      <w:r w:rsidRPr="00506115">
        <w:t>ikkje</w:t>
      </w:r>
      <w:proofErr w:type="spellEnd"/>
      <w:r w:rsidRPr="00506115">
        <w:t xml:space="preserve"> vert sett </w:t>
      </w:r>
      <w:proofErr w:type="spellStart"/>
      <w:r w:rsidRPr="00506115">
        <w:t>eit</w:t>
      </w:r>
      <w:proofErr w:type="spellEnd"/>
      <w:r w:rsidRPr="00506115">
        <w:t xml:space="preserve"> øvre tak for </w:t>
      </w:r>
      <w:proofErr w:type="spellStart"/>
      <w:r w:rsidRPr="00506115">
        <w:t>utbetalingar</w:t>
      </w:r>
      <w:proofErr w:type="spellEnd"/>
      <w:r w:rsidRPr="00506115">
        <w:t xml:space="preserve"> </w:t>
      </w:r>
      <w:proofErr w:type="spellStart"/>
      <w:r w:rsidRPr="00506115">
        <w:t>frå</w:t>
      </w:r>
      <w:proofErr w:type="spellEnd"/>
      <w:r w:rsidRPr="00506115">
        <w:t xml:space="preserve"> produsenten til staten. Dei meiner det kan </w:t>
      </w:r>
      <w:proofErr w:type="spellStart"/>
      <w:r w:rsidRPr="00506115">
        <w:t>gjere</w:t>
      </w:r>
      <w:proofErr w:type="spellEnd"/>
      <w:r w:rsidRPr="00506115">
        <w:t xml:space="preserve"> det </w:t>
      </w:r>
      <w:proofErr w:type="spellStart"/>
      <w:r w:rsidRPr="00506115">
        <w:t>vanskeleg</w:t>
      </w:r>
      <w:proofErr w:type="spellEnd"/>
      <w:r w:rsidRPr="00506115">
        <w:t xml:space="preserve"> å </w:t>
      </w:r>
      <w:proofErr w:type="spellStart"/>
      <w:r w:rsidRPr="00506115">
        <w:t>peike</w:t>
      </w:r>
      <w:proofErr w:type="spellEnd"/>
      <w:r w:rsidRPr="00506115">
        <w:t xml:space="preserve"> ut </w:t>
      </w:r>
      <w:proofErr w:type="spellStart"/>
      <w:r w:rsidRPr="00506115">
        <w:t>ein</w:t>
      </w:r>
      <w:proofErr w:type="spellEnd"/>
      <w:r w:rsidRPr="00506115">
        <w:t xml:space="preserve"> </w:t>
      </w:r>
      <w:proofErr w:type="spellStart"/>
      <w:r w:rsidRPr="00506115">
        <w:t>vinnar</w:t>
      </w:r>
      <w:proofErr w:type="spellEnd"/>
      <w:r w:rsidRPr="00506115">
        <w:t xml:space="preserve"> av auksjonen om </w:t>
      </w:r>
      <w:proofErr w:type="spellStart"/>
      <w:r w:rsidRPr="00506115">
        <w:t>fleire</w:t>
      </w:r>
      <w:proofErr w:type="spellEnd"/>
      <w:r w:rsidRPr="00506115">
        <w:t xml:space="preserve"> </w:t>
      </w:r>
      <w:proofErr w:type="spellStart"/>
      <w:r w:rsidRPr="00506115">
        <w:t>aktørar</w:t>
      </w:r>
      <w:proofErr w:type="spellEnd"/>
      <w:r w:rsidRPr="00506115">
        <w:t xml:space="preserve"> er villige til å betale taket for </w:t>
      </w:r>
      <w:proofErr w:type="spellStart"/>
      <w:r w:rsidRPr="00506115">
        <w:t>utbetalingar</w:t>
      </w:r>
      <w:proofErr w:type="spellEnd"/>
      <w:r w:rsidRPr="00506115">
        <w:t xml:space="preserve"> </w:t>
      </w:r>
      <w:proofErr w:type="spellStart"/>
      <w:r w:rsidRPr="00506115">
        <w:t>frå</w:t>
      </w:r>
      <w:proofErr w:type="spellEnd"/>
      <w:r w:rsidRPr="00506115">
        <w:t xml:space="preserve"> produsenten til staten. I </w:t>
      </w:r>
      <w:proofErr w:type="spellStart"/>
      <w:r w:rsidRPr="00506115">
        <w:t>høyringa</w:t>
      </w:r>
      <w:proofErr w:type="spellEnd"/>
      <w:r w:rsidRPr="00506115">
        <w:t xml:space="preserve"> av støtteordninga </w:t>
      </w:r>
      <w:proofErr w:type="spellStart"/>
      <w:r w:rsidRPr="00506115">
        <w:t>vart</w:t>
      </w:r>
      <w:proofErr w:type="spellEnd"/>
      <w:r w:rsidRPr="00506115">
        <w:t xml:space="preserve"> det lagt til grunn at omsynet til </w:t>
      </w:r>
      <w:proofErr w:type="spellStart"/>
      <w:r w:rsidRPr="00506115">
        <w:t>dei</w:t>
      </w:r>
      <w:proofErr w:type="spellEnd"/>
      <w:r w:rsidRPr="00506115">
        <w:t xml:space="preserve"> </w:t>
      </w:r>
      <w:proofErr w:type="spellStart"/>
      <w:r w:rsidRPr="00506115">
        <w:t>statlege</w:t>
      </w:r>
      <w:proofErr w:type="spellEnd"/>
      <w:r w:rsidRPr="00506115">
        <w:t xml:space="preserve"> </w:t>
      </w:r>
      <w:proofErr w:type="spellStart"/>
      <w:r w:rsidRPr="00506115">
        <w:t>finansanse</w:t>
      </w:r>
      <w:proofErr w:type="spellEnd"/>
      <w:r w:rsidRPr="00506115">
        <w:t xml:space="preserve"> </w:t>
      </w:r>
      <w:proofErr w:type="spellStart"/>
      <w:r w:rsidRPr="00506115">
        <w:t>gjer</w:t>
      </w:r>
      <w:proofErr w:type="spellEnd"/>
      <w:r w:rsidRPr="00506115">
        <w:t xml:space="preserve"> det </w:t>
      </w:r>
      <w:proofErr w:type="spellStart"/>
      <w:r w:rsidRPr="00506115">
        <w:t>naudsynt</w:t>
      </w:r>
      <w:proofErr w:type="spellEnd"/>
      <w:r w:rsidRPr="00506115">
        <w:t xml:space="preserve"> å sette ei øvre grense for staten </w:t>
      </w:r>
      <w:proofErr w:type="spellStart"/>
      <w:r w:rsidRPr="00506115">
        <w:t>si</w:t>
      </w:r>
      <w:proofErr w:type="spellEnd"/>
      <w:r w:rsidRPr="00506115">
        <w:t xml:space="preserve"> støtte til prosjektet. I tillegg </w:t>
      </w:r>
      <w:proofErr w:type="spellStart"/>
      <w:r w:rsidRPr="00506115">
        <w:t>vart</w:t>
      </w:r>
      <w:proofErr w:type="spellEnd"/>
      <w:r w:rsidRPr="00506115">
        <w:t xml:space="preserve"> det lagt opp til at taket skal </w:t>
      </w:r>
      <w:proofErr w:type="spellStart"/>
      <w:r w:rsidRPr="00506115">
        <w:t>vere</w:t>
      </w:r>
      <w:proofErr w:type="spellEnd"/>
      <w:r w:rsidRPr="00506115">
        <w:t xml:space="preserve"> symmetrisk.</w:t>
      </w:r>
      <w:r w:rsidR="00506115">
        <w:t xml:space="preserve"> </w:t>
      </w:r>
      <w:r w:rsidRPr="00506115">
        <w:t xml:space="preserve">Det vil </w:t>
      </w:r>
      <w:proofErr w:type="spellStart"/>
      <w:r w:rsidRPr="00506115">
        <w:t>seie</w:t>
      </w:r>
      <w:proofErr w:type="spellEnd"/>
      <w:r w:rsidRPr="00506115">
        <w:t xml:space="preserve"> at taket for </w:t>
      </w:r>
      <w:proofErr w:type="spellStart"/>
      <w:r w:rsidRPr="00506115">
        <w:t>utbetalingar</w:t>
      </w:r>
      <w:proofErr w:type="spellEnd"/>
      <w:r w:rsidRPr="00506115">
        <w:t xml:space="preserve"> under støtteordninga bør </w:t>
      </w:r>
      <w:proofErr w:type="spellStart"/>
      <w:r w:rsidRPr="00506115">
        <w:t>vere</w:t>
      </w:r>
      <w:proofErr w:type="spellEnd"/>
      <w:r w:rsidRPr="00506115">
        <w:t xml:space="preserve"> like høgt for </w:t>
      </w:r>
      <w:proofErr w:type="spellStart"/>
      <w:r w:rsidRPr="00506115">
        <w:t>utbetalingar</w:t>
      </w:r>
      <w:proofErr w:type="spellEnd"/>
      <w:r w:rsidRPr="00506115">
        <w:t xml:space="preserve"> </w:t>
      </w:r>
      <w:proofErr w:type="spellStart"/>
      <w:r w:rsidRPr="00506115">
        <w:t>frå</w:t>
      </w:r>
      <w:proofErr w:type="spellEnd"/>
      <w:r w:rsidRPr="00506115">
        <w:t xml:space="preserve"> staten til produsenten som </w:t>
      </w:r>
      <w:proofErr w:type="spellStart"/>
      <w:r w:rsidRPr="00506115">
        <w:t>frå</w:t>
      </w:r>
      <w:proofErr w:type="spellEnd"/>
      <w:r w:rsidRPr="00506115">
        <w:t xml:space="preserve"> produsenten til staten. </w:t>
      </w:r>
      <w:proofErr w:type="spellStart"/>
      <w:r w:rsidRPr="00506115">
        <w:t>Fleirtalet</w:t>
      </w:r>
      <w:proofErr w:type="spellEnd"/>
      <w:r w:rsidRPr="00506115">
        <w:t xml:space="preserve"> av </w:t>
      </w:r>
      <w:proofErr w:type="spellStart"/>
      <w:r w:rsidRPr="00506115">
        <w:t>høyringsinstansene</w:t>
      </w:r>
      <w:proofErr w:type="spellEnd"/>
      <w:r w:rsidRPr="00506115">
        <w:t xml:space="preserve"> argumenterte mot å sette ei øvre grense for </w:t>
      </w:r>
      <w:proofErr w:type="spellStart"/>
      <w:r w:rsidRPr="00506115">
        <w:t>statleg</w:t>
      </w:r>
      <w:proofErr w:type="spellEnd"/>
      <w:r w:rsidRPr="00506115">
        <w:t xml:space="preserve"> støtte under differansekontrakten, men </w:t>
      </w:r>
      <w:proofErr w:type="spellStart"/>
      <w:r w:rsidRPr="00506115">
        <w:t>fleire</w:t>
      </w:r>
      <w:proofErr w:type="spellEnd"/>
      <w:r w:rsidRPr="00506115">
        <w:t xml:space="preserve"> var </w:t>
      </w:r>
      <w:proofErr w:type="spellStart"/>
      <w:r w:rsidRPr="00506115">
        <w:t>einige</w:t>
      </w:r>
      <w:proofErr w:type="spellEnd"/>
      <w:r w:rsidRPr="00506115">
        <w:t xml:space="preserve"> i at </w:t>
      </w:r>
      <w:proofErr w:type="spellStart"/>
      <w:r w:rsidRPr="00506115">
        <w:t>eit</w:t>
      </w:r>
      <w:proofErr w:type="spellEnd"/>
      <w:r w:rsidRPr="00506115">
        <w:t xml:space="preserve"> eventuelt tak bør </w:t>
      </w:r>
      <w:proofErr w:type="spellStart"/>
      <w:r w:rsidRPr="00506115">
        <w:t>vere</w:t>
      </w:r>
      <w:proofErr w:type="spellEnd"/>
      <w:r w:rsidRPr="00506115">
        <w:t xml:space="preserve"> symmetrisk.</w:t>
      </w:r>
    </w:p>
    <w:p w14:paraId="66BC986C" w14:textId="77777777" w:rsidR="00A02896" w:rsidRPr="00506115" w:rsidRDefault="00AE1379" w:rsidP="00506115">
      <w:pPr>
        <w:pStyle w:val="Ramme-slutt"/>
      </w:pPr>
      <w:r w:rsidRPr="00506115">
        <w:t>[Boks slutt]</w:t>
      </w:r>
    </w:p>
    <w:p w14:paraId="6C306796" w14:textId="77777777" w:rsidR="00A02896" w:rsidRPr="00506115" w:rsidRDefault="00AE1379" w:rsidP="00506115">
      <w:r w:rsidRPr="00506115">
        <w:t xml:space="preserve">Departementet held fast på </w:t>
      </w:r>
      <w:proofErr w:type="spellStart"/>
      <w:r w:rsidRPr="00506115">
        <w:t>si</w:t>
      </w:r>
      <w:proofErr w:type="spellEnd"/>
      <w:r w:rsidRPr="00506115">
        <w:t xml:space="preserve"> vurdering om å sette ei øvre kostnadsramme for staten si samla støtte under den tosidige differansekontrakten. </w:t>
      </w:r>
      <w:proofErr w:type="spellStart"/>
      <w:r w:rsidRPr="00506115">
        <w:t>Statlege</w:t>
      </w:r>
      <w:proofErr w:type="spellEnd"/>
      <w:r w:rsidRPr="00506115">
        <w:t xml:space="preserve"> budsjettomsyn </w:t>
      </w:r>
      <w:proofErr w:type="spellStart"/>
      <w:r w:rsidRPr="00506115">
        <w:t>gjer</w:t>
      </w:r>
      <w:proofErr w:type="spellEnd"/>
      <w:r w:rsidRPr="00506115">
        <w:t xml:space="preserve"> dette </w:t>
      </w:r>
      <w:proofErr w:type="spellStart"/>
      <w:r w:rsidRPr="00506115">
        <w:t>naudsynt</w:t>
      </w:r>
      <w:proofErr w:type="spellEnd"/>
      <w:r w:rsidRPr="00506115">
        <w:t xml:space="preserve">. Olje- og energidepartementet </w:t>
      </w:r>
      <w:proofErr w:type="spellStart"/>
      <w:r w:rsidRPr="00506115">
        <w:t>føreslår</w:t>
      </w:r>
      <w:proofErr w:type="spellEnd"/>
      <w:r w:rsidRPr="00506115">
        <w:t xml:space="preserve"> at taket vert sett til 15 mrd. kroner og at det er symmetrisk. At taket er symmetrisk </w:t>
      </w:r>
      <w:proofErr w:type="spellStart"/>
      <w:r w:rsidRPr="00506115">
        <w:t>inneber</w:t>
      </w:r>
      <w:proofErr w:type="spellEnd"/>
      <w:r w:rsidRPr="00506115">
        <w:t xml:space="preserve"> at taket for </w:t>
      </w:r>
      <w:proofErr w:type="spellStart"/>
      <w:r w:rsidRPr="00506115">
        <w:t>utbetalingar</w:t>
      </w:r>
      <w:proofErr w:type="spellEnd"/>
      <w:r w:rsidRPr="00506115">
        <w:t xml:space="preserve"> </w:t>
      </w:r>
      <w:proofErr w:type="spellStart"/>
      <w:r w:rsidRPr="00506115">
        <w:t>frå</w:t>
      </w:r>
      <w:proofErr w:type="spellEnd"/>
      <w:r w:rsidRPr="00506115">
        <w:t xml:space="preserve"> produsenten til staten er like høgt som taket for statsstøtte. Viss </w:t>
      </w:r>
      <w:proofErr w:type="spellStart"/>
      <w:r w:rsidRPr="00506115">
        <w:t>fleire</w:t>
      </w:r>
      <w:proofErr w:type="spellEnd"/>
      <w:r w:rsidRPr="00506115">
        <w:t xml:space="preserve"> </w:t>
      </w:r>
      <w:proofErr w:type="spellStart"/>
      <w:r w:rsidRPr="00506115">
        <w:t>aktørar</w:t>
      </w:r>
      <w:proofErr w:type="spellEnd"/>
      <w:r w:rsidRPr="00506115">
        <w:t xml:space="preserve"> er villige til å betale taket for </w:t>
      </w:r>
      <w:proofErr w:type="spellStart"/>
      <w:r w:rsidRPr="00506115">
        <w:t>utbetalingar</w:t>
      </w:r>
      <w:proofErr w:type="spellEnd"/>
      <w:r w:rsidRPr="00506115">
        <w:t xml:space="preserve"> til staten i auksjonen, vil prosjektområdet i første fase av Sørlige </w:t>
      </w:r>
      <w:proofErr w:type="spellStart"/>
      <w:r w:rsidRPr="00506115">
        <w:t>Nordsjø</w:t>
      </w:r>
      <w:proofErr w:type="spellEnd"/>
      <w:r w:rsidRPr="00506115">
        <w:t xml:space="preserve"> II bli tildelt aktøren med best resultat i prekvalifiseringsprosessen. Departementet </w:t>
      </w:r>
      <w:proofErr w:type="spellStart"/>
      <w:r w:rsidRPr="00506115">
        <w:t>si</w:t>
      </w:r>
      <w:proofErr w:type="spellEnd"/>
      <w:r w:rsidRPr="00506115">
        <w:t xml:space="preserve"> vurdering er at 15 mrd. kroner vil </w:t>
      </w:r>
      <w:proofErr w:type="spellStart"/>
      <w:r w:rsidRPr="00506115">
        <w:t>gje</w:t>
      </w:r>
      <w:proofErr w:type="spellEnd"/>
      <w:r w:rsidRPr="00506115">
        <w:t xml:space="preserve"> </w:t>
      </w:r>
      <w:proofErr w:type="spellStart"/>
      <w:r w:rsidRPr="00506115">
        <w:t>tilstrekkeleg</w:t>
      </w:r>
      <w:proofErr w:type="spellEnd"/>
      <w:r w:rsidRPr="00506115">
        <w:t xml:space="preserve"> kostnads- og </w:t>
      </w:r>
      <w:proofErr w:type="spellStart"/>
      <w:r w:rsidRPr="00506115">
        <w:t>risikoavlasting</w:t>
      </w:r>
      <w:proofErr w:type="spellEnd"/>
      <w:r w:rsidRPr="00506115">
        <w:t xml:space="preserve"> til at prosjektet vert gjennomført. Både taket for statsstøtte og </w:t>
      </w:r>
      <w:proofErr w:type="spellStart"/>
      <w:r w:rsidRPr="00506115">
        <w:t>utbetalingar</w:t>
      </w:r>
      <w:proofErr w:type="spellEnd"/>
      <w:r w:rsidRPr="00506115">
        <w:t xml:space="preserve"> </w:t>
      </w:r>
      <w:proofErr w:type="spellStart"/>
      <w:r w:rsidRPr="00506115">
        <w:t>frå</w:t>
      </w:r>
      <w:proofErr w:type="spellEnd"/>
      <w:r w:rsidRPr="00506115">
        <w:t xml:space="preserve"> produsenten vil </w:t>
      </w:r>
      <w:proofErr w:type="spellStart"/>
      <w:r w:rsidRPr="00506115">
        <w:t>vere</w:t>
      </w:r>
      <w:proofErr w:type="spellEnd"/>
      <w:r w:rsidRPr="00506115">
        <w:t xml:space="preserve"> netto tak, jf. boks 5.2.</w:t>
      </w:r>
    </w:p>
    <w:p w14:paraId="1802C51A" w14:textId="77777777" w:rsidR="00A02896" w:rsidRPr="00506115" w:rsidRDefault="00AE1379" w:rsidP="00AE1379">
      <w:pPr>
        <w:pStyle w:val="tittel-ramme"/>
      </w:pPr>
      <w:r w:rsidRPr="00506115">
        <w:t>Døme på utbetalingsprofil for den tosidige differansekontrakten</w:t>
      </w:r>
    </w:p>
    <w:p w14:paraId="3D504798" w14:textId="77777777" w:rsidR="00A02896" w:rsidRPr="00506115" w:rsidRDefault="00AE1379" w:rsidP="00506115">
      <w:r w:rsidRPr="00506115">
        <w:t xml:space="preserve">Dømet i figur 5.2 viser </w:t>
      </w:r>
      <w:proofErr w:type="spellStart"/>
      <w:r w:rsidRPr="00506115">
        <w:t>ein</w:t>
      </w:r>
      <w:proofErr w:type="spellEnd"/>
      <w:r w:rsidRPr="00506115">
        <w:t xml:space="preserve"> </w:t>
      </w:r>
      <w:proofErr w:type="spellStart"/>
      <w:r w:rsidRPr="00506115">
        <w:t>mogleg</w:t>
      </w:r>
      <w:proofErr w:type="spellEnd"/>
      <w:r w:rsidRPr="00506115">
        <w:t xml:space="preserve"> utbetalingsprofil for den tosidige differansekontrakten. I figuren er referanseprisen (kraftprisen i avtalt periode) </w:t>
      </w:r>
      <w:proofErr w:type="spellStart"/>
      <w:r w:rsidRPr="00506115">
        <w:t>lågare</w:t>
      </w:r>
      <w:proofErr w:type="spellEnd"/>
      <w:r w:rsidRPr="00506115">
        <w:t xml:space="preserve"> enn kontraktsprisen </w:t>
      </w:r>
      <w:proofErr w:type="spellStart"/>
      <w:r w:rsidRPr="00506115">
        <w:t>frå</w:t>
      </w:r>
      <w:proofErr w:type="spellEnd"/>
      <w:r w:rsidRPr="00506115">
        <w:t xml:space="preserve"> 2030 til 2042. Havvindprodusenten vil få støtte </w:t>
      </w:r>
      <w:proofErr w:type="spellStart"/>
      <w:r w:rsidRPr="00506115">
        <w:t>frå</w:t>
      </w:r>
      <w:proofErr w:type="spellEnd"/>
      <w:r w:rsidRPr="00506115">
        <w:t xml:space="preserve"> staten fram til taket for </w:t>
      </w:r>
      <w:proofErr w:type="spellStart"/>
      <w:r w:rsidRPr="00506115">
        <w:t>statleg</w:t>
      </w:r>
      <w:proofErr w:type="spellEnd"/>
      <w:r w:rsidRPr="00506115">
        <w:t xml:space="preserve"> støtte er nådd. I figuren blir taket nådd i 2039. Staten vil derfor </w:t>
      </w:r>
      <w:proofErr w:type="spellStart"/>
      <w:r w:rsidRPr="00506115">
        <w:t>ikkje</w:t>
      </w:r>
      <w:proofErr w:type="spellEnd"/>
      <w:r w:rsidRPr="00506115">
        <w:t xml:space="preserve"> betale </w:t>
      </w:r>
      <w:proofErr w:type="spellStart"/>
      <w:r w:rsidRPr="00506115">
        <w:t>noko</w:t>
      </w:r>
      <w:proofErr w:type="spellEnd"/>
      <w:r w:rsidRPr="00506115">
        <w:t xml:space="preserve"> til havvindprodusenten i åra 2040 til 2042, </w:t>
      </w:r>
      <w:proofErr w:type="spellStart"/>
      <w:r w:rsidRPr="00506115">
        <w:t>sjølv</w:t>
      </w:r>
      <w:proofErr w:type="spellEnd"/>
      <w:r w:rsidRPr="00506115">
        <w:t xml:space="preserve"> om referanseprisen er </w:t>
      </w:r>
      <w:proofErr w:type="spellStart"/>
      <w:r w:rsidRPr="00506115">
        <w:t>lågare</w:t>
      </w:r>
      <w:proofErr w:type="spellEnd"/>
      <w:r w:rsidRPr="00506115">
        <w:t xml:space="preserve"> enn kontraktsprisen. I åra 2043 til 2045 er derimot referanseprisen høgre enn kontraktsprisen, og derfor skal produsenten betale til staten. Begge tak er </w:t>
      </w:r>
      <w:r w:rsidRPr="00506115">
        <w:rPr>
          <w:rStyle w:val="kursiv"/>
        </w:rPr>
        <w:t>netto</w:t>
      </w:r>
      <w:r w:rsidRPr="00506115">
        <w:t xml:space="preserve"> slik at viss produsenten i </w:t>
      </w:r>
      <w:proofErr w:type="spellStart"/>
      <w:r w:rsidRPr="00506115">
        <w:t>ein</w:t>
      </w:r>
      <w:proofErr w:type="spellEnd"/>
      <w:r w:rsidRPr="00506115">
        <w:t xml:space="preserve"> periode </w:t>
      </w:r>
      <w:proofErr w:type="spellStart"/>
      <w:r w:rsidRPr="00506115">
        <w:t>betalar</w:t>
      </w:r>
      <w:proofErr w:type="spellEnd"/>
      <w:r w:rsidRPr="00506115">
        <w:t xml:space="preserve"> til staten fordi kontraktsprisen er høgre enn referanseprisen, har produsenten rett til støtte for </w:t>
      </w:r>
      <w:proofErr w:type="spellStart"/>
      <w:r w:rsidRPr="00506115">
        <w:t>tilsvarande</w:t>
      </w:r>
      <w:proofErr w:type="spellEnd"/>
      <w:r w:rsidRPr="00506115">
        <w:rPr>
          <w:rStyle w:val="kursiv"/>
        </w:rPr>
        <w:t xml:space="preserve"> </w:t>
      </w:r>
      <w:r w:rsidRPr="00506115">
        <w:t xml:space="preserve">beløp i framtida viss kontraktsprisen er </w:t>
      </w:r>
      <w:proofErr w:type="spellStart"/>
      <w:r w:rsidRPr="00506115">
        <w:t>lågare</w:t>
      </w:r>
      <w:proofErr w:type="spellEnd"/>
      <w:r w:rsidRPr="00506115">
        <w:t xml:space="preserve"> enn referanseprisen (fram til taket blir nådd eller støtteperioden er over).</w:t>
      </w:r>
    </w:p>
    <w:p w14:paraId="4BD76131" w14:textId="2837DE18" w:rsidR="00A02896" w:rsidRPr="00506115" w:rsidRDefault="006400BF" w:rsidP="00506115">
      <w:r>
        <w:rPr>
          <w:noProof/>
        </w:rPr>
        <w:lastRenderedPageBreak/>
        <w:drawing>
          <wp:inline distT="0" distB="0" distL="0" distR="0" wp14:anchorId="3548DA28" wp14:editId="6746F528">
            <wp:extent cx="6086475" cy="2886075"/>
            <wp:effectExtent l="0" t="0" r="9525" b="952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0B87FE0" w14:textId="77777777" w:rsidR="00A02896" w:rsidRPr="00506115" w:rsidRDefault="00AE1379" w:rsidP="00AE1379">
      <w:pPr>
        <w:pStyle w:val="figur-tittel"/>
      </w:pPr>
      <w:r w:rsidRPr="00506115">
        <w:t xml:space="preserve">Døme på </w:t>
      </w:r>
      <w:proofErr w:type="spellStart"/>
      <w:r w:rsidRPr="00506115">
        <w:t>utbetalingar</w:t>
      </w:r>
      <w:proofErr w:type="spellEnd"/>
      <w:r w:rsidRPr="00506115">
        <w:t xml:space="preserve"> under støtteordninga</w:t>
      </w:r>
    </w:p>
    <w:p w14:paraId="610E7D81" w14:textId="77777777" w:rsidR="00A02896" w:rsidRPr="00506115" w:rsidRDefault="00AE1379" w:rsidP="00506115">
      <w:pPr>
        <w:pStyle w:val="Kilde"/>
      </w:pPr>
      <w:r w:rsidRPr="00506115">
        <w:t>Kjelde: Olje- og energidepartementet</w:t>
      </w:r>
    </w:p>
    <w:p w14:paraId="03F1A27F" w14:textId="77777777" w:rsidR="00A02896" w:rsidRPr="00506115" w:rsidRDefault="00AE1379" w:rsidP="00506115">
      <w:pPr>
        <w:pStyle w:val="Ramme-slutt"/>
      </w:pPr>
      <w:r w:rsidRPr="00506115">
        <w:t>[Boks slutt]</w:t>
      </w:r>
    </w:p>
    <w:p w14:paraId="67F39370" w14:textId="77777777" w:rsidR="00A02896" w:rsidRPr="00506115" w:rsidRDefault="00AE1379" w:rsidP="00AE1379">
      <w:pPr>
        <w:pStyle w:val="Overskrift3"/>
      </w:pPr>
      <w:proofErr w:type="spellStart"/>
      <w:r w:rsidRPr="00506115">
        <w:t>Føresetnader</w:t>
      </w:r>
      <w:proofErr w:type="spellEnd"/>
      <w:r w:rsidRPr="00506115">
        <w:t xml:space="preserve"> for differansekontrakten</w:t>
      </w:r>
    </w:p>
    <w:p w14:paraId="066C1D76" w14:textId="77777777" w:rsidR="00A02896" w:rsidRPr="00506115" w:rsidRDefault="00AE1379" w:rsidP="00506115">
      <w:r w:rsidRPr="00506115">
        <w:rPr>
          <w:rStyle w:val="kursiv"/>
        </w:rPr>
        <w:t>Referansepris:</w:t>
      </w:r>
      <w:r w:rsidRPr="00506115">
        <w:t xml:space="preserve"> Krafta som blir produsert </w:t>
      </w:r>
      <w:proofErr w:type="spellStart"/>
      <w:r w:rsidRPr="00506115">
        <w:t>frå</w:t>
      </w:r>
      <w:proofErr w:type="spellEnd"/>
      <w:r w:rsidRPr="00506115">
        <w:t xml:space="preserve">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vil bli knytt til prisområde NO2 (Sørlandet). Referanseprisen vil bli sett </w:t>
      </w:r>
      <w:proofErr w:type="spellStart"/>
      <w:r w:rsidRPr="00506115">
        <w:t>månad</w:t>
      </w:r>
      <w:proofErr w:type="spellEnd"/>
      <w:r w:rsidRPr="00506115">
        <w:t xml:space="preserve"> for </w:t>
      </w:r>
      <w:proofErr w:type="spellStart"/>
      <w:r w:rsidRPr="00506115">
        <w:t>månad</w:t>
      </w:r>
      <w:proofErr w:type="spellEnd"/>
      <w:r w:rsidRPr="00506115">
        <w:t xml:space="preserve"> og svare til </w:t>
      </w:r>
      <w:proofErr w:type="spellStart"/>
      <w:r w:rsidRPr="00506115">
        <w:t>månadleg</w:t>
      </w:r>
      <w:proofErr w:type="spellEnd"/>
      <w:r w:rsidRPr="00506115">
        <w:t xml:space="preserve"> gjennomsnittspris i NO2. Viss inndelinga av prisområdet blir endra </w:t>
      </w:r>
      <w:proofErr w:type="spellStart"/>
      <w:r w:rsidRPr="00506115">
        <w:t>innanfor</w:t>
      </w:r>
      <w:proofErr w:type="spellEnd"/>
      <w:r w:rsidRPr="00506115">
        <w:t xml:space="preserve"> avtaleperioden til differansekontrakten, vil referanseprisen bli sett basert på den </w:t>
      </w:r>
      <w:proofErr w:type="spellStart"/>
      <w:r w:rsidRPr="00506115">
        <w:t>månadlege</w:t>
      </w:r>
      <w:proofErr w:type="spellEnd"/>
      <w:r w:rsidRPr="00506115">
        <w:t xml:space="preserve"> gjennomsnittsprisen i prisområdet vindparken høyrer til etter endringa.</w:t>
      </w:r>
    </w:p>
    <w:p w14:paraId="7CB2EF50" w14:textId="77777777" w:rsidR="00A02896" w:rsidRPr="00506115" w:rsidRDefault="00AE1379" w:rsidP="00506115">
      <w:r w:rsidRPr="00506115">
        <w:t xml:space="preserve">Departementet </w:t>
      </w:r>
      <w:proofErr w:type="spellStart"/>
      <w:r w:rsidRPr="00506115">
        <w:t>føreslo</w:t>
      </w:r>
      <w:proofErr w:type="spellEnd"/>
      <w:r w:rsidRPr="00506115">
        <w:t xml:space="preserve"> i utgangspunktet </w:t>
      </w:r>
      <w:proofErr w:type="spellStart"/>
      <w:r w:rsidRPr="00506115">
        <w:t>ein</w:t>
      </w:r>
      <w:proofErr w:type="spellEnd"/>
      <w:r w:rsidRPr="00506115">
        <w:t xml:space="preserve"> referanseperiode på </w:t>
      </w:r>
      <w:proofErr w:type="spellStart"/>
      <w:r w:rsidRPr="00506115">
        <w:t>eitt</w:t>
      </w:r>
      <w:proofErr w:type="spellEnd"/>
      <w:r w:rsidRPr="00506115">
        <w:t xml:space="preserve"> år i </w:t>
      </w:r>
      <w:proofErr w:type="spellStart"/>
      <w:r w:rsidRPr="00506115">
        <w:t>høyringa</w:t>
      </w:r>
      <w:proofErr w:type="spellEnd"/>
      <w:r w:rsidRPr="00506115">
        <w:t xml:space="preserve">. </w:t>
      </w:r>
      <w:proofErr w:type="spellStart"/>
      <w:r w:rsidRPr="00506115">
        <w:t>Fordelane</w:t>
      </w:r>
      <w:proofErr w:type="spellEnd"/>
      <w:r w:rsidRPr="00506115">
        <w:t xml:space="preserve"> med </w:t>
      </w:r>
      <w:proofErr w:type="spellStart"/>
      <w:r w:rsidRPr="00506115">
        <w:t>ein</w:t>
      </w:r>
      <w:proofErr w:type="spellEnd"/>
      <w:r w:rsidRPr="00506115">
        <w:t xml:space="preserve"> lang referanseperiode er at insentiva til å produsere i tråd med </w:t>
      </w:r>
      <w:proofErr w:type="spellStart"/>
      <w:r w:rsidRPr="00506115">
        <w:t>marknadsprisen</w:t>
      </w:r>
      <w:proofErr w:type="spellEnd"/>
      <w:r w:rsidRPr="00506115">
        <w:t xml:space="preserve"> er høgre enn med </w:t>
      </w:r>
      <w:proofErr w:type="spellStart"/>
      <w:r w:rsidRPr="00506115">
        <w:t>ein</w:t>
      </w:r>
      <w:proofErr w:type="spellEnd"/>
      <w:r w:rsidRPr="00506115">
        <w:t xml:space="preserve"> kort referanseperiode på til dømes </w:t>
      </w:r>
      <w:proofErr w:type="spellStart"/>
      <w:r w:rsidRPr="00506115">
        <w:t>ein</w:t>
      </w:r>
      <w:proofErr w:type="spellEnd"/>
      <w:r w:rsidRPr="00506115">
        <w:t xml:space="preserve"> time. Det kan </w:t>
      </w:r>
      <w:proofErr w:type="spellStart"/>
      <w:r w:rsidRPr="00506115">
        <w:t>innverka</w:t>
      </w:r>
      <w:proofErr w:type="spellEnd"/>
      <w:r w:rsidRPr="00506115">
        <w:t xml:space="preserve"> på utforminga av havvindparken. Det gjev også høgre insentiv til å på sikt investere i </w:t>
      </w:r>
      <w:proofErr w:type="spellStart"/>
      <w:r w:rsidRPr="00506115">
        <w:t>lagringsteknologiar</w:t>
      </w:r>
      <w:proofErr w:type="spellEnd"/>
      <w:r w:rsidRPr="00506115">
        <w:t xml:space="preserve"> som til dømes batteri eller hydrogen. </w:t>
      </w:r>
      <w:proofErr w:type="spellStart"/>
      <w:r w:rsidRPr="00506115">
        <w:t>Ein</w:t>
      </w:r>
      <w:proofErr w:type="spellEnd"/>
      <w:r w:rsidRPr="00506115">
        <w:t xml:space="preserve"> lang referanseperiode kan også </w:t>
      </w:r>
      <w:proofErr w:type="spellStart"/>
      <w:r w:rsidRPr="00506115">
        <w:t>gje</w:t>
      </w:r>
      <w:proofErr w:type="spellEnd"/>
      <w:r w:rsidRPr="00506115">
        <w:t xml:space="preserve"> høgre insentiv til å inngå langsiktige kraftkjøpsavtaler (PPA) i </w:t>
      </w:r>
      <w:proofErr w:type="spellStart"/>
      <w:r w:rsidRPr="00506115">
        <w:t>marknaden</w:t>
      </w:r>
      <w:proofErr w:type="spellEnd"/>
      <w:r w:rsidRPr="00506115">
        <w:t xml:space="preserve">. </w:t>
      </w:r>
      <w:proofErr w:type="spellStart"/>
      <w:r w:rsidRPr="00506115">
        <w:t>Ein</w:t>
      </w:r>
      <w:proofErr w:type="spellEnd"/>
      <w:r w:rsidRPr="00506115">
        <w:t xml:space="preserve"> kort referanseperiode på </w:t>
      </w:r>
      <w:proofErr w:type="spellStart"/>
      <w:r w:rsidRPr="00506115">
        <w:t>ein</w:t>
      </w:r>
      <w:proofErr w:type="spellEnd"/>
      <w:r w:rsidRPr="00506115">
        <w:t xml:space="preserve"> time vil skjerme produsenten </w:t>
      </w:r>
      <w:proofErr w:type="spellStart"/>
      <w:r w:rsidRPr="00506115">
        <w:t>frå</w:t>
      </w:r>
      <w:proofErr w:type="spellEnd"/>
      <w:r w:rsidRPr="00506115">
        <w:t xml:space="preserve"> </w:t>
      </w:r>
      <w:proofErr w:type="spellStart"/>
      <w:r w:rsidRPr="00506115">
        <w:t>svingingar</w:t>
      </w:r>
      <w:proofErr w:type="spellEnd"/>
      <w:r w:rsidRPr="00506115">
        <w:t xml:space="preserve"> i kraftprisen og </w:t>
      </w:r>
      <w:proofErr w:type="spellStart"/>
      <w:r w:rsidRPr="00506115">
        <w:t>inneber</w:t>
      </w:r>
      <w:proofErr w:type="spellEnd"/>
      <w:r w:rsidRPr="00506115">
        <w:t xml:space="preserve"> at staten tar den største delen av kraftprisrisikoen. Produsenten vil stå overfor </w:t>
      </w:r>
      <w:proofErr w:type="spellStart"/>
      <w:r w:rsidRPr="00506115">
        <w:t>ein</w:t>
      </w:r>
      <w:proofErr w:type="spellEnd"/>
      <w:r w:rsidRPr="00506115">
        <w:t xml:space="preserve"> konstant kontraktspris og vil maksimere produksjonsvolum og minimere kostnader. Ei rekke </w:t>
      </w:r>
      <w:proofErr w:type="spellStart"/>
      <w:r w:rsidRPr="00506115">
        <w:t>høyringsinstansar</w:t>
      </w:r>
      <w:proofErr w:type="spellEnd"/>
      <w:r w:rsidRPr="00506115">
        <w:t xml:space="preserve"> trakk fram at </w:t>
      </w:r>
      <w:proofErr w:type="spellStart"/>
      <w:r w:rsidRPr="00506115">
        <w:t>ein</w:t>
      </w:r>
      <w:proofErr w:type="spellEnd"/>
      <w:r w:rsidRPr="00506115">
        <w:t xml:space="preserve"> lang referanseperiode på </w:t>
      </w:r>
      <w:proofErr w:type="spellStart"/>
      <w:r w:rsidRPr="00506115">
        <w:t>eit</w:t>
      </w:r>
      <w:proofErr w:type="spellEnd"/>
      <w:r w:rsidRPr="00506115">
        <w:t xml:space="preserve"> år vil </w:t>
      </w:r>
      <w:proofErr w:type="spellStart"/>
      <w:r w:rsidRPr="00506115">
        <w:t>auke</w:t>
      </w:r>
      <w:proofErr w:type="spellEnd"/>
      <w:r w:rsidRPr="00506115">
        <w:t xml:space="preserve"> risikoen for produsenten og at dette vil </w:t>
      </w:r>
      <w:proofErr w:type="spellStart"/>
      <w:r w:rsidRPr="00506115">
        <w:t>gje</w:t>
      </w:r>
      <w:proofErr w:type="spellEnd"/>
      <w:r w:rsidRPr="00506115">
        <w:t xml:space="preserve"> høgre bod i auksjonen. </w:t>
      </w:r>
      <w:proofErr w:type="spellStart"/>
      <w:r w:rsidRPr="00506115">
        <w:t>Høyringsinstansane</w:t>
      </w:r>
      <w:proofErr w:type="spellEnd"/>
      <w:r w:rsidRPr="00506115">
        <w:t xml:space="preserve"> meiner kraftprisrisikoen heller burde </w:t>
      </w:r>
      <w:proofErr w:type="spellStart"/>
      <w:r w:rsidRPr="00506115">
        <w:t>berast</w:t>
      </w:r>
      <w:proofErr w:type="spellEnd"/>
      <w:r w:rsidRPr="00506115">
        <w:t xml:space="preserve"> av staten. Ved å innføre </w:t>
      </w:r>
      <w:proofErr w:type="spellStart"/>
      <w:r w:rsidRPr="00506115">
        <w:t>ein</w:t>
      </w:r>
      <w:proofErr w:type="spellEnd"/>
      <w:r w:rsidRPr="00506115">
        <w:t xml:space="preserve"> kort referanseperiode blir den kortsiktige prisrisikoen i </w:t>
      </w:r>
      <w:proofErr w:type="spellStart"/>
      <w:r w:rsidRPr="00506115">
        <w:t>kraftmarknaden</w:t>
      </w:r>
      <w:proofErr w:type="spellEnd"/>
      <w:r w:rsidRPr="00506115">
        <w:t xml:space="preserve"> overført </w:t>
      </w:r>
      <w:proofErr w:type="spellStart"/>
      <w:r w:rsidRPr="00506115">
        <w:t>frå</w:t>
      </w:r>
      <w:proofErr w:type="spellEnd"/>
      <w:r w:rsidRPr="00506115">
        <w:t xml:space="preserve"> produsenten til staten. </w:t>
      </w:r>
      <w:proofErr w:type="spellStart"/>
      <w:r w:rsidRPr="00506115">
        <w:t>Fleirtalet</w:t>
      </w:r>
      <w:proofErr w:type="spellEnd"/>
      <w:r w:rsidRPr="00506115">
        <w:t xml:space="preserve"> av </w:t>
      </w:r>
      <w:proofErr w:type="spellStart"/>
      <w:r w:rsidRPr="00506115">
        <w:t>høyringsinstansane</w:t>
      </w:r>
      <w:proofErr w:type="spellEnd"/>
      <w:r w:rsidRPr="00506115">
        <w:t xml:space="preserve"> argumenterte for at </w:t>
      </w:r>
      <w:proofErr w:type="spellStart"/>
      <w:r w:rsidRPr="00506115">
        <w:t>ein</w:t>
      </w:r>
      <w:proofErr w:type="spellEnd"/>
      <w:r w:rsidRPr="00506115">
        <w:t xml:space="preserve"> lengre referanseperiode </w:t>
      </w:r>
      <w:proofErr w:type="spellStart"/>
      <w:r w:rsidRPr="00506115">
        <w:t>ikkje</w:t>
      </w:r>
      <w:proofErr w:type="spellEnd"/>
      <w:r w:rsidRPr="00506115">
        <w:t xml:space="preserve"> vil </w:t>
      </w:r>
      <w:proofErr w:type="spellStart"/>
      <w:r w:rsidRPr="00506115">
        <w:t>gje</w:t>
      </w:r>
      <w:proofErr w:type="spellEnd"/>
      <w:r w:rsidRPr="00506115">
        <w:t xml:space="preserve"> </w:t>
      </w:r>
      <w:proofErr w:type="spellStart"/>
      <w:r w:rsidRPr="00506115">
        <w:t>vesentlege</w:t>
      </w:r>
      <w:proofErr w:type="spellEnd"/>
      <w:r w:rsidRPr="00506115">
        <w:t xml:space="preserve"> insentiv til å produsere i tråd med </w:t>
      </w:r>
      <w:proofErr w:type="spellStart"/>
      <w:r w:rsidRPr="00506115">
        <w:t>marknadsprisen</w:t>
      </w:r>
      <w:proofErr w:type="spellEnd"/>
      <w:r w:rsidRPr="00506115">
        <w:t xml:space="preserve">. Dette </w:t>
      </w:r>
      <w:proofErr w:type="spellStart"/>
      <w:r w:rsidRPr="00506115">
        <w:t>skuldast</w:t>
      </w:r>
      <w:proofErr w:type="spellEnd"/>
      <w:r w:rsidRPr="00506115">
        <w:t xml:space="preserve"> at havvind er variabel energiproduksjon, som </w:t>
      </w:r>
      <w:proofErr w:type="spellStart"/>
      <w:r w:rsidRPr="00506115">
        <w:t>gjer</w:t>
      </w:r>
      <w:proofErr w:type="spellEnd"/>
      <w:r w:rsidRPr="00506115">
        <w:t xml:space="preserve"> at det er vindforholda som </w:t>
      </w:r>
      <w:proofErr w:type="spellStart"/>
      <w:r w:rsidRPr="00506115">
        <w:t>avgjer</w:t>
      </w:r>
      <w:proofErr w:type="spellEnd"/>
      <w:r w:rsidRPr="00506115">
        <w:t xml:space="preserve"> produksjonen. Det er også </w:t>
      </w:r>
      <w:proofErr w:type="spellStart"/>
      <w:r w:rsidRPr="00506115">
        <w:t>vanskeleg</w:t>
      </w:r>
      <w:proofErr w:type="spellEnd"/>
      <w:r w:rsidRPr="00506115">
        <w:t xml:space="preserve"> å tilpasse </w:t>
      </w:r>
      <w:proofErr w:type="spellStart"/>
      <w:r w:rsidRPr="00506115">
        <w:t>vedlikehald</w:t>
      </w:r>
      <w:proofErr w:type="spellEnd"/>
      <w:r w:rsidRPr="00506115">
        <w:t xml:space="preserve"> av havvindparken til kraftprisen. På grunn av </w:t>
      </w:r>
      <w:proofErr w:type="spellStart"/>
      <w:r w:rsidRPr="00506115">
        <w:t>vêrforholda</w:t>
      </w:r>
      <w:proofErr w:type="spellEnd"/>
      <w:r w:rsidRPr="00506115">
        <w:t xml:space="preserve"> i Nordsjøen vil </w:t>
      </w:r>
      <w:proofErr w:type="spellStart"/>
      <w:r w:rsidRPr="00506115">
        <w:lastRenderedPageBreak/>
        <w:t>vedlikehald</w:t>
      </w:r>
      <w:proofErr w:type="spellEnd"/>
      <w:r w:rsidRPr="00506115">
        <w:t xml:space="preserve"> bli gjennomført om </w:t>
      </w:r>
      <w:proofErr w:type="spellStart"/>
      <w:r w:rsidRPr="00506115">
        <w:t>sommaren</w:t>
      </w:r>
      <w:proofErr w:type="spellEnd"/>
      <w:r w:rsidRPr="00506115">
        <w:t xml:space="preserve">, og det må </w:t>
      </w:r>
      <w:proofErr w:type="spellStart"/>
      <w:r w:rsidRPr="00506115">
        <w:t>planleggast</w:t>
      </w:r>
      <w:proofErr w:type="spellEnd"/>
      <w:r w:rsidRPr="00506115">
        <w:t xml:space="preserve"> i god tid. Sesongprofilen for </w:t>
      </w:r>
      <w:proofErr w:type="spellStart"/>
      <w:r w:rsidRPr="00506115">
        <w:t>vedlikehald</w:t>
      </w:r>
      <w:proofErr w:type="spellEnd"/>
      <w:r w:rsidRPr="00506115">
        <w:t xml:space="preserve"> </w:t>
      </w:r>
      <w:proofErr w:type="spellStart"/>
      <w:r w:rsidRPr="00506115">
        <w:t>samsvarar</w:t>
      </w:r>
      <w:proofErr w:type="spellEnd"/>
      <w:r w:rsidRPr="00506115">
        <w:t xml:space="preserve"> også godt med </w:t>
      </w:r>
      <w:proofErr w:type="spellStart"/>
      <w:r w:rsidRPr="00506115">
        <w:t>periodar</w:t>
      </w:r>
      <w:proofErr w:type="spellEnd"/>
      <w:r w:rsidRPr="00506115">
        <w:t xml:space="preserve"> med låg forventa kraftpris.</w:t>
      </w:r>
    </w:p>
    <w:p w14:paraId="7793B9C9" w14:textId="77777777" w:rsidR="00A02896" w:rsidRPr="00506115" w:rsidRDefault="00AE1379" w:rsidP="00506115">
      <w:proofErr w:type="spellStart"/>
      <w:r w:rsidRPr="00506115">
        <w:t>Ein</w:t>
      </w:r>
      <w:proofErr w:type="spellEnd"/>
      <w:r w:rsidRPr="00506115">
        <w:t xml:space="preserve"> referanseperiode på </w:t>
      </w:r>
      <w:proofErr w:type="spellStart"/>
      <w:r w:rsidRPr="00506115">
        <w:t>ein</w:t>
      </w:r>
      <w:proofErr w:type="spellEnd"/>
      <w:r w:rsidRPr="00506115">
        <w:t xml:space="preserve"> </w:t>
      </w:r>
      <w:proofErr w:type="spellStart"/>
      <w:r w:rsidRPr="00506115">
        <w:t>månad</w:t>
      </w:r>
      <w:proofErr w:type="spellEnd"/>
      <w:r w:rsidRPr="00506115">
        <w:t xml:space="preserve"> har </w:t>
      </w:r>
      <w:proofErr w:type="spellStart"/>
      <w:r w:rsidRPr="00506115">
        <w:t>nokon</w:t>
      </w:r>
      <w:proofErr w:type="spellEnd"/>
      <w:r w:rsidRPr="00506115">
        <w:t xml:space="preserve"> av </w:t>
      </w:r>
      <w:proofErr w:type="spellStart"/>
      <w:r w:rsidRPr="00506115">
        <w:t>fordelane</w:t>
      </w:r>
      <w:proofErr w:type="spellEnd"/>
      <w:r w:rsidRPr="00506115">
        <w:t xml:space="preserve"> </w:t>
      </w:r>
      <w:proofErr w:type="spellStart"/>
      <w:r w:rsidRPr="00506115">
        <w:t>frå</w:t>
      </w:r>
      <w:proofErr w:type="spellEnd"/>
      <w:r w:rsidRPr="00506115">
        <w:t xml:space="preserve"> begge alternativa. </w:t>
      </w:r>
      <w:proofErr w:type="spellStart"/>
      <w:r w:rsidRPr="00506115">
        <w:t>Ein</w:t>
      </w:r>
      <w:proofErr w:type="spellEnd"/>
      <w:r w:rsidRPr="00506115">
        <w:t xml:space="preserve"> </w:t>
      </w:r>
      <w:proofErr w:type="spellStart"/>
      <w:r w:rsidRPr="00506115">
        <w:t>månadleg</w:t>
      </w:r>
      <w:proofErr w:type="spellEnd"/>
      <w:r w:rsidRPr="00506115">
        <w:t xml:space="preserve"> referanseperiode vil </w:t>
      </w:r>
      <w:proofErr w:type="spellStart"/>
      <w:r w:rsidRPr="00506115">
        <w:t>gje</w:t>
      </w:r>
      <w:proofErr w:type="spellEnd"/>
      <w:r w:rsidRPr="00506115">
        <w:t xml:space="preserve"> produsenten </w:t>
      </w:r>
      <w:proofErr w:type="spellStart"/>
      <w:r w:rsidRPr="00506115">
        <w:t>sterkare</w:t>
      </w:r>
      <w:proofErr w:type="spellEnd"/>
      <w:r w:rsidRPr="00506115">
        <w:t xml:space="preserve"> insentiv til å produsere i tråd med </w:t>
      </w:r>
      <w:proofErr w:type="spellStart"/>
      <w:r w:rsidRPr="00506115">
        <w:t>marknadsprisen</w:t>
      </w:r>
      <w:proofErr w:type="spellEnd"/>
      <w:r w:rsidRPr="00506115">
        <w:t xml:space="preserve"> enn </w:t>
      </w:r>
      <w:proofErr w:type="spellStart"/>
      <w:r w:rsidRPr="00506115">
        <w:t>ein</w:t>
      </w:r>
      <w:proofErr w:type="spellEnd"/>
      <w:r w:rsidRPr="00506115">
        <w:t xml:space="preserve"> timesbasert referanseperiode, og legge </w:t>
      </w:r>
      <w:proofErr w:type="spellStart"/>
      <w:r w:rsidRPr="00506115">
        <w:t>betre</w:t>
      </w:r>
      <w:proofErr w:type="spellEnd"/>
      <w:r w:rsidRPr="00506115">
        <w:t xml:space="preserve"> til rette for samfunnsmessig rasjonell produksjon. Samtidig vil det </w:t>
      </w:r>
      <w:proofErr w:type="spellStart"/>
      <w:r w:rsidRPr="00506115">
        <w:t>gje</w:t>
      </w:r>
      <w:proofErr w:type="spellEnd"/>
      <w:r w:rsidRPr="00506115">
        <w:t xml:space="preserve"> produsenten ei </w:t>
      </w:r>
      <w:proofErr w:type="spellStart"/>
      <w:r w:rsidRPr="00506115">
        <w:t>meir</w:t>
      </w:r>
      <w:proofErr w:type="spellEnd"/>
      <w:r w:rsidRPr="00506115">
        <w:t xml:space="preserve"> </w:t>
      </w:r>
      <w:proofErr w:type="spellStart"/>
      <w:r w:rsidRPr="00506115">
        <w:t>føreseieleg</w:t>
      </w:r>
      <w:proofErr w:type="spellEnd"/>
      <w:r w:rsidRPr="00506115">
        <w:t xml:space="preserve"> inntekt enn </w:t>
      </w:r>
      <w:proofErr w:type="spellStart"/>
      <w:r w:rsidRPr="00506115">
        <w:t>ein</w:t>
      </w:r>
      <w:proofErr w:type="spellEnd"/>
      <w:r w:rsidRPr="00506115">
        <w:t xml:space="preserve"> </w:t>
      </w:r>
      <w:proofErr w:type="spellStart"/>
      <w:r w:rsidRPr="00506115">
        <w:t>årleg</w:t>
      </w:r>
      <w:proofErr w:type="spellEnd"/>
      <w:r w:rsidRPr="00506115">
        <w:t xml:space="preserve"> referanseperiode, og dermed </w:t>
      </w:r>
      <w:proofErr w:type="spellStart"/>
      <w:r w:rsidRPr="00506115">
        <w:t>gje</w:t>
      </w:r>
      <w:proofErr w:type="spellEnd"/>
      <w:r w:rsidRPr="00506115">
        <w:t xml:space="preserve"> produsenten </w:t>
      </w:r>
      <w:proofErr w:type="spellStart"/>
      <w:r w:rsidRPr="00506115">
        <w:t>meir</w:t>
      </w:r>
      <w:proofErr w:type="spellEnd"/>
      <w:r w:rsidRPr="00506115">
        <w:t xml:space="preserve"> risikoavlastning. </w:t>
      </w:r>
      <w:proofErr w:type="spellStart"/>
      <w:r w:rsidRPr="00506115">
        <w:t>Ein</w:t>
      </w:r>
      <w:proofErr w:type="spellEnd"/>
      <w:r w:rsidRPr="00506115">
        <w:t xml:space="preserve"> </w:t>
      </w:r>
      <w:proofErr w:type="spellStart"/>
      <w:r w:rsidRPr="00506115">
        <w:t>månadleg</w:t>
      </w:r>
      <w:proofErr w:type="spellEnd"/>
      <w:r w:rsidRPr="00506115">
        <w:t xml:space="preserve"> referansepris kan dermed </w:t>
      </w:r>
      <w:proofErr w:type="spellStart"/>
      <w:r w:rsidRPr="00506115">
        <w:t>gje</w:t>
      </w:r>
      <w:proofErr w:type="spellEnd"/>
      <w:r w:rsidRPr="00506115">
        <w:t xml:space="preserve"> ei god balanse mellom å legge til rette for at prosjektet blir realisert og </w:t>
      </w:r>
      <w:proofErr w:type="spellStart"/>
      <w:r w:rsidRPr="00506115">
        <w:t>gje</w:t>
      </w:r>
      <w:proofErr w:type="spellEnd"/>
      <w:r w:rsidRPr="00506115">
        <w:t xml:space="preserve"> insentiv til samfunnsmessig rasjonell produksjon. Departementet foreslår derfor </w:t>
      </w:r>
      <w:proofErr w:type="spellStart"/>
      <w:r w:rsidRPr="00506115">
        <w:t>ein</w:t>
      </w:r>
      <w:proofErr w:type="spellEnd"/>
      <w:r w:rsidRPr="00506115">
        <w:t xml:space="preserve"> referanseperiode på </w:t>
      </w:r>
      <w:proofErr w:type="spellStart"/>
      <w:r w:rsidRPr="00506115">
        <w:t>ein</w:t>
      </w:r>
      <w:proofErr w:type="spellEnd"/>
      <w:r w:rsidRPr="00506115">
        <w:t xml:space="preserve"> </w:t>
      </w:r>
      <w:proofErr w:type="spellStart"/>
      <w:r w:rsidRPr="00506115">
        <w:t>månad</w:t>
      </w:r>
      <w:proofErr w:type="spellEnd"/>
      <w:r w:rsidRPr="00506115">
        <w:t>.</w:t>
      </w:r>
    </w:p>
    <w:p w14:paraId="794B393F" w14:textId="77777777" w:rsidR="00A02896" w:rsidRPr="00506115" w:rsidRDefault="00AE1379" w:rsidP="00506115">
      <w:pPr>
        <w:rPr>
          <w:rStyle w:val="kursiv"/>
        </w:rPr>
      </w:pPr>
      <w:proofErr w:type="spellStart"/>
      <w:r w:rsidRPr="00506115">
        <w:rPr>
          <w:rStyle w:val="kursiv"/>
        </w:rPr>
        <w:t>Varigheit</w:t>
      </w:r>
      <w:proofErr w:type="spellEnd"/>
      <w:r w:rsidRPr="00506115">
        <w:rPr>
          <w:rStyle w:val="kursiv"/>
        </w:rPr>
        <w:t>:</w:t>
      </w:r>
      <w:r w:rsidRPr="00506115">
        <w:t xml:space="preserve"> </w:t>
      </w:r>
      <w:proofErr w:type="spellStart"/>
      <w:r w:rsidRPr="00506115">
        <w:t>Utbetalingane</w:t>
      </w:r>
      <w:proofErr w:type="spellEnd"/>
      <w:r w:rsidRPr="00506115">
        <w:t xml:space="preserve"> under den tosidige differansekontrakten vil tre i kraft når prosjektet er sett i drift. Enkelte </w:t>
      </w:r>
      <w:proofErr w:type="spellStart"/>
      <w:r w:rsidRPr="00506115">
        <w:t>høyringsinstansar</w:t>
      </w:r>
      <w:proofErr w:type="spellEnd"/>
      <w:r w:rsidRPr="00506115">
        <w:t xml:space="preserve"> har ønska </w:t>
      </w:r>
      <w:proofErr w:type="spellStart"/>
      <w:r w:rsidRPr="00506115">
        <w:t>ein</w:t>
      </w:r>
      <w:proofErr w:type="spellEnd"/>
      <w:r w:rsidRPr="00506115">
        <w:t xml:space="preserve"> differansekontrakt på 20 år. Departementet meiner at </w:t>
      </w:r>
      <w:proofErr w:type="spellStart"/>
      <w:r w:rsidRPr="00506115">
        <w:t>ein</w:t>
      </w:r>
      <w:proofErr w:type="spellEnd"/>
      <w:r w:rsidRPr="00506115">
        <w:t xml:space="preserve"> differansekontrakt på 15 år </w:t>
      </w:r>
      <w:proofErr w:type="spellStart"/>
      <w:r w:rsidRPr="00506115">
        <w:t>frå</w:t>
      </w:r>
      <w:proofErr w:type="spellEnd"/>
      <w:r w:rsidRPr="00506115">
        <w:t xml:space="preserve"> planlagt oppstartsdato er </w:t>
      </w:r>
      <w:proofErr w:type="spellStart"/>
      <w:r w:rsidRPr="00506115">
        <w:t>tilstrekkeleg</w:t>
      </w:r>
      <w:proofErr w:type="spellEnd"/>
      <w:r w:rsidRPr="00506115">
        <w:t xml:space="preserve"> og legg dette til grunn. Til dømes har Storbritannia same </w:t>
      </w:r>
      <w:proofErr w:type="spellStart"/>
      <w:r w:rsidRPr="00506115">
        <w:t>lengd</w:t>
      </w:r>
      <w:proofErr w:type="spellEnd"/>
      <w:r w:rsidRPr="00506115">
        <w:t xml:space="preserve"> på </w:t>
      </w:r>
      <w:proofErr w:type="spellStart"/>
      <w:r w:rsidRPr="00506115">
        <w:t>differansekontraktar</w:t>
      </w:r>
      <w:proofErr w:type="spellEnd"/>
      <w:r w:rsidRPr="00506115">
        <w:t xml:space="preserve"> til havvind.</w:t>
      </w:r>
    </w:p>
    <w:p w14:paraId="55E00F03" w14:textId="77777777" w:rsidR="00A02896" w:rsidRPr="00506115" w:rsidRDefault="00AE1379" w:rsidP="00506115">
      <w:pPr>
        <w:rPr>
          <w:rStyle w:val="kursiv"/>
        </w:rPr>
      </w:pPr>
      <w:proofErr w:type="spellStart"/>
      <w:r w:rsidRPr="00506115">
        <w:rPr>
          <w:rStyle w:val="kursiv"/>
        </w:rPr>
        <w:t>Opphøyr</w:t>
      </w:r>
      <w:proofErr w:type="spellEnd"/>
      <w:r w:rsidRPr="00506115">
        <w:rPr>
          <w:rStyle w:val="kursiv"/>
        </w:rPr>
        <w:t xml:space="preserve"> av støtte ved låge </w:t>
      </w:r>
      <w:proofErr w:type="spellStart"/>
      <w:r w:rsidRPr="00506115">
        <w:rPr>
          <w:rStyle w:val="kursiv"/>
        </w:rPr>
        <w:t>prisar</w:t>
      </w:r>
      <w:proofErr w:type="spellEnd"/>
      <w:r w:rsidRPr="00506115">
        <w:rPr>
          <w:rStyle w:val="kursiv"/>
        </w:rPr>
        <w:t xml:space="preserve"> og </w:t>
      </w:r>
      <w:proofErr w:type="spellStart"/>
      <w:r w:rsidRPr="00506115">
        <w:rPr>
          <w:rStyle w:val="kursiv"/>
        </w:rPr>
        <w:t>nullprisar</w:t>
      </w:r>
      <w:proofErr w:type="spellEnd"/>
      <w:r w:rsidRPr="00506115">
        <w:rPr>
          <w:rStyle w:val="kursiv"/>
        </w:rPr>
        <w:t>:</w:t>
      </w:r>
      <w:r w:rsidRPr="00506115">
        <w:t xml:space="preserve"> For å unngå at vindparken produserer kraft på tidspunkt der verdien av produksjonen er negativ, vil det </w:t>
      </w:r>
      <w:proofErr w:type="spellStart"/>
      <w:r w:rsidRPr="00506115">
        <w:t>ikkje</w:t>
      </w:r>
      <w:proofErr w:type="spellEnd"/>
      <w:r w:rsidRPr="00506115">
        <w:t xml:space="preserve"> bli gjeve støtte i </w:t>
      </w:r>
      <w:proofErr w:type="spellStart"/>
      <w:r w:rsidRPr="00506115">
        <w:t>timar</w:t>
      </w:r>
      <w:proofErr w:type="spellEnd"/>
      <w:r w:rsidRPr="00506115">
        <w:t xml:space="preserve"> med svært låge eller negative </w:t>
      </w:r>
      <w:proofErr w:type="spellStart"/>
      <w:r w:rsidRPr="00506115">
        <w:t>prisar</w:t>
      </w:r>
      <w:proofErr w:type="spellEnd"/>
      <w:r w:rsidRPr="00506115">
        <w:t xml:space="preserve"> i </w:t>
      </w:r>
      <w:proofErr w:type="spellStart"/>
      <w:r w:rsidRPr="00506115">
        <w:t>spotmarknaden</w:t>
      </w:r>
      <w:proofErr w:type="spellEnd"/>
      <w:r w:rsidRPr="00506115">
        <w:t>. Minsteprisen for støtte blir sett til 5 øre/kWh. Dette er i tråd med EU-</w:t>
      </w:r>
      <w:proofErr w:type="spellStart"/>
      <w:r w:rsidRPr="00506115">
        <w:t>lovgjevinga</w:t>
      </w:r>
      <w:proofErr w:type="spellEnd"/>
      <w:r w:rsidRPr="00506115">
        <w:t xml:space="preserve"> for statsstøtte.</w:t>
      </w:r>
      <w:r w:rsidRPr="00506115">
        <w:rPr>
          <w:rStyle w:val="Fotnotereferanse"/>
        </w:rPr>
        <w:footnoteReference w:id="14"/>
      </w:r>
    </w:p>
    <w:p w14:paraId="0FACB9F0" w14:textId="77777777" w:rsidR="00A02896" w:rsidRPr="00506115" w:rsidRDefault="00AE1379" w:rsidP="00506115">
      <w:r w:rsidRPr="00506115">
        <w:rPr>
          <w:rStyle w:val="kursiv"/>
        </w:rPr>
        <w:t xml:space="preserve">Andre </w:t>
      </w:r>
      <w:proofErr w:type="spellStart"/>
      <w:r w:rsidRPr="00506115">
        <w:rPr>
          <w:rStyle w:val="kursiv"/>
        </w:rPr>
        <w:t>justeringar</w:t>
      </w:r>
      <w:proofErr w:type="spellEnd"/>
      <w:r w:rsidRPr="00506115">
        <w:rPr>
          <w:rStyle w:val="kursiv"/>
        </w:rPr>
        <w:t xml:space="preserve"> for å </w:t>
      </w:r>
      <w:proofErr w:type="spellStart"/>
      <w:r w:rsidRPr="00506115">
        <w:rPr>
          <w:rStyle w:val="kursiv"/>
        </w:rPr>
        <w:t>gje</w:t>
      </w:r>
      <w:proofErr w:type="spellEnd"/>
      <w:r w:rsidRPr="00506115">
        <w:rPr>
          <w:rStyle w:val="kursiv"/>
        </w:rPr>
        <w:t xml:space="preserve"> produsenten riktige </w:t>
      </w:r>
      <w:proofErr w:type="spellStart"/>
      <w:r w:rsidRPr="00506115">
        <w:rPr>
          <w:rStyle w:val="kursiv"/>
        </w:rPr>
        <w:t>insentivar</w:t>
      </w:r>
      <w:proofErr w:type="spellEnd"/>
      <w:r w:rsidRPr="00506115">
        <w:rPr>
          <w:rStyle w:val="kursiv"/>
        </w:rPr>
        <w:t>:</w:t>
      </w:r>
      <w:r w:rsidRPr="00506115">
        <w:t xml:space="preserve"> Ved </w:t>
      </w:r>
      <w:proofErr w:type="spellStart"/>
      <w:r w:rsidRPr="00506115">
        <w:t>månadleg</w:t>
      </w:r>
      <w:proofErr w:type="spellEnd"/>
      <w:r w:rsidRPr="00506115">
        <w:t xml:space="preserve"> </w:t>
      </w:r>
      <w:proofErr w:type="spellStart"/>
      <w:r w:rsidRPr="00506115">
        <w:t>referensepris</w:t>
      </w:r>
      <w:proofErr w:type="spellEnd"/>
      <w:r w:rsidRPr="00506115">
        <w:t xml:space="preserve"> kan det oppstå </w:t>
      </w:r>
      <w:proofErr w:type="spellStart"/>
      <w:r w:rsidRPr="00506115">
        <w:t>situasjonar</w:t>
      </w:r>
      <w:proofErr w:type="spellEnd"/>
      <w:r w:rsidRPr="00506115">
        <w:t xml:space="preserve"> der det er samfunnsmessig rasjonelt at vindparken produserer og der produsenten skal betale staten i henhold til differansekontrakta, men der spotprisen kombinert med betalinga vil </w:t>
      </w:r>
      <w:proofErr w:type="spellStart"/>
      <w:r w:rsidRPr="00506115">
        <w:t>gjere</w:t>
      </w:r>
      <w:proofErr w:type="spellEnd"/>
      <w:r w:rsidRPr="00506115">
        <w:t xml:space="preserve"> at produsenten går med tap. For å unngå at vindparken stopper produksjonen i slike </w:t>
      </w:r>
      <w:proofErr w:type="spellStart"/>
      <w:r w:rsidRPr="00506115">
        <w:t>situasjonar</w:t>
      </w:r>
      <w:proofErr w:type="spellEnd"/>
      <w:r w:rsidRPr="00506115">
        <w:t xml:space="preserve"> vil det </w:t>
      </w:r>
      <w:proofErr w:type="spellStart"/>
      <w:r w:rsidRPr="00506115">
        <w:t>vere</w:t>
      </w:r>
      <w:proofErr w:type="spellEnd"/>
      <w:r w:rsidRPr="00506115">
        <w:t xml:space="preserve"> </w:t>
      </w:r>
      <w:proofErr w:type="spellStart"/>
      <w:r w:rsidRPr="00506115">
        <w:t>ein</w:t>
      </w:r>
      <w:proofErr w:type="spellEnd"/>
      <w:r w:rsidRPr="00506115">
        <w:t xml:space="preserve"> regel som </w:t>
      </w:r>
      <w:proofErr w:type="spellStart"/>
      <w:r w:rsidRPr="00506115">
        <w:t>nedjusterar</w:t>
      </w:r>
      <w:proofErr w:type="spellEnd"/>
      <w:r w:rsidRPr="00506115">
        <w:t xml:space="preserve"> kor </w:t>
      </w:r>
      <w:proofErr w:type="spellStart"/>
      <w:r w:rsidRPr="00506115">
        <w:t>mykje</w:t>
      </w:r>
      <w:proofErr w:type="spellEnd"/>
      <w:r w:rsidRPr="00506115">
        <w:t xml:space="preserve"> produsenten skal betale til staten i </w:t>
      </w:r>
      <w:proofErr w:type="spellStart"/>
      <w:r w:rsidRPr="00506115">
        <w:t>ein</w:t>
      </w:r>
      <w:proofErr w:type="spellEnd"/>
      <w:r w:rsidRPr="00506115">
        <w:t xml:space="preserve"> slik situasjon.</w:t>
      </w:r>
    </w:p>
    <w:p w14:paraId="7065E97A" w14:textId="77777777" w:rsidR="00A02896" w:rsidRPr="00506115" w:rsidRDefault="00AE1379" w:rsidP="00506115">
      <w:r w:rsidRPr="00506115">
        <w:rPr>
          <w:rStyle w:val="kursiv"/>
        </w:rPr>
        <w:t>Inflasjonsjustering:</w:t>
      </w:r>
      <w:r w:rsidRPr="00506115">
        <w:t xml:space="preserve"> Det er stor </w:t>
      </w:r>
      <w:proofErr w:type="spellStart"/>
      <w:r w:rsidRPr="00506115">
        <w:t>usikkerheit</w:t>
      </w:r>
      <w:proofErr w:type="spellEnd"/>
      <w:r w:rsidRPr="00506115">
        <w:t xml:space="preserve"> rundt framtidige kostnader til havvind, blant anna på grunn av kapasitetssituasjonen i leverandørkjeda til havvind og inflasjon, jf. avsnitt 4.3.1. Kontraktsprisen, minsteprisen og støttetaket (kostnadsramma) vil bli inflasjonsjustert etter konsumprisindeksen med verknad </w:t>
      </w:r>
      <w:proofErr w:type="spellStart"/>
      <w:r w:rsidRPr="00506115">
        <w:t>frå</w:t>
      </w:r>
      <w:proofErr w:type="spellEnd"/>
      <w:r w:rsidRPr="00506115">
        <w:t xml:space="preserve"> 1. kvartal 2024 fram til det første kvartalet der havvindparken er sett i drift.</w:t>
      </w:r>
    </w:p>
    <w:p w14:paraId="10BADD7E" w14:textId="77777777" w:rsidR="00A02896" w:rsidRPr="00506115" w:rsidRDefault="00AE1379" w:rsidP="00AE1379">
      <w:pPr>
        <w:pStyle w:val="Overskrift3"/>
      </w:pPr>
      <w:r w:rsidRPr="00506115">
        <w:t xml:space="preserve">Staten sine kostnader og risiko i fornybar energiproduksjon </w:t>
      </w:r>
      <w:proofErr w:type="spellStart"/>
      <w:r w:rsidRPr="00506115">
        <w:t>frå</w:t>
      </w:r>
      <w:proofErr w:type="spellEnd"/>
      <w:r w:rsidRPr="00506115">
        <w:t xml:space="preserve"> første fase av </w:t>
      </w:r>
      <w:proofErr w:type="spellStart"/>
      <w:r w:rsidRPr="00506115">
        <w:t>Sørlege</w:t>
      </w:r>
      <w:proofErr w:type="spellEnd"/>
      <w:r w:rsidRPr="00506115">
        <w:t> </w:t>
      </w:r>
      <w:proofErr w:type="spellStart"/>
      <w:r w:rsidRPr="00506115">
        <w:t>Nordsjø</w:t>
      </w:r>
      <w:proofErr w:type="spellEnd"/>
      <w:r w:rsidRPr="00506115">
        <w:t xml:space="preserve"> II</w:t>
      </w:r>
    </w:p>
    <w:p w14:paraId="6BCFDB1A" w14:textId="77777777" w:rsidR="00A02896" w:rsidRPr="00506115" w:rsidRDefault="00AE1379" w:rsidP="00506115">
      <w:r w:rsidRPr="00506115">
        <w:t xml:space="preserve">Nivået på statsstøtte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vil bli avgjort ved tildeling av prosjektområdet. </w:t>
      </w:r>
      <w:proofErr w:type="spellStart"/>
      <w:r w:rsidRPr="00506115">
        <w:t>Prosjekområdet</w:t>
      </w:r>
      <w:proofErr w:type="spellEnd"/>
      <w:r w:rsidRPr="00506115">
        <w:t xml:space="preserve"> vil bli tildelt aktøren som byr </w:t>
      </w:r>
      <w:proofErr w:type="spellStart"/>
      <w:r w:rsidRPr="00506115">
        <w:t>lågast</w:t>
      </w:r>
      <w:proofErr w:type="spellEnd"/>
      <w:r w:rsidRPr="00506115">
        <w:t xml:space="preserve"> kontraktspris i auksjonen. Den garanterte kraftprisen (kontraktsprisen) til aktøren som blir tildelt prosjektområdet </w:t>
      </w:r>
      <w:proofErr w:type="spellStart"/>
      <w:r w:rsidRPr="00506115">
        <w:t>avgjer</w:t>
      </w:r>
      <w:proofErr w:type="spellEnd"/>
      <w:r w:rsidRPr="00506115">
        <w:t xml:space="preserve"> kor </w:t>
      </w:r>
      <w:proofErr w:type="spellStart"/>
      <w:r w:rsidRPr="00506115">
        <w:t>mykje</w:t>
      </w:r>
      <w:proofErr w:type="spellEnd"/>
      <w:r w:rsidRPr="00506115">
        <w:t xml:space="preserve"> staten maksimalt vil betale per kWh energiproduksjon. Den faktiske støtta </w:t>
      </w:r>
      <w:proofErr w:type="spellStart"/>
      <w:r w:rsidRPr="00506115">
        <w:t>frå</w:t>
      </w:r>
      <w:proofErr w:type="spellEnd"/>
      <w:r w:rsidRPr="00506115">
        <w:t xml:space="preserve"> staten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vil i tillegg avhenge av kraftprisutviklinga og energiproduksjonen til havvindanlegget. Den faktiske støtta </w:t>
      </w:r>
      <w:proofErr w:type="spellStart"/>
      <w:r w:rsidRPr="00506115">
        <w:t>frå</w:t>
      </w:r>
      <w:proofErr w:type="spellEnd"/>
      <w:r w:rsidRPr="00506115">
        <w:t xml:space="preserve"> staten vil dermed kunne </w:t>
      </w:r>
      <w:proofErr w:type="spellStart"/>
      <w:r w:rsidRPr="00506115">
        <w:t>auke</w:t>
      </w:r>
      <w:proofErr w:type="spellEnd"/>
      <w:r w:rsidRPr="00506115">
        <w:t xml:space="preserve">, opp til taket for </w:t>
      </w:r>
      <w:proofErr w:type="spellStart"/>
      <w:r w:rsidRPr="00506115">
        <w:t>statleg</w:t>
      </w:r>
      <w:proofErr w:type="spellEnd"/>
      <w:r w:rsidRPr="00506115">
        <w:t xml:space="preserve"> støtte (kostnadsramma).</w:t>
      </w:r>
    </w:p>
    <w:p w14:paraId="2015545B" w14:textId="77777777" w:rsidR="00A02896" w:rsidRPr="00506115" w:rsidRDefault="00AE1379" w:rsidP="00506115">
      <w:r w:rsidRPr="00506115">
        <w:lastRenderedPageBreak/>
        <w:t xml:space="preserve">Staten vil </w:t>
      </w:r>
      <w:proofErr w:type="spellStart"/>
      <w:r w:rsidRPr="00506115">
        <w:t>ikkje</w:t>
      </w:r>
      <w:proofErr w:type="spellEnd"/>
      <w:r w:rsidRPr="00506115">
        <w:t xml:space="preserve"> </w:t>
      </w:r>
      <w:proofErr w:type="spellStart"/>
      <w:r w:rsidRPr="00506115">
        <w:t>gje</w:t>
      </w:r>
      <w:proofErr w:type="spellEnd"/>
      <w:r w:rsidRPr="00506115">
        <w:t xml:space="preserve"> statsstøtte før havvindparken er sett i drift og staten er </w:t>
      </w:r>
      <w:proofErr w:type="spellStart"/>
      <w:r w:rsidRPr="00506115">
        <w:t>berre</w:t>
      </w:r>
      <w:proofErr w:type="spellEnd"/>
      <w:r w:rsidRPr="00506115">
        <w:t xml:space="preserve"> forplikta til å betale den garanterte kontraktsprisen. Om aktøren sine kostnader for å realisere prosjektet blir høgre enn antatt ved auksjonstidspunktet, er staten </w:t>
      </w:r>
      <w:proofErr w:type="spellStart"/>
      <w:r w:rsidRPr="00506115">
        <w:t>ikkje</w:t>
      </w:r>
      <w:proofErr w:type="spellEnd"/>
      <w:r w:rsidRPr="00506115">
        <w:t xml:space="preserve"> forplikta til å dekke dette. Staten er heller </w:t>
      </w:r>
      <w:proofErr w:type="spellStart"/>
      <w:r w:rsidRPr="00506115">
        <w:t>ikkje</w:t>
      </w:r>
      <w:proofErr w:type="spellEnd"/>
      <w:r w:rsidRPr="00506115">
        <w:t xml:space="preserve"> forplikta til å dekke aktøren sine kostnader om konsesjonen om fornybar energiproduksjon </w:t>
      </w:r>
      <w:proofErr w:type="spellStart"/>
      <w:r w:rsidRPr="00506115">
        <w:t>frå</w:t>
      </w:r>
      <w:proofErr w:type="spellEnd"/>
      <w:r w:rsidRPr="00506115">
        <w:t xml:space="preserve"> første fase av Sørlige </w:t>
      </w:r>
      <w:proofErr w:type="spellStart"/>
      <w:r w:rsidRPr="00506115">
        <w:t>Nordsjø</w:t>
      </w:r>
      <w:proofErr w:type="spellEnd"/>
      <w:r w:rsidRPr="00506115">
        <w:t xml:space="preserve"> II blir avslått. Statsstøtte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w:t>
      </w:r>
      <w:proofErr w:type="spellStart"/>
      <w:r w:rsidRPr="00506115">
        <w:t>føreset</w:t>
      </w:r>
      <w:proofErr w:type="spellEnd"/>
      <w:r w:rsidRPr="00506115">
        <w:t xml:space="preserve"> at statsstøtta blir </w:t>
      </w:r>
      <w:proofErr w:type="spellStart"/>
      <w:r w:rsidRPr="00506115">
        <w:t>godkjend</w:t>
      </w:r>
      <w:proofErr w:type="spellEnd"/>
      <w:r w:rsidRPr="00506115">
        <w:t xml:space="preserve"> av ESA, jf. avsnitt 2.2.4.</w:t>
      </w:r>
    </w:p>
    <w:p w14:paraId="6D51EDB7" w14:textId="77777777" w:rsidR="00A02896" w:rsidRPr="00506115" w:rsidRDefault="00AE1379" w:rsidP="00506115">
      <w:r w:rsidRPr="00506115">
        <w:t xml:space="preserve">Tabell 5.1 gjev ei overordna skildring av staten sine kostnader, risiko og ansvar i samsvar med </w:t>
      </w:r>
      <w:proofErr w:type="spellStart"/>
      <w:r w:rsidRPr="00506115">
        <w:t>gjeldande</w:t>
      </w:r>
      <w:proofErr w:type="spellEnd"/>
      <w:r w:rsidRPr="00506115">
        <w:t xml:space="preserve"> utkast til differansekontrakt. </w:t>
      </w:r>
      <w:proofErr w:type="spellStart"/>
      <w:r w:rsidRPr="00506115">
        <w:t>Risikomatrisa</w:t>
      </w:r>
      <w:proofErr w:type="spellEnd"/>
      <w:r w:rsidRPr="00506115">
        <w:t xml:space="preserve"> </w:t>
      </w:r>
      <w:proofErr w:type="spellStart"/>
      <w:r w:rsidRPr="00506115">
        <w:t>omfattar</w:t>
      </w:r>
      <w:proofErr w:type="spellEnd"/>
      <w:r w:rsidRPr="00506115">
        <w:t xml:space="preserve"> </w:t>
      </w:r>
      <w:proofErr w:type="spellStart"/>
      <w:r w:rsidRPr="00506115">
        <w:t>ikkje</w:t>
      </w:r>
      <w:proofErr w:type="spellEnd"/>
      <w:r w:rsidRPr="00506115">
        <w:t xml:space="preserve"> forhold knytt til staten </w:t>
      </w:r>
      <w:proofErr w:type="spellStart"/>
      <w:r w:rsidRPr="00506115">
        <w:t>si</w:t>
      </w:r>
      <w:proofErr w:type="spellEnd"/>
      <w:r w:rsidRPr="00506115">
        <w:t xml:space="preserve"> rolle som </w:t>
      </w:r>
      <w:proofErr w:type="spellStart"/>
      <w:r w:rsidRPr="00506115">
        <w:t>konsesjonsmyndigheit</w:t>
      </w:r>
      <w:proofErr w:type="spellEnd"/>
      <w:r w:rsidRPr="00506115">
        <w:t xml:space="preserve"> eller Statnett </w:t>
      </w:r>
      <w:proofErr w:type="spellStart"/>
      <w:r w:rsidRPr="00506115">
        <w:t>si</w:t>
      </w:r>
      <w:proofErr w:type="spellEnd"/>
      <w:r w:rsidRPr="00506115">
        <w:t xml:space="preserve"> rolle som nettselskap eller </w:t>
      </w:r>
      <w:proofErr w:type="spellStart"/>
      <w:r w:rsidRPr="00506115">
        <w:t>systemansvarleg</w:t>
      </w:r>
      <w:proofErr w:type="spellEnd"/>
      <w:r w:rsidRPr="00506115">
        <w:t xml:space="preserve">. Heller </w:t>
      </w:r>
      <w:proofErr w:type="spellStart"/>
      <w:r w:rsidRPr="00506115">
        <w:t>ikkje</w:t>
      </w:r>
      <w:proofErr w:type="spellEnd"/>
      <w:r w:rsidRPr="00506115">
        <w:t xml:space="preserve"> risikoforhold knytt til prekvalifisering og konkurranseforhold er omfatta. Departementet vil ha dialog med relevante </w:t>
      </w:r>
      <w:proofErr w:type="spellStart"/>
      <w:r w:rsidRPr="00506115">
        <w:t>aktørar</w:t>
      </w:r>
      <w:proofErr w:type="spellEnd"/>
      <w:r w:rsidRPr="00506115">
        <w:t xml:space="preserve"> i ferdigstillinga av kontrakten, og det kan </w:t>
      </w:r>
      <w:proofErr w:type="spellStart"/>
      <w:r w:rsidRPr="00506115">
        <w:t>kome</w:t>
      </w:r>
      <w:proofErr w:type="spellEnd"/>
      <w:r w:rsidRPr="00506115">
        <w:t xml:space="preserve"> </w:t>
      </w:r>
      <w:proofErr w:type="spellStart"/>
      <w:r w:rsidRPr="00506115">
        <w:t>endringar</w:t>
      </w:r>
      <w:proofErr w:type="spellEnd"/>
      <w:r w:rsidRPr="00506115">
        <w:t xml:space="preserve"> som følge av </w:t>
      </w:r>
      <w:proofErr w:type="spellStart"/>
      <w:r w:rsidRPr="00506115">
        <w:t>innspela</w:t>
      </w:r>
      <w:proofErr w:type="spellEnd"/>
      <w:r w:rsidRPr="00506115">
        <w:t xml:space="preserve">. </w:t>
      </w:r>
      <w:proofErr w:type="spellStart"/>
      <w:r w:rsidRPr="00506115">
        <w:t>Endringar</w:t>
      </w:r>
      <w:proofErr w:type="spellEnd"/>
      <w:r w:rsidRPr="00506115">
        <w:t xml:space="preserve"> i differansekontrakten vil kunne </w:t>
      </w:r>
      <w:proofErr w:type="spellStart"/>
      <w:r w:rsidRPr="00506115">
        <w:t>påverke</w:t>
      </w:r>
      <w:proofErr w:type="spellEnd"/>
      <w:r w:rsidRPr="00506115">
        <w:t xml:space="preserve"> </w:t>
      </w:r>
      <w:proofErr w:type="spellStart"/>
      <w:r w:rsidRPr="00506115">
        <w:t>innhaldet</w:t>
      </w:r>
      <w:proofErr w:type="spellEnd"/>
      <w:r w:rsidRPr="00506115">
        <w:t xml:space="preserve"> i risikovurderinga.</w:t>
      </w:r>
    </w:p>
    <w:p w14:paraId="7B196A55" w14:textId="7D136316" w:rsidR="00A02896" w:rsidRPr="00506115" w:rsidRDefault="00A02896" w:rsidP="00506115"/>
    <w:p w14:paraId="6BCD2D03" w14:textId="3944CD31" w:rsidR="00506115" w:rsidRPr="00506115" w:rsidRDefault="00506115" w:rsidP="00AE1379">
      <w:pPr>
        <w:pStyle w:val="tabell-tittel"/>
      </w:pPr>
      <w:r w:rsidRPr="00506115">
        <w:t>Risikomatrise – staten sine kostnader, ansvar og risiko</w:t>
      </w:r>
    </w:p>
    <w:p w14:paraId="19112B9A" w14:textId="77777777" w:rsidR="00A02896" w:rsidRPr="00506115" w:rsidRDefault="00AE1379" w:rsidP="00506115">
      <w:pPr>
        <w:pStyle w:val="Tabellnavn"/>
      </w:pPr>
      <w:r w:rsidRPr="00506115">
        <w:t>02J0xx2</w:t>
      </w:r>
    </w:p>
    <w:tbl>
      <w:tblPr>
        <w:tblW w:w="9781" w:type="dxa"/>
        <w:tblInd w:w="43" w:type="dxa"/>
        <w:tblLayout w:type="fixed"/>
        <w:tblCellMar>
          <w:top w:w="128" w:type="dxa"/>
          <w:left w:w="43" w:type="dxa"/>
          <w:bottom w:w="43" w:type="dxa"/>
          <w:right w:w="43" w:type="dxa"/>
        </w:tblCellMar>
        <w:tblLook w:val="0000" w:firstRow="0" w:lastRow="0" w:firstColumn="0" w:lastColumn="0" w:noHBand="0" w:noVBand="0"/>
      </w:tblPr>
      <w:tblGrid>
        <w:gridCol w:w="2552"/>
        <w:gridCol w:w="7229"/>
      </w:tblGrid>
      <w:tr w:rsidR="00A02896" w:rsidRPr="00506115" w14:paraId="34DBD61B" w14:textId="77777777" w:rsidTr="00506115">
        <w:trPr>
          <w:trHeight w:val="380"/>
        </w:trPr>
        <w:tc>
          <w:tcPr>
            <w:tcW w:w="978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BDFD42E" w14:textId="77777777" w:rsidR="00A02896" w:rsidRPr="00506115" w:rsidRDefault="00AE1379" w:rsidP="00506115">
            <w:r w:rsidRPr="00506115">
              <w:rPr>
                <w:rStyle w:val="kursiv"/>
              </w:rPr>
              <w:t>Overordna</w:t>
            </w:r>
          </w:p>
        </w:tc>
      </w:tr>
      <w:tr w:rsidR="00A02896" w:rsidRPr="00506115" w14:paraId="43A38AA0" w14:textId="77777777" w:rsidTr="00506115">
        <w:trPr>
          <w:trHeight w:val="4480"/>
        </w:trPr>
        <w:tc>
          <w:tcPr>
            <w:tcW w:w="2552" w:type="dxa"/>
            <w:tcBorders>
              <w:top w:val="single" w:sz="4" w:space="0" w:color="000000"/>
              <w:left w:val="nil"/>
              <w:bottom w:val="nil"/>
              <w:right w:val="nil"/>
            </w:tcBorders>
            <w:tcMar>
              <w:top w:w="128" w:type="dxa"/>
              <w:left w:w="43" w:type="dxa"/>
              <w:bottom w:w="43" w:type="dxa"/>
              <w:right w:w="43" w:type="dxa"/>
            </w:tcMar>
          </w:tcPr>
          <w:p w14:paraId="70B1AB23" w14:textId="77777777" w:rsidR="00A02896" w:rsidRPr="00506115" w:rsidRDefault="00AE1379" w:rsidP="00506115">
            <w:r w:rsidRPr="00506115">
              <w:rPr>
                <w:rStyle w:val="kursiv"/>
              </w:rPr>
              <w:t>Støttemodell</w:t>
            </w:r>
          </w:p>
        </w:tc>
        <w:tc>
          <w:tcPr>
            <w:tcW w:w="7229" w:type="dxa"/>
            <w:tcBorders>
              <w:top w:val="single" w:sz="4" w:space="0" w:color="000000"/>
              <w:left w:val="nil"/>
              <w:bottom w:val="nil"/>
              <w:right w:val="nil"/>
            </w:tcBorders>
            <w:tcMar>
              <w:top w:w="128" w:type="dxa"/>
              <w:left w:w="43" w:type="dxa"/>
              <w:bottom w:w="43" w:type="dxa"/>
              <w:right w:w="43" w:type="dxa"/>
            </w:tcMar>
          </w:tcPr>
          <w:p w14:paraId="6AFF5C0B" w14:textId="77777777" w:rsidR="00A02896" w:rsidRPr="00506115" w:rsidRDefault="00AE1379" w:rsidP="00506115">
            <w:r w:rsidRPr="00506115">
              <w:t xml:space="preserve">Produsenten (i avtalen kalla støttemottakar og i andre </w:t>
            </w:r>
            <w:proofErr w:type="spellStart"/>
            <w:r w:rsidRPr="00506115">
              <w:t>samanhengar</w:t>
            </w:r>
            <w:proofErr w:type="spellEnd"/>
            <w:r w:rsidRPr="00506115">
              <w:t xml:space="preserve"> kalla </w:t>
            </w:r>
            <w:proofErr w:type="spellStart"/>
            <w:r w:rsidRPr="00506115">
              <w:t>søkar</w:t>
            </w:r>
            <w:proofErr w:type="spellEnd"/>
            <w:r w:rsidRPr="00506115">
              <w:t xml:space="preserve"> eller </w:t>
            </w:r>
            <w:proofErr w:type="spellStart"/>
            <w:r w:rsidRPr="00506115">
              <w:t>tiltakshavar</w:t>
            </w:r>
            <w:proofErr w:type="spellEnd"/>
            <w:r w:rsidRPr="00506115">
              <w:t xml:space="preserve">) skal bygge og drive produksjonsanlegg og nettanlegg (samla: energianlegg) for eiga rekning og risiko. Staten yter verken investerings- eller </w:t>
            </w:r>
            <w:proofErr w:type="spellStart"/>
            <w:r w:rsidRPr="00506115">
              <w:t>driftstilskot</w:t>
            </w:r>
            <w:proofErr w:type="spellEnd"/>
            <w:r w:rsidRPr="00506115">
              <w:t xml:space="preserve">. Dette </w:t>
            </w:r>
            <w:proofErr w:type="spellStart"/>
            <w:r w:rsidRPr="00506115">
              <w:t>inneber</w:t>
            </w:r>
            <w:proofErr w:type="spellEnd"/>
            <w:r w:rsidRPr="00506115">
              <w:t xml:space="preserve"> at produsenten sine investerings- og driftskostnader er </w:t>
            </w:r>
            <w:proofErr w:type="spellStart"/>
            <w:r w:rsidRPr="00506115">
              <w:t>utan</w:t>
            </w:r>
            <w:proofErr w:type="spellEnd"/>
            <w:r w:rsidRPr="00506115">
              <w:t xml:space="preserve"> betydning for omfanget av staten sine kostnader.</w:t>
            </w:r>
          </w:p>
          <w:p w14:paraId="617AF56D" w14:textId="77777777" w:rsidR="00A02896" w:rsidRPr="00506115" w:rsidRDefault="00AE1379" w:rsidP="00506115">
            <w:r w:rsidRPr="00506115">
              <w:t xml:space="preserve">I støtteperioden yter staten </w:t>
            </w:r>
            <w:proofErr w:type="spellStart"/>
            <w:r w:rsidRPr="00506115">
              <w:t>tilskot</w:t>
            </w:r>
            <w:proofErr w:type="spellEnd"/>
            <w:r w:rsidRPr="00506115">
              <w:t xml:space="preserve"> (pristillegg) i </w:t>
            </w:r>
            <w:proofErr w:type="spellStart"/>
            <w:r w:rsidRPr="00506115">
              <w:t>periodar</w:t>
            </w:r>
            <w:proofErr w:type="spellEnd"/>
            <w:r w:rsidRPr="00506115">
              <w:t xml:space="preserve"> kor referanseprisen for kraft er </w:t>
            </w:r>
            <w:proofErr w:type="spellStart"/>
            <w:r w:rsidRPr="00506115">
              <w:t>lågare</w:t>
            </w:r>
            <w:proofErr w:type="spellEnd"/>
            <w:r w:rsidRPr="00506115">
              <w:t xml:space="preserve"> enn kontraktsprisen. I </w:t>
            </w:r>
            <w:proofErr w:type="spellStart"/>
            <w:r w:rsidRPr="00506115">
              <w:t>periodar</w:t>
            </w:r>
            <w:proofErr w:type="spellEnd"/>
            <w:r w:rsidRPr="00506115">
              <w:t xml:space="preserve"> kor referanseprisen er høgre enn kontraktsprisen, skal produsenten betale differansen til staten (</w:t>
            </w:r>
            <w:proofErr w:type="spellStart"/>
            <w:r w:rsidRPr="00506115">
              <w:t>prisfrådrag</w:t>
            </w:r>
            <w:proofErr w:type="spellEnd"/>
            <w:r w:rsidRPr="00506115">
              <w:t xml:space="preserve">). Kontraktsprisen er prisen produsenten baud og </w:t>
            </w:r>
            <w:proofErr w:type="spellStart"/>
            <w:r w:rsidRPr="00506115">
              <w:t>fekk</w:t>
            </w:r>
            <w:proofErr w:type="spellEnd"/>
            <w:r w:rsidRPr="00506115">
              <w:t xml:space="preserve"> tilslag på i auksjonen for tildeling av prosjektområdet. Referanseprisen er gjennomsnittet av alle </w:t>
            </w:r>
            <w:proofErr w:type="spellStart"/>
            <w:r w:rsidRPr="00506115">
              <w:t>spotprisar</w:t>
            </w:r>
            <w:proofErr w:type="spellEnd"/>
            <w:r w:rsidRPr="00506115">
              <w:t xml:space="preserve"> i </w:t>
            </w:r>
            <w:proofErr w:type="spellStart"/>
            <w:r w:rsidRPr="00506115">
              <w:t>ein</w:t>
            </w:r>
            <w:proofErr w:type="spellEnd"/>
            <w:r w:rsidRPr="00506115">
              <w:t xml:space="preserve"> </w:t>
            </w:r>
            <w:proofErr w:type="spellStart"/>
            <w:r w:rsidRPr="00506115">
              <w:t>månad</w:t>
            </w:r>
            <w:proofErr w:type="spellEnd"/>
            <w:r w:rsidRPr="00506115">
              <w:t>.</w:t>
            </w:r>
          </w:p>
          <w:p w14:paraId="452631EF" w14:textId="77777777" w:rsidR="00A02896" w:rsidRPr="00506115" w:rsidRDefault="00AE1379" w:rsidP="00506115">
            <w:r w:rsidRPr="00506115">
              <w:t xml:space="preserve">Både den samla betalinga </w:t>
            </w:r>
            <w:proofErr w:type="spellStart"/>
            <w:r w:rsidRPr="00506115">
              <w:t>frå</w:t>
            </w:r>
            <w:proofErr w:type="spellEnd"/>
            <w:r w:rsidRPr="00506115">
              <w:t xml:space="preserve"> staten til produsenten og den samla betalinga </w:t>
            </w:r>
            <w:proofErr w:type="spellStart"/>
            <w:r w:rsidRPr="00506115">
              <w:t>frå</w:t>
            </w:r>
            <w:proofErr w:type="spellEnd"/>
            <w:r w:rsidRPr="00506115">
              <w:t xml:space="preserve"> produsenten til staten i løpet av støtteperioden er avgrensa til 15 mrd. kroner (før inflasjonsjustering).</w:t>
            </w:r>
          </w:p>
          <w:p w14:paraId="655687C5" w14:textId="77777777" w:rsidR="00A02896" w:rsidRPr="00506115" w:rsidRDefault="00AE1379" w:rsidP="00506115">
            <w:r w:rsidRPr="00506115">
              <w:t xml:space="preserve">Støtteperioden er 15 år </w:t>
            </w:r>
            <w:proofErr w:type="spellStart"/>
            <w:r w:rsidRPr="00506115">
              <w:t>frå</w:t>
            </w:r>
            <w:proofErr w:type="spellEnd"/>
            <w:r w:rsidRPr="00506115">
              <w:t xml:space="preserve"> produksjons- og nettanlegget er ferdig bygd og sett i drift.</w:t>
            </w:r>
          </w:p>
        </w:tc>
      </w:tr>
      <w:tr w:rsidR="00A02896" w:rsidRPr="00506115" w14:paraId="716646E5" w14:textId="77777777" w:rsidTr="00506115">
        <w:trPr>
          <w:trHeight w:val="1400"/>
        </w:trPr>
        <w:tc>
          <w:tcPr>
            <w:tcW w:w="2552" w:type="dxa"/>
            <w:tcBorders>
              <w:top w:val="nil"/>
              <w:left w:val="nil"/>
              <w:bottom w:val="nil"/>
              <w:right w:val="nil"/>
            </w:tcBorders>
            <w:tcMar>
              <w:top w:w="128" w:type="dxa"/>
              <w:left w:w="43" w:type="dxa"/>
              <w:bottom w:w="43" w:type="dxa"/>
              <w:right w:w="43" w:type="dxa"/>
            </w:tcMar>
          </w:tcPr>
          <w:p w14:paraId="7409F1D7" w14:textId="77777777" w:rsidR="00A02896" w:rsidRPr="00506115" w:rsidRDefault="00AE1379" w:rsidP="00506115">
            <w:r w:rsidRPr="00506115">
              <w:rPr>
                <w:rStyle w:val="kursiv"/>
              </w:rPr>
              <w:lastRenderedPageBreak/>
              <w:t xml:space="preserve">Pristillegg </w:t>
            </w:r>
          </w:p>
        </w:tc>
        <w:tc>
          <w:tcPr>
            <w:tcW w:w="7229" w:type="dxa"/>
            <w:tcBorders>
              <w:top w:val="nil"/>
              <w:left w:val="nil"/>
              <w:bottom w:val="nil"/>
              <w:right w:val="nil"/>
            </w:tcBorders>
            <w:tcMar>
              <w:top w:w="128" w:type="dxa"/>
              <w:left w:w="43" w:type="dxa"/>
              <w:bottom w:w="43" w:type="dxa"/>
              <w:right w:w="43" w:type="dxa"/>
            </w:tcMar>
          </w:tcPr>
          <w:p w14:paraId="3C8FBD84" w14:textId="77777777" w:rsidR="00A02896" w:rsidRPr="00506115" w:rsidRDefault="00AE1379" w:rsidP="00506115">
            <w:r w:rsidRPr="00506115">
              <w:t xml:space="preserve">Når referanseprisen er </w:t>
            </w:r>
            <w:proofErr w:type="spellStart"/>
            <w:r w:rsidRPr="00506115">
              <w:t>lågare</w:t>
            </w:r>
            <w:proofErr w:type="spellEnd"/>
            <w:r w:rsidRPr="00506115">
              <w:t xml:space="preserve"> enn kontraktsprisen, skal staten betale produsenten </w:t>
            </w:r>
            <w:proofErr w:type="spellStart"/>
            <w:r w:rsidRPr="00506115">
              <w:t>eit</w:t>
            </w:r>
            <w:proofErr w:type="spellEnd"/>
            <w:r w:rsidRPr="00506115">
              <w:t xml:space="preserve"> beløp likt prisdifferansen mellom kontraktsprisen og referanseprisen per eining kraft (kWh) produsert. Samla betaling </w:t>
            </w:r>
            <w:proofErr w:type="spellStart"/>
            <w:r w:rsidRPr="00506115">
              <w:t>frå</w:t>
            </w:r>
            <w:proofErr w:type="spellEnd"/>
            <w:r w:rsidRPr="00506115">
              <w:t xml:space="preserve"> staten til produsenten i </w:t>
            </w:r>
            <w:proofErr w:type="spellStart"/>
            <w:r w:rsidRPr="00506115">
              <w:t>ein</w:t>
            </w:r>
            <w:proofErr w:type="spellEnd"/>
            <w:r w:rsidRPr="00506115">
              <w:t xml:space="preserve"> gitt tidsperiode vil dermed </w:t>
            </w:r>
            <w:proofErr w:type="spellStart"/>
            <w:r w:rsidRPr="00506115">
              <w:t>vere</w:t>
            </w:r>
            <w:proofErr w:type="spellEnd"/>
            <w:r w:rsidRPr="00506115">
              <w:t xml:space="preserve"> produktet av </w:t>
            </w:r>
            <w:proofErr w:type="spellStart"/>
            <w:r w:rsidRPr="00506115">
              <w:t>mengda</w:t>
            </w:r>
            <w:proofErr w:type="spellEnd"/>
            <w:r w:rsidRPr="00506115">
              <w:t xml:space="preserve"> produsert kraft og (den negative) prisdifferansen i perioden.</w:t>
            </w:r>
          </w:p>
        </w:tc>
      </w:tr>
      <w:tr w:rsidR="00A02896" w:rsidRPr="00506115" w14:paraId="7571BED6" w14:textId="77777777" w:rsidTr="00506115">
        <w:trPr>
          <w:trHeight w:val="1400"/>
        </w:trPr>
        <w:tc>
          <w:tcPr>
            <w:tcW w:w="2552" w:type="dxa"/>
            <w:tcBorders>
              <w:top w:val="nil"/>
              <w:left w:val="nil"/>
              <w:bottom w:val="nil"/>
              <w:right w:val="nil"/>
            </w:tcBorders>
            <w:tcMar>
              <w:top w:w="128" w:type="dxa"/>
              <w:left w:w="43" w:type="dxa"/>
              <w:bottom w:w="43" w:type="dxa"/>
              <w:right w:w="43" w:type="dxa"/>
            </w:tcMar>
          </w:tcPr>
          <w:p w14:paraId="7BBAA624" w14:textId="77777777" w:rsidR="00A02896" w:rsidRPr="00506115" w:rsidRDefault="00AE1379" w:rsidP="00506115">
            <w:proofErr w:type="spellStart"/>
            <w:r w:rsidRPr="00506115">
              <w:rPr>
                <w:rStyle w:val="kursiv"/>
              </w:rPr>
              <w:t>Prisfrådrag</w:t>
            </w:r>
            <w:proofErr w:type="spellEnd"/>
          </w:p>
        </w:tc>
        <w:tc>
          <w:tcPr>
            <w:tcW w:w="7229" w:type="dxa"/>
            <w:tcBorders>
              <w:top w:val="nil"/>
              <w:left w:val="nil"/>
              <w:bottom w:val="nil"/>
              <w:right w:val="nil"/>
            </w:tcBorders>
            <w:tcMar>
              <w:top w:w="128" w:type="dxa"/>
              <w:left w:w="43" w:type="dxa"/>
              <w:bottom w:w="43" w:type="dxa"/>
              <w:right w:w="43" w:type="dxa"/>
            </w:tcMar>
          </w:tcPr>
          <w:p w14:paraId="4284A319" w14:textId="77777777" w:rsidR="00A02896" w:rsidRPr="00506115" w:rsidRDefault="00AE1379" w:rsidP="00506115">
            <w:r w:rsidRPr="00506115">
              <w:t xml:space="preserve">Når referanseprisen er høgre enn kontraktsprisen, skal produsenten betale staten </w:t>
            </w:r>
            <w:proofErr w:type="spellStart"/>
            <w:r w:rsidRPr="00506115">
              <w:t>eit</w:t>
            </w:r>
            <w:proofErr w:type="spellEnd"/>
            <w:r w:rsidRPr="00506115">
              <w:t xml:space="preserve"> beløp likt prisdifferansen mellom kontraktsprisen og referanseprisen per eining kraft (kWh) produsert. Samla betaling </w:t>
            </w:r>
            <w:proofErr w:type="spellStart"/>
            <w:r w:rsidRPr="00506115">
              <w:t>frå</w:t>
            </w:r>
            <w:proofErr w:type="spellEnd"/>
            <w:r w:rsidRPr="00506115">
              <w:t xml:space="preserve"> produsenten til staten i </w:t>
            </w:r>
            <w:proofErr w:type="spellStart"/>
            <w:r w:rsidRPr="00506115">
              <w:t>ein</w:t>
            </w:r>
            <w:proofErr w:type="spellEnd"/>
            <w:r w:rsidRPr="00506115">
              <w:t xml:space="preserve"> gitt tidsperiode vil dermed </w:t>
            </w:r>
            <w:proofErr w:type="spellStart"/>
            <w:r w:rsidRPr="00506115">
              <w:t>vere</w:t>
            </w:r>
            <w:proofErr w:type="spellEnd"/>
            <w:r w:rsidRPr="00506115">
              <w:t xml:space="preserve"> produktet av </w:t>
            </w:r>
            <w:proofErr w:type="spellStart"/>
            <w:r w:rsidRPr="00506115">
              <w:t>mengda</w:t>
            </w:r>
            <w:proofErr w:type="spellEnd"/>
            <w:r w:rsidRPr="00506115">
              <w:t xml:space="preserve"> produsert kraft og (den positive) prisdifferansen i perioden.</w:t>
            </w:r>
          </w:p>
        </w:tc>
      </w:tr>
      <w:tr w:rsidR="00A02896" w:rsidRPr="00506115" w14:paraId="0B68FCB9" w14:textId="77777777" w:rsidTr="00506115">
        <w:trPr>
          <w:trHeight w:val="640"/>
        </w:trPr>
        <w:tc>
          <w:tcPr>
            <w:tcW w:w="2552" w:type="dxa"/>
            <w:tcBorders>
              <w:top w:val="nil"/>
              <w:left w:val="nil"/>
              <w:bottom w:val="nil"/>
              <w:right w:val="nil"/>
            </w:tcBorders>
            <w:tcMar>
              <w:top w:w="128" w:type="dxa"/>
              <w:left w:w="43" w:type="dxa"/>
              <w:bottom w:w="43" w:type="dxa"/>
              <w:right w:w="43" w:type="dxa"/>
            </w:tcMar>
          </w:tcPr>
          <w:p w14:paraId="27B2FFE5" w14:textId="77777777" w:rsidR="00A02896" w:rsidRPr="00506115" w:rsidRDefault="00AE1379" w:rsidP="00506115">
            <w:proofErr w:type="spellStart"/>
            <w:r w:rsidRPr="00506115">
              <w:rPr>
                <w:rStyle w:val="kursiv"/>
              </w:rPr>
              <w:t>Månadleg</w:t>
            </w:r>
            <w:proofErr w:type="spellEnd"/>
            <w:r w:rsidRPr="00506115">
              <w:rPr>
                <w:rStyle w:val="kursiv"/>
              </w:rPr>
              <w:t xml:space="preserve"> </w:t>
            </w:r>
            <w:proofErr w:type="spellStart"/>
            <w:r w:rsidRPr="00506115">
              <w:rPr>
                <w:rStyle w:val="kursiv"/>
              </w:rPr>
              <w:t>berekning</w:t>
            </w:r>
            <w:proofErr w:type="spellEnd"/>
            <w:r w:rsidRPr="00506115">
              <w:rPr>
                <w:rStyle w:val="kursiv"/>
              </w:rPr>
              <w:t xml:space="preserve"> og betaling</w:t>
            </w:r>
          </w:p>
        </w:tc>
        <w:tc>
          <w:tcPr>
            <w:tcW w:w="7229" w:type="dxa"/>
            <w:tcBorders>
              <w:top w:val="nil"/>
              <w:left w:val="nil"/>
              <w:bottom w:val="nil"/>
              <w:right w:val="nil"/>
            </w:tcBorders>
            <w:tcMar>
              <w:top w:w="128" w:type="dxa"/>
              <w:left w:w="43" w:type="dxa"/>
              <w:bottom w:w="43" w:type="dxa"/>
              <w:right w:w="43" w:type="dxa"/>
            </w:tcMar>
          </w:tcPr>
          <w:p w14:paraId="190FBA41" w14:textId="77777777" w:rsidR="00A02896" w:rsidRPr="00506115" w:rsidRDefault="00AE1379" w:rsidP="00506115">
            <w:r w:rsidRPr="00506115">
              <w:t xml:space="preserve">Det er lagt opp til </w:t>
            </w:r>
            <w:proofErr w:type="spellStart"/>
            <w:r w:rsidRPr="00506115">
              <w:t>månadleg</w:t>
            </w:r>
            <w:proofErr w:type="spellEnd"/>
            <w:r w:rsidRPr="00506115">
              <w:t xml:space="preserve"> </w:t>
            </w:r>
            <w:proofErr w:type="spellStart"/>
            <w:r w:rsidRPr="00506115">
              <w:t>berekning</w:t>
            </w:r>
            <w:proofErr w:type="spellEnd"/>
            <w:r w:rsidRPr="00506115">
              <w:t xml:space="preserve"> og betaling av pristillegg og </w:t>
            </w:r>
            <w:proofErr w:type="spellStart"/>
            <w:r w:rsidRPr="00506115">
              <w:t>prisfrådrag</w:t>
            </w:r>
            <w:proofErr w:type="spellEnd"/>
            <w:r w:rsidRPr="00506115">
              <w:t>.</w:t>
            </w:r>
          </w:p>
        </w:tc>
      </w:tr>
      <w:tr w:rsidR="00A02896" w:rsidRPr="00506115" w14:paraId="2142A1D1" w14:textId="77777777" w:rsidTr="00506115">
        <w:trPr>
          <w:trHeight w:val="2160"/>
        </w:trPr>
        <w:tc>
          <w:tcPr>
            <w:tcW w:w="2552" w:type="dxa"/>
            <w:tcBorders>
              <w:top w:val="nil"/>
              <w:left w:val="nil"/>
              <w:bottom w:val="nil"/>
              <w:right w:val="nil"/>
            </w:tcBorders>
            <w:tcMar>
              <w:top w:w="128" w:type="dxa"/>
              <w:left w:w="43" w:type="dxa"/>
              <w:bottom w:w="43" w:type="dxa"/>
              <w:right w:w="43" w:type="dxa"/>
            </w:tcMar>
          </w:tcPr>
          <w:p w14:paraId="55B40605" w14:textId="77777777" w:rsidR="00A02896" w:rsidRPr="00506115" w:rsidRDefault="00AE1379" w:rsidP="00506115">
            <w:r w:rsidRPr="00506115">
              <w:rPr>
                <w:rStyle w:val="kursiv"/>
              </w:rPr>
              <w:t xml:space="preserve">Tak på betaling </w:t>
            </w:r>
            <w:proofErr w:type="spellStart"/>
            <w:r w:rsidRPr="00506115">
              <w:rPr>
                <w:rStyle w:val="kursiv"/>
              </w:rPr>
              <w:t>frå</w:t>
            </w:r>
            <w:proofErr w:type="spellEnd"/>
            <w:r w:rsidRPr="00506115">
              <w:rPr>
                <w:rStyle w:val="kursiv"/>
              </w:rPr>
              <w:t xml:space="preserve"> staten til </w:t>
            </w:r>
            <w:proofErr w:type="spellStart"/>
            <w:r w:rsidRPr="00506115">
              <w:rPr>
                <w:rStyle w:val="kursiv"/>
              </w:rPr>
              <w:t>utbyggjar</w:t>
            </w:r>
            <w:proofErr w:type="spellEnd"/>
          </w:p>
        </w:tc>
        <w:tc>
          <w:tcPr>
            <w:tcW w:w="7229" w:type="dxa"/>
            <w:tcBorders>
              <w:top w:val="nil"/>
              <w:left w:val="nil"/>
              <w:bottom w:val="nil"/>
              <w:right w:val="nil"/>
            </w:tcBorders>
            <w:tcMar>
              <w:top w:w="128" w:type="dxa"/>
              <w:left w:w="43" w:type="dxa"/>
              <w:bottom w:w="43" w:type="dxa"/>
              <w:right w:w="43" w:type="dxa"/>
            </w:tcMar>
          </w:tcPr>
          <w:p w14:paraId="7657CC39" w14:textId="77777777" w:rsidR="00A02896" w:rsidRPr="00506115" w:rsidRDefault="00AE1379" w:rsidP="00506115">
            <w:r w:rsidRPr="00506115">
              <w:t xml:space="preserve">Staten si samla utbetaling i løpet av støtteperioden er beløpsmessig avgrensa. </w:t>
            </w:r>
            <w:proofErr w:type="spellStart"/>
            <w:r w:rsidRPr="00506115">
              <w:t>Berekninga</w:t>
            </w:r>
            <w:proofErr w:type="spellEnd"/>
            <w:r w:rsidRPr="00506115">
              <w:t xml:space="preserve"> skjer på netto basis, slik at det </w:t>
            </w:r>
            <w:proofErr w:type="spellStart"/>
            <w:r w:rsidRPr="00506115">
              <w:t>avgjerande</w:t>
            </w:r>
            <w:proofErr w:type="spellEnd"/>
            <w:r w:rsidRPr="00506115">
              <w:t xml:space="preserve"> er storleiken på samla pristillegg minus samla prisfradrag. Taket kan bli nådd dersom referanseprisen over lengre tid er </w:t>
            </w:r>
            <w:proofErr w:type="spellStart"/>
            <w:r w:rsidRPr="00506115">
              <w:t>lågare</w:t>
            </w:r>
            <w:proofErr w:type="spellEnd"/>
            <w:r w:rsidRPr="00506115">
              <w:t xml:space="preserve"> enn kontraktsprisen. Dersom taket blir nådd, vil betaling </w:t>
            </w:r>
            <w:proofErr w:type="spellStart"/>
            <w:r w:rsidRPr="00506115">
              <w:t>frå</w:t>
            </w:r>
            <w:proofErr w:type="spellEnd"/>
            <w:r w:rsidRPr="00506115">
              <w:t xml:space="preserve"> staten til </w:t>
            </w:r>
            <w:proofErr w:type="spellStart"/>
            <w:r w:rsidRPr="00506115">
              <w:t>utbyggjar</w:t>
            </w:r>
            <w:proofErr w:type="spellEnd"/>
            <w:r w:rsidRPr="00506115">
              <w:t xml:space="preserve"> bli suspendert inntil samla netto betaling </w:t>
            </w:r>
            <w:proofErr w:type="spellStart"/>
            <w:r w:rsidRPr="00506115">
              <w:t>frå</w:t>
            </w:r>
            <w:proofErr w:type="spellEnd"/>
            <w:r w:rsidRPr="00506115">
              <w:t xml:space="preserve"> staten til produsent igjen fell under taket. Dette vil kunne skje dersom referanseprisen i </w:t>
            </w:r>
            <w:proofErr w:type="spellStart"/>
            <w:r w:rsidRPr="00506115">
              <w:t>ein</w:t>
            </w:r>
            <w:proofErr w:type="spellEnd"/>
            <w:r w:rsidRPr="00506115">
              <w:t xml:space="preserve"> </w:t>
            </w:r>
            <w:proofErr w:type="spellStart"/>
            <w:r w:rsidRPr="00506115">
              <w:t>etterfølgande</w:t>
            </w:r>
            <w:proofErr w:type="spellEnd"/>
            <w:r w:rsidRPr="00506115">
              <w:t xml:space="preserve"> periode er høgre enn kontraktsprisen (slik at produsent må betale </w:t>
            </w:r>
            <w:proofErr w:type="spellStart"/>
            <w:r w:rsidRPr="00506115">
              <w:t>prisfrådrag</w:t>
            </w:r>
            <w:proofErr w:type="spellEnd"/>
            <w:r w:rsidRPr="00506115">
              <w:t xml:space="preserve"> til staten).</w:t>
            </w:r>
          </w:p>
        </w:tc>
      </w:tr>
      <w:tr w:rsidR="00A02896" w:rsidRPr="00506115" w14:paraId="1AECA242" w14:textId="77777777" w:rsidTr="00506115">
        <w:trPr>
          <w:trHeight w:val="1920"/>
        </w:trPr>
        <w:tc>
          <w:tcPr>
            <w:tcW w:w="2552" w:type="dxa"/>
            <w:tcBorders>
              <w:top w:val="nil"/>
              <w:left w:val="nil"/>
              <w:bottom w:val="single" w:sz="4" w:space="0" w:color="000000"/>
              <w:right w:val="nil"/>
            </w:tcBorders>
            <w:tcMar>
              <w:top w:w="128" w:type="dxa"/>
              <w:left w:w="43" w:type="dxa"/>
              <w:bottom w:w="43" w:type="dxa"/>
              <w:right w:w="43" w:type="dxa"/>
            </w:tcMar>
          </w:tcPr>
          <w:p w14:paraId="14469330" w14:textId="77777777" w:rsidR="00A02896" w:rsidRPr="00506115" w:rsidRDefault="00AE1379" w:rsidP="00506115">
            <w:r w:rsidRPr="00506115">
              <w:rPr>
                <w:rStyle w:val="kursiv"/>
              </w:rPr>
              <w:t xml:space="preserve">Tak på betaling </w:t>
            </w:r>
            <w:proofErr w:type="spellStart"/>
            <w:r w:rsidRPr="00506115">
              <w:rPr>
                <w:rStyle w:val="kursiv"/>
              </w:rPr>
              <w:t>frå</w:t>
            </w:r>
            <w:proofErr w:type="spellEnd"/>
            <w:r w:rsidRPr="00506115">
              <w:rPr>
                <w:rStyle w:val="kursiv"/>
              </w:rPr>
              <w:t xml:space="preserve"> produsent til staten </w:t>
            </w:r>
          </w:p>
        </w:tc>
        <w:tc>
          <w:tcPr>
            <w:tcW w:w="7229" w:type="dxa"/>
            <w:tcBorders>
              <w:top w:val="nil"/>
              <w:left w:val="nil"/>
              <w:bottom w:val="single" w:sz="4" w:space="0" w:color="000000"/>
              <w:right w:val="nil"/>
            </w:tcBorders>
            <w:tcMar>
              <w:top w:w="128" w:type="dxa"/>
              <w:left w:w="43" w:type="dxa"/>
              <w:bottom w:w="43" w:type="dxa"/>
              <w:right w:w="43" w:type="dxa"/>
            </w:tcMar>
          </w:tcPr>
          <w:p w14:paraId="72895E1E" w14:textId="77777777" w:rsidR="00A02896" w:rsidRPr="00506115" w:rsidRDefault="00AE1379" w:rsidP="00506115">
            <w:r w:rsidRPr="00506115">
              <w:t xml:space="preserve">Også produsenten sin samla betaling til staten i løpet av støtteperioden er beløpsmessig avgrensa. Taket kan bli nådd dersom referanseprisen over lengre tid er høgre enn kontraktsprisen. Dersom taket blir nådd, vil betalinga </w:t>
            </w:r>
            <w:proofErr w:type="spellStart"/>
            <w:r w:rsidRPr="00506115">
              <w:t>frå</w:t>
            </w:r>
            <w:proofErr w:type="spellEnd"/>
            <w:r w:rsidRPr="00506115">
              <w:t xml:space="preserve"> produsenten til staten bli suspendert inntil samla netto betaling </w:t>
            </w:r>
            <w:proofErr w:type="spellStart"/>
            <w:r w:rsidRPr="00506115">
              <w:t>frå</w:t>
            </w:r>
            <w:proofErr w:type="spellEnd"/>
            <w:r w:rsidRPr="00506115">
              <w:t xml:space="preserve"> produsenten til staten igjen fell under taket. Dette vil kunne skje dersom referanseprisen i </w:t>
            </w:r>
            <w:proofErr w:type="spellStart"/>
            <w:r w:rsidRPr="00506115">
              <w:t>ein</w:t>
            </w:r>
            <w:proofErr w:type="spellEnd"/>
            <w:r w:rsidRPr="00506115">
              <w:t xml:space="preserve"> </w:t>
            </w:r>
            <w:proofErr w:type="spellStart"/>
            <w:r w:rsidRPr="00506115">
              <w:t>etterfølgande</w:t>
            </w:r>
            <w:proofErr w:type="spellEnd"/>
            <w:r w:rsidRPr="00506115">
              <w:t xml:space="preserve"> periode er </w:t>
            </w:r>
            <w:proofErr w:type="spellStart"/>
            <w:r w:rsidRPr="00506115">
              <w:t>lågare</w:t>
            </w:r>
            <w:proofErr w:type="spellEnd"/>
            <w:r w:rsidRPr="00506115">
              <w:t xml:space="preserve"> enn kontraktsprisen (slik at staten må betale pristillegg til produsenten).</w:t>
            </w:r>
          </w:p>
        </w:tc>
      </w:tr>
      <w:tr w:rsidR="00A02896" w:rsidRPr="00506115" w14:paraId="017B8851" w14:textId="77777777" w:rsidTr="00506115">
        <w:trPr>
          <w:trHeight w:val="380"/>
        </w:trPr>
        <w:tc>
          <w:tcPr>
            <w:tcW w:w="978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3196D1C" w14:textId="77777777" w:rsidR="00A02896" w:rsidRPr="00506115" w:rsidRDefault="00AE1379" w:rsidP="00506115">
            <w:r w:rsidRPr="00506115">
              <w:rPr>
                <w:rStyle w:val="kursiv"/>
              </w:rPr>
              <w:t>Kostnader i byggeperioden</w:t>
            </w:r>
          </w:p>
        </w:tc>
      </w:tr>
      <w:tr w:rsidR="00A02896" w:rsidRPr="00506115" w14:paraId="30410DD4" w14:textId="77777777" w:rsidTr="00506115">
        <w:trPr>
          <w:trHeight w:val="1140"/>
        </w:trPr>
        <w:tc>
          <w:tcPr>
            <w:tcW w:w="2552" w:type="dxa"/>
            <w:tcBorders>
              <w:top w:val="nil"/>
              <w:left w:val="nil"/>
              <w:bottom w:val="single" w:sz="4" w:space="0" w:color="000000"/>
              <w:right w:val="nil"/>
            </w:tcBorders>
            <w:tcMar>
              <w:top w:w="128" w:type="dxa"/>
              <w:left w:w="43" w:type="dxa"/>
              <w:bottom w:w="43" w:type="dxa"/>
              <w:right w:w="43" w:type="dxa"/>
            </w:tcMar>
          </w:tcPr>
          <w:p w14:paraId="7B29474B" w14:textId="77777777" w:rsidR="00A02896" w:rsidRPr="00506115" w:rsidRDefault="00AE1379" w:rsidP="00506115">
            <w:r w:rsidRPr="00506115">
              <w:rPr>
                <w:rStyle w:val="kursiv"/>
              </w:rPr>
              <w:t>Investeringskostnader</w:t>
            </w:r>
          </w:p>
        </w:tc>
        <w:tc>
          <w:tcPr>
            <w:tcW w:w="7229" w:type="dxa"/>
            <w:tcBorders>
              <w:top w:val="nil"/>
              <w:left w:val="nil"/>
              <w:bottom w:val="single" w:sz="4" w:space="0" w:color="000000"/>
              <w:right w:val="nil"/>
            </w:tcBorders>
            <w:tcMar>
              <w:top w:w="128" w:type="dxa"/>
              <w:left w:w="43" w:type="dxa"/>
              <w:bottom w:w="43" w:type="dxa"/>
              <w:right w:w="43" w:type="dxa"/>
            </w:tcMar>
          </w:tcPr>
          <w:p w14:paraId="79A0FE19" w14:textId="77777777" w:rsidR="00A02896" w:rsidRPr="00506115" w:rsidRDefault="00AE1379" w:rsidP="00506115">
            <w:r w:rsidRPr="00506115">
              <w:t xml:space="preserve">Produsenten skal bygge produksjons- og nettanlegg for eiga rekning og risiko. Staten yter </w:t>
            </w:r>
            <w:proofErr w:type="spellStart"/>
            <w:r w:rsidRPr="00506115">
              <w:t>ikkje</w:t>
            </w:r>
            <w:proofErr w:type="spellEnd"/>
            <w:r w:rsidRPr="00506115">
              <w:t xml:space="preserve"> </w:t>
            </w:r>
            <w:proofErr w:type="spellStart"/>
            <w:r w:rsidRPr="00506115">
              <w:t>investeringstilskot</w:t>
            </w:r>
            <w:proofErr w:type="spellEnd"/>
            <w:r w:rsidRPr="00506115">
              <w:t xml:space="preserve">. Dette </w:t>
            </w:r>
            <w:proofErr w:type="spellStart"/>
            <w:r w:rsidRPr="00506115">
              <w:t>inneber</w:t>
            </w:r>
            <w:proofErr w:type="spellEnd"/>
            <w:r w:rsidRPr="00506115">
              <w:t xml:space="preserve"> at staten heller </w:t>
            </w:r>
            <w:proofErr w:type="spellStart"/>
            <w:r w:rsidRPr="00506115">
              <w:t>ikkje</w:t>
            </w:r>
            <w:proofErr w:type="spellEnd"/>
            <w:r w:rsidRPr="00506115">
              <w:t xml:space="preserve"> ber kostnader eller risiko knytt til produsenten sine eventuelle </w:t>
            </w:r>
            <w:proofErr w:type="spellStart"/>
            <w:r w:rsidRPr="00506115">
              <w:t>auka</w:t>
            </w:r>
            <w:proofErr w:type="spellEnd"/>
            <w:r w:rsidRPr="00506115">
              <w:t xml:space="preserve"> investeringskostnader.</w:t>
            </w:r>
          </w:p>
        </w:tc>
      </w:tr>
      <w:tr w:rsidR="00A02896" w:rsidRPr="00506115" w14:paraId="339D9F99" w14:textId="77777777" w:rsidTr="00506115">
        <w:trPr>
          <w:trHeight w:val="380"/>
        </w:trPr>
        <w:tc>
          <w:tcPr>
            <w:tcW w:w="978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ABC4486" w14:textId="77777777" w:rsidR="00A02896" w:rsidRPr="00506115" w:rsidRDefault="00AE1379" w:rsidP="00506115">
            <w:r w:rsidRPr="00506115">
              <w:rPr>
                <w:rStyle w:val="kursiv"/>
              </w:rPr>
              <w:t>Kostnader og inntekter i driftsperioden (støtteperioden)</w:t>
            </w:r>
          </w:p>
        </w:tc>
      </w:tr>
      <w:tr w:rsidR="00A02896" w:rsidRPr="00506115" w14:paraId="2E38184B" w14:textId="77777777" w:rsidTr="00506115">
        <w:trPr>
          <w:trHeight w:val="1400"/>
        </w:trPr>
        <w:tc>
          <w:tcPr>
            <w:tcW w:w="2552" w:type="dxa"/>
            <w:tcBorders>
              <w:top w:val="nil"/>
              <w:left w:val="nil"/>
              <w:bottom w:val="nil"/>
              <w:right w:val="nil"/>
            </w:tcBorders>
            <w:tcMar>
              <w:top w:w="128" w:type="dxa"/>
              <w:left w:w="43" w:type="dxa"/>
              <w:bottom w:w="43" w:type="dxa"/>
              <w:right w:w="43" w:type="dxa"/>
            </w:tcMar>
          </w:tcPr>
          <w:p w14:paraId="41007F08" w14:textId="77777777" w:rsidR="00A02896" w:rsidRPr="00506115" w:rsidRDefault="00AE1379" w:rsidP="00506115">
            <w:r w:rsidRPr="00506115">
              <w:rPr>
                <w:rStyle w:val="kursiv"/>
              </w:rPr>
              <w:lastRenderedPageBreak/>
              <w:t>Støtteperiode</w:t>
            </w:r>
          </w:p>
        </w:tc>
        <w:tc>
          <w:tcPr>
            <w:tcW w:w="7229" w:type="dxa"/>
            <w:tcBorders>
              <w:top w:val="nil"/>
              <w:left w:val="nil"/>
              <w:bottom w:val="nil"/>
              <w:right w:val="nil"/>
            </w:tcBorders>
            <w:tcMar>
              <w:top w:w="128" w:type="dxa"/>
              <w:left w:w="43" w:type="dxa"/>
              <w:bottom w:w="43" w:type="dxa"/>
              <w:right w:w="43" w:type="dxa"/>
            </w:tcMar>
          </w:tcPr>
          <w:p w14:paraId="4B163690" w14:textId="77777777" w:rsidR="00A02896" w:rsidRPr="00506115" w:rsidRDefault="00AE1379" w:rsidP="00506115">
            <w:r w:rsidRPr="00506115">
              <w:t xml:space="preserve">Støtteperioden på 15 år </w:t>
            </w:r>
            <w:proofErr w:type="spellStart"/>
            <w:r w:rsidRPr="00506115">
              <w:t>byrjar</w:t>
            </w:r>
            <w:proofErr w:type="spellEnd"/>
            <w:r w:rsidRPr="00506115">
              <w:t xml:space="preserve"> når produksjons- og nettanlegget er ferdig bygd og sett i drift. Ferdigstilling </w:t>
            </w:r>
            <w:proofErr w:type="spellStart"/>
            <w:r w:rsidRPr="00506115">
              <w:t>føreset</w:t>
            </w:r>
            <w:proofErr w:type="spellEnd"/>
            <w:r w:rsidRPr="00506115">
              <w:t xml:space="preserve"> at størstedelen av </w:t>
            </w:r>
            <w:proofErr w:type="spellStart"/>
            <w:r w:rsidRPr="00506115">
              <w:t>vindturbinane</w:t>
            </w:r>
            <w:proofErr w:type="spellEnd"/>
            <w:r w:rsidRPr="00506115">
              <w:t xml:space="preserve"> er tilkopla og har levert kraft. Eventuell kraftproduksjon før krava til ferdigstilling er oppnådd gjev </w:t>
            </w:r>
            <w:proofErr w:type="spellStart"/>
            <w:r w:rsidRPr="00506115">
              <w:t>ikkje</w:t>
            </w:r>
            <w:proofErr w:type="spellEnd"/>
            <w:r w:rsidRPr="00506115">
              <w:t xml:space="preserve"> rett til </w:t>
            </w:r>
            <w:proofErr w:type="spellStart"/>
            <w:r w:rsidRPr="00506115">
              <w:t>tilskot</w:t>
            </w:r>
            <w:proofErr w:type="spellEnd"/>
            <w:r w:rsidRPr="00506115">
              <w:t xml:space="preserve">, men gjev staten heller </w:t>
            </w:r>
            <w:proofErr w:type="spellStart"/>
            <w:r w:rsidRPr="00506115">
              <w:t>ikkje</w:t>
            </w:r>
            <w:proofErr w:type="spellEnd"/>
            <w:r w:rsidRPr="00506115">
              <w:t xml:space="preserve"> rett til betaling </w:t>
            </w:r>
            <w:proofErr w:type="spellStart"/>
            <w:r w:rsidRPr="00506115">
              <w:t>sjølv</w:t>
            </w:r>
            <w:proofErr w:type="spellEnd"/>
            <w:r w:rsidRPr="00506115">
              <w:t xml:space="preserve"> om referanseprisen skulle </w:t>
            </w:r>
            <w:proofErr w:type="spellStart"/>
            <w:r w:rsidRPr="00506115">
              <w:t>vere</w:t>
            </w:r>
            <w:proofErr w:type="spellEnd"/>
            <w:r w:rsidRPr="00506115">
              <w:t xml:space="preserve"> høgre enn kontraktsprisen.</w:t>
            </w:r>
          </w:p>
        </w:tc>
      </w:tr>
      <w:tr w:rsidR="00A02896" w:rsidRPr="00506115" w14:paraId="7533B135" w14:textId="77777777" w:rsidTr="00506115">
        <w:trPr>
          <w:trHeight w:val="880"/>
        </w:trPr>
        <w:tc>
          <w:tcPr>
            <w:tcW w:w="2552" w:type="dxa"/>
            <w:tcBorders>
              <w:top w:val="nil"/>
              <w:left w:val="nil"/>
              <w:bottom w:val="nil"/>
              <w:right w:val="nil"/>
            </w:tcBorders>
            <w:tcMar>
              <w:top w:w="128" w:type="dxa"/>
              <w:left w:w="43" w:type="dxa"/>
              <w:bottom w:w="43" w:type="dxa"/>
              <w:right w:w="43" w:type="dxa"/>
            </w:tcMar>
          </w:tcPr>
          <w:p w14:paraId="3908B0E4" w14:textId="77777777" w:rsidR="00A02896" w:rsidRPr="00506115" w:rsidRDefault="00AE1379" w:rsidP="00506115">
            <w:r w:rsidRPr="00506115">
              <w:rPr>
                <w:rStyle w:val="kursiv"/>
              </w:rPr>
              <w:t>Driftskostnader</w:t>
            </w:r>
          </w:p>
        </w:tc>
        <w:tc>
          <w:tcPr>
            <w:tcW w:w="7229" w:type="dxa"/>
            <w:tcBorders>
              <w:top w:val="nil"/>
              <w:left w:val="nil"/>
              <w:bottom w:val="nil"/>
              <w:right w:val="nil"/>
            </w:tcBorders>
            <w:tcMar>
              <w:top w:w="128" w:type="dxa"/>
              <w:left w:w="43" w:type="dxa"/>
              <w:bottom w:w="43" w:type="dxa"/>
              <w:right w:w="43" w:type="dxa"/>
            </w:tcMar>
          </w:tcPr>
          <w:p w14:paraId="1D76E4C9" w14:textId="77777777" w:rsidR="00A02896" w:rsidRPr="00506115" w:rsidRDefault="00AE1379" w:rsidP="00506115">
            <w:r w:rsidRPr="00506115">
              <w:t xml:space="preserve">Produsenten skal drive produksjons- og nettanlegg for eiga rekning og risiko. Staten yter </w:t>
            </w:r>
            <w:proofErr w:type="spellStart"/>
            <w:r w:rsidRPr="00506115">
              <w:t>ikkje</w:t>
            </w:r>
            <w:proofErr w:type="spellEnd"/>
            <w:r w:rsidRPr="00506115">
              <w:t xml:space="preserve"> </w:t>
            </w:r>
            <w:proofErr w:type="spellStart"/>
            <w:r w:rsidRPr="00506115">
              <w:t>driftstilskot</w:t>
            </w:r>
            <w:proofErr w:type="spellEnd"/>
            <w:r w:rsidRPr="00506115">
              <w:t xml:space="preserve">. Dette </w:t>
            </w:r>
            <w:proofErr w:type="spellStart"/>
            <w:r w:rsidRPr="00506115">
              <w:t>inneber</w:t>
            </w:r>
            <w:proofErr w:type="spellEnd"/>
            <w:r w:rsidRPr="00506115">
              <w:t xml:space="preserve"> at staten heller </w:t>
            </w:r>
            <w:proofErr w:type="spellStart"/>
            <w:r w:rsidRPr="00506115">
              <w:t>ikkje</w:t>
            </w:r>
            <w:proofErr w:type="spellEnd"/>
            <w:r w:rsidRPr="00506115">
              <w:t xml:space="preserve"> ber kostnader eller risiko knytt til eventuelle </w:t>
            </w:r>
            <w:proofErr w:type="spellStart"/>
            <w:r w:rsidRPr="00506115">
              <w:t>auka</w:t>
            </w:r>
            <w:proofErr w:type="spellEnd"/>
            <w:r w:rsidRPr="00506115">
              <w:t xml:space="preserve"> driftskostnader.</w:t>
            </w:r>
          </w:p>
        </w:tc>
      </w:tr>
      <w:tr w:rsidR="00A02896" w:rsidRPr="00506115" w14:paraId="2A300C68" w14:textId="77777777" w:rsidTr="00506115">
        <w:trPr>
          <w:trHeight w:val="2940"/>
        </w:trPr>
        <w:tc>
          <w:tcPr>
            <w:tcW w:w="2552" w:type="dxa"/>
            <w:tcBorders>
              <w:top w:val="nil"/>
              <w:left w:val="nil"/>
              <w:bottom w:val="nil"/>
              <w:right w:val="nil"/>
            </w:tcBorders>
            <w:tcMar>
              <w:top w:w="128" w:type="dxa"/>
              <w:left w:w="43" w:type="dxa"/>
              <w:bottom w:w="43" w:type="dxa"/>
              <w:right w:w="43" w:type="dxa"/>
            </w:tcMar>
          </w:tcPr>
          <w:p w14:paraId="5B223550" w14:textId="77777777" w:rsidR="00A02896" w:rsidRPr="00506115" w:rsidRDefault="00AE1379" w:rsidP="00506115">
            <w:r w:rsidRPr="00506115">
              <w:rPr>
                <w:rStyle w:val="kursiv"/>
              </w:rPr>
              <w:t xml:space="preserve">Inntekter </w:t>
            </w:r>
            <w:proofErr w:type="spellStart"/>
            <w:r w:rsidRPr="00506115">
              <w:rPr>
                <w:rStyle w:val="kursiv"/>
              </w:rPr>
              <w:t>frå</w:t>
            </w:r>
            <w:proofErr w:type="spellEnd"/>
            <w:r w:rsidRPr="00506115">
              <w:rPr>
                <w:rStyle w:val="kursiv"/>
              </w:rPr>
              <w:t xml:space="preserve"> kraftproduksjon</w:t>
            </w:r>
          </w:p>
        </w:tc>
        <w:tc>
          <w:tcPr>
            <w:tcW w:w="7229" w:type="dxa"/>
            <w:tcBorders>
              <w:top w:val="nil"/>
              <w:left w:val="nil"/>
              <w:bottom w:val="nil"/>
              <w:right w:val="nil"/>
            </w:tcBorders>
            <w:tcMar>
              <w:top w:w="128" w:type="dxa"/>
              <w:left w:w="43" w:type="dxa"/>
              <w:bottom w:w="43" w:type="dxa"/>
              <w:right w:w="43" w:type="dxa"/>
            </w:tcMar>
          </w:tcPr>
          <w:p w14:paraId="4A643007" w14:textId="77777777" w:rsidR="00A02896" w:rsidRPr="00506115" w:rsidRDefault="00AE1379" w:rsidP="00506115">
            <w:r w:rsidRPr="00506115">
              <w:t xml:space="preserve">Inntektene </w:t>
            </w:r>
            <w:proofErr w:type="spellStart"/>
            <w:r w:rsidRPr="00506115">
              <w:t>frå</w:t>
            </w:r>
            <w:proofErr w:type="spellEnd"/>
            <w:r w:rsidRPr="00506115">
              <w:t xml:space="preserve"> sal av produsert kraft går til produsenten. Dette </w:t>
            </w:r>
            <w:proofErr w:type="spellStart"/>
            <w:r w:rsidRPr="00506115">
              <w:t>gjeld</w:t>
            </w:r>
            <w:proofErr w:type="spellEnd"/>
            <w:r w:rsidRPr="00506115">
              <w:t xml:space="preserve"> uansett korleis krafta blir </w:t>
            </w:r>
            <w:proofErr w:type="spellStart"/>
            <w:r w:rsidRPr="00506115">
              <w:t>seld</w:t>
            </w:r>
            <w:proofErr w:type="spellEnd"/>
            <w:r w:rsidRPr="00506115">
              <w:t xml:space="preserve"> og til kva for pris produsenten får. Det har til dømes ingen </w:t>
            </w:r>
            <w:proofErr w:type="spellStart"/>
            <w:r w:rsidRPr="00506115">
              <w:t>innverknad</w:t>
            </w:r>
            <w:proofErr w:type="spellEnd"/>
            <w:r w:rsidRPr="00506115">
              <w:t xml:space="preserve"> på staten sine kostnader eller inntekter om krafta blir selt på </w:t>
            </w:r>
            <w:proofErr w:type="spellStart"/>
            <w:r w:rsidRPr="00506115">
              <w:t>ein</w:t>
            </w:r>
            <w:proofErr w:type="spellEnd"/>
            <w:r w:rsidRPr="00506115">
              <w:t xml:space="preserve"> regulert kraftbørs eller gjennom </w:t>
            </w:r>
            <w:proofErr w:type="spellStart"/>
            <w:r w:rsidRPr="00506115">
              <w:t>ein</w:t>
            </w:r>
            <w:proofErr w:type="spellEnd"/>
            <w:r w:rsidRPr="00506115">
              <w:t xml:space="preserve"> langsiktig kraftkjøpsavtale (PPA). Det </w:t>
            </w:r>
            <w:proofErr w:type="spellStart"/>
            <w:r w:rsidRPr="00506115">
              <w:t>avgjerande</w:t>
            </w:r>
            <w:proofErr w:type="spellEnd"/>
            <w:r w:rsidRPr="00506115">
              <w:t xml:space="preserve"> for staten sine kostnader og inntekter er forholdet mellom kontraktspris og referansepris.</w:t>
            </w:r>
          </w:p>
          <w:p w14:paraId="009360F3" w14:textId="77777777" w:rsidR="00A02896" w:rsidRPr="00506115" w:rsidRDefault="00AE1379" w:rsidP="00506115">
            <w:r w:rsidRPr="00506115">
              <w:t xml:space="preserve">I </w:t>
            </w:r>
            <w:proofErr w:type="spellStart"/>
            <w:r w:rsidRPr="00506115">
              <w:t>periodar</w:t>
            </w:r>
            <w:proofErr w:type="spellEnd"/>
            <w:r w:rsidRPr="00506115">
              <w:t xml:space="preserve"> kor referanseprisen er </w:t>
            </w:r>
            <w:proofErr w:type="spellStart"/>
            <w:r w:rsidRPr="00506115">
              <w:t>lågare</w:t>
            </w:r>
            <w:proofErr w:type="spellEnd"/>
            <w:r w:rsidRPr="00506115">
              <w:t xml:space="preserve"> enn kontraktsprisen, er staten forplikta til å dekke differansen (pristillegg).</w:t>
            </w:r>
          </w:p>
          <w:p w14:paraId="30FB0D0A" w14:textId="77777777" w:rsidR="00A02896" w:rsidRPr="00506115" w:rsidRDefault="00AE1379" w:rsidP="00506115">
            <w:r w:rsidRPr="00506115">
              <w:t xml:space="preserve">I </w:t>
            </w:r>
            <w:proofErr w:type="spellStart"/>
            <w:r w:rsidRPr="00506115">
              <w:t>periodar</w:t>
            </w:r>
            <w:proofErr w:type="spellEnd"/>
            <w:r w:rsidRPr="00506115">
              <w:t xml:space="preserve"> kor referanseprisen er høgre enn kontraktsprisen, skal produsenten betale differansen til staten (</w:t>
            </w:r>
            <w:proofErr w:type="spellStart"/>
            <w:r w:rsidRPr="00506115">
              <w:t>prisfrådrag</w:t>
            </w:r>
            <w:proofErr w:type="spellEnd"/>
            <w:r w:rsidRPr="00506115">
              <w:t xml:space="preserve">). I denne situasjonen vil </w:t>
            </w:r>
            <w:proofErr w:type="spellStart"/>
            <w:r w:rsidRPr="00506115">
              <w:t>ein</w:t>
            </w:r>
            <w:proofErr w:type="spellEnd"/>
            <w:r w:rsidRPr="00506115">
              <w:t xml:space="preserve"> del av inntektene </w:t>
            </w:r>
            <w:proofErr w:type="spellStart"/>
            <w:r w:rsidRPr="00506115">
              <w:t>frå</w:t>
            </w:r>
            <w:proofErr w:type="spellEnd"/>
            <w:r w:rsidRPr="00506115">
              <w:t xml:space="preserve"> kraftproduksjonen dermed gå til staten.</w:t>
            </w:r>
          </w:p>
        </w:tc>
      </w:tr>
      <w:tr w:rsidR="00A02896" w:rsidRPr="00506115" w14:paraId="315A3DC2" w14:textId="77777777" w:rsidTr="00506115">
        <w:trPr>
          <w:trHeight w:val="1140"/>
        </w:trPr>
        <w:tc>
          <w:tcPr>
            <w:tcW w:w="2552" w:type="dxa"/>
            <w:tcBorders>
              <w:top w:val="nil"/>
              <w:left w:val="nil"/>
              <w:bottom w:val="nil"/>
              <w:right w:val="nil"/>
            </w:tcBorders>
            <w:tcMar>
              <w:top w:w="128" w:type="dxa"/>
              <w:left w:w="43" w:type="dxa"/>
              <w:bottom w:w="43" w:type="dxa"/>
              <w:right w:w="43" w:type="dxa"/>
            </w:tcMar>
          </w:tcPr>
          <w:p w14:paraId="1058B39C" w14:textId="77777777" w:rsidR="00A02896" w:rsidRPr="00506115" w:rsidRDefault="00AE1379" w:rsidP="00506115">
            <w:r w:rsidRPr="00506115">
              <w:rPr>
                <w:rStyle w:val="kursiv"/>
              </w:rPr>
              <w:t>Balansekostnader</w:t>
            </w:r>
          </w:p>
        </w:tc>
        <w:tc>
          <w:tcPr>
            <w:tcW w:w="7229" w:type="dxa"/>
            <w:tcBorders>
              <w:top w:val="nil"/>
              <w:left w:val="nil"/>
              <w:bottom w:val="nil"/>
              <w:right w:val="nil"/>
            </w:tcBorders>
            <w:tcMar>
              <w:top w:w="128" w:type="dxa"/>
              <w:left w:w="43" w:type="dxa"/>
              <w:bottom w:w="43" w:type="dxa"/>
              <w:right w:w="43" w:type="dxa"/>
            </w:tcMar>
          </w:tcPr>
          <w:p w14:paraId="35EF1DE2" w14:textId="77777777" w:rsidR="00A02896" w:rsidRPr="00506115" w:rsidRDefault="00AE1379" w:rsidP="00506115">
            <w:r w:rsidRPr="00506115">
              <w:t xml:space="preserve">Alle balansekostnader (eller inntekter) som følge av avvik mellom innmeldt og </w:t>
            </w:r>
            <w:proofErr w:type="spellStart"/>
            <w:r w:rsidRPr="00506115">
              <w:t>avrekna</w:t>
            </w:r>
            <w:proofErr w:type="spellEnd"/>
            <w:r w:rsidRPr="00506115">
              <w:t xml:space="preserve"> produksjon må </w:t>
            </w:r>
            <w:proofErr w:type="spellStart"/>
            <w:r w:rsidRPr="00506115">
              <w:t>dekkast</w:t>
            </w:r>
            <w:proofErr w:type="spellEnd"/>
            <w:r w:rsidRPr="00506115">
              <w:t xml:space="preserve"> av produsenten. Produsenten sine </w:t>
            </w:r>
            <w:proofErr w:type="spellStart"/>
            <w:r w:rsidRPr="00506115">
              <w:t>ubalansar</w:t>
            </w:r>
            <w:proofErr w:type="spellEnd"/>
            <w:r w:rsidRPr="00506115">
              <w:t xml:space="preserve"> eller ubalansekostnader påverkar dermed </w:t>
            </w:r>
            <w:proofErr w:type="spellStart"/>
            <w:r w:rsidRPr="00506115">
              <w:t>ikkje</w:t>
            </w:r>
            <w:proofErr w:type="spellEnd"/>
            <w:r w:rsidRPr="00506115">
              <w:t xml:space="preserve"> staten sine kostnader (eller inntekter).</w:t>
            </w:r>
          </w:p>
        </w:tc>
      </w:tr>
      <w:tr w:rsidR="00A02896" w:rsidRPr="00506115" w14:paraId="0D47ACB7" w14:textId="77777777" w:rsidTr="00506115">
        <w:trPr>
          <w:trHeight w:val="880"/>
        </w:trPr>
        <w:tc>
          <w:tcPr>
            <w:tcW w:w="2552" w:type="dxa"/>
            <w:tcBorders>
              <w:top w:val="nil"/>
              <w:left w:val="nil"/>
              <w:bottom w:val="single" w:sz="4" w:space="0" w:color="000000"/>
              <w:right w:val="nil"/>
            </w:tcBorders>
            <w:tcMar>
              <w:top w:w="128" w:type="dxa"/>
              <w:left w:w="43" w:type="dxa"/>
              <w:bottom w:w="43" w:type="dxa"/>
              <w:right w:w="43" w:type="dxa"/>
            </w:tcMar>
          </w:tcPr>
          <w:p w14:paraId="6E0004C1" w14:textId="77777777" w:rsidR="00A02896" w:rsidRPr="00506115" w:rsidRDefault="00AE1379" w:rsidP="00506115">
            <w:r w:rsidRPr="00506115">
              <w:rPr>
                <w:rStyle w:val="kursiv"/>
              </w:rPr>
              <w:t>Avleidde produkt eller sertifikat (</w:t>
            </w:r>
            <w:proofErr w:type="spellStart"/>
            <w:r w:rsidRPr="00506115">
              <w:rPr>
                <w:rStyle w:val="kursiv"/>
              </w:rPr>
              <w:t>opphavsgarantiar</w:t>
            </w:r>
            <w:proofErr w:type="spellEnd"/>
            <w:r w:rsidRPr="00506115">
              <w:rPr>
                <w:rStyle w:val="kursiv"/>
              </w:rPr>
              <w:t>)</w:t>
            </w:r>
          </w:p>
        </w:tc>
        <w:tc>
          <w:tcPr>
            <w:tcW w:w="7229" w:type="dxa"/>
            <w:tcBorders>
              <w:top w:val="nil"/>
              <w:left w:val="nil"/>
              <w:bottom w:val="single" w:sz="4" w:space="0" w:color="000000"/>
              <w:right w:val="nil"/>
            </w:tcBorders>
            <w:tcMar>
              <w:top w:w="128" w:type="dxa"/>
              <w:left w:w="43" w:type="dxa"/>
              <w:bottom w:w="43" w:type="dxa"/>
              <w:right w:w="43" w:type="dxa"/>
            </w:tcMar>
          </w:tcPr>
          <w:p w14:paraId="11C352AF" w14:textId="77777777" w:rsidR="00A02896" w:rsidRPr="00506115" w:rsidRDefault="00AE1379" w:rsidP="00506115">
            <w:r w:rsidRPr="00506115">
              <w:t xml:space="preserve">Alle inntekter (og kostnader) knytt til avleidde sertifikat eller produkt går til produsenten. På </w:t>
            </w:r>
            <w:proofErr w:type="spellStart"/>
            <w:r w:rsidRPr="00506115">
              <w:t>noverande</w:t>
            </w:r>
            <w:proofErr w:type="spellEnd"/>
            <w:r w:rsidRPr="00506115">
              <w:t xml:space="preserve"> tidspunkt vil dette omfatte sal av </w:t>
            </w:r>
            <w:proofErr w:type="spellStart"/>
            <w:r w:rsidRPr="00506115">
              <w:t>opphavsgarantiar</w:t>
            </w:r>
            <w:proofErr w:type="spellEnd"/>
            <w:r w:rsidRPr="00506115">
              <w:t xml:space="preserve">. Dette påverkar dermed </w:t>
            </w:r>
            <w:proofErr w:type="spellStart"/>
            <w:r w:rsidRPr="00506115">
              <w:t>ikkje</w:t>
            </w:r>
            <w:proofErr w:type="spellEnd"/>
            <w:r w:rsidRPr="00506115">
              <w:t xml:space="preserve"> staten sine kostnader (eller inntekter).</w:t>
            </w:r>
          </w:p>
        </w:tc>
      </w:tr>
      <w:tr w:rsidR="00A02896" w:rsidRPr="00506115" w14:paraId="1705CA2C" w14:textId="77777777" w:rsidTr="00506115">
        <w:trPr>
          <w:trHeight w:val="380"/>
        </w:trPr>
        <w:tc>
          <w:tcPr>
            <w:tcW w:w="978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1B9913F" w14:textId="77777777" w:rsidR="00A02896" w:rsidRPr="00506115" w:rsidRDefault="00AE1379" w:rsidP="00506115">
            <w:r w:rsidRPr="00506115">
              <w:rPr>
                <w:rStyle w:val="kursiv"/>
              </w:rPr>
              <w:t xml:space="preserve">Referansepris, markedsrisiko og produksjons-/volumrisiko </w:t>
            </w:r>
          </w:p>
        </w:tc>
      </w:tr>
      <w:tr w:rsidR="00A02896" w:rsidRPr="00506115" w14:paraId="03E3E6F4" w14:textId="77777777" w:rsidTr="00506115">
        <w:trPr>
          <w:trHeight w:val="640"/>
        </w:trPr>
        <w:tc>
          <w:tcPr>
            <w:tcW w:w="2552" w:type="dxa"/>
            <w:tcBorders>
              <w:top w:val="nil"/>
              <w:left w:val="nil"/>
              <w:bottom w:val="nil"/>
              <w:right w:val="nil"/>
            </w:tcBorders>
            <w:tcMar>
              <w:top w:w="128" w:type="dxa"/>
              <w:left w:w="43" w:type="dxa"/>
              <w:bottom w:w="43" w:type="dxa"/>
              <w:right w:w="43" w:type="dxa"/>
            </w:tcMar>
          </w:tcPr>
          <w:p w14:paraId="5429BADF" w14:textId="77777777" w:rsidR="00A02896" w:rsidRPr="00506115" w:rsidRDefault="00AE1379" w:rsidP="00506115">
            <w:r w:rsidRPr="00506115">
              <w:rPr>
                <w:rStyle w:val="kursiv"/>
              </w:rPr>
              <w:t>Referansepris</w:t>
            </w:r>
          </w:p>
        </w:tc>
        <w:tc>
          <w:tcPr>
            <w:tcW w:w="7229" w:type="dxa"/>
            <w:tcBorders>
              <w:top w:val="nil"/>
              <w:left w:val="nil"/>
              <w:bottom w:val="nil"/>
              <w:right w:val="nil"/>
            </w:tcBorders>
            <w:tcMar>
              <w:top w:w="128" w:type="dxa"/>
              <w:left w:w="43" w:type="dxa"/>
              <w:bottom w:w="43" w:type="dxa"/>
              <w:right w:w="43" w:type="dxa"/>
            </w:tcMar>
          </w:tcPr>
          <w:p w14:paraId="5FF2E263" w14:textId="77777777" w:rsidR="00A02896" w:rsidRPr="00506115" w:rsidRDefault="00AE1379" w:rsidP="00506115">
            <w:r w:rsidRPr="00506115">
              <w:t xml:space="preserve">Referanseprisen er gjennomsnittet av alle </w:t>
            </w:r>
            <w:proofErr w:type="spellStart"/>
            <w:r w:rsidRPr="00506115">
              <w:t>spotprisar</w:t>
            </w:r>
            <w:proofErr w:type="spellEnd"/>
            <w:r w:rsidRPr="00506115">
              <w:t xml:space="preserve"> i </w:t>
            </w:r>
            <w:proofErr w:type="spellStart"/>
            <w:r w:rsidRPr="00506115">
              <w:t>ein</w:t>
            </w:r>
            <w:proofErr w:type="spellEnd"/>
            <w:r w:rsidRPr="00506115">
              <w:t xml:space="preserve"> </w:t>
            </w:r>
            <w:proofErr w:type="spellStart"/>
            <w:r w:rsidRPr="00506115">
              <w:t>månad</w:t>
            </w:r>
            <w:proofErr w:type="spellEnd"/>
            <w:r w:rsidRPr="00506115">
              <w:t>. I støtteperioden tar staten risikoen for utviklinga i referanseprisen.</w:t>
            </w:r>
          </w:p>
        </w:tc>
      </w:tr>
      <w:tr w:rsidR="00A02896" w:rsidRPr="00506115" w14:paraId="5F08FB80" w14:textId="77777777" w:rsidTr="00506115">
        <w:trPr>
          <w:trHeight w:val="1400"/>
        </w:trPr>
        <w:tc>
          <w:tcPr>
            <w:tcW w:w="2552" w:type="dxa"/>
            <w:tcBorders>
              <w:top w:val="nil"/>
              <w:left w:val="nil"/>
              <w:bottom w:val="nil"/>
              <w:right w:val="nil"/>
            </w:tcBorders>
            <w:tcMar>
              <w:top w:w="128" w:type="dxa"/>
              <w:left w:w="43" w:type="dxa"/>
              <w:bottom w:w="43" w:type="dxa"/>
              <w:right w:w="43" w:type="dxa"/>
            </w:tcMar>
          </w:tcPr>
          <w:p w14:paraId="591FE333" w14:textId="77777777" w:rsidR="00A02896" w:rsidRPr="00506115" w:rsidRDefault="00AE1379" w:rsidP="00506115">
            <w:proofErr w:type="spellStart"/>
            <w:r w:rsidRPr="00506115">
              <w:rPr>
                <w:rStyle w:val="kursiv"/>
              </w:rPr>
              <w:t>Marknadsrisiko</w:t>
            </w:r>
            <w:proofErr w:type="spellEnd"/>
          </w:p>
        </w:tc>
        <w:tc>
          <w:tcPr>
            <w:tcW w:w="7229" w:type="dxa"/>
            <w:tcBorders>
              <w:top w:val="nil"/>
              <w:left w:val="nil"/>
              <w:bottom w:val="nil"/>
              <w:right w:val="nil"/>
            </w:tcBorders>
            <w:tcMar>
              <w:top w:w="128" w:type="dxa"/>
              <w:left w:w="43" w:type="dxa"/>
              <w:bottom w:w="43" w:type="dxa"/>
              <w:right w:w="43" w:type="dxa"/>
            </w:tcMar>
          </w:tcPr>
          <w:p w14:paraId="375BFD16" w14:textId="77777777" w:rsidR="00A02896" w:rsidRPr="00506115" w:rsidRDefault="00AE1379" w:rsidP="00506115">
            <w:r w:rsidRPr="00506115">
              <w:t xml:space="preserve">Bruk av </w:t>
            </w:r>
            <w:proofErr w:type="spellStart"/>
            <w:r w:rsidRPr="00506115">
              <w:t>gjennomsnittsprisar</w:t>
            </w:r>
            <w:proofErr w:type="spellEnd"/>
            <w:r w:rsidRPr="00506115">
              <w:t xml:space="preserve"> </w:t>
            </w:r>
            <w:proofErr w:type="spellStart"/>
            <w:r w:rsidRPr="00506115">
              <w:t>inneber</w:t>
            </w:r>
            <w:proofErr w:type="spellEnd"/>
            <w:r w:rsidRPr="00506115">
              <w:t xml:space="preserve"> at produsenten er sikra mot langsiktige </w:t>
            </w:r>
            <w:proofErr w:type="spellStart"/>
            <w:r w:rsidRPr="00506115">
              <w:t>svingingar</w:t>
            </w:r>
            <w:proofErr w:type="spellEnd"/>
            <w:r w:rsidRPr="00506115">
              <w:t xml:space="preserve"> i kraftprisen, men </w:t>
            </w:r>
            <w:proofErr w:type="spellStart"/>
            <w:r w:rsidRPr="00506115">
              <w:t>inneber</w:t>
            </w:r>
            <w:proofErr w:type="spellEnd"/>
            <w:r w:rsidRPr="00506115">
              <w:t xml:space="preserve"> eksponering for kortsiktige </w:t>
            </w:r>
            <w:proofErr w:type="spellStart"/>
            <w:r w:rsidRPr="00506115">
              <w:t>prissvingingar</w:t>
            </w:r>
            <w:proofErr w:type="spellEnd"/>
            <w:r w:rsidRPr="00506115">
              <w:t xml:space="preserve"> </w:t>
            </w:r>
            <w:proofErr w:type="spellStart"/>
            <w:r w:rsidRPr="00506115">
              <w:t>innanfor</w:t>
            </w:r>
            <w:proofErr w:type="spellEnd"/>
            <w:r w:rsidRPr="00506115">
              <w:t xml:space="preserve"> den aktuelle </w:t>
            </w:r>
            <w:proofErr w:type="spellStart"/>
            <w:r w:rsidRPr="00506115">
              <w:t>månaden</w:t>
            </w:r>
            <w:proofErr w:type="spellEnd"/>
            <w:r w:rsidRPr="00506115">
              <w:t xml:space="preserve">. Staten vil dermed ha risikoen for gjennomsnittsprisen, men </w:t>
            </w:r>
            <w:proofErr w:type="spellStart"/>
            <w:r w:rsidRPr="00506115">
              <w:t>ikkje</w:t>
            </w:r>
            <w:proofErr w:type="spellEnd"/>
            <w:r w:rsidRPr="00506115">
              <w:t xml:space="preserve"> for kortsiktige </w:t>
            </w:r>
            <w:proofErr w:type="spellStart"/>
            <w:r w:rsidRPr="00506115">
              <w:t>prissvingingar</w:t>
            </w:r>
            <w:proofErr w:type="spellEnd"/>
            <w:r w:rsidRPr="00506115">
              <w:t xml:space="preserve"> i forhold til gjennomsnittsprisen.</w:t>
            </w:r>
          </w:p>
        </w:tc>
      </w:tr>
      <w:tr w:rsidR="00A02896" w:rsidRPr="00506115" w14:paraId="27971986" w14:textId="77777777" w:rsidTr="00506115">
        <w:trPr>
          <w:trHeight w:val="1920"/>
        </w:trPr>
        <w:tc>
          <w:tcPr>
            <w:tcW w:w="2552" w:type="dxa"/>
            <w:tcBorders>
              <w:top w:val="nil"/>
              <w:left w:val="nil"/>
              <w:bottom w:val="nil"/>
              <w:right w:val="nil"/>
            </w:tcBorders>
            <w:tcMar>
              <w:top w:w="128" w:type="dxa"/>
              <w:left w:w="43" w:type="dxa"/>
              <w:bottom w:w="43" w:type="dxa"/>
              <w:right w:w="43" w:type="dxa"/>
            </w:tcMar>
          </w:tcPr>
          <w:p w14:paraId="76A5346A" w14:textId="77777777" w:rsidR="00A02896" w:rsidRPr="00506115" w:rsidRDefault="00AE1379" w:rsidP="00506115">
            <w:r w:rsidRPr="00506115">
              <w:rPr>
                <w:rStyle w:val="kursiv"/>
              </w:rPr>
              <w:lastRenderedPageBreak/>
              <w:t>Produksjons-/volumrisiko</w:t>
            </w:r>
          </w:p>
        </w:tc>
        <w:tc>
          <w:tcPr>
            <w:tcW w:w="7229" w:type="dxa"/>
            <w:tcBorders>
              <w:top w:val="nil"/>
              <w:left w:val="nil"/>
              <w:bottom w:val="nil"/>
              <w:right w:val="nil"/>
            </w:tcBorders>
            <w:tcMar>
              <w:top w:w="128" w:type="dxa"/>
              <w:left w:w="43" w:type="dxa"/>
              <w:bottom w:w="43" w:type="dxa"/>
              <w:right w:w="43" w:type="dxa"/>
            </w:tcMar>
          </w:tcPr>
          <w:p w14:paraId="3AD8BB52" w14:textId="77777777" w:rsidR="00A02896" w:rsidRPr="00506115" w:rsidRDefault="00AE1379" w:rsidP="00506115">
            <w:r w:rsidRPr="00506115">
              <w:t xml:space="preserve">Både pristillegg og </w:t>
            </w:r>
            <w:proofErr w:type="spellStart"/>
            <w:r w:rsidRPr="00506115">
              <w:t>prisfrådrag</w:t>
            </w:r>
            <w:proofErr w:type="spellEnd"/>
            <w:r w:rsidRPr="00506115">
              <w:t xml:space="preserve"> blir berekna for produsert kraft som blir levert i </w:t>
            </w:r>
            <w:proofErr w:type="spellStart"/>
            <w:r w:rsidRPr="00506115">
              <w:t>tilknytingspunktet</w:t>
            </w:r>
            <w:proofErr w:type="spellEnd"/>
            <w:r w:rsidRPr="00506115">
              <w:t xml:space="preserve"> i kraftnettet på land. Det </w:t>
            </w:r>
            <w:proofErr w:type="spellStart"/>
            <w:r w:rsidRPr="00506115">
              <w:t>inneber</w:t>
            </w:r>
            <w:proofErr w:type="spellEnd"/>
            <w:r w:rsidRPr="00506115">
              <w:t xml:space="preserve"> at produsenten har risikoen for mengden kraft som blir produsert (produksjonsrisiko/volumrisiko), og risikoen for tap i nettanlegget frem til </w:t>
            </w:r>
            <w:proofErr w:type="spellStart"/>
            <w:r w:rsidRPr="00506115">
              <w:t>tilknytingspunktet</w:t>
            </w:r>
            <w:proofErr w:type="spellEnd"/>
            <w:r w:rsidRPr="00506115">
              <w:t xml:space="preserve">. Dette </w:t>
            </w:r>
            <w:proofErr w:type="spellStart"/>
            <w:r w:rsidRPr="00506115">
              <w:t>gjeld</w:t>
            </w:r>
            <w:proofErr w:type="spellEnd"/>
            <w:r w:rsidRPr="00506115">
              <w:t xml:space="preserve"> uansett årsak, til dømes at det </w:t>
            </w:r>
            <w:proofErr w:type="spellStart"/>
            <w:r w:rsidRPr="00506115">
              <w:t>ikkje</w:t>
            </w:r>
            <w:proofErr w:type="spellEnd"/>
            <w:r w:rsidRPr="00506115">
              <w:t xml:space="preserve"> </w:t>
            </w:r>
            <w:proofErr w:type="spellStart"/>
            <w:r w:rsidRPr="00506115">
              <w:t>blæs</w:t>
            </w:r>
            <w:proofErr w:type="spellEnd"/>
            <w:r w:rsidRPr="00506115">
              <w:t xml:space="preserve">, </w:t>
            </w:r>
            <w:proofErr w:type="spellStart"/>
            <w:r w:rsidRPr="00506115">
              <w:t>vedlikehald</w:t>
            </w:r>
            <w:proofErr w:type="spellEnd"/>
            <w:r w:rsidRPr="00506115">
              <w:t xml:space="preserve">, feil og nedetid på produksjonsanlegget, eller feil og nedetid på nettanlegget (fram til </w:t>
            </w:r>
            <w:proofErr w:type="spellStart"/>
            <w:r w:rsidRPr="00506115">
              <w:t>tilknytingspunktet</w:t>
            </w:r>
            <w:proofErr w:type="spellEnd"/>
            <w:r w:rsidRPr="00506115">
              <w:t>).</w:t>
            </w:r>
          </w:p>
        </w:tc>
      </w:tr>
      <w:tr w:rsidR="00A02896" w:rsidRPr="00506115" w14:paraId="38CE3366" w14:textId="77777777" w:rsidTr="00506115">
        <w:trPr>
          <w:trHeight w:val="2160"/>
        </w:trPr>
        <w:tc>
          <w:tcPr>
            <w:tcW w:w="2552" w:type="dxa"/>
            <w:tcBorders>
              <w:top w:val="nil"/>
              <w:left w:val="nil"/>
              <w:bottom w:val="single" w:sz="4" w:space="0" w:color="000000"/>
              <w:right w:val="nil"/>
            </w:tcBorders>
            <w:tcMar>
              <w:top w:w="128" w:type="dxa"/>
              <w:left w:w="43" w:type="dxa"/>
              <w:bottom w:w="43" w:type="dxa"/>
              <w:right w:w="43" w:type="dxa"/>
            </w:tcMar>
          </w:tcPr>
          <w:p w14:paraId="6ABAF043" w14:textId="77777777" w:rsidR="00A02896" w:rsidRPr="00506115" w:rsidRDefault="00AE1379" w:rsidP="00506115">
            <w:r w:rsidRPr="00506115">
              <w:rPr>
                <w:rStyle w:val="kursiv"/>
              </w:rPr>
              <w:t>Produksjonsrelatert inntektsrisiko</w:t>
            </w:r>
          </w:p>
        </w:tc>
        <w:tc>
          <w:tcPr>
            <w:tcW w:w="7229" w:type="dxa"/>
            <w:tcBorders>
              <w:top w:val="nil"/>
              <w:left w:val="nil"/>
              <w:bottom w:val="single" w:sz="4" w:space="0" w:color="000000"/>
              <w:right w:val="nil"/>
            </w:tcBorders>
            <w:tcMar>
              <w:top w:w="128" w:type="dxa"/>
              <w:left w:w="43" w:type="dxa"/>
              <w:bottom w:w="43" w:type="dxa"/>
              <w:right w:w="43" w:type="dxa"/>
            </w:tcMar>
          </w:tcPr>
          <w:p w14:paraId="20A0183A" w14:textId="77777777" w:rsidR="00A02896" w:rsidRPr="00506115" w:rsidRDefault="00AE1379" w:rsidP="00506115">
            <w:r w:rsidRPr="00506115">
              <w:t xml:space="preserve">Kor vidt produsenten reelt sett ber heile inntektsrisikoen, vil avhenge av om referanseprisen er </w:t>
            </w:r>
            <w:proofErr w:type="spellStart"/>
            <w:r w:rsidRPr="00506115">
              <w:t>lågare</w:t>
            </w:r>
            <w:proofErr w:type="spellEnd"/>
            <w:r w:rsidRPr="00506115">
              <w:t xml:space="preserve"> eller høgre enn kontraktsprisen. Dersom referanseprisen er </w:t>
            </w:r>
            <w:proofErr w:type="spellStart"/>
            <w:r w:rsidRPr="00506115">
              <w:t>lågare</w:t>
            </w:r>
            <w:proofErr w:type="spellEnd"/>
            <w:r w:rsidRPr="00506115">
              <w:t xml:space="preserve"> enn kontraktsprisen, vil bortfall av produksjon bety både bortfall av </w:t>
            </w:r>
            <w:proofErr w:type="spellStart"/>
            <w:r w:rsidRPr="00506115">
              <w:t>salsinntekter</w:t>
            </w:r>
            <w:proofErr w:type="spellEnd"/>
            <w:r w:rsidRPr="00506115">
              <w:t xml:space="preserve"> og bortfall av pristillegg. Dersom referanseprisen derimot er høgre enn kontraktsprisen, vil bortfall av produksjon føre til bortfall av </w:t>
            </w:r>
            <w:proofErr w:type="spellStart"/>
            <w:r w:rsidRPr="00506115">
              <w:t>salsinntekter</w:t>
            </w:r>
            <w:proofErr w:type="spellEnd"/>
            <w:r w:rsidRPr="00506115">
              <w:t>, men også bortfall av betalingsforpliktinga til staten (</w:t>
            </w:r>
            <w:proofErr w:type="spellStart"/>
            <w:r w:rsidRPr="00506115">
              <w:t>prisfrådrag</w:t>
            </w:r>
            <w:proofErr w:type="spellEnd"/>
            <w:r w:rsidRPr="00506115">
              <w:t xml:space="preserve">). I denne situasjonen ber dermed staten reelt sett </w:t>
            </w:r>
            <w:proofErr w:type="spellStart"/>
            <w:r w:rsidRPr="00506115">
              <w:t>ein</w:t>
            </w:r>
            <w:proofErr w:type="spellEnd"/>
            <w:r w:rsidRPr="00506115">
              <w:t xml:space="preserve"> del av inntektsrisikoen knytt til produksjonsvolum.</w:t>
            </w:r>
          </w:p>
        </w:tc>
      </w:tr>
      <w:tr w:rsidR="00A02896" w:rsidRPr="00506115" w14:paraId="05147B74" w14:textId="77777777" w:rsidTr="00506115">
        <w:trPr>
          <w:trHeight w:val="380"/>
        </w:trPr>
        <w:tc>
          <w:tcPr>
            <w:tcW w:w="978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996B116" w14:textId="77777777" w:rsidR="00A02896" w:rsidRPr="00506115" w:rsidRDefault="00AE1379" w:rsidP="00506115">
            <w:r w:rsidRPr="00506115">
              <w:rPr>
                <w:rStyle w:val="kursiv"/>
              </w:rPr>
              <w:t>Kostnader og inntekter etter utløpet av støtteperioden</w:t>
            </w:r>
          </w:p>
        </w:tc>
      </w:tr>
      <w:tr w:rsidR="00A02896" w:rsidRPr="00506115" w14:paraId="0620E915" w14:textId="77777777" w:rsidTr="00506115">
        <w:trPr>
          <w:trHeight w:val="1400"/>
        </w:trPr>
        <w:tc>
          <w:tcPr>
            <w:tcW w:w="2552" w:type="dxa"/>
            <w:tcBorders>
              <w:top w:val="nil"/>
              <w:left w:val="nil"/>
              <w:bottom w:val="nil"/>
              <w:right w:val="nil"/>
            </w:tcBorders>
            <w:tcMar>
              <w:top w:w="128" w:type="dxa"/>
              <w:left w:w="43" w:type="dxa"/>
              <w:bottom w:w="43" w:type="dxa"/>
              <w:right w:w="43" w:type="dxa"/>
            </w:tcMar>
          </w:tcPr>
          <w:p w14:paraId="7DD0B82D" w14:textId="77777777" w:rsidR="00A02896" w:rsidRPr="00506115" w:rsidRDefault="00AE1379" w:rsidP="00506115">
            <w:r w:rsidRPr="00506115">
              <w:rPr>
                <w:rStyle w:val="kursiv"/>
              </w:rPr>
              <w:t>Driftskostnader</w:t>
            </w:r>
          </w:p>
        </w:tc>
        <w:tc>
          <w:tcPr>
            <w:tcW w:w="7229" w:type="dxa"/>
            <w:tcBorders>
              <w:top w:val="nil"/>
              <w:left w:val="nil"/>
              <w:bottom w:val="nil"/>
              <w:right w:val="nil"/>
            </w:tcBorders>
            <w:tcMar>
              <w:top w:w="128" w:type="dxa"/>
              <w:left w:w="43" w:type="dxa"/>
              <w:bottom w:w="43" w:type="dxa"/>
              <w:right w:w="43" w:type="dxa"/>
            </w:tcMar>
          </w:tcPr>
          <w:p w14:paraId="4B36888A" w14:textId="77777777" w:rsidR="00A02896" w:rsidRPr="00506115" w:rsidRDefault="00AE1379" w:rsidP="00506115">
            <w:r w:rsidRPr="00506115">
              <w:t xml:space="preserve">På same måte som i støtteperioden, vil produsenten drive produksjons- og nettanlegget for eiga rekning og risiko etter utløpet av støtteperioden. Avtalen </w:t>
            </w:r>
            <w:proofErr w:type="spellStart"/>
            <w:r w:rsidRPr="00506115">
              <w:t>legg</w:t>
            </w:r>
            <w:proofErr w:type="spellEnd"/>
            <w:r w:rsidRPr="00506115">
              <w:t xml:space="preserve"> ingen </w:t>
            </w:r>
            <w:proofErr w:type="spellStart"/>
            <w:r w:rsidRPr="00506115">
              <w:t>føringar</w:t>
            </w:r>
            <w:proofErr w:type="spellEnd"/>
            <w:r w:rsidRPr="00506115">
              <w:t xml:space="preserve"> for </w:t>
            </w:r>
            <w:proofErr w:type="spellStart"/>
            <w:r w:rsidRPr="00506115">
              <w:t>vidare</w:t>
            </w:r>
            <w:proofErr w:type="spellEnd"/>
            <w:r w:rsidRPr="00506115">
              <w:t xml:space="preserve"> drift etter utløpet av støtteperioden. Drift etter utløpet av støtteperioden må i alle tilfelle følge vilkår i konsesjon og krav i havenergilova og anna relevant regulering.</w:t>
            </w:r>
          </w:p>
        </w:tc>
      </w:tr>
      <w:tr w:rsidR="00A02896" w:rsidRPr="00506115" w14:paraId="771AA0CE" w14:textId="77777777" w:rsidTr="00506115">
        <w:trPr>
          <w:trHeight w:val="880"/>
        </w:trPr>
        <w:tc>
          <w:tcPr>
            <w:tcW w:w="2552" w:type="dxa"/>
            <w:tcBorders>
              <w:top w:val="nil"/>
              <w:left w:val="nil"/>
              <w:bottom w:val="nil"/>
              <w:right w:val="nil"/>
            </w:tcBorders>
            <w:tcMar>
              <w:top w:w="128" w:type="dxa"/>
              <w:left w:w="43" w:type="dxa"/>
              <w:bottom w:w="43" w:type="dxa"/>
              <w:right w:w="43" w:type="dxa"/>
            </w:tcMar>
          </w:tcPr>
          <w:p w14:paraId="379A8107" w14:textId="77777777" w:rsidR="00A02896" w:rsidRPr="00506115" w:rsidRDefault="00AE1379" w:rsidP="00506115">
            <w:r w:rsidRPr="00506115">
              <w:rPr>
                <w:rStyle w:val="kursiv"/>
              </w:rPr>
              <w:t xml:space="preserve">Inntekter </w:t>
            </w:r>
            <w:proofErr w:type="spellStart"/>
            <w:r w:rsidRPr="00506115">
              <w:rPr>
                <w:rStyle w:val="kursiv"/>
              </w:rPr>
              <w:t>frå</w:t>
            </w:r>
            <w:proofErr w:type="spellEnd"/>
            <w:r w:rsidRPr="00506115">
              <w:rPr>
                <w:rStyle w:val="kursiv"/>
              </w:rPr>
              <w:t xml:space="preserve"> kraftproduksjon</w:t>
            </w:r>
          </w:p>
        </w:tc>
        <w:tc>
          <w:tcPr>
            <w:tcW w:w="7229" w:type="dxa"/>
            <w:tcBorders>
              <w:top w:val="nil"/>
              <w:left w:val="nil"/>
              <w:bottom w:val="nil"/>
              <w:right w:val="nil"/>
            </w:tcBorders>
            <w:tcMar>
              <w:top w:w="128" w:type="dxa"/>
              <w:left w:w="43" w:type="dxa"/>
              <w:bottom w:w="43" w:type="dxa"/>
              <w:right w:w="43" w:type="dxa"/>
            </w:tcMar>
          </w:tcPr>
          <w:p w14:paraId="3D54BE70" w14:textId="77777777" w:rsidR="00A02896" w:rsidRPr="00506115" w:rsidRDefault="00AE1379" w:rsidP="00506115">
            <w:r w:rsidRPr="00506115">
              <w:t xml:space="preserve">Inntektene </w:t>
            </w:r>
            <w:proofErr w:type="spellStart"/>
            <w:r w:rsidRPr="00506115">
              <w:t>frå</w:t>
            </w:r>
            <w:proofErr w:type="spellEnd"/>
            <w:r w:rsidRPr="00506115">
              <w:t xml:space="preserve"> sal av produsert kraft etter utløpet av støtteperioden går uavkorta til produsenten. Staten får ingen inntekter etter utløpet av støtteperioden, men har heller ingen kostnader til </w:t>
            </w:r>
            <w:proofErr w:type="spellStart"/>
            <w:r w:rsidRPr="00506115">
              <w:t>tilskot</w:t>
            </w:r>
            <w:proofErr w:type="spellEnd"/>
            <w:r w:rsidRPr="00506115">
              <w:t>.</w:t>
            </w:r>
          </w:p>
        </w:tc>
      </w:tr>
      <w:tr w:rsidR="00A02896" w:rsidRPr="00506115" w14:paraId="64EF9938" w14:textId="77777777" w:rsidTr="00506115">
        <w:trPr>
          <w:trHeight w:val="880"/>
        </w:trPr>
        <w:tc>
          <w:tcPr>
            <w:tcW w:w="2552" w:type="dxa"/>
            <w:tcBorders>
              <w:top w:val="nil"/>
              <w:left w:val="nil"/>
              <w:bottom w:val="single" w:sz="4" w:space="0" w:color="000000"/>
              <w:right w:val="nil"/>
            </w:tcBorders>
            <w:tcMar>
              <w:top w:w="128" w:type="dxa"/>
              <w:left w:w="43" w:type="dxa"/>
              <w:bottom w:w="43" w:type="dxa"/>
              <w:right w:w="43" w:type="dxa"/>
            </w:tcMar>
          </w:tcPr>
          <w:p w14:paraId="53980209" w14:textId="77777777" w:rsidR="00A02896" w:rsidRPr="00506115" w:rsidRDefault="00AE1379" w:rsidP="00506115">
            <w:r w:rsidRPr="00506115">
              <w:rPr>
                <w:rStyle w:val="kursiv"/>
              </w:rPr>
              <w:t>Avviklings- og fjerningskostnader</w:t>
            </w:r>
          </w:p>
        </w:tc>
        <w:tc>
          <w:tcPr>
            <w:tcW w:w="7229" w:type="dxa"/>
            <w:tcBorders>
              <w:top w:val="nil"/>
              <w:left w:val="nil"/>
              <w:bottom w:val="single" w:sz="4" w:space="0" w:color="000000"/>
              <w:right w:val="nil"/>
            </w:tcBorders>
            <w:tcMar>
              <w:top w:w="128" w:type="dxa"/>
              <w:left w:w="43" w:type="dxa"/>
              <w:bottom w:w="43" w:type="dxa"/>
              <w:right w:w="43" w:type="dxa"/>
            </w:tcMar>
          </w:tcPr>
          <w:p w14:paraId="0992EF36" w14:textId="77777777" w:rsidR="00A02896" w:rsidRPr="00506115" w:rsidRDefault="00AE1379" w:rsidP="00506115">
            <w:r w:rsidRPr="00506115">
              <w:t xml:space="preserve">Produsenten må dekke kostnader til avvikling og fjerning av produksjons- og nettanlegg i samsvar med </w:t>
            </w:r>
            <w:proofErr w:type="spellStart"/>
            <w:r w:rsidRPr="00506115">
              <w:t>gjeldande</w:t>
            </w:r>
            <w:proofErr w:type="spellEnd"/>
            <w:r w:rsidRPr="00506115">
              <w:t xml:space="preserve"> regelverk. Staten er </w:t>
            </w:r>
            <w:proofErr w:type="spellStart"/>
            <w:r w:rsidRPr="00506115">
              <w:t>ikkje</w:t>
            </w:r>
            <w:proofErr w:type="spellEnd"/>
            <w:r w:rsidRPr="00506115">
              <w:t xml:space="preserve"> forplikta til å dekke </w:t>
            </w:r>
            <w:proofErr w:type="spellStart"/>
            <w:r w:rsidRPr="00506115">
              <w:t>noko</w:t>
            </w:r>
            <w:proofErr w:type="spellEnd"/>
            <w:r w:rsidRPr="00506115">
              <w:t xml:space="preserve"> av avviklings- eller fjerningskostnadene.</w:t>
            </w:r>
          </w:p>
        </w:tc>
      </w:tr>
      <w:tr w:rsidR="00A02896" w:rsidRPr="00506115" w14:paraId="69B682D2" w14:textId="77777777" w:rsidTr="00506115">
        <w:trPr>
          <w:trHeight w:val="380"/>
        </w:trPr>
        <w:tc>
          <w:tcPr>
            <w:tcW w:w="978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6D5F8CC" w14:textId="77777777" w:rsidR="00A02896" w:rsidRPr="00506115" w:rsidRDefault="00AE1379" w:rsidP="00506115">
            <w:r w:rsidRPr="00506115">
              <w:rPr>
                <w:rStyle w:val="kursiv"/>
              </w:rPr>
              <w:t>Garanti</w:t>
            </w:r>
          </w:p>
        </w:tc>
      </w:tr>
      <w:tr w:rsidR="00A02896" w:rsidRPr="00506115" w14:paraId="71A3F44D" w14:textId="77777777" w:rsidTr="00506115">
        <w:trPr>
          <w:trHeight w:val="1660"/>
        </w:trPr>
        <w:tc>
          <w:tcPr>
            <w:tcW w:w="2552" w:type="dxa"/>
            <w:tcBorders>
              <w:top w:val="nil"/>
              <w:left w:val="nil"/>
              <w:bottom w:val="single" w:sz="4" w:space="0" w:color="000000"/>
              <w:right w:val="nil"/>
            </w:tcBorders>
            <w:tcMar>
              <w:top w:w="128" w:type="dxa"/>
              <w:left w:w="43" w:type="dxa"/>
              <w:bottom w:w="43" w:type="dxa"/>
              <w:right w:w="43" w:type="dxa"/>
            </w:tcMar>
          </w:tcPr>
          <w:p w14:paraId="19C5B4E4" w14:textId="77777777" w:rsidR="00A02896" w:rsidRPr="00506115" w:rsidRDefault="00AE1379" w:rsidP="00506115">
            <w:r w:rsidRPr="00506115">
              <w:rPr>
                <w:rStyle w:val="kursiv"/>
              </w:rPr>
              <w:t>Garanti</w:t>
            </w:r>
          </w:p>
        </w:tc>
        <w:tc>
          <w:tcPr>
            <w:tcW w:w="7229" w:type="dxa"/>
            <w:tcBorders>
              <w:top w:val="nil"/>
              <w:left w:val="nil"/>
              <w:bottom w:val="single" w:sz="4" w:space="0" w:color="000000"/>
              <w:right w:val="nil"/>
            </w:tcBorders>
            <w:tcMar>
              <w:top w:w="128" w:type="dxa"/>
              <w:left w:w="43" w:type="dxa"/>
              <w:bottom w:w="43" w:type="dxa"/>
              <w:right w:w="43" w:type="dxa"/>
            </w:tcMar>
          </w:tcPr>
          <w:p w14:paraId="50B9594E" w14:textId="77777777" w:rsidR="00A02896" w:rsidRPr="00506115" w:rsidRDefault="00AE1379" w:rsidP="00506115">
            <w:r w:rsidRPr="00506115">
              <w:t xml:space="preserve">Produsenten må stille </w:t>
            </w:r>
            <w:proofErr w:type="spellStart"/>
            <w:r w:rsidRPr="00506115">
              <w:t>ein</w:t>
            </w:r>
            <w:proofErr w:type="spellEnd"/>
            <w:r w:rsidRPr="00506115">
              <w:t xml:space="preserve"> garanti som tryggleik for pliktene sine overfor staten etter avtalen. Garantien til tryggleik for pliktene etter avtalen vil gjelde så lenge avtalen er i kraft, og kjem i tillegg til eventuelle </w:t>
            </w:r>
            <w:proofErr w:type="spellStart"/>
            <w:r w:rsidRPr="00506115">
              <w:t>garantiar</w:t>
            </w:r>
            <w:proofErr w:type="spellEnd"/>
            <w:r w:rsidRPr="00506115">
              <w:t xml:space="preserve"> som blir stilte etter havenergilova. Til dømes vil </w:t>
            </w:r>
            <w:proofErr w:type="spellStart"/>
            <w:r w:rsidRPr="00506115">
              <w:t>garantiar</w:t>
            </w:r>
            <w:proofErr w:type="spellEnd"/>
            <w:r w:rsidRPr="00506115">
              <w:t xml:space="preserve"> for fjerningskostnader ved utløpet av konsesjonsperioden, lenge etter at avtalen har gått ut, måtte </w:t>
            </w:r>
            <w:proofErr w:type="spellStart"/>
            <w:r w:rsidRPr="00506115">
              <w:t>krevjast</w:t>
            </w:r>
            <w:proofErr w:type="spellEnd"/>
            <w:r w:rsidRPr="00506115">
              <w:t xml:space="preserve"> etter havenergilova.</w:t>
            </w:r>
          </w:p>
        </w:tc>
      </w:tr>
      <w:tr w:rsidR="00A02896" w:rsidRPr="00506115" w14:paraId="6866A55F" w14:textId="77777777" w:rsidTr="00506115">
        <w:trPr>
          <w:trHeight w:val="380"/>
        </w:trPr>
        <w:tc>
          <w:tcPr>
            <w:tcW w:w="978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9E02E8D" w14:textId="77777777" w:rsidR="00A02896" w:rsidRPr="00506115" w:rsidRDefault="00AE1379" w:rsidP="00506115">
            <w:r w:rsidRPr="00506115">
              <w:rPr>
                <w:rStyle w:val="kursiv"/>
              </w:rPr>
              <w:t>Scenario som påverkar kostnadene, ansvaret og risikoen til staten</w:t>
            </w:r>
          </w:p>
        </w:tc>
      </w:tr>
      <w:tr w:rsidR="00A02896" w:rsidRPr="00506115" w14:paraId="48325148" w14:textId="77777777" w:rsidTr="00506115">
        <w:trPr>
          <w:trHeight w:val="2680"/>
        </w:trPr>
        <w:tc>
          <w:tcPr>
            <w:tcW w:w="2552" w:type="dxa"/>
            <w:tcBorders>
              <w:top w:val="nil"/>
              <w:left w:val="nil"/>
              <w:bottom w:val="nil"/>
              <w:right w:val="nil"/>
            </w:tcBorders>
            <w:tcMar>
              <w:top w:w="128" w:type="dxa"/>
              <w:left w:w="43" w:type="dxa"/>
              <w:bottom w:w="43" w:type="dxa"/>
              <w:right w:w="43" w:type="dxa"/>
            </w:tcMar>
          </w:tcPr>
          <w:p w14:paraId="44E318A9" w14:textId="77777777" w:rsidR="00A02896" w:rsidRPr="00506115" w:rsidRDefault="00AE1379" w:rsidP="00506115">
            <w:r w:rsidRPr="00506115">
              <w:rPr>
                <w:rStyle w:val="kursiv"/>
              </w:rPr>
              <w:lastRenderedPageBreak/>
              <w:t>Konsesjon etter havenergilova</w:t>
            </w:r>
          </w:p>
        </w:tc>
        <w:tc>
          <w:tcPr>
            <w:tcW w:w="7229" w:type="dxa"/>
            <w:tcBorders>
              <w:top w:val="nil"/>
              <w:left w:val="nil"/>
              <w:bottom w:val="nil"/>
              <w:right w:val="nil"/>
            </w:tcBorders>
            <w:tcMar>
              <w:top w:w="128" w:type="dxa"/>
              <w:left w:w="43" w:type="dxa"/>
              <w:bottom w:w="43" w:type="dxa"/>
              <w:right w:w="43" w:type="dxa"/>
            </w:tcMar>
          </w:tcPr>
          <w:p w14:paraId="5735DB7E" w14:textId="77777777" w:rsidR="00A02896" w:rsidRPr="00506115" w:rsidRDefault="00AE1379" w:rsidP="00506115">
            <w:r w:rsidRPr="00506115">
              <w:t xml:space="preserve">Avtalen </w:t>
            </w:r>
            <w:proofErr w:type="spellStart"/>
            <w:r w:rsidRPr="00506115">
              <w:t>legg</w:t>
            </w:r>
            <w:proofErr w:type="spellEnd"/>
            <w:r w:rsidRPr="00506115">
              <w:t xml:space="preserve"> ingen </w:t>
            </w:r>
            <w:proofErr w:type="spellStart"/>
            <w:r w:rsidRPr="00506115">
              <w:t>føringar</w:t>
            </w:r>
            <w:proofErr w:type="spellEnd"/>
            <w:r w:rsidRPr="00506115">
              <w:t xml:space="preserve"> på staten sin rett til å tildele eller la </w:t>
            </w:r>
            <w:proofErr w:type="spellStart"/>
            <w:r w:rsidRPr="00506115">
              <w:t>vere</w:t>
            </w:r>
            <w:proofErr w:type="spellEnd"/>
            <w:r w:rsidRPr="00506115">
              <w:t xml:space="preserve"> å tildele konsesjon for etablering av energianlegget etter havenergilova, eller på tilgangen staten har til å stille vilkår for slik konsesjon. Produsenten er forplikta til å etablere og drive energianlegget i samsvar med konsesjonen og </w:t>
            </w:r>
            <w:proofErr w:type="spellStart"/>
            <w:r w:rsidRPr="00506115">
              <w:t>dei</w:t>
            </w:r>
            <w:proofErr w:type="spellEnd"/>
            <w:r w:rsidRPr="00506115">
              <w:t xml:space="preserve"> vilkåra som måtte bli stilt. Dersom produsenten </w:t>
            </w:r>
            <w:proofErr w:type="spellStart"/>
            <w:r w:rsidRPr="00506115">
              <w:t>ikkje</w:t>
            </w:r>
            <w:proofErr w:type="spellEnd"/>
            <w:r w:rsidRPr="00506115">
              <w:t xml:space="preserve"> får innvilga konsesjon etter havenergilova blir begge </w:t>
            </w:r>
            <w:proofErr w:type="spellStart"/>
            <w:r w:rsidRPr="00506115">
              <w:t>partar</w:t>
            </w:r>
            <w:proofErr w:type="spellEnd"/>
            <w:r w:rsidRPr="00506115">
              <w:t xml:space="preserve"> </w:t>
            </w:r>
            <w:proofErr w:type="spellStart"/>
            <w:r w:rsidRPr="00506115">
              <w:t>fritekne</w:t>
            </w:r>
            <w:proofErr w:type="spellEnd"/>
            <w:r w:rsidRPr="00506115">
              <w:t xml:space="preserve"> for </w:t>
            </w:r>
            <w:proofErr w:type="spellStart"/>
            <w:r w:rsidRPr="00506115">
              <w:t>forpliktingane</w:t>
            </w:r>
            <w:proofErr w:type="spellEnd"/>
            <w:r w:rsidRPr="00506115">
              <w:t xml:space="preserve"> sine og avtalen fell bort. Staten tar også tidsrisikoen for konsesjonsbehandlinga, ved at </w:t>
            </w:r>
            <w:proofErr w:type="spellStart"/>
            <w:r w:rsidRPr="00506115">
              <w:t>forseinka</w:t>
            </w:r>
            <w:proofErr w:type="spellEnd"/>
            <w:r w:rsidRPr="00506115">
              <w:t xml:space="preserve"> ferdigstilling som </w:t>
            </w:r>
            <w:proofErr w:type="spellStart"/>
            <w:r w:rsidRPr="00506115">
              <w:t>skuldast</w:t>
            </w:r>
            <w:proofErr w:type="spellEnd"/>
            <w:r w:rsidRPr="00506115">
              <w:t xml:space="preserve"> staten si konsesjonsbehandling etter havenergilova </w:t>
            </w:r>
            <w:proofErr w:type="spellStart"/>
            <w:r w:rsidRPr="00506115">
              <w:t>ikkje</w:t>
            </w:r>
            <w:proofErr w:type="spellEnd"/>
            <w:r w:rsidRPr="00506115">
              <w:t xml:space="preserve"> vil </w:t>
            </w:r>
            <w:proofErr w:type="spellStart"/>
            <w:r w:rsidRPr="00506115">
              <w:t>utgjere</w:t>
            </w:r>
            <w:proofErr w:type="spellEnd"/>
            <w:r w:rsidRPr="00506115">
              <w:t xml:space="preserve"> </w:t>
            </w:r>
            <w:proofErr w:type="spellStart"/>
            <w:r w:rsidRPr="00506115">
              <w:t>eit</w:t>
            </w:r>
            <w:proofErr w:type="spellEnd"/>
            <w:r w:rsidRPr="00506115">
              <w:t xml:space="preserve"> </w:t>
            </w:r>
            <w:proofErr w:type="spellStart"/>
            <w:r w:rsidRPr="00506115">
              <w:t>kontraktsbrot</w:t>
            </w:r>
            <w:proofErr w:type="spellEnd"/>
            <w:r w:rsidRPr="00506115">
              <w:t xml:space="preserve"> som gjev staten rett til å </w:t>
            </w:r>
            <w:proofErr w:type="spellStart"/>
            <w:r w:rsidRPr="00506115">
              <w:t>krevje</w:t>
            </w:r>
            <w:proofErr w:type="spellEnd"/>
            <w:r w:rsidRPr="00506115">
              <w:t xml:space="preserve"> dagbøter. </w:t>
            </w:r>
          </w:p>
        </w:tc>
      </w:tr>
      <w:tr w:rsidR="00A02896" w:rsidRPr="00506115" w14:paraId="0A623AB7" w14:textId="77777777" w:rsidTr="00506115">
        <w:trPr>
          <w:trHeight w:val="1140"/>
        </w:trPr>
        <w:tc>
          <w:tcPr>
            <w:tcW w:w="2552" w:type="dxa"/>
            <w:tcBorders>
              <w:top w:val="nil"/>
              <w:left w:val="nil"/>
              <w:bottom w:val="nil"/>
              <w:right w:val="nil"/>
            </w:tcBorders>
            <w:tcMar>
              <w:top w:w="128" w:type="dxa"/>
              <w:left w:w="43" w:type="dxa"/>
              <w:bottom w:w="43" w:type="dxa"/>
              <w:right w:w="43" w:type="dxa"/>
            </w:tcMar>
          </w:tcPr>
          <w:p w14:paraId="4D650F32" w14:textId="77777777" w:rsidR="00A02896" w:rsidRPr="00506115" w:rsidRDefault="00AE1379" w:rsidP="00506115">
            <w:r w:rsidRPr="00506115">
              <w:rPr>
                <w:rStyle w:val="kursiv"/>
              </w:rPr>
              <w:t>Konsesjon etter energilova</w:t>
            </w:r>
          </w:p>
        </w:tc>
        <w:tc>
          <w:tcPr>
            <w:tcW w:w="7229" w:type="dxa"/>
            <w:tcBorders>
              <w:top w:val="nil"/>
              <w:left w:val="nil"/>
              <w:bottom w:val="nil"/>
              <w:right w:val="nil"/>
            </w:tcBorders>
            <w:tcMar>
              <w:top w:w="128" w:type="dxa"/>
              <w:left w:w="43" w:type="dxa"/>
              <w:bottom w:w="43" w:type="dxa"/>
              <w:right w:w="43" w:type="dxa"/>
            </w:tcMar>
          </w:tcPr>
          <w:p w14:paraId="3904DB6A" w14:textId="77777777" w:rsidR="00A02896" w:rsidRPr="00506115" w:rsidRDefault="00AE1379" w:rsidP="00506115">
            <w:r w:rsidRPr="00506115">
              <w:t xml:space="preserve">Produsenten har risikoen for at han får konsesjon etter energilova (i den grad det </w:t>
            </w:r>
            <w:proofErr w:type="spellStart"/>
            <w:r w:rsidRPr="00506115">
              <w:t>trengst</w:t>
            </w:r>
            <w:proofErr w:type="spellEnd"/>
            <w:r w:rsidRPr="00506115">
              <w:t xml:space="preserve">). Staten tar likevel tidsrisikoen for konsesjonsbehandlinga etter energilova, ved at </w:t>
            </w:r>
            <w:proofErr w:type="spellStart"/>
            <w:r w:rsidRPr="00506115">
              <w:t>forseinka</w:t>
            </w:r>
            <w:proofErr w:type="spellEnd"/>
            <w:r w:rsidRPr="00506115">
              <w:t xml:space="preserve"> ferdigstilling då </w:t>
            </w:r>
            <w:proofErr w:type="spellStart"/>
            <w:r w:rsidRPr="00506115">
              <w:t>ikkje</w:t>
            </w:r>
            <w:proofErr w:type="spellEnd"/>
            <w:r w:rsidRPr="00506115">
              <w:t xml:space="preserve"> vil </w:t>
            </w:r>
            <w:proofErr w:type="spellStart"/>
            <w:r w:rsidRPr="00506115">
              <w:t>utgjere</w:t>
            </w:r>
            <w:proofErr w:type="spellEnd"/>
            <w:r w:rsidRPr="00506115">
              <w:t xml:space="preserve"> </w:t>
            </w:r>
            <w:proofErr w:type="spellStart"/>
            <w:r w:rsidRPr="00506115">
              <w:t>eit</w:t>
            </w:r>
            <w:proofErr w:type="spellEnd"/>
            <w:r w:rsidRPr="00506115">
              <w:t xml:space="preserve"> </w:t>
            </w:r>
            <w:proofErr w:type="spellStart"/>
            <w:r w:rsidRPr="00506115">
              <w:t>kontraktsbrot</w:t>
            </w:r>
            <w:proofErr w:type="spellEnd"/>
            <w:r w:rsidRPr="00506115">
              <w:t xml:space="preserve"> som gjev staten rett til å </w:t>
            </w:r>
            <w:proofErr w:type="spellStart"/>
            <w:r w:rsidRPr="00506115">
              <w:t>krevje</w:t>
            </w:r>
            <w:proofErr w:type="spellEnd"/>
            <w:r w:rsidRPr="00506115">
              <w:t xml:space="preserve"> dagbøter.</w:t>
            </w:r>
          </w:p>
        </w:tc>
      </w:tr>
      <w:tr w:rsidR="00A02896" w:rsidRPr="00506115" w14:paraId="3F23AF66" w14:textId="77777777" w:rsidTr="00506115">
        <w:trPr>
          <w:trHeight w:val="1400"/>
        </w:trPr>
        <w:tc>
          <w:tcPr>
            <w:tcW w:w="2552" w:type="dxa"/>
            <w:tcBorders>
              <w:top w:val="nil"/>
              <w:left w:val="nil"/>
              <w:bottom w:val="nil"/>
              <w:right w:val="nil"/>
            </w:tcBorders>
            <w:tcMar>
              <w:top w:w="128" w:type="dxa"/>
              <w:left w:w="43" w:type="dxa"/>
              <w:bottom w:w="43" w:type="dxa"/>
              <w:right w:w="43" w:type="dxa"/>
            </w:tcMar>
          </w:tcPr>
          <w:p w14:paraId="757343B6" w14:textId="77777777" w:rsidR="00A02896" w:rsidRPr="00506115" w:rsidRDefault="00AE1379" w:rsidP="00506115">
            <w:r w:rsidRPr="00506115">
              <w:rPr>
                <w:rStyle w:val="kursiv"/>
              </w:rPr>
              <w:t>Kapasitet i tilknytningspunktet i nettet på land</w:t>
            </w:r>
          </w:p>
        </w:tc>
        <w:tc>
          <w:tcPr>
            <w:tcW w:w="7229" w:type="dxa"/>
            <w:tcBorders>
              <w:top w:val="nil"/>
              <w:left w:val="nil"/>
              <w:bottom w:val="nil"/>
              <w:right w:val="nil"/>
            </w:tcBorders>
            <w:tcMar>
              <w:top w:w="128" w:type="dxa"/>
              <w:left w:w="43" w:type="dxa"/>
              <w:bottom w:w="43" w:type="dxa"/>
              <w:right w:w="43" w:type="dxa"/>
            </w:tcMar>
          </w:tcPr>
          <w:p w14:paraId="61F99706" w14:textId="77777777" w:rsidR="00A02896" w:rsidRPr="00506115" w:rsidRDefault="00AE1379" w:rsidP="00506115">
            <w:r w:rsidRPr="00506115">
              <w:t xml:space="preserve">Produsenten har risikoen for at det er </w:t>
            </w:r>
            <w:proofErr w:type="spellStart"/>
            <w:r w:rsidRPr="00506115">
              <w:t>tilgjengeleg</w:t>
            </w:r>
            <w:proofErr w:type="spellEnd"/>
            <w:r w:rsidRPr="00506115">
              <w:t xml:space="preserve"> kapasitet i </w:t>
            </w:r>
            <w:proofErr w:type="spellStart"/>
            <w:r w:rsidRPr="00506115">
              <w:t>tilknytingspunktet</w:t>
            </w:r>
            <w:proofErr w:type="spellEnd"/>
            <w:r w:rsidRPr="00506115">
              <w:t xml:space="preserve"> i nettet på land. Staten tar likevel tidsrisikoen, ved at </w:t>
            </w:r>
            <w:proofErr w:type="spellStart"/>
            <w:r w:rsidRPr="00506115">
              <w:t>forseinka</w:t>
            </w:r>
            <w:proofErr w:type="spellEnd"/>
            <w:r w:rsidRPr="00506115">
              <w:t xml:space="preserve"> ferdigstilling som kjem av at det </w:t>
            </w:r>
            <w:proofErr w:type="spellStart"/>
            <w:r w:rsidRPr="00506115">
              <w:t>ikkje</w:t>
            </w:r>
            <w:proofErr w:type="spellEnd"/>
            <w:r w:rsidRPr="00506115">
              <w:t xml:space="preserve"> er kapasitet i </w:t>
            </w:r>
            <w:proofErr w:type="spellStart"/>
            <w:r w:rsidRPr="00506115">
              <w:t>tilknytingspunktet</w:t>
            </w:r>
            <w:proofErr w:type="spellEnd"/>
            <w:r w:rsidRPr="00506115">
              <w:t xml:space="preserve"> på det tidspunktet energianlegget er planlagt sett i drift, </w:t>
            </w:r>
            <w:proofErr w:type="spellStart"/>
            <w:r w:rsidRPr="00506115">
              <w:t>ikkje</w:t>
            </w:r>
            <w:proofErr w:type="spellEnd"/>
            <w:r w:rsidRPr="00506115">
              <w:t xml:space="preserve"> vil </w:t>
            </w:r>
            <w:proofErr w:type="spellStart"/>
            <w:r w:rsidRPr="00506115">
              <w:t>vere</w:t>
            </w:r>
            <w:proofErr w:type="spellEnd"/>
            <w:r w:rsidRPr="00506115">
              <w:t xml:space="preserve"> </w:t>
            </w:r>
            <w:proofErr w:type="spellStart"/>
            <w:r w:rsidRPr="00506115">
              <w:t>eit</w:t>
            </w:r>
            <w:proofErr w:type="spellEnd"/>
            <w:r w:rsidRPr="00506115">
              <w:t xml:space="preserve"> </w:t>
            </w:r>
            <w:proofErr w:type="spellStart"/>
            <w:r w:rsidRPr="00506115">
              <w:t>kontraktsbrot</w:t>
            </w:r>
            <w:proofErr w:type="spellEnd"/>
            <w:r w:rsidRPr="00506115">
              <w:t xml:space="preserve"> som gjev staten rett til å </w:t>
            </w:r>
            <w:proofErr w:type="spellStart"/>
            <w:r w:rsidRPr="00506115">
              <w:t>krevje</w:t>
            </w:r>
            <w:proofErr w:type="spellEnd"/>
            <w:r w:rsidRPr="00506115">
              <w:t xml:space="preserve"> dagbøter.</w:t>
            </w:r>
          </w:p>
        </w:tc>
      </w:tr>
      <w:tr w:rsidR="00A02896" w:rsidRPr="00506115" w14:paraId="652F61D9" w14:textId="77777777" w:rsidTr="00506115">
        <w:trPr>
          <w:trHeight w:val="1140"/>
        </w:trPr>
        <w:tc>
          <w:tcPr>
            <w:tcW w:w="2552" w:type="dxa"/>
            <w:tcBorders>
              <w:top w:val="nil"/>
              <w:left w:val="nil"/>
              <w:bottom w:val="nil"/>
              <w:right w:val="nil"/>
            </w:tcBorders>
            <w:tcMar>
              <w:top w:w="128" w:type="dxa"/>
              <w:left w:w="43" w:type="dxa"/>
              <w:bottom w:w="43" w:type="dxa"/>
              <w:right w:w="43" w:type="dxa"/>
            </w:tcMar>
          </w:tcPr>
          <w:p w14:paraId="570CBD4F" w14:textId="77777777" w:rsidR="00A02896" w:rsidRPr="00506115" w:rsidRDefault="00AE1379" w:rsidP="00506115">
            <w:r w:rsidRPr="00506115">
              <w:rPr>
                <w:rStyle w:val="kursiv"/>
              </w:rPr>
              <w:t>Løyve etter anna regelverk</w:t>
            </w:r>
          </w:p>
        </w:tc>
        <w:tc>
          <w:tcPr>
            <w:tcW w:w="7229" w:type="dxa"/>
            <w:tcBorders>
              <w:top w:val="nil"/>
              <w:left w:val="nil"/>
              <w:bottom w:val="nil"/>
              <w:right w:val="nil"/>
            </w:tcBorders>
            <w:tcMar>
              <w:top w:w="128" w:type="dxa"/>
              <w:left w:w="43" w:type="dxa"/>
              <w:bottom w:w="43" w:type="dxa"/>
              <w:right w:w="43" w:type="dxa"/>
            </w:tcMar>
          </w:tcPr>
          <w:p w14:paraId="1EC77710" w14:textId="77777777" w:rsidR="00A02896" w:rsidRPr="00506115" w:rsidRDefault="00AE1379" w:rsidP="00506115">
            <w:r w:rsidRPr="00506115">
              <w:t xml:space="preserve">Produsenten har ansvaret for å innhente alle løyve som </w:t>
            </w:r>
            <w:proofErr w:type="spellStart"/>
            <w:r w:rsidRPr="00506115">
              <w:t>trengst</w:t>
            </w:r>
            <w:proofErr w:type="spellEnd"/>
            <w:r w:rsidRPr="00506115">
              <w:t xml:space="preserve"> etter anna regelverk, og inngå nødvendige avtaler med private </w:t>
            </w:r>
            <w:proofErr w:type="spellStart"/>
            <w:r w:rsidRPr="00506115">
              <w:t>partar</w:t>
            </w:r>
            <w:proofErr w:type="spellEnd"/>
            <w:r w:rsidRPr="00506115">
              <w:t xml:space="preserve">. Produsenten har risikoen for at slike løyve og avtaler kjem på plass, og at </w:t>
            </w:r>
            <w:proofErr w:type="spellStart"/>
            <w:r w:rsidRPr="00506115">
              <w:t>dei</w:t>
            </w:r>
            <w:proofErr w:type="spellEnd"/>
            <w:r w:rsidRPr="00506115">
              <w:t xml:space="preserve"> </w:t>
            </w:r>
            <w:proofErr w:type="spellStart"/>
            <w:r w:rsidRPr="00506115">
              <w:t>gjer</w:t>
            </w:r>
            <w:proofErr w:type="spellEnd"/>
            <w:r w:rsidRPr="00506115">
              <w:t xml:space="preserve"> det i tide slik at prosjektet </w:t>
            </w:r>
            <w:proofErr w:type="spellStart"/>
            <w:r w:rsidRPr="00506115">
              <w:t>ikkje</w:t>
            </w:r>
            <w:proofErr w:type="spellEnd"/>
            <w:r w:rsidRPr="00506115">
              <w:t xml:space="preserve"> blir </w:t>
            </w:r>
            <w:proofErr w:type="spellStart"/>
            <w:r w:rsidRPr="00506115">
              <w:t>forseinka</w:t>
            </w:r>
            <w:proofErr w:type="spellEnd"/>
            <w:r w:rsidRPr="00506115">
              <w:t>.</w:t>
            </w:r>
          </w:p>
        </w:tc>
      </w:tr>
      <w:tr w:rsidR="00A02896" w:rsidRPr="00506115" w14:paraId="10ACA395" w14:textId="77777777" w:rsidTr="00506115">
        <w:trPr>
          <w:trHeight w:val="2420"/>
        </w:trPr>
        <w:tc>
          <w:tcPr>
            <w:tcW w:w="2552" w:type="dxa"/>
            <w:tcBorders>
              <w:top w:val="nil"/>
              <w:left w:val="nil"/>
              <w:bottom w:val="nil"/>
              <w:right w:val="nil"/>
            </w:tcBorders>
            <w:tcMar>
              <w:top w:w="128" w:type="dxa"/>
              <w:left w:w="43" w:type="dxa"/>
              <w:bottom w:w="43" w:type="dxa"/>
              <w:right w:w="43" w:type="dxa"/>
            </w:tcMar>
          </w:tcPr>
          <w:p w14:paraId="65C9B525" w14:textId="77777777" w:rsidR="00A02896" w:rsidRPr="00506115" w:rsidRDefault="00AE1379" w:rsidP="00506115">
            <w:proofErr w:type="spellStart"/>
            <w:r w:rsidRPr="00506115">
              <w:rPr>
                <w:rStyle w:val="kursiv"/>
              </w:rPr>
              <w:t>Forseinka</w:t>
            </w:r>
            <w:proofErr w:type="spellEnd"/>
            <w:r w:rsidRPr="00506115">
              <w:rPr>
                <w:rStyle w:val="kursiv"/>
              </w:rPr>
              <w:t xml:space="preserve"> ferdigstilling</w:t>
            </w:r>
          </w:p>
        </w:tc>
        <w:tc>
          <w:tcPr>
            <w:tcW w:w="7229" w:type="dxa"/>
            <w:tcBorders>
              <w:top w:val="nil"/>
              <w:left w:val="nil"/>
              <w:bottom w:val="nil"/>
              <w:right w:val="nil"/>
            </w:tcBorders>
            <w:tcMar>
              <w:top w:w="128" w:type="dxa"/>
              <w:left w:w="43" w:type="dxa"/>
              <w:bottom w:w="43" w:type="dxa"/>
              <w:right w:w="43" w:type="dxa"/>
            </w:tcMar>
          </w:tcPr>
          <w:p w14:paraId="06373B30" w14:textId="77777777" w:rsidR="00A02896" w:rsidRPr="00506115" w:rsidRDefault="00AE1379" w:rsidP="00506115">
            <w:proofErr w:type="spellStart"/>
            <w:r w:rsidRPr="00506115">
              <w:t>Forseinka</w:t>
            </w:r>
            <w:proofErr w:type="spellEnd"/>
            <w:r w:rsidRPr="00506115">
              <w:t xml:space="preserve"> ferdigstilling </w:t>
            </w:r>
            <w:proofErr w:type="spellStart"/>
            <w:r w:rsidRPr="00506115">
              <w:t>inneber</w:t>
            </w:r>
            <w:proofErr w:type="spellEnd"/>
            <w:r w:rsidRPr="00506115">
              <w:t xml:space="preserve"> at støtteperioden blir utsett i tid. Langvarig </w:t>
            </w:r>
            <w:proofErr w:type="spellStart"/>
            <w:r w:rsidRPr="00506115">
              <w:t>forseinking</w:t>
            </w:r>
            <w:proofErr w:type="spellEnd"/>
            <w:r w:rsidRPr="00506115">
              <w:t xml:space="preserve"> medfører at lengda på støtteperioden blir redusert.</w:t>
            </w:r>
          </w:p>
          <w:p w14:paraId="0FE665C0" w14:textId="77777777" w:rsidR="00A02896" w:rsidRPr="00506115" w:rsidRDefault="00AE1379" w:rsidP="00506115">
            <w:proofErr w:type="spellStart"/>
            <w:r w:rsidRPr="00506115">
              <w:t>Forseinka</w:t>
            </w:r>
            <w:proofErr w:type="spellEnd"/>
            <w:r w:rsidRPr="00506115">
              <w:t xml:space="preserve"> ferdigstilling og </w:t>
            </w:r>
            <w:proofErr w:type="spellStart"/>
            <w:r w:rsidRPr="00506115">
              <w:t>forseinking</w:t>
            </w:r>
            <w:proofErr w:type="spellEnd"/>
            <w:r w:rsidRPr="00506115">
              <w:t xml:space="preserve"> på enkelte andre </w:t>
            </w:r>
            <w:proofErr w:type="spellStart"/>
            <w:r w:rsidRPr="00506115">
              <w:t>milepælar</w:t>
            </w:r>
            <w:proofErr w:type="spellEnd"/>
            <w:r w:rsidRPr="00506115">
              <w:t xml:space="preserve">, gjev staten rett til å </w:t>
            </w:r>
            <w:proofErr w:type="spellStart"/>
            <w:r w:rsidRPr="00506115">
              <w:t>krevje</w:t>
            </w:r>
            <w:proofErr w:type="spellEnd"/>
            <w:r w:rsidRPr="00506115">
              <w:t xml:space="preserve"> ei førehandsfastsett dagbot. Langvarig </w:t>
            </w:r>
            <w:proofErr w:type="spellStart"/>
            <w:r w:rsidRPr="00506115">
              <w:t>forseinking</w:t>
            </w:r>
            <w:proofErr w:type="spellEnd"/>
            <w:r w:rsidRPr="00506115">
              <w:t xml:space="preserve"> gjev staten rett til å heve avtalen.</w:t>
            </w:r>
          </w:p>
          <w:p w14:paraId="14DA2AE7" w14:textId="77777777" w:rsidR="00A02896" w:rsidRPr="00506115" w:rsidRDefault="00AE1379" w:rsidP="00506115">
            <w:r w:rsidRPr="00506115">
              <w:t xml:space="preserve">Staten har </w:t>
            </w:r>
            <w:proofErr w:type="spellStart"/>
            <w:r w:rsidRPr="00506115">
              <w:t>ikkje</w:t>
            </w:r>
            <w:proofErr w:type="spellEnd"/>
            <w:r w:rsidRPr="00506115">
              <w:t xml:space="preserve"> rett til å </w:t>
            </w:r>
            <w:proofErr w:type="spellStart"/>
            <w:r w:rsidRPr="00506115">
              <w:t>krevje</w:t>
            </w:r>
            <w:proofErr w:type="spellEnd"/>
            <w:r w:rsidRPr="00506115">
              <w:t xml:space="preserve"> dagbot eller heve avtalen dersom </w:t>
            </w:r>
            <w:proofErr w:type="spellStart"/>
            <w:r w:rsidRPr="00506115">
              <w:t>forseinkinga</w:t>
            </w:r>
            <w:proofErr w:type="spellEnd"/>
            <w:r w:rsidRPr="00506115">
              <w:t xml:space="preserve"> kjem av behandlingstida for konsesjon etter havenergilova, konsesjon etter energilova, </w:t>
            </w:r>
            <w:proofErr w:type="spellStart"/>
            <w:r w:rsidRPr="00506115">
              <w:t>manglande</w:t>
            </w:r>
            <w:proofErr w:type="spellEnd"/>
            <w:r w:rsidRPr="00506115">
              <w:t xml:space="preserve"> kapasitet i </w:t>
            </w:r>
            <w:proofErr w:type="spellStart"/>
            <w:r w:rsidRPr="00506115">
              <w:t>tilknytingspunktet</w:t>
            </w:r>
            <w:proofErr w:type="spellEnd"/>
            <w:r w:rsidRPr="00506115">
              <w:t xml:space="preserve"> eller force majeure. </w:t>
            </w:r>
          </w:p>
        </w:tc>
      </w:tr>
      <w:tr w:rsidR="00A02896" w:rsidRPr="00506115" w14:paraId="7D55B05E" w14:textId="77777777" w:rsidTr="00506115">
        <w:trPr>
          <w:trHeight w:val="880"/>
        </w:trPr>
        <w:tc>
          <w:tcPr>
            <w:tcW w:w="2552" w:type="dxa"/>
            <w:tcBorders>
              <w:top w:val="nil"/>
              <w:left w:val="nil"/>
              <w:bottom w:val="nil"/>
              <w:right w:val="nil"/>
            </w:tcBorders>
            <w:tcMar>
              <w:top w:w="128" w:type="dxa"/>
              <w:left w:w="43" w:type="dxa"/>
              <w:bottom w:w="43" w:type="dxa"/>
              <w:right w:w="43" w:type="dxa"/>
            </w:tcMar>
          </w:tcPr>
          <w:p w14:paraId="4A0C3F6E" w14:textId="77777777" w:rsidR="00A02896" w:rsidRPr="00506115" w:rsidRDefault="00AE1379" w:rsidP="00506115">
            <w:r w:rsidRPr="00506115">
              <w:rPr>
                <w:rStyle w:val="kursiv"/>
              </w:rPr>
              <w:t>Produsenten skrinlegg prosjektet</w:t>
            </w:r>
          </w:p>
        </w:tc>
        <w:tc>
          <w:tcPr>
            <w:tcW w:w="7229" w:type="dxa"/>
            <w:tcBorders>
              <w:top w:val="nil"/>
              <w:left w:val="nil"/>
              <w:bottom w:val="nil"/>
              <w:right w:val="nil"/>
            </w:tcBorders>
            <w:tcMar>
              <w:top w:w="128" w:type="dxa"/>
              <w:left w:w="43" w:type="dxa"/>
              <w:bottom w:w="43" w:type="dxa"/>
              <w:right w:w="43" w:type="dxa"/>
            </w:tcMar>
          </w:tcPr>
          <w:p w14:paraId="52EA308F" w14:textId="77777777" w:rsidR="00A02896" w:rsidRPr="00506115" w:rsidRDefault="00AE1379" w:rsidP="00506115">
            <w:r w:rsidRPr="00506115">
              <w:t xml:space="preserve">Dersom produsenten skrinlegg prosjektet, eller dersom det er klart </w:t>
            </w:r>
            <w:proofErr w:type="spellStart"/>
            <w:r w:rsidRPr="00506115">
              <w:t>frå</w:t>
            </w:r>
            <w:proofErr w:type="spellEnd"/>
            <w:r w:rsidRPr="00506115">
              <w:t xml:space="preserve"> </w:t>
            </w:r>
            <w:proofErr w:type="spellStart"/>
            <w:r w:rsidRPr="00506115">
              <w:t>utbyggjar</w:t>
            </w:r>
            <w:proofErr w:type="spellEnd"/>
            <w:r w:rsidRPr="00506115">
              <w:t xml:space="preserve"> sine </w:t>
            </w:r>
            <w:proofErr w:type="spellStart"/>
            <w:r w:rsidRPr="00506115">
              <w:t>handlingar</w:t>
            </w:r>
            <w:proofErr w:type="spellEnd"/>
            <w:r w:rsidRPr="00506115">
              <w:t xml:space="preserve"> eller </w:t>
            </w:r>
            <w:proofErr w:type="spellStart"/>
            <w:r w:rsidRPr="00506115">
              <w:t>unnlatingar</w:t>
            </w:r>
            <w:proofErr w:type="spellEnd"/>
            <w:r w:rsidRPr="00506115">
              <w:t xml:space="preserve"> at energianlegget </w:t>
            </w:r>
            <w:proofErr w:type="spellStart"/>
            <w:r w:rsidRPr="00506115">
              <w:t>ikkje</w:t>
            </w:r>
            <w:proofErr w:type="spellEnd"/>
            <w:r w:rsidRPr="00506115">
              <w:t xml:space="preserve"> vil bli etablert, kan staten </w:t>
            </w:r>
            <w:proofErr w:type="spellStart"/>
            <w:r w:rsidRPr="00506115">
              <w:t>krevje</w:t>
            </w:r>
            <w:proofErr w:type="spellEnd"/>
            <w:r w:rsidRPr="00506115">
              <w:t xml:space="preserve"> ei førehandsfastsett </w:t>
            </w:r>
            <w:proofErr w:type="spellStart"/>
            <w:r w:rsidRPr="00506115">
              <w:t>fasthaldingsbot</w:t>
            </w:r>
            <w:proofErr w:type="spellEnd"/>
            <w:r w:rsidRPr="00506115">
              <w:t>.</w:t>
            </w:r>
          </w:p>
        </w:tc>
      </w:tr>
      <w:tr w:rsidR="00A02896" w:rsidRPr="00506115" w14:paraId="6D6D7E57" w14:textId="77777777" w:rsidTr="00506115">
        <w:trPr>
          <w:trHeight w:val="1400"/>
        </w:trPr>
        <w:tc>
          <w:tcPr>
            <w:tcW w:w="2552" w:type="dxa"/>
            <w:tcBorders>
              <w:top w:val="nil"/>
              <w:left w:val="nil"/>
              <w:bottom w:val="nil"/>
              <w:right w:val="nil"/>
            </w:tcBorders>
            <w:tcMar>
              <w:top w:w="128" w:type="dxa"/>
              <w:left w:w="43" w:type="dxa"/>
              <w:bottom w:w="43" w:type="dxa"/>
              <w:right w:w="43" w:type="dxa"/>
            </w:tcMar>
          </w:tcPr>
          <w:p w14:paraId="5B5BFEDB" w14:textId="77777777" w:rsidR="00A02896" w:rsidRPr="00506115" w:rsidRDefault="00AE1379" w:rsidP="00506115">
            <w:r w:rsidRPr="00506115">
              <w:rPr>
                <w:rStyle w:val="kursiv"/>
              </w:rPr>
              <w:lastRenderedPageBreak/>
              <w:t>Høg kraftproduksjon</w:t>
            </w:r>
          </w:p>
        </w:tc>
        <w:tc>
          <w:tcPr>
            <w:tcW w:w="7229" w:type="dxa"/>
            <w:tcBorders>
              <w:top w:val="nil"/>
              <w:left w:val="nil"/>
              <w:bottom w:val="nil"/>
              <w:right w:val="nil"/>
            </w:tcBorders>
            <w:tcMar>
              <w:top w:w="128" w:type="dxa"/>
              <w:left w:w="43" w:type="dxa"/>
              <w:bottom w:w="43" w:type="dxa"/>
              <w:right w:w="43" w:type="dxa"/>
            </w:tcMar>
          </w:tcPr>
          <w:p w14:paraId="734D095F" w14:textId="77777777" w:rsidR="00A02896" w:rsidRPr="00506115" w:rsidRDefault="00AE1379" w:rsidP="00506115">
            <w:r w:rsidRPr="00506115">
              <w:t xml:space="preserve">Betalingspliktene til </w:t>
            </w:r>
            <w:proofErr w:type="spellStart"/>
            <w:r w:rsidRPr="00506115">
              <w:t>partane</w:t>
            </w:r>
            <w:proofErr w:type="spellEnd"/>
            <w:r w:rsidRPr="00506115">
              <w:t xml:space="preserve"> avheng av kor </w:t>
            </w:r>
            <w:proofErr w:type="spellStart"/>
            <w:r w:rsidRPr="00506115">
              <w:t>mykje</w:t>
            </w:r>
            <w:proofErr w:type="spellEnd"/>
            <w:r w:rsidRPr="00506115">
              <w:t xml:space="preserve"> elektrisk kraft som blir produsert, og forholdet mellom referanseprisen og kontraktsprisen. Høgre produksjon vil føre til ei større betaling </w:t>
            </w:r>
            <w:proofErr w:type="spellStart"/>
            <w:r w:rsidRPr="00506115">
              <w:t>frå</w:t>
            </w:r>
            <w:proofErr w:type="spellEnd"/>
            <w:r w:rsidRPr="00506115">
              <w:t xml:space="preserve"> staten til produsenten ved låge </w:t>
            </w:r>
            <w:proofErr w:type="spellStart"/>
            <w:r w:rsidRPr="00506115">
              <w:t>kraftprisar</w:t>
            </w:r>
            <w:proofErr w:type="spellEnd"/>
            <w:r w:rsidRPr="00506115">
              <w:t xml:space="preserve"> (og </w:t>
            </w:r>
            <w:proofErr w:type="spellStart"/>
            <w:r w:rsidRPr="00506115">
              <w:t>tilsvarande</w:t>
            </w:r>
            <w:proofErr w:type="spellEnd"/>
            <w:r w:rsidRPr="00506115">
              <w:t xml:space="preserve"> ei større betaling </w:t>
            </w:r>
            <w:proofErr w:type="spellStart"/>
            <w:r w:rsidRPr="00506115">
              <w:t>frå</w:t>
            </w:r>
            <w:proofErr w:type="spellEnd"/>
            <w:r w:rsidRPr="00506115">
              <w:t xml:space="preserve"> produsenten til staten ved høge </w:t>
            </w:r>
            <w:proofErr w:type="spellStart"/>
            <w:r w:rsidRPr="00506115">
              <w:t>kraftprisar</w:t>
            </w:r>
            <w:proofErr w:type="spellEnd"/>
            <w:r w:rsidRPr="00506115">
              <w:t xml:space="preserve">), </w:t>
            </w:r>
            <w:proofErr w:type="spellStart"/>
            <w:r w:rsidRPr="00506115">
              <w:t>innanfor</w:t>
            </w:r>
            <w:proofErr w:type="spellEnd"/>
            <w:r w:rsidRPr="00506115">
              <w:t xml:space="preserve"> ramma av det samla taket. </w:t>
            </w:r>
          </w:p>
        </w:tc>
      </w:tr>
      <w:tr w:rsidR="00A02896" w:rsidRPr="00506115" w14:paraId="0AE504CC" w14:textId="77777777" w:rsidTr="00506115">
        <w:trPr>
          <w:trHeight w:val="2680"/>
        </w:trPr>
        <w:tc>
          <w:tcPr>
            <w:tcW w:w="2552" w:type="dxa"/>
            <w:tcBorders>
              <w:top w:val="nil"/>
              <w:left w:val="nil"/>
              <w:bottom w:val="nil"/>
              <w:right w:val="nil"/>
            </w:tcBorders>
            <w:tcMar>
              <w:top w:w="128" w:type="dxa"/>
              <w:left w:w="43" w:type="dxa"/>
              <w:bottom w:w="43" w:type="dxa"/>
              <w:right w:w="43" w:type="dxa"/>
            </w:tcMar>
          </w:tcPr>
          <w:p w14:paraId="1C94C120" w14:textId="77777777" w:rsidR="00A02896" w:rsidRPr="00506115" w:rsidRDefault="00AE1379" w:rsidP="00506115">
            <w:r w:rsidRPr="00506115">
              <w:rPr>
                <w:rStyle w:val="kursiv"/>
              </w:rPr>
              <w:t xml:space="preserve">Låg kraftproduksjon, </w:t>
            </w:r>
            <w:r w:rsidRPr="00506115">
              <w:rPr>
                <w:rStyle w:val="kursiv"/>
              </w:rPr>
              <w:br/>
              <w:t>nedetid</w:t>
            </w:r>
          </w:p>
        </w:tc>
        <w:tc>
          <w:tcPr>
            <w:tcW w:w="7229" w:type="dxa"/>
            <w:tcBorders>
              <w:top w:val="nil"/>
              <w:left w:val="nil"/>
              <w:bottom w:val="nil"/>
              <w:right w:val="nil"/>
            </w:tcBorders>
            <w:tcMar>
              <w:top w:w="128" w:type="dxa"/>
              <w:left w:w="43" w:type="dxa"/>
              <w:bottom w:w="43" w:type="dxa"/>
              <w:right w:w="43" w:type="dxa"/>
            </w:tcMar>
          </w:tcPr>
          <w:p w14:paraId="11C1A34C" w14:textId="77777777" w:rsidR="00A02896" w:rsidRPr="00506115" w:rsidRDefault="00AE1379" w:rsidP="00506115">
            <w:proofErr w:type="spellStart"/>
            <w:r w:rsidRPr="00506115">
              <w:t>Lågare</w:t>
            </w:r>
            <w:proofErr w:type="spellEnd"/>
            <w:r w:rsidRPr="00506115">
              <w:t xml:space="preserve"> produksjon vil medføre ei mindre betaling </w:t>
            </w:r>
            <w:proofErr w:type="spellStart"/>
            <w:r w:rsidRPr="00506115">
              <w:t>frå</w:t>
            </w:r>
            <w:proofErr w:type="spellEnd"/>
            <w:r w:rsidRPr="00506115">
              <w:t xml:space="preserve"> staten til produsenten ved låge </w:t>
            </w:r>
            <w:proofErr w:type="spellStart"/>
            <w:r w:rsidRPr="00506115">
              <w:t>kraftprisar</w:t>
            </w:r>
            <w:proofErr w:type="spellEnd"/>
            <w:r w:rsidRPr="00506115">
              <w:t xml:space="preserve"> (og </w:t>
            </w:r>
            <w:proofErr w:type="spellStart"/>
            <w:r w:rsidRPr="00506115">
              <w:t>tilsvarande</w:t>
            </w:r>
            <w:proofErr w:type="spellEnd"/>
            <w:r w:rsidRPr="00506115">
              <w:t xml:space="preserve"> ei mindre betaling </w:t>
            </w:r>
            <w:proofErr w:type="spellStart"/>
            <w:r w:rsidRPr="00506115">
              <w:t>frå</w:t>
            </w:r>
            <w:proofErr w:type="spellEnd"/>
            <w:r w:rsidRPr="00506115">
              <w:t xml:space="preserve"> produsenten til staten ved høge </w:t>
            </w:r>
            <w:proofErr w:type="spellStart"/>
            <w:r w:rsidRPr="00506115">
              <w:t>kraftprisar</w:t>
            </w:r>
            <w:proofErr w:type="spellEnd"/>
            <w:r w:rsidRPr="00506115">
              <w:t xml:space="preserve">). Bortfall eller reduksjon av produksjon, uansett årsak, vil </w:t>
            </w:r>
            <w:proofErr w:type="spellStart"/>
            <w:r w:rsidRPr="00506115">
              <w:t>gje</w:t>
            </w:r>
            <w:proofErr w:type="spellEnd"/>
            <w:r w:rsidRPr="00506115">
              <w:t xml:space="preserve"> </w:t>
            </w:r>
            <w:proofErr w:type="spellStart"/>
            <w:r w:rsidRPr="00506115">
              <w:t>tilsvarande</w:t>
            </w:r>
            <w:proofErr w:type="spellEnd"/>
            <w:r w:rsidRPr="00506115">
              <w:t xml:space="preserve"> bortfall eller reduksjon i omfanget betalingsplikter. </w:t>
            </w:r>
            <w:proofErr w:type="spellStart"/>
            <w:r w:rsidRPr="00506115">
              <w:t>Konsekvensane</w:t>
            </w:r>
            <w:proofErr w:type="spellEnd"/>
            <w:r w:rsidRPr="00506115">
              <w:t xml:space="preserve"> vil likevel avhenge av forholdet mellom referansepris og kontraktspris.</w:t>
            </w:r>
          </w:p>
          <w:p w14:paraId="4CA256B4" w14:textId="77777777" w:rsidR="00A02896" w:rsidRPr="00506115" w:rsidRDefault="00AE1379" w:rsidP="00506115">
            <w:r w:rsidRPr="00506115">
              <w:t xml:space="preserve">Dersom referanseprisen er </w:t>
            </w:r>
            <w:proofErr w:type="spellStart"/>
            <w:r w:rsidRPr="00506115">
              <w:t>lågare</w:t>
            </w:r>
            <w:proofErr w:type="spellEnd"/>
            <w:r w:rsidRPr="00506115">
              <w:t xml:space="preserve"> enn kontraktsprisen, vil bortfall av produksjon bety bortfall av pristillegg. Dersom referanseprisen derimot er høgre enn kontraktsprisen, vil bortfall av produksjon bety bortfall av produsenten sin betalingsplikt til staten (</w:t>
            </w:r>
            <w:proofErr w:type="spellStart"/>
            <w:r w:rsidRPr="00506115">
              <w:t>prisfrådrag</w:t>
            </w:r>
            <w:proofErr w:type="spellEnd"/>
            <w:r w:rsidRPr="00506115">
              <w:t>).</w:t>
            </w:r>
          </w:p>
        </w:tc>
      </w:tr>
      <w:tr w:rsidR="00A02896" w:rsidRPr="00506115" w14:paraId="5641A818" w14:textId="77777777" w:rsidTr="00506115">
        <w:trPr>
          <w:trHeight w:val="1140"/>
        </w:trPr>
        <w:tc>
          <w:tcPr>
            <w:tcW w:w="2552" w:type="dxa"/>
            <w:tcBorders>
              <w:top w:val="nil"/>
              <w:left w:val="nil"/>
              <w:bottom w:val="nil"/>
              <w:right w:val="nil"/>
            </w:tcBorders>
            <w:tcMar>
              <w:top w:w="128" w:type="dxa"/>
              <w:left w:w="43" w:type="dxa"/>
              <w:bottom w:w="43" w:type="dxa"/>
              <w:right w:w="43" w:type="dxa"/>
            </w:tcMar>
          </w:tcPr>
          <w:p w14:paraId="0EF5AB94" w14:textId="77777777" w:rsidR="00A02896" w:rsidRPr="00506115" w:rsidRDefault="00AE1379" w:rsidP="00506115">
            <w:proofErr w:type="spellStart"/>
            <w:r w:rsidRPr="00506115">
              <w:rPr>
                <w:rStyle w:val="kursiv"/>
              </w:rPr>
              <w:t>Kontraktsbrot</w:t>
            </w:r>
            <w:proofErr w:type="spellEnd"/>
            <w:r w:rsidRPr="00506115">
              <w:rPr>
                <w:rStyle w:val="kursiv"/>
              </w:rPr>
              <w:t xml:space="preserve"> i støtteperioden</w:t>
            </w:r>
          </w:p>
        </w:tc>
        <w:tc>
          <w:tcPr>
            <w:tcW w:w="7229" w:type="dxa"/>
            <w:tcBorders>
              <w:top w:val="nil"/>
              <w:left w:val="nil"/>
              <w:bottom w:val="nil"/>
              <w:right w:val="nil"/>
            </w:tcBorders>
            <w:tcMar>
              <w:top w:w="128" w:type="dxa"/>
              <w:left w:w="43" w:type="dxa"/>
              <w:bottom w:w="43" w:type="dxa"/>
              <w:right w:w="43" w:type="dxa"/>
            </w:tcMar>
          </w:tcPr>
          <w:p w14:paraId="01C3F95A" w14:textId="77777777" w:rsidR="00A02896" w:rsidRPr="00506115" w:rsidRDefault="00AE1379" w:rsidP="00506115">
            <w:r w:rsidRPr="00506115">
              <w:t xml:space="preserve">Ved </w:t>
            </w:r>
            <w:proofErr w:type="spellStart"/>
            <w:r w:rsidRPr="00506115">
              <w:t>kontraktsbrot</w:t>
            </w:r>
            <w:proofErr w:type="spellEnd"/>
            <w:r w:rsidRPr="00506115">
              <w:t xml:space="preserve"> </w:t>
            </w:r>
            <w:proofErr w:type="spellStart"/>
            <w:r w:rsidRPr="00506115">
              <w:t>frå</w:t>
            </w:r>
            <w:proofErr w:type="spellEnd"/>
            <w:r w:rsidRPr="00506115">
              <w:t xml:space="preserve"> produsenten i støtteperioden kan staten redusere storleiken på pristillegget som produsenten </w:t>
            </w:r>
            <w:proofErr w:type="spellStart"/>
            <w:r w:rsidRPr="00506115">
              <w:t>elles</w:t>
            </w:r>
            <w:proofErr w:type="spellEnd"/>
            <w:r w:rsidRPr="00506115">
              <w:t xml:space="preserve"> ville hatt rett til etter avtalen. Ved </w:t>
            </w:r>
            <w:proofErr w:type="spellStart"/>
            <w:r w:rsidRPr="00506115">
              <w:t>vesentleg</w:t>
            </w:r>
            <w:proofErr w:type="spellEnd"/>
            <w:r w:rsidRPr="00506115">
              <w:t xml:space="preserve"> </w:t>
            </w:r>
            <w:proofErr w:type="spellStart"/>
            <w:r w:rsidRPr="00506115">
              <w:t>kontraktsbrot</w:t>
            </w:r>
            <w:proofErr w:type="spellEnd"/>
            <w:r w:rsidRPr="00506115">
              <w:t xml:space="preserve"> kan avtalen </w:t>
            </w:r>
            <w:proofErr w:type="spellStart"/>
            <w:r w:rsidRPr="00506115">
              <w:t>hevast</w:t>
            </w:r>
            <w:proofErr w:type="spellEnd"/>
            <w:r w:rsidRPr="00506115">
              <w:t xml:space="preserve">. Hevingsretten ved </w:t>
            </w:r>
            <w:proofErr w:type="spellStart"/>
            <w:r w:rsidRPr="00506115">
              <w:t>vesentleg</w:t>
            </w:r>
            <w:proofErr w:type="spellEnd"/>
            <w:r w:rsidRPr="00506115">
              <w:t xml:space="preserve"> </w:t>
            </w:r>
            <w:proofErr w:type="spellStart"/>
            <w:r w:rsidRPr="00506115">
              <w:t>kontraktsbrot</w:t>
            </w:r>
            <w:proofErr w:type="spellEnd"/>
            <w:r w:rsidRPr="00506115">
              <w:t xml:space="preserve"> gjeld gjensidig for begge </w:t>
            </w:r>
            <w:proofErr w:type="spellStart"/>
            <w:r w:rsidRPr="00506115">
              <w:t>partar</w:t>
            </w:r>
            <w:proofErr w:type="spellEnd"/>
            <w:r w:rsidRPr="00506115">
              <w:t>.</w:t>
            </w:r>
          </w:p>
        </w:tc>
      </w:tr>
      <w:tr w:rsidR="00A02896" w:rsidRPr="00506115" w14:paraId="59744E14" w14:textId="77777777" w:rsidTr="00506115">
        <w:trPr>
          <w:trHeight w:val="2940"/>
        </w:trPr>
        <w:tc>
          <w:tcPr>
            <w:tcW w:w="2552" w:type="dxa"/>
            <w:tcBorders>
              <w:top w:val="nil"/>
              <w:left w:val="nil"/>
              <w:bottom w:val="nil"/>
              <w:right w:val="nil"/>
            </w:tcBorders>
            <w:tcMar>
              <w:top w:w="128" w:type="dxa"/>
              <w:left w:w="43" w:type="dxa"/>
              <w:bottom w:w="43" w:type="dxa"/>
              <w:right w:w="43" w:type="dxa"/>
            </w:tcMar>
          </w:tcPr>
          <w:p w14:paraId="2FDA759E" w14:textId="77777777" w:rsidR="00A02896" w:rsidRPr="00506115" w:rsidRDefault="00AE1379" w:rsidP="00506115">
            <w:proofErr w:type="spellStart"/>
            <w:r w:rsidRPr="00506115">
              <w:rPr>
                <w:rStyle w:val="kursiv"/>
              </w:rPr>
              <w:t>Regelverksendringar</w:t>
            </w:r>
            <w:proofErr w:type="spellEnd"/>
            <w:r w:rsidRPr="00506115">
              <w:rPr>
                <w:rStyle w:val="kursiv"/>
              </w:rPr>
              <w:t xml:space="preserve">, </w:t>
            </w:r>
            <w:proofErr w:type="spellStart"/>
            <w:r w:rsidRPr="00506115">
              <w:rPr>
                <w:rStyle w:val="kursiv"/>
              </w:rPr>
              <w:t>forseinka</w:t>
            </w:r>
            <w:proofErr w:type="spellEnd"/>
            <w:r w:rsidRPr="00506115">
              <w:rPr>
                <w:rStyle w:val="kursiv"/>
              </w:rPr>
              <w:t xml:space="preserve"> eller endra løyve</w:t>
            </w:r>
          </w:p>
        </w:tc>
        <w:tc>
          <w:tcPr>
            <w:tcW w:w="7229" w:type="dxa"/>
            <w:tcBorders>
              <w:top w:val="nil"/>
              <w:left w:val="nil"/>
              <w:bottom w:val="nil"/>
              <w:right w:val="nil"/>
            </w:tcBorders>
            <w:tcMar>
              <w:top w:w="128" w:type="dxa"/>
              <w:left w:w="43" w:type="dxa"/>
              <w:bottom w:w="43" w:type="dxa"/>
              <w:right w:w="43" w:type="dxa"/>
            </w:tcMar>
          </w:tcPr>
          <w:p w14:paraId="6ADEF128" w14:textId="77777777" w:rsidR="00A02896" w:rsidRPr="00506115" w:rsidRDefault="00AE1379" w:rsidP="00506115">
            <w:r w:rsidRPr="00506115">
              <w:t xml:space="preserve">Produsenten skal for eiga rekning og risiko etablere og drive energianlegget i samsvar med det til ei kvar tid </w:t>
            </w:r>
            <w:proofErr w:type="spellStart"/>
            <w:r w:rsidRPr="00506115">
              <w:t>gjeldande</w:t>
            </w:r>
            <w:proofErr w:type="spellEnd"/>
            <w:r w:rsidRPr="00506115">
              <w:t xml:space="preserve"> </w:t>
            </w:r>
            <w:proofErr w:type="spellStart"/>
            <w:r w:rsidRPr="00506115">
              <w:t>offentlegrettslege</w:t>
            </w:r>
            <w:proofErr w:type="spellEnd"/>
            <w:r w:rsidRPr="00506115">
              <w:t xml:space="preserve"> regelverket.</w:t>
            </w:r>
          </w:p>
          <w:p w14:paraId="05D685AB" w14:textId="77777777" w:rsidR="00A02896" w:rsidRPr="00506115" w:rsidRDefault="00AE1379" w:rsidP="00506115">
            <w:r w:rsidRPr="00506115">
              <w:t xml:space="preserve">Produsenten har risikoen for alle løyve, </w:t>
            </w:r>
            <w:proofErr w:type="spellStart"/>
            <w:r w:rsidRPr="00506115">
              <w:t>godkjenningar</w:t>
            </w:r>
            <w:proofErr w:type="spellEnd"/>
            <w:r w:rsidRPr="00506115">
              <w:t xml:space="preserve"> og samtykke </w:t>
            </w:r>
            <w:proofErr w:type="spellStart"/>
            <w:r w:rsidRPr="00506115">
              <w:t>frå</w:t>
            </w:r>
            <w:proofErr w:type="spellEnd"/>
            <w:r w:rsidRPr="00506115">
              <w:t xml:space="preserve"> </w:t>
            </w:r>
            <w:proofErr w:type="spellStart"/>
            <w:r w:rsidRPr="00506115">
              <w:t>offentlege</w:t>
            </w:r>
            <w:proofErr w:type="spellEnd"/>
            <w:r w:rsidRPr="00506115">
              <w:t xml:space="preserve"> og private </w:t>
            </w:r>
            <w:proofErr w:type="spellStart"/>
            <w:r w:rsidRPr="00506115">
              <w:t>aktørar</w:t>
            </w:r>
            <w:proofErr w:type="spellEnd"/>
            <w:r w:rsidRPr="00506115">
              <w:t xml:space="preserve"> som har </w:t>
            </w:r>
            <w:proofErr w:type="spellStart"/>
            <w:r w:rsidRPr="00506115">
              <w:t>noko</w:t>
            </w:r>
            <w:proofErr w:type="spellEnd"/>
            <w:r w:rsidRPr="00506115">
              <w:t xml:space="preserve"> å </w:t>
            </w:r>
            <w:proofErr w:type="spellStart"/>
            <w:r w:rsidRPr="00506115">
              <w:t>seie</w:t>
            </w:r>
            <w:proofErr w:type="spellEnd"/>
            <w:r w:rsidRPr="00506115">
              <w:t xml:space="preserve"> for etablering og drift av energianlegget. Unntaka </w:t>
            </w:r>
            <w:proofErr w:type="spellStart"/>
            <w:r w:rsidRPr="00506115">
              <w:t>frå</w:t>
            </w:r>
            <w:proofErr w:type="spellEnd"/>
            <w:r w:rsidRPr="00506115">
              <w:t xml:space="preserve"> denne </w:t>
            </w:r>
            <w:proofErr w:type="spellStart"/>
            <w:r w:rsidRPr="00506115">
              <w:t>hovudregelen</w:t>
            </w:r>
            <w:proofErr w:type="spellEnd"/>
            <w:r w:rsidRPr="00506115">
              <w:t xml:space="preserve"> er avgrensa til i) tidsrisikoen ved </w:t>
            </w:r>
            <w:proofErr w:type="spellStart"/>
            <w:r w:rsidRPr="00506115">
              <w:t>forseinkingar</w:t>
            </w:r>
            <w:proofErr w:type="spellEnd"/>
            <w:r w:rsidRPr="00506115">
              <w:t xml:space="preserve"> knytt til tildeling av konsesjon etter havenergilova eller energilova og etablering av </w:t>
            </w:r>
            <w:proofErr w:type="spellStart"/>
            <w:r w:rsidRPr="00506115">
              <w:t>naudsynt</w:t>
            </w:r>
            <w:proofErr w:type="spellEnd"/>
            <w:r w:rsidRPr="00506115">
              <w:t xml:space="preserve"> nettkapasitet på land, og ii) situasjonen der det blir gjeve avslag på konsesjon etter havenergilova.</w:t>
            </w:r>
          </w:p>
          <w:p w14:paraId="11D2A799" w14:textId="77777777" w:rsidR="00A02896" w:rsidRPr="00506115" w:rsidRDefault="00AE1379" w:rsidP="00506115">
            <w:r w:rsidRPr="00506115">
              <w:t xml:space="preserve">Avtalen legg </w:t>
            </w:r>
            <w:proofErr w:type="spellStart"/>
            <w:r w:rsidRPr="00506115">
              <w:t>ikkje</w:t>
            </w:r>
            <w:proofErr w:type="spellEnd"/>
            <w:r w:rsidRPr="00506115">
              <w:t xml:space="preserve"> </w:t>
            </w:r>
            <w:proofErr w:type="spellStart"/>
            <w:r w:rsidRPr="00506115">
              <w:t>føringar</w:t>
            </w:r>
            <w:proofErr w:type="spellEnd"/>
            <w:r w:rsidRPr="00506115">
              <w:t xml:space="preserve"> på staten sin rett til å handheve og/eller endre </w:t>
            </w:r>
            <w:proofErr w:type="spellStart"/>
            <w:r w:rsidRPr="00506115">
              <w:t>gjeldande</w:t>
            </w:r>
            <w:proofErr w:type="spellEnd"/>
            <w:r w:rsidRPr="00506115">
              <w:t xml:space="preserve"> regelverk. Dette </w:t>
            </w:r>
            <w:proofErr w:type="spellStart"/>
            <w:r w:rsidRPr="00506115">
              <w:t>gjeld</w:t>
            </w:r>
            <w:proofErr w:type="spellEnd"/>
            <w:r w:rsidRPr="00506115">
              <w:t xml:space="preserve"> også skatte- og avgiftsregelverk.</w:t>
            </w:r>
          </w:p>
        </w:tc>
      </w:tr>
      <w:tr w:rsidR="00A02896" w:rsidRPr="00506115" w14:paraId="2E47E55F" w14:textId="77777777" w:rsidTr="00506115">
        <w:trPr>
          <w:trHeight w:val="1140"/>
        </w:trPr>
        <w:tc>
          <w:tcPr>
            <w:tcW w:w="2552" w:type="dxa"/>
            <w:tcBorders>
              <w:top w:val="nil"/>
              <w:left w:val="nil"/>
              <w:bottom w:val="nil"/>
              <w:right w:val="nil"/>
            </w:tcBorders>
            <w:tcMar>
              <w:top w:w="128" w:type="dxa"/>
              <w:left w:w="43" w:type="dxa"/>
              <w:bottom w:w="43" w:type="dxa"/>
              <w:right w:w="43" w:type="dxa"/>
            </w:tcMar>
          </w:tcPr>
          <w:p w14:paraId="5DE449A1" w14:textId="77777777" w:rsidR="00A02896" w:rsidRPr="00506115" w:rsidRDefault="00AE1379" w:rsidP="00506115">
            <w:r w:rsidRPr="00506115">
              <w:rPr>
                <w:rStyle w:val="kursiv"/>
              </w:rPr>
              <w:t>Overføring av nettanlegg</w:t>
            </w:r>
          </w:p>
        </w:tc>
        <w:tc>
          <w:tcPr>
            <w:tcW w:w="7229" w:type="dxa"/>
            <w:tcBorders>
              <w:top w:val="nil"/>
              <w:left w:val="nil"/>
              <w:bottom w:val="nil"/>
              <w:right w:val="nil"/>
            </w:tcBorders>
            <w:tcMar>
              <w:top w:w="128" w:type="dxa"/>
              <w:left w:w="43" w:type="dxa"/>
              <w:bottom w:w="43" w:type="dxa"/>
              <w:right w:w="43" w:type="dxa"/>
            </w:tcMar>
          </w:tcPr>
          <w:p w14:paraId="19E982B4" w14:textId="77777777" w:rsidR="00A02896" w:rsidRPr="00506115" w:rsidRDefault="00AE1379" w:rsidP="00506115">
            <w:r w:rsidRPr="00506115">
              <w:t xml:space="preserve">Avtalen </w:t>
            </w:r>
            <w:proofErr w:type="spellStart"/>
            <w:r w:rsidRPr="00506115">
              <w:t>inneheld</w:t>
            </w:r>
            <w:proofErr w:type="spellEnd"/>
            <w:r w:rsidRPr="00506115">
              <w:t xml:space="preserve"> </w:t>
            </w:r>
            <w:proofErr w:type="spellStart"/>
            <w:r w:rsidRPr="00506115">
              <w:t>ein</w:t>
            </w:r>
            <w:proofErr w:type="spellEnd"/>
            <w:r w:rsidRPr="00506115">
              <w:t xml:space="preserve"> rett for staten til å kunne overta </w:t>
            </w:r>
            <w:proofErr w:type="spellStart"/>
            <w:r w:rsidRPr="00506115">
              <w:t>eigarskap</w:t>
            </w:r>
            <w:proofErr w:type="spellEnd"/>
            <w:r w:rsidRPr="00506115">
              <w:t xml:space="preserve"> til nettanlegget på </w:t>
            </w:r>
            <w:proofErr w:type="spellStart"/>
            <w:r w:rsidRPr="00506115">
              <w:t>nærare</w:t>
            </w:r>
            <w:proofErr w:type="spellEnd"/>
            <w:r w:rsidRPr="00506115">
              <w:t xml:space="preserve"> fastsette vilkår. Ved overtaking av nettanlegget vil staten (evt. Statnett) måtte stå </w:t>
            </w:r>
            <w:proofErr w:type="spellStart"/>
            <w:r w:rsidRPr="00506115">
              <w:t>ansvarleg</w:t>
            </w:r>
            <w:proofErr w:type="spellEnd"/>
            <w:r w:rsidRPr="00506115">
              <w:t xml:space="preserve"> for drift, </w:t>
            </w:r>
            <w:proofErr w:type="spellStart"/>
            <w:r w:rsidRPr="00506115">
              <w:t>vedlikehald</w:t>
            </w:r>
            <w:proofErr w:type="spellEnd"/>
            <w:r w:rsidRPr="00506115">
              <w:t xml:space="preserve"> og nedlegging av nettanlegget.</w:t>
            </w:r>
          </w:p>
        </w:tc>
      </w:tr>
      <w:tr w:rsidR="00A02896" w:rsidRPr="00506115" w14:paraId="58F5E9E1" w14:textId="77777777" w:rsidTr="00506115">
        <w:trPr>
          <w:trHeight w:val="1140"/>
        </w:trPr>
        <w:tc>
          <w:tcPr>
            <w:tcW w:w="2552" w:type="dxa"/>
            <w:tcBorders>
              <w:top w:val="nil"/>
              <w:left w:val="nil"/>
              <w:bottom w:val="nil"/>
              <w:right w:val="nil"/>
            </w:tcBorders>
            <w:tcMar>
              <w:top w:w="128" w:type="dxa"/>
              <w:left w:w="43" w:type="dxa"/>
              <w:bottom w:w="43" w:type="dxa"/>
              <w:right w:w="43" w:type="dxa"/>
            </w:tcMar>
          </w:tcPr>
          <w:p w14:paraId="173726E9" w14:textId="77777777" w:rsidR="00A02896" w:rsidRPr="00506115" w:rsidRDefault="00AE1379" w:rsidP="00506115">
            <w:proofErr w:type="spellStart"/>
            <w:r w:rsidRPr="00506115">
              <w:rPr>
                <w:rStyle w:val="kursiv"/>
              </w:rPr>
              <w:lastRenderedPageBreak/>
              <w:t>Valutasvingingar</w:t>
            </w:r>
            <w:proofErr w:type="spellEnd"/>
          </w:p>
        </w:tc>
        <w:tc>
          <w:tcPr>
            <w:tcW w:w="7229" w:type="dxa"/>
            <w:tcBorders>
              <w:top w:val="nil"/>
              <w:left w:val="nil"/>
              <w:bottom w:val="nil"/>
              <w:right w:val="nil"/>
            </w:tcBorders>
            <w:tcMar>
              <w:top w:w="128" w:type="dxa"/>
              <w:left w:w="43" w:type="dxa"/>
              <w:bottom w:w="43" w:type="dxa"/>
              <w:right w:w="43" w:type="dxa"/>
            </w:tcMar>
          </w:tcPr>
          <w:p w14:paraId="39DC715E" w14:textId="77777777" w:rsidR="00A02896" w:rsidRPr="00506115" w:rsidRDefault="00AE1379" w:rsidP="00506115">
            <w:proofErr w:type="spellStart"/>
            <w:r w:rsidRPr="00506115">
              <w:t>Betalingar</w:t>
            </w:r>
            <w:proofErr w:type="spellEnd"/>
            <w:r w:rsidRPr="00506115">
              <w:t xml:space="preserve"> etter avtalen skal </w:t>
            </w:r>
            <w:proofErr w:type="spellStart"/>
            <w:r w:rsidRPr="00506115">
              <w:t>vere</w:t>
            </w:r>
            <w:proofErr w:type="spellEnd"/>
            <w:r w:rsidRPr="00506115">
              <w:t xml:space="preserve"> i norske kroner. Staten har dermed ingen direkte valutaeksponering i differansekontrakten. Staten vil likevel kunne ha ei viss eksponering for </w:t>
            </w:r>
            <w:proofErr w:type="spellStart"/>
            <w:r w:rsidRPr="00506115">
              <w:t>valutasvingingar</w:t>
            </w:r>
            <w:proofErr w:type="spellEnd"/>
            <w:r w:rsidRPr="00506115">
              <w:t xml:space="preserve"> gjennom at referanseprisen (kraftprisen) kan bli </w:t>
            </w:r>
            <w:proofErr w:type="spellStart"/>
            <w:r w:rsidRPr="00506115">
              <w:t>påverka</w:t>
            </w:r>
            <w:proofErr w:type="spellEnd"/>
            <w:r w:rsidRPr="00506115">
              <w:t xml:space="preserve"> av </w:t>
            </w:r>
            <w:proofErr w:type="spellStart"/>
            <w:r w:rsidRPr="00506115">
              <w:t>valutasvingingar</w:t>
            </w:r>
            <w:proofErr w:type="spellEnd"/>
            <w:r w:rsidRPr="00506115">
              <w:t>.</w:t>
            </w:r>
          </w:p>
        </w:tc>
      </w:tr>
      <w:tr w:rsidR="00A02896" w:rsidRPr="00506115" w14:paraId="5823F0FC" w14:textId="77777777" w:rsidTr="00506115">
        <w:trPr>
          <w:trHeight w:val="1920"/>
        </w:trPr>
        <w:tc>
          <w:tcPr>
            <w:tcW w:w="2552" w:type="dxa"/>
            <w:tcBorders>
              <w:top w:val="nil"/>
              <w:left w:val="nil"/>
              <w:bottom w:val="nil"/>
              <w:right w:val="nil"/>
            </w:tcBorders>
            <w:tcMar>
              <w:top w:w="128" w:type="dxa"/>
              <w:left w:w="43" w:type="dxa"/>
              <w:bottom w:w="43" w:type="dxa"/>
              <w:right w:w="43" w:type="dxa"/>
            </w:tcMar>
          </w:tcPr>
          <w:p w14:paraId="6D1A488F" w14:textId="77777777" w:rsidR="00A02896" w:rsidRPr="00506115" w:rsidRDefault="00AE1379" w:rsidP="00506115">
            <w:r w:rsidRPr="00506115">
              <w:rPr>
                <w:rStyle w:val="kursiv"/>
              </w:rPr>
              <w:t>Inflasjon</w:t>
            </w:r>
          </w:p>
        </w:tc>
        <w:tc>
          <w:tcPr>
            <w:tcW w:w="7229" w:type="dxa"/>
            <w:tcBorders>
              <w:top w:val="nil"/>
              <w:left w:val="nil"/>
              <w:bottom w:val="nil"/>
              <w:right w:val="nil"/>
            </w:tcBorders>
            <w:tcMar>
              <w:top w:w="128" w:type="dxa"/>
              <w:left w:w="43" w:type="dxa"/>
              <w:bottom w:w="43" w:type="dxa"/>
              <w:right w:w="43" w:type="dxa"/>
            </w:tcMar>
          </w:tcPr>
          <w:p w14:paraId="245E7E67" w14:textId="77777777" w:rsidR="00A02896" w:rsidRPr="00506115" w:rsidRDefault="00AE1379" w:rsidP="00506115">
            <w:r w:rsidRPr="00506115">
              <w:t xml:space="preserve">I avtalen er det lagt opp til at kontraktsprisen, minsteprisen og taket på samla </w:t>
            </w:r>
            <w:proofErr w:type="spellStart"/>
            <w:r w:rsidRPr="00506115">
              <w:t>betalingar</w:t>
            </w:r>
            <w:proofErr w:type="spellEnd"/>
            <w:r w:rsidRPr="00506115">
              <w:t xml:space="preserve"> skal </w:t>
            </w:r>
            <w:proofErr w:type="spellStart"/>
            <w:r w:rsidRPr="00506115">
              <w:t>inflasjonsjusterast</w:t>
            </w:r>
            <w:proofErr w:type="spellEnd"/>
            <w:r w:rsidRPr="00506115">
              <w:t xml:space="preserve"> ved ferdigstilling og </w:t>
            </w:r>
            <w:proofErr w:type="spellStart"/>
            <w:r w:rsidRPr="00506115">
              <w:t>idriftsetjing</w:t>
            </w:r>
            <w:proofErr w:type="spellEnd"/>
            <w:r w:rsidRPr="00506115">
              <w:t xml:space="preserve">. Deretter skal </w:t>
            </w:r>
            <w:proofErr w:type="spellStart"/>
            <w:r w:rsidRPr="00506115">
              <w:t>desse</w:t>
            </w:r>
            <w:proofErr w:type="spellEnd"/>
            <w:r w:rsidRPr="00506115">
              <w:t xml:space="preserve"> ligge fast gjennom heile støtteperioden. Dette </w:t>
            </w:r>
            <w:proofErr w:type="spellStart"/>
            <w:r w:rsidRPr="00506115">
              <w:t>inneber</w:t>
            </w:r>
            <w:proofErr w:type="spellEnd"/>
            <w:r w:rsidRPr="00506115">
              <w:t xml:space="preserve"> at staten ber inflasjonsrisikoen for </w:t>
            </w:r>
            <w:proofErr w:type="spellStart"/>
            <w:r w:rsidRPr="00506115">
              <w:t>desse</w:t>
            </w:r>
            <w:proofErr w:type="spellEnd"/>
            <w:r w:rsidRPr="00506115">
              <w:t xml:space="preserve"> </w:t>
            </w:r>
            <w:proofErr w:type="spellStart"/>
            <w:r w:rsidRPr="00506115">
              <w:t>storleikane</w:t>
            </w:r>
            <w:proofErr w:type="spellEnd"/>
            <w:r w:rsidRPr="00506115">
              <w:t xml:space="preserve"> fram til anlegget er ferdig bygd, og produsenten deretter. Inflasjonsrisikoen for investerings- og </w:t>
            </w:r>
            <w:proofErr w:type="spellStart"/>
            <w:r w:rsidRPr="00506115">
              <w:t>driftskostnadane</w:t>
            </w:r>
            <w:proofErr w:type="spellEnd"/>
            <w:r w:rsidRPr="00506115">
              <w:t xml:space="preserve"> ligg fullt ut hos produsenten, på same måte som </w:t>
            </w:r>
            <w:proofErr w:type="spellStart"/>
            <w:r w:rsidRPr="00506115">
              <w:t>annan</w:t>
            </w:r>
            <w:proofErr w:type="spellEnd"/>
            <w:r w:rsidRPr="00506115">
              <w:t xml:space="preserve"> kostnadsrisiko.</w:t>
            </w:r>
          </w:p>
        </w:tc>
      </w:tr>
      <w:tr w:rsidR="00A02896" w:rsidRPr="00506115" w14:paraId="5B575060" w14:textId="77777777" w:rsidTr="00506115">
        <w:trPr>
          <w:trHeight w:val="2160"/>
        </w:trPr>
        <w:tc>
          <w:tcPr>
            <w:tcW w:w="2552" w:type="dxa"/>
            <w:tcBorders>
              <w:top w:val="nil"/>
              <w:left w:val="nil"/>
              <w:bottom w:val="nil"/>
              <w:right w:val="nil"/>
            </w:tcBorders>
            <w:tcMar>
              <w:top w:w="128" w:type="dxa"/>
              <w:left w:w="43" w:type="dxa"/>
              <w:bottom w:w="43" w:type="dxa"/>
              <w:right w:w="43" w:type="dxa"/>
            </w:tcMar>
          </w:tcPr>
          <w:p w14:paraId="75E0DCE5" w14:textId="77777777" w:rsidR="00A02896" w:rsidRPr="00506115" w:rsidRDefault="00AE1379" w:rsidP="00506115">
            <w:r w:rsidRPr="00506115">
              <w:rPr>
                <w:rStyle w:val="kursiv"/>
              </w:rPr>
              <w:t>Force majeure</w:t>
            </w:r>
          </w:p>
        </w:tc>
        <w:tc>
          <w:tcPr>
            <w:tcW w:w="7229" w:type="dxa"/>
            <w:tcBorders>
              <w:top w:val="nil"/>
              <w:left w:val="nil"/>
              <w:bottom w:val="nil"/>
              <w:right w:val="nil"/>
            </w:tcBorders>
            <w:tcMar>
              <w:top w:w="128" w:type="dxa"/>
              <w:left w:w="43" w:type="dxa"/>
              <w:bottom w:w="43" w:type="dxa"/>
              <w:right w:w="43" w:type="dxa"/>
            </w:tcMar>
          </w:tcPr>
          <w:p w14:paraId="4E8725DE" w14:textId="77777777" w:rsidR="00A02896" w:rsidRPr="00506115" w:rsidRDefault="00AE1379" w:rsidP="00506115">
            <w:r w:rsidRPr="00506115">
              <w:t>Force majeure-</w:t>
            </w:r>
            <w:proofErr w:type="spellStart"/>
            <w:r w:rsidRPr="00506115">
              <w:t>hendingar</w:t>
            </w:r>
            <w:proofErr w:type="spellEnd"/>
            <w:r w:rsidRPr="00506115">
              <w:t xml:space="preserve"> i etableringsfasen kan føre til at </w:t>
            </w:r>
            <w:proofErr w:type="spellStart"/>
            <w:r w:rsidRPr="00506115">
              <w:t>dei</w:t>
            </w:r>
            <w:proofErr w:type="spellEnd"/>
            <w:r w:rsidRPr="00506115">
              <w:t xml:space="preserve"> </w:t>
            </w:r>
            <w:proofErr w:type="spellStart"/>
            <w:r w:rsidRPr="00506115">
              <w:t>sanksjonsbelagde</w:t>
            </w:r>
            <w:proofErr w:type="spellEnd"/>
            <w:r w:rsidRPr="00506115">
              <w:t xml:space="preserve"> </w:t>
            </w:r>
            <w:proofErr w:type="spellStart"/>
            <w:r w:rsidRPr="00506115">
              <w:t>milepælane</w:t>
            </w:r>
            <w:proofErr w:type="spellEnd"/>
            <w:r w:rsidRPr="00506115">
              <w:t xml:space="preserve"> og fristen for ferdigstilling av energianlegget blir utsett. </w:t>
            </w:r>
            <w:proofErr w:type="spellStart"/>
            <w:r w:rsidRPr="00506115">
              <w:t>Auka</w:t>
            </w:r>
            <w:proofErr w:type="spellEnd"/>
            <w:r w:rsidRPr="00506115">
              <w:t xml:space="preserve"> kostnader som følge av force majeure fører </w:t>
            </w:r>
            <w:proofErr w:type="spellStart"/>
            <w:r w:rsidRPr="00506115">
              <w:t>ikkje</w:t>
            </w:r>
            <w:proofErr w:type="spellEnd"/>
            <w:r w:rsidRPr="00506115">
              <w:t xml:space="preserve"> til </w:t>
            </w:r>
            <w:proofErr w:type="spellStart"/>
            <w:r w:rsidRPr="00506115">
              <w:t>auka</w:t>
            </w:r>
            <w:proofErr w:type="spellEnd"/>
            <w:r w:rsidRPr="00506115">
              <w:t xml:space="preserve"> betaling </w:t>
            </w:r>
            <w:proofErr w:type="spellStart"/>
            <w:r w:rsidRPr="00506115">
              <w:t>frå</w:t>
            </w:r>
            <w:proofErr w:type="spellEnd"/>
            <w:r w:rsidRPr="00506115">
              <w:t xml:space="preserve"> staten til produsenten.</w:t>
            </w:r>
          </w:p>
          <w:p w14:paraId="31C4860C" w14:textId="77777777" w:rsidR="00A02896" w:rsidRPr="00506115" w:rsidRDefault="00AE1379" w:rsidP="00506115">
            <w:r w:rsidRPr="00506115">
              <w:t>Force majeure-</w:t>
            </w:r>
            <w:proofErr w:type="spellStart"/>
            <w:r w:rsidRPr="00506115">
              <w:t>hendingar</w:t>
            </w:r>
            <w:proofErr w:type="spellEnd"/>
            <w:r w:rsidRPr="00506115">
              <w:t xml:space="preserve"> i støtteperioden gjev </w:t>
            </w:r>
            <w:proofErr w:type="spellStart"/>
            <w:r w:rsidRPr="00506115">
              <w:t>ikkje</w:t>
            </w:r>
            <w:proofErr w:type="spellEnd"/>
            <w:r w:rsidRPr="00506115">
              <w:t xml:space="preserve"> krav på </w:t>
            </w:r>
            <w:proofErr w:type="spellStart"/>
            <w:r w:rsidRPr="00506115">
              <w:t>auka</w:t>
            </w:r>
            <w:proofErr w:type="spellEnd"/>
            <w:r w:rsidRPr="00506115">
              <w:t xml:space="preserve"> eller endra betaling </w:t>
            </w:r>
            <w:proofErr w:type="spellStart"/>
            <w:r w:rsidRPr="00506115">
              <w:t>frå</w:t>
            </w:r>
            <w:proofErr w:type="spellEnd"/>
            <w:r w:rsidRPr="00506115">
              <w:t xml:space="preserve"> produsenten eller staten. Force majeure-</w:t>
            </w:r>
            <w:proofErr w:type="spellStart"/>
            <w:r w:rsidRPr="00506115">
              <w:t>hendingar</w:t>
            </w:r>
            <w:proofErr w:type="spellEnd"/>
            <w:r w:rsidRPr="00506115">
              <w:t xml:space="preserve"> vil likevel kunne ha verknad på produksjonen av elektrisk kraft </w:t>
            </w:r>
            <w:proofErr w:type="spellStart"/>
            <w:r w:rsidRPr="00506115">
              <w:t>frå</w:t>
            </w:r>
            <w:proofErr w:type="spellEnd"/>
            <w:r w:rsidRPr="00506115">
              <w:t xml:space="preserve"> energianlegget, og dermed indirekte </w:t>
            </w:r>
            <w:proofErr w:type="spellStart"/>
            <w:r w:rsidRPr="00506115">
              <w:t>påverke</w:t>
            </w:r>
            <w:proofErr w:type="spellEnd"/>
            <w:r w:rsidRPr="00506115">
              <w:t xml:space="preserve"> omfanget av pristillegg/</w:t>
            </w:r>
            <w:proofErr w:type="spellStart"/>
            <w:r w:rsidRPr="00506115">
              <w:t>prisfrådrag</w:t>
            </w:r>
            <w:proofErr w:type="spellEnd"/>
            <w:r w:rsidRPr="00506115">
              <w:t xml:space="preserve">. </w:t>
            </w:r>
          </w:p>
        </w:tc>
      </w:tr>
      <w:tr w:rsidR="00A02896" w:rsidRPr="00506115" w14:paraId="7A7EBE40" w14:textId="77777777" w:rsidTr="00506115">
        <w:trPr>
          <w:trHeight w:val="1140"/>
        </w:trPr>
        <w:tc>
          <w:tcPr>
            <w:tcW w:w="2552" w:type="dxa"/>
            <w:tcBorders>
              <w:top w:val="nil"/>
              <w:left w:val="nil"/>
              <w:bottom w:val="nil"/>
              <w:right w:val="nil"/>
            </w:tcBorders>
            <w:tcMar>
              <w:top w:w="128" w:type="dxa"/>
              <w:left w:w="43" w:type="dxa"/>
              <w:bottom w:w="43" w:type="dxa"/>
              <w:right w:w="43" w:type="dxa"/>
            </w:tcMar>
          </w:tcPr>
          <w:p w14:paraId="3FB360CC" w14:textId="77777777" w:rsidR="00A02896" w:rsidRPr="00506115" w:rsidRDefault="00AE1379" w:rsidP="00506115">
            <w:r w:rsidRPr="00506115">
              <w:rPr>
                <w:rStyle w:val="kursiv"/>
              </w:rPr>
              <w:t xml:space="preserve">Andre </w:t>
            </w:r>
            <w:proofErr w:type="spellStart"/>
            <w:r w:rsidRPr="00506115">
              <w:rPr>
                <w:rStyle w:val="kursiv"/>
              </w:rPr>
              <w:t>uføresette</w:t>
            </w:r>
            <w:proofErr w:type="spellEnd"/>
            <w:r w:rsidRPr="00506115">
              <w:rPr>
                <w:rStyle w:val="kursiv"/>
              </w:rPr>
              <w:t xml:space="preserve"> forhold</w:t>
            </w:r>
          </w:p>
        </w:tc>
        <w:tc>
          <w:tcPr>
            <w:tcW w:w="7229" w:type="dxa"/>
            <w:tcBorders>
              <w:top w:val="nil"/>
              <w:left w:val="nil"/>
              <w:bottom w:val="nil"/>
              <w:right w:val="nil"/>
            </w:tcBorders>
            <w:tcMar>
              <w:top w:w="128" w:type="dxa"/>
              <w:left w:w="43" w:type="dxa"/>
              <w:bottom w:w="43" w:type="dxa"/>
              <w:right w:w="43" w:type="dxa"/>
            </w:tcMar>
          </w:tcPr>
          <w:p w14:paraId="5F95377E" w14:textId="77777777" w:rsidR="00A02896" w:rsidRPr="00506115" w:rsidRDefault="00AE1379" w:rsidP="00506115">
            <w:r w:rsidRPr="00506115">
              <w:t xml:space="preserve">Avtalen </w:t>
            </w:r>
            <w:proofErr w:type="spellStart"/>
            <w:r w:rsidRPr="00506115">
              <w:t>inneheld</w:t>
            </w:r>
            <w:proofErr w:type="spellEnd"/>
            <w:r w:rsidRPr="00506115">
              <w:t xml:space="preserve"> ingen føresegner som gjev produsenten rett til </w:t>
            </w:r>
            <w:proofErr w:type="spellStart"/>
            <w:r w:rsidRPr="00506115">
              <w:t>auka</w:t>
            </w:r>
            <w:proofErr w:type="spellEnd"/>
            <w:r w:rsidRPr="00506115">
              <w:t xml:space="preserve"> støtte eller rett til å </w:t>
            </w:r>
            <w:proofErr w:type="spellStart"/>
            <w:r w:rsidRPr="00506115">
              <w:t>krevje</w:t>
            </w:r>
            <w:proofErr w:type="spellEnd"/>
            <w:r w:rsidRPr="00506115">
              <w:t xml:space="preserve"> at avtalen blir reforhandla om det skjer uventa forhold. </w:t>
            </w:r>
            <w:proofErr w:type="spellStart"/>
            <w:r w:rsidRPr="00506115">
              <w:t>Bakgrunnsrettslege</w:t>
            </w:r>
            <w:proofErr w:type="spellEnd"/>
            <w:r w:rsidRPr="00506115">
              <w:t xml:space="preserve"> </w:t>
            </w:r>
            <w:proofErr w:type="spellStart"/>
            <w:r w:rsidRPr="00506115">
              <w:t>reglar</w:t>
            </w:r>
            <w:proofErr w:type="spellEnd"/>
            <w:r w:rsidRPr="00506115">
              <w:t xml:space="preserve"> oppstiller </w:t>
            </w:r>
            <w:proofErr w:type="spellStart"/>
            <w:r w:rsidRPr="00506115">
              <w:t>ein</w:t>
            </w:r>
            <w:proofErr w:type="spellEnd"/>
            <w:r w:rsidRPr="00506115">
              <w:t xml:space="preserve"> svært </w:t>
            </w:r>
            <w:proofErr w:type="spellStart"/>
            <w:r w:rsidRPr="00506115">
              <w:t>høg</w:t>
            </w:r>
            <w:proofErr w:type="spellEnd"/>
            <w:r w:rsidRPr="00506115">
              <w:t xml:space="preserve"> terskel for revisjon av kommersielle </w:t>
            </w:r>
            <w:proofErr w:type="spellStart"/>
            <w:r w:rsidRPr="00506115">
              <w:t>avtalar</w:t>
            </w:r>
            <w:proofErr w:type="spellEnd"/>
            <w:r w:rsidRPr="00506115">
              <w:t xml:space="preserve"> mellom profesjonelle </w:t>
            </w:r>
            <w:proofErr w:type="spellStart"/>
            <w:r w:rsidRPr="00506115">
              <w:t>partar</w:t>
            </w:r>
            <w:proofErr w:type="spellEnd"/>
            <w:r w:rsidRPr="00506115">
              <w:t>.</w:t>
            </w:r>
          </w:p>
        </w:tc>
      </w:tr>
      <w:tr w:rsidR="00A02896" w:rsidRPr="00506115" w14:paraId="6920696C" w14:textId="77777777" w:rsidTr="00506115">
        <w:trPr>
          <w:trHeight w:val="380"/>
        </w:trPr>
        <w:tc>
          <w:tcPr>
            <w:tcW w:w="2552" w:type="dxa"/>
            <w:tcBorders>
              <w:top w:val="nil"/>
              <w:left w:val="nil"/>
              <w:bottom w:val="single" w:sz="4" w:space="0" w:color="000000"/>
              <w:right w:val="nil"/>
            </w:tcBorders>
            <w:shd w:val="clear" w:color="auto" w:fill="auto"/>
            <w:tcMar>
              <w:top w:w="128" w:type="dxa"/>
              <w:left w:w="43" w:type="dxa"/>
              <w:bottom w:w="43" w:type="dxa"/>
              <w:right w:w="43" w:type="dxa"/>
            </w:tcMar>
          </w:tcPr>
          <w:p w14:paraId="6B55A983" w14:textId="77777777" w:rsidR="00A02896" w:rsidRPr="00506115" w:rsidRDefault="00AE1379" w:rsidP="00506115">
            <w:proofErr w:type="spellStart"/>
            <w:r w:rsidRPr="00506115">
              <w:rPr>
                <w:rStyle w:val="kursiv"/>
              </w:rPr>
              <w:t>Oppseiing</w:t>
            </w:r>
            <w:proofErr w:type="spellEnd"/>
          </w:p>
        </w:tc>
        <w:tc>
          <w:tcPr>
            <w:tcW w:w="7229" w:type="dxa"/>
            <w:tcBorders>
              <w:top w:val="nil"/>
              <w:left w:val="nil"/>
              <w:bottom w:val="single" w:sz="4" w:space="0" w:color="000000"/>
              <w:right w:val="nil"/>
            </w:tcBorders>
            <w:shd w:val="clear" w:color="auto" w:fill="auto"/>
            <w:tcMar>
              <w:top w:w="128" w:type="dxa"/>
              <w:left w:w="43" w:type="dxa"/>
              <w:bottom w:w="43" w:type="dxa"/>
              <w:right w:w="43" w:type="dxa"/>
            </w:tcMar>
          </w:tcPr>
          <w:p w14:paraId="505507FE" w14:textId="77777777" w:rsidR="00A02896" w:rsidRPr="00506115" w:rsidRDefault="00AE1379" w:rsidP="00506115">
            <w:r w:rsidRPr="00506115">
              <w:t xml:space="preserve">Ingen av </w:t>
            </w:r>
            <w:proofErr w:type="spellStart"/>
            <w:r w:rsidRPr="00506115">
              <w:t>partane</w:t>
            </w:r>
            <w:proofErr w:type="spellEnd"/>
            <w:r w:rsidRPr="00506115">
              <w:t xml:space="preserve"> har rett til å </w:t>
            </w:r>
            <w:proofErr w:type="spellStart"/>
            <w:r w:rsidRPr="00506115">
              <w:t>seie</w:t>
            </w:r>
            <w:proofErr w:type="spellEnd"/>
            <w:r w:rsidRPr="00506115">
              <w:t xml:space="preserve"> opp avtalen.</w:t>
            </w:r>
            <w:r w:rsidRPr="00506115">
              <w:rPr>
                <w:rStyle w:val="skrift-hevet"/>
              </w:rPr>
              <w:t>1</w:t>
            </w:r>
          </w:p>
        </w:tc>
      </w:tr>
    </w:tbl>
    <w:p w14:paraId="158162B4" w14:textId="77777777" w:rsidR="00A02896" w:rsidRPr="00506115" w:rsidRDefault="00AE1379" w:rsidP="00506115">
      <w:pPr>
        <w:pStyle w:val="tabell-noter"/>
      </w:pPr>
      <w:r w:rsidRPr="00506115">
        <w:rPr>
          <w:rStyle w:val="skrift-hevet"/>
        </w:rPr>
        <w:t>1</w:t>
      </w:r>
      <w:r w:rsidRPr="00506115">
        <w:tab/>
        <w:t xml:space="preserve">Sjå derimot hevingsrett ved </w:t>
      </w:r>
      <w:proofErr w:type="spellStart"/>
      <w:r w:rsidRPr="00506115">
        <w:t>vesentleg</w:t>
      </w:r>
      <w:proofErr w:type="spellEnd"/>
      <w:r w:rsidRPr="00506115">
        <w:t xml:space="preserve"> </w:t>
      </w:r>
      <w:proofErr w:type="spellStart"/>
      <w:r w:rsidRPr="00506115">
        <w:t>kontraktsbrot</w:t>
      </w:r>
      <w:proofErr w:type="spellEnd"/>
      <w:r w:rsidRPr="00506115">
        <w:t xml:space="preserve"> </w:t>
      </w:r>
      <w:proofErr w:type="spellStart"/>
      <w:r w:rsidRPr="00506115">
        <w:t>ovanfor</w:t>
      </w:r>
      <w:proofErr w:type="spellEnd"/>
      <w:r w:rsidRPr="00506115">
        <w:t>.</w:t>
      </w:r>
    </w:p>
    <w:p w14:paraId="1FB44D8A" w14:textId="77777777" w:rsidR="00A02896" w:rsidRPr="00506115" w:rsidRDefault="00AE1379" w:rsidP="00AE1379">
      <w:pPr>
        <w:pStyle w:val="Overskrift2"/>
      </w:pPr>
      <w:proofErr w:type="spellStart"/>
      <w:r w:rsidRPr="00506115">
        <w:t>Løyvingsprofil</w:t>
      </w:r>
      <w:proofErr w:type="spellEnd"/>
    </w:p>
    <w:p w14:paraId="630F58CF" w14:textId="77777777" w:rsidR="00A02896" w:rsidRPr="00506115" w:rsidRDefault="00AE1379" w:rsidP="00506115">
      <w:r w:rsidRPr="00506115">
        <w:t xml:space="preserve">Departementet </w:t>
      </w:r>
      <w:proofErr w:type="spellStart"/>
      <w:r w:rsidRPr="00506115">
        <w:t>føreslår</w:t>
      </w:r>
      <w:proofErr w:type="spellEnd"/>
      <w:r w:rsidRPr="00506115">
        <w:t xml:space="preserve"> å bruke teknikken i rammeverket for OPS-prosjekt (</w:t>
      </w:r>
      <w:proofErr w:type="spellStart"/>
      <w:r w:rsidRPr="00506115">
        <w:t>Offentleg</w:t>
      </w:r>
      <w:proofErr w:type="spellEnd"/>
      <w:r w:rsidRPr="00506115">
        <w:t xml:space="preserve">-privat-samarbeid) til å løyve støtte til havvindprosjekta. OPS-prosjekt </w:t>
      </w:r>
      <w:proofErr w:type="spellStart"/>
      <w:r w:rsidRPr="00506115">
        <w:t>inneber</w:t>
      </w:r>
      <w:proofErr w:type="spellEnd"/>
      <w:r w:rsidRPr="00506115">
        <w:t xml:space="preserve"> normalt at </w:t>
      </w:r>
      <w:proofErr w:type="spellStart"/>
      <w:r w:rsidRPr="00506115">
        <w:t>eit</w:t>
      </w:r>
      <w:proofErr w:type="spellEnd"/>
      <w:r w:rsidRPr="00506115">
        <w:t xml:space="preserve"> privat selskap står for prosjektering, finansiering, utbygging, drift og </w:t>
      </w:r>
      <w:proofErr w:type="spellStart"/>
      <w:r w:rsidRPr="00506115">
        <w:t>vedlikehald</w:t>
      </w:r>
      <w:proofErr w:type="spellEnd"/>
      <w:r w:rsidRPr="00506115">
        <w:t xml:space="preserve"> av til dømes </w:t>
      </w:r>
      <w:proofErr w:type="spellStart"/>
      <w:r w:rsidRPr="00506115">
        <w:t>eit</w:t>
      </w:r>
      <w:proofErr w:type="spellEnd"/>
      <w:r w:rsidRPr="00506115">
        <w:t xml:space="preserve"> infrastrukturprosjekt, og får betalt </w:t>
      </w:r>
      <w:proofErr w:type="spellStart"/>
      <w:r w:rsidRPr="00506115">
        <w:t>frå</w:t>
      </w:r>
      <w:proofErr w:type="spellEnd"/>
      <w:r w:rsidRPr="00506115">
        <w:t xml:space="preserve"> staten i </w:t>
      </w:r>
      <w:proofErr w:type="gramStart"/>
      <w:r w:rsidRPr="00506115">
        <w:t>ei kontraktsperiode</w:t>
      </w:r>
      <w:proofErr w:type="gramEnd"/>
      <w:r w:rsidRPr="00506115">
        <w:t xml:space="preserve"> etter at prosjektet er ferdig og tatt i bruk. OPS-rammeverket </w:t>
      </w:r>
      <w:proofErr w:type="spellStart"/>
      <w:r w:rsidRPr="00506115">
        <w:t>sikrar</w:t>
      </w:r>
      <w:proofErr w:type="spellEnd"/>
      <w:r w:rsidRPr="00506115">
        <w:t xml:space="preserve"> at </w:t>
      </w:r>
      <w:proofErr w:type="spellStart"/>
      <w:r w:rsidRPr="00506115">
        <w:t>løyvingar</w:t>
      </w:r>
      <w:proofErr w:type="spellEnd"/>
      <w:r w:rsidRPr="00506115">
        <w:t xml:space="preserve"> over statsbudsjettet skjer i takt med aktiviteten i prosjektet, og </w:t>
      </w:r>
      <w:proofErr w:type="spellStart"/>
      <w:r w:rsidRPr="00506115">
        <w:t>bidreg</w:t>
      </w:r>
      <w:proofErr w:type="spellEnd"/>
      <w:r w:rsidRPr="00506115">
        <w:t xml:space="preserve"> til at handlingsregelen kan oppfylle sitt </w:t>
      </w:r>
      <w:proofErr w:type="spellStart"/>
      <w:r w:rsidRPr="00506115">
        <w:t>føremål</w:t>
      </w:r>
      <w:proofErr w:type="spellEnd"/>
      <w:r w:rsidRPr="00506115">
        <w:t xml:space="preserve">. Rammeverket </w:t>
      </w:r>
      <w:proofErr w:type="spellStart"/>
      <w:r w:rsidRPr="00506115">
        <w:t>inneber</w:t>
      </w:r>
      <w:proofErr w:type="spellEnd"/>
      <w:r w:rsidRPr="00506115">
        <w:t xml:space="preserve"> at:</w:t>
      </w:r>
    </w:p>
    <w:p w14:paraId="5ECEE772" w14:textId="77777777" w:rsidR="00A02896" w:rsidRPr="00506115" w:rsidRDefault="00AE1379" w:rsidP="00AE1379">
      <w:pPr>
        <w:pStyle w:val="Liste"/>
      </w:pPr>
      <w:r w:rsidRPr="00506115">
        <w:t xml:space="preserve">staten sin estimerte forholdsmessige del av kostnadene i prosjektet vert sett av i takt med aktiviteten i OPS-prosjektet </w:t>
      </w:r>
      <w:proofErr w:type="spellStart"/>
      <w:r w:rsidRPr="00506115">
        <w:t>si</w:t>
      </w:r>
      <w:proofErr w:type="spellEnd"/>
      <w:r w:rsidRPr="00506115">
        <w:t xml:space="preserve"> investering. For </w:t>
      </w:r>
      <w:proofErr w:type="spellStart"/>
      <w:r w:rsidRPr="00506115">
        <w:t>havvindparkar</w:t>
      </w:r>
      <w:proofErr w:type="spellEnd"/>
      <w:r w:rsidRPr="00506115">
        <w:t xml:space="preserve"> </w:t>
      </w:r>
      <w:proofErr w:type="spellStart"/>
      <w:r w:rsidRPr="00506115">
        <w:t>inneber</w:t>
      </w:r>
      <w:proofErr w:type="spellEnd"/>
      <w:r w:rsidRPr="00506115">
        <w:t xml:space="preserve"> dette at løyvinga blir sett av i </w:t>
      </w:r>
      <w:proofErr w:type="spellStart"/>
      <w:r w:rsidRPr="00506115">
        <w:t>utbyggjingsåra</w:t>
      </w:r>
      <w:proofErr w:type="spellEnd"/>
      <w:r w:rsidRPr="00506115">
        <w:t>.</w:t>
      </w:r>
    </w:p>
    <w:p w14:paraId="4291EFFC" w14:textId="77777777" w:rsidR="00A02896" w:rsidRPr="00506115" w:rsidRDefault="00AE1379" w:rsidP="00AE1379">
      <w:pPr>
        <w:pStyle w:val="Liste"/>
      </w:pPr>
      <w:r w:rsidRPr="00506115">
        <w:lastRenderedPageBreak/>
        <w:t xml:space="preserve">midla som blir sett av til dekking av OPS-prosjektet si investeringsutgift, vert ført i </w:t>
      </w:r>
      <w:proofErr w:type="spellStart"/>
      <w:r w:rsidRPr="00506115">
        <w:t>statsrekneskapen</w:t>
      </w:r>
      <w:proofErr w:type="spellEnd"/>
      <w:r w:rsidRPr="00506115">
        <w:t xml:space="preserve"> og overført til </w:t>
      </w:r>
      <w:proofErr w:type="spellStart"/>
      <w:r w:rsidRPr="00506115">
        <w:t>ein</w:t>
      </w:r>
      <w:proofErr w:type="spellEnd"/>
      <w:r w:rsidRPr="00506115">
        <w:t xml:space="preserve"> </w:t>
      </w:r>
      <w:proofErr w:type="spellStart"/>
      <w:r w:rsidRPr="00506115">
        <w:t>ikkje-renteberande</w:t>
      </w:r>
      <w:proofErr w:type="spellEnd"/>
      <w:r w:rsidRPr="00506115">
        <w:t xml:space="preserve"> konto i Norges Bank.</w:t>
      </w:r>
    </w:p>
    <w:p w14:paraId="73B05BC7" w14:textId="77777777" w:rsidR="00A02896" w:rsidRPr="00506115" w:rsidRDefault="00AE1379" w:rsidP="00AE1379">
      <w:pPr>
        <w:pStyle w:val="Liste"/>
      </w:pPr>
      <w:r w:rsidRPr="00506115">
        <w:t xml:space="preserve">midla står på kontoen i Norges Bank inntil </w:t>
      </w:r>
      <w:proofErr w:type="spellStart"/>
      <w:r w:rsidRPr="00506115">
        <w:t>dei</w:t>
      </w:r>
      <w:proofErr w:type="spellEnd"/>
      <w:r w:rsidRPr="00506115">
        <w:t xml:space="preserve"> </w:t>
      </w:r>
      <w:proofErr w:type="spellStart"/>
      <w:proofErr w:type="gramStart"/>
      <w:r w:rsidRPr="00506115">
        <w:t>i følge</w:t>
      </w:r>
      <w:proofErr w:type="spellEnd"/>
      <w:proofErr w:type="gramEnd"/>
      <w:r w:rsidRPr="00506115">
        <w:t xml:space="preserve"> kontrakten med OPS-selskapet skal </w:t>
      </w:r>
      <w:proofErr w:type="spellStart"/>
      <w:r w:rsidRPr="00506115">
        <w:t>utbetalast</w:t>
      </w:r>
      <w:proofErr w:type="spellEnd"/>
      <w:r w:rsidRPr="00506115">
        <w:t>.</w:t>
      </w:r>
    </w:p>
    <w:p w14:paraId="4FBDDB33" w14:textId="77777777" w:rsidR="00A02896" w:rsidRPr="00506115" w:rsidRDefault="00AE1379" w:rsidP="00AE1379">
      <w:pPr>
        <w:pStyle w:val="Liste"/>
      </w:pPr>
      <w:r w:rsidRPr="00506115">
        <w:t xml:space="preserve">utbetalinga av støtte til prosjektet vil </w:t>
      </w:r>
      <w:proofErr w:type="spellStart"/>
      <w:r w:rsidRPr="00506115">
        <w:t>ikkje</w:t>
      </w:r>
      <w:proofErr w:type="spellEnd"/>
      <w:r w:rsidRPr="00506115">
        <w:t xml:space="preserve"> </w:t>
      </w:r>
      <w:proofErr w:type="spellStart"/>
      <w:r w:rsidRPr="00506115">
        <w:t>påverke</w:t>
      </w:r>
      <w:proofErr w:type="spellEnd"/>
      <w:r w:rsidRPr="00506115">
        <w:t xml:space="preserve"> utbetalingsåret for løyvinga over statsbudsjettet, men </w:t>
      </w:r>
      <w:proofErr w:type="spellStart"/>
      <w:r w:rsidRPr="00506115">
        <w:t>trekkast</w:t>
      </w:r>
      <w:proofErr w:type="spellEnd"/>
      <w:r w:rsidRPr="00506115">
        <w:t xml:space="preserve"> </w:t>
      </w:r>
      <w:proofErr w:type="spellStart"/>
      <w:r w:rsidRPr="00506115">
        <w:t>frå</w:t>
      </w:r>
      <w:proofErr w:type="spellEnd"/>
      <w:r w:rsidRPr="00506115">
        <w:t xml:space="preserve"> kontoen i Norges Bank.</w:t>
      </w:r>
    </w:p>
    <w:p w14:paraId="418F21BF" w14:textId="77777777" w:rsidR="00A02896" w:rsidRPr="00506115" w:rsidRDefault="00AE1379" w:rsidP="00506115">
      <w:r w:rsidRPr="00506115">
        <w:t xml:space="preserve">Ved bruk av teknikken i rammeverket for OPS-prosjekt blir </w:t>
      </w:r>
      <w:proofErr w:type="spellStart"/>
      <w:r w:rsidRPr="00506115">
        <w:t>løyvingane</w:t>
      </w:r>
      <w:proofErr w:type="spellEnd"/>
      <w:r w:rsidRPr="00506115">
        <w:t xml:space="preserve"> til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reelt og </w:t>
      </w:r>
      <w:proofErr w:type="spellStart"/>
      <w:r w:rsidRPr="00506115">
        <w:t>heilskapleg</w:t>
      </w:r>
      <w:proofErr w:type="spellEnd"/>
      <w:r w:rsidRPr="00506115">
        <w:t xml:space="preserve"> prioritert i statsbudsjettet på lik linje med infrastrukturprosjekt som blir gjennomført med tradisjonelle </w:t>
      </w:r>
      <w:proofErr w:type="spellStart"/>
      <w:r w:rsidRPr="00506115">
        <w:t>kontraktar</w:t>
      </w:r>
      <w:proofErr w:type="spellEnd"/>
      <w:r w:rsidRPr="00506115">
        <w:t>. Samtidig blir statsbudsjettet sin funksjon som finanspolitisk styringsverktøy ivaretatt ved at løyvinga betre reflekterer aktiviteten i økonomien, jf. omtale i Meld. St. 25 (2014–2015).</w:t>
      </w:r>
    </w:p>
    <w:p w14:paraId="2B0E7DA5" w14:textId="77777777" w:rsidR="00A02896" w:rsidRPr="00506115" w:rsidRDefault="00AE1379" w:rsidP="00AE1379">
      <w:pPr>
        <w:pStyle w:val="Overskrift1"/>
      </w:pPr>
      <w:r w:rsidRPr="00506115">
        <w:t xml:space="preserve">Økonomiske og administrative </w:t>
      </w:r>
      <w:proofErr w:type="spellStart"/>
      <w:r w:rsidRPr="00506115">
        <w:t>konsekvensar</w:t>
      </w:r>
      <w:proofErr w:type="spellEnd"/>
    </w:p>
    <w:p w14:paraId="65F6F3F0" w14:textId="77777777" w:rsidR="00A02896" w:rsidRPr="00506115" w:rsidRDefault="00AE1379" w:rsidP="00506115">
      <w:proofErr w:type="spellStart"/>
      <w:r w:rsidRPr="00506115">
        <w:t>Løyvingane</w:t>
      </w:r>
      <w:proofErr w:type="spellEnd"/>
      <w:r w:rsidRPr="00506115">
        <w:t xml:space="preserve"> til fornybar energiproduksjon i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vil bli </w:t>
      </w:r>
      <w:proofErr w:type="spellStart"/>
      <w:r w:rsidRPr="00506115">
        <w:t>rekna</w:t>
      </w:r>
      <w:proofErr w:type="spellEnd"/>
      <w:r w:rsidRPr="00506115">
        <w:t xml:space="preserve"> som ei ordinær utgift i statsbudsjettet og vil bli sett av i takt med utbygginga av havvindparken. Utbygging av </w:t>
      </w:r>
      <w:proofErr w:type="spellStart"/>
      <w:r w:rsidRPr="00506115">
        <w:t>havvindparkar</w:t>
      </w:r>
      <w:proofErr w:type="spellEnd"/>
      <w:r w:rsidRPr="00506115">
        <w:t xml:space="preserve"> går </w:t>
      </w:r>
      <w:proofErr w:type="spellStart"/>
      <w:r w:rsidRPr="00506115">
        <w:t>vanlegvis</w:t>
      </w:r>
      <w:proofErr w:type="spellEnd"/>
      <w:r w:rsidRPr="00506115">
        <w:t xml:space="preserve"> over 3–4 år. Det er lagt opp til at utgiftene blir løyvde i utbyggingsåra. Olje- og energidepartementet vil komme tilbake til dette i </w:t>
      </w:r>
      <w:proofErr w:type="spellStart"/>
      <w:r w:rsidRPr="00506115">
        <w:t>dei</w:t>
      </w:r>
      <w:proofErr w:type="spellEnd"/>
      <w:r w:rsidRPr="00506115">
        <w:t xml:space="preserve"> </w:t>
      </w:r>
      <w:proofErr w:type="spellStart"/>
      <w:r w:rsidRPr="00506115">
        <w:t>årlege</w:t>
      </w:r>
      <w:proofErr w:type="spellEnd"/>
      <w:r w:rsidRPr="00506115">
        <w:t xml:space="preserve"> </w:t>
      </w:r>
      <w:proofErr w:type="spellStart"/>
      <w:r w:rsidRPr="00506115">
        <w:t>budsjettproposisjonane</w:t>
      </w:r>
      <w:proofErr w:type="spellEnd"/>
      <w:r w:rsidRPr="00506115">
        <w:t xml:space="preserve">. Maksimalt kan prosjektet få støtte </w:t>
      </w:r>
      <w:proofErr w:type="spellStart"/>
      <w:r w:rsidRPr="00506115">
        <w:t>tilsvarande</w:t>
      </w:r>
      <w:proofErr w:type="spellEnd"/>
      <w:r w:rsidRPr="00506115">
        <w:t xml:space="preserve"> det </w:t>
      </w:r>
      <w:proofErr w:type="spellStart"/>
      <w:r w:rsidRPr="00506115">
        <w:t>føreslåtte</w:t>
      </w:r>
      <w:proofErr w:type="spellEnd"/>
      <w:r w:rsidRPr="00506115">
        <w:t xml:space="preserve"> taket for støtte på 15 mrd. kroner. Kontraktsprisen, minsteprisen og støttetaket vil bli inflasjonsjustert etter konsumprisindeksen med verknad </w:t>
      </w:r>
      <w:proofErr w:type="spellStart"/>
      <w:r w:rsidRPr="00506115">
        <w:t>frå</w:t>
      </w:r>
      <w:proofErr w:type="spellEnd"/>
      <w:r w:rsidRPr="00506115">
        <w:t xml:space="preserve"> 1. kvartal 2024 fram til det første kvartalet der havvindparken er sett i drift. </w:t>
      </w:r>
      <w:proofErr w:type="spellStart"/>
      <w:r w:rsidRPr="00506115">
        <w:t>Utbetalingane</w:t>
      </w:r>
      <w:proofErr w:type="spellEnd"/>
      <w:r w:rsidRPr="00506115">
        <w:t xml:space="preserve"> under differansekontrakten vil bli forvalta av departementet eller ei </w:t>
      </w:r>
      <w:proofErr w:type="spellStart"/>
      <w:r w:rsidRPr="00506115">
        <w:t>verksemd</w:t>
      </w:r>
      <w:proofErr w:type="spellEnd"/>
      <w:r w:rsidRPr="00506115">
        <w:t xml:space="preserve"> bestemt av departementet. Den administrative oppfølginga vil </w:t>
      </w:r>
      <w:proofErr w:type="spellStart"/>
      <w:r w:rsidRPr="00506115">
        <w:t>dekkast</w:t>
      </w:r>
      <w:proofErr w:type="spellEnd"/>
      <w:r w:rsidRPr="00506115">
        <w:t xml:space="preserve"> </w:t>
      </w:r>
      <w:proofErr w:type="spellStart"/>
      <w:r w:rsidRPr="00506115">
        <w:t>innanfor</w:t>
      </w:r>
      <w:proofErr w:type="spellEnd"/>
      <w:r w:rsidRPr="00506115">
        <w:t xml:space="preserve"> </w:t>
      </w:r>
      <w:proofErr w:type="spellStart"/>
      <w:r w:rsidRPr="00506115">
        <w:t>dei</w:t>
      </w:r>
      <w:proofErr w:type="spellEnd"/>
      <w:r w:rsidRPr="00506115">
        <w:t xml:space="preserve"> til </w:t>
      </w:r>
      <w:proofErr w:type="spellStart"/>
      <w:r w:rsidRPr="00506115">
        <w:t>ein</w:t>
      </w:r>
      <w:proofErr w:type="spellEnd"/>
      <w:r w:rsidRPr="00506115">
        <w:t xml:space="preserve"> kvar tid </w:t>
      </w:r>
      <w:proofErr w:type="spellStart"/>
      <w:r w:rsidRPr="00506115">
        <w:t>gjeldande</w:t>
      </w:r>
      <w:proofErr w:type="spellEnd"/>
      <w:r w:rsidRPr="00506115">
        <w:t xml:space="preserve"> budsjettrammer. Med dagens utsikter for kostnader og </w:t>
      </w:r>
      <w:proofErr w:type="spellStart"/>
      <w:r w:rsidRPr="00506115">
        <w:t>kraftprisar</w:t>
      </w:r>
      <w:proofErr w:type="spellEnd"/>
      <w:r w:rsidRPr="00506115">
        <w:t xml:space="preserve"> for havvind er det </w:t>
      </w:r>
      <w:proofErr w:type="spellStart"/>
      <w:r w:rsidRPr="00506115">
        <w:t>ikkje</w:t>
      </w:r>
      <w:proofErr w:type="spellEnd"/>
      <w:r w:rsidRPr="00506115">
        <w:t xml:space="preserve"> forventa grunnrente over tid, og det er derfor </w:t>
      </w:r>
      <w:proofErr w:type="spellStart"/>
      <w:r w:rsidRPr="00506115">
        <w:t>ikkje</w:t>
      </w:r>
      <w:proofErr w:type="spellEnd"/>
      <w:r w:rsidRPr="00506115">
        <w:t xml:space="preserve"> aktuelt for denne regjeringa å innføre grunnrenteskatt.</w:t>
      </w:r>
    </w:p>
    <w:p w14:paraId="4DF92597" w14:textId="77777777" w:rsidR="00A02896" w:rsidRPr="00506115" w:rsidRDefault="00AE1379" w:rsidP="00506115">
      <w:pPr>
        <w:pStyle w:val="a-tilraar-dep"/>
      </w:pPr>
      <w:r w:rsidRPr="00506115">
        <w:t>Olje- og energidepartementet</w:t>
      </w:r>
    </w:p>
    <w:p w14:paraId="6A23DECE" w14:textId="77777777" w:rsidR="00A02896" w:rsidRPr="00506115" w:rsidRDefault="00AE1379" w:rsidP="00506115">
      <w:pPr>
        <w:pStyle w:val="a-tilraar-tit"/>
      </w:pPr>
      <w:r w:rsidRPr="00506115">
        <w:t>tilrår:</w:t>
      </w:r>
    </w:p>
    <w:p w14:paraId="7D277394" w14:textId="77777777" w:rsidR="00A02896" w:rsidRPr="00506115" w:rsidRDefault="00AE1379" w:rsidP="00506115">
      <w:r w:rsidRPr="00506115">
        <w:t xml:space="preserve">At </w:t>
      </w:r>
      <w:proofErr w:type="spellStart"/>
      <w:r w:rsidRPr="00506115">
        <w:t>Dykkar</w:t>
      </w:r>
      <w:proofErr w:type="spellEnd"/>
      <w:r w:rsidRPr="00506115">
        <w:t xml:space="preserve"> Majestet godkjenner og skriv under </w:t>
      </w:r>
      <w:proofErr w:type="spellStart"/>
      <w:r w:rsidRPr="00506115">
        <w:t>eit</w:t>
      </w:r>
      <w:proofErr w:type="spellEnd"/>
      <w:r w:rsidRPr="00506115">
        <w:t xml:space="preserve"> framlagt forslag til proposisjon til Stortinget om fullmakt til å inngå </w:t>
      </w:r>
      <w:proofErr w:type="spellStart"/>
      <w:r w:rsidRPr="00506115">
        <w:t>ein</w:t>
      </w:r>
      <w:proofErr w:type="spellEnd"/>
      <w:r w:rsidRPr="00506115">
        <w:t xml:space="preserve"> tosidig differansekontrakt for støtte til fornybar energiproduksjon til havs </w:t>
      </w:r>
      <w:proofErr w:type="spellStart"/>
      <w:r w:rsidRPr="00506115">
        <w:t>frå</w:t>
      </w:r>
      <w:proofErr w:type="spellEnd"/>
      <w:r w:rsidRPr="00506115">
        <w:t xml:space="preserve">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w:t>
      </w:r>
    </w:p>
    <w:p w14:paraId="6D89E06F" w14:textId="77777777" w:rsidR="00A02896" w:rsidRPr="00506115" w:rsidRDefault="00AE1379" w:rsidP="00506115">
      <w:pPr>
        <w:pStyle w:val="a-konge-tekst"/>
      </w:pPr>
      <w:r w:rsidRPr="00506115">
        <w:rPr>
          <w:rStyle w:val="halvfet0"/>
        </w:rPr>
        <w:t>Vi HARALD</w:t>
      </w:r>
      <w:r w:rsidRPr="00506115">
        <w:t xml:space="preserve">, </w:t>
      </w:r>
      <w:proofErr w:type="spellStart"/>
      <w:r w:rsidRPr="00506115">
        <w:t>Noregs</w:t>
      </w:r>
      <w:proofErr w:type="spellEnd"/>
      <w:r w:rsidRPr="00506115">
        <w:t xml:space="preserve"> Konge,</w:t>
      </w:r>
    </w:p>
    <w:p w14:paraId="5D740346" w14:textId="77777777" w:rsidR="00A02896" w:rsidRPr="00506115" w:rsidRDefault="00AE1379" w:rsidP="00506115">
      <w:pPr>
        <w:pStyle w:val="a-konge-tit"/>
      </w:pPr>
      <w:r w:rsidRPr="00506115">
        <w:t>stadfester:</w:t>
      </w:r>
    </w:p>
    <w:p w14:paraId="46AE857F" w14:textId="77777777" w:rsidR="00A02896" w:rsidRPr="00506115" w:rsidRDefault="00AE1379" w:rsidP="00506115">
      <w:r w:rsidRPr="00506115">
        <w:t xml:space="preserve">Stortinget blir bedt om å </w:t>
      </w:r>
      <w:proofErr w:type="spellStart"/>
      <w:r w:rsidRPr="00506115">
        <w:t>gjere</w:t>
      </w:r>
      <w:proofErr w:type="spellEnd"/>
      <w:r w:rsidRPr="00506115">
        <w:t xml:space="preserve"> vedtak om fullmakt til å inngå </w:t>
      </w:r>
      <w:proofErr w:type="spellStart"/>
      <w:r w:rsidRPr="00506115">
        <w:t>ein</w:t>
      </w:r>
      <w:proofErr w:type="spellEnd"/>
      <w:r w:rsidRPr="00506115">
        <w:t xml:space="preserve"> tosidig differansekontrakt for støtte til fornybar energiproduksjon til havs </w:t>
      </w:r>
      <w:proofErr w:type="spellStart"/>
      <w:r w:rsidRPr="00506115">
        <w:t>frå</w:t>
      </w:r>
      <w:proofErr w:type="spellEnd"/>
      <w:r w:rsidRPr="00506115">
        <w:t xml:space="preserve">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i samsvar med </w:t>
      </w:r>
      <w:proofErr w:type="spellStart"/>
      <w:r w:rsidRPr="00506115">
        <w:t>eit</w:t>
      </w:r>
      <w:proofErr w:type="spellEnd"/>
      <w:r w:rsidRPr="00506115">
        <w:t xml:space="preserve"> vedlagt forslag.</w:t>
      </w:r>
    </w:p>
    <w:p w14:paraId="304436A6" w14:textId="77777777" w:rsidR="00A02896" w:rsidRPr="00506115" w:rsidRDefault="00AE1379" w:rsidP="00506115">
      <w:pPr>
        <w:pStyle w:val="a-vedtak-tit"/>
      </w:pPr>
      <w:r w:rsidRPr="00506115">
        <w:lastRenderedPageBreak/>
        <w:t>Forslag</w:t>
      </w:r>
    </w:p>
    <w:p w14:paraId="43F14C28" w14:textId="77777777" w:rsidR="00A02896" w:rsidRPr="00506115" w:rsidRDefault="00AE1379" w:rsidP="00506115">
      <w:pPr>
        <w:pStyle w:val="a-vedtak-tit"/>
      </w:pPr>
      <w:r w:rsidRPr="00506115">
        <w:t xml:space="preserve">til vedtak om fullmakt til å inngå </w:t>
      </w:r>
      <w:proofErr w:type="spellStart"/>
      <w:r w:rsidRPr="00506115">
        <w:t>ein</w:t>
      </w:r>
      <w:proofErr w:type="spellEnd"/>
      <w:r w:rsidRPr="00506115">
        <w:t xml:space="preserve"> tosidig differansekontrakt for støtte til fornybar energiproduksjon til havs </w:t>
      </w:r>
      <w:proofErr w:type="spellStart"/>
      <w:r w:rsidRPr="00506115">
        <w:t>frå</w:t>
      </w:r>
      <w:proofErr w:type="spellEnd"/>
      <w:r w:rsidRPr="00506115">
        <w:t xml:space="preserve">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w:t>
      </w:r>
    </w:p>
    <w:p w14:paraId="1B0369CF" w14:textId="77777777" w:rsidR="00A02896" w:rsidRPr="00506115" w:rsidRDefault="00AE1379" w:rsidP="00506115">
      <w:pPr>
        <w:pStyle w:val="a-vedtak-del"/>
      </w:pPr>
      <w:r w:rsidRPr="00506115">
        <w:t>I</w:t>
      </w:r>
    </w:p>
    <w:p w14:paraId="6CFEE46B" w14:textId="77777777" w:rsidR="00A02896" w:rsidRPr="00506115" w:rsidRDefault="00AE1379" w:rsidP="00506115">
      <w:r w:rsidRPr="00506115">
        <w:t xml:space="preserve">Stortinget </w:t>
      </w:r>
      <w:proofErr w:type="spellStart"/>
      <w:r w:rsidRPr="00506115">
        <w:t>samtykkjer</w:t>
      </w:r>
      <w:proofErr w:type="spellEnd"/>
      <w:r w:rsidRPr="00506115">
        <w:t xml:space="preserve"> i at Olje- og energidepartementet kan inngå </w:t>
      </w:r>
      <w:proofErr w:type="spellStart"/>
      <w:r w:rsidRPr="00506115">
        <w:t>ein</w:t>
      </w:r>
      <w:proofErr w:type="spellEnd"/>
      <w:r w:rsidRPr="00506115">
        <w:t xml:space="preserve"> tosidig differansekontrakt for støtte til fornybar energiproduksjon for første fase av </w:t>
      </w:r>
      <w:proofErr w:type="spellStart"/>
      <w:r w:rsidRPr="00506115">
        <w:t>Sørlege</w:t>
      </w:r>
      <w:proofErr w:type="spellEnd"/>
      <w:r w:rsidRPr="00506115">
        <w:t xml:space="preserve"> </w:t>
      </w:r>
      <w:proofErr w:type="spellStart"/>
      <w:r w:rsidRPr="00506115">
        <w:t>Nordsjø</w:t>
      </w:r>
      <w:proofErr w:type="spellEnd"/>
      <w:r w:rsidRPr="00506115">
        <w:t xml:space="preserve"> II, men slik at </w:t>
      </w:r>
      <w:proofErr w:type="spellStart"/>
      <w:r w:rsidRPr="00506115">
        <w:t>dei</w:t>
      </w:r>
      <w:proofErr w:type="spellEnd"/>
      <w:r w:rsidRPr="00506115">
        <w:t xml:space="preserve"> samla </w:t>
      </w:r>
      <w:proofErr w:type="spellStart"/>
      <w:r w:rsidRPr="00506115">
        <w:t>statlege</w:t>
      </w:r>
      <w:proofErr w:type="spellEnd"/>
      <w:r w:rsidRPr="00506115">
        <w:t xml:space="preserve"> </w:t>
      </w:r>
      <w:proofErr w:type="spellStart"/>
      <w:r w:rsidRPr="00506115">
        <w:t>forpliktingane</w:t>
      </w:r>
      <w:proofErr w:type="spellEnd"/>
      <w:r w:rsidRPr="00506115">
        <w:t xml:space="preserve"> </w:t>
      </w:r>
      <w:proofErr w:type="spellStart"/>
      <w:r w:rsidRPr="00506115">
        <w:t>ikkje</w:t>
      </w:r>
      <w:proofErr w:type="spellEnd"/>
      <w:r w:rsidRPr="00506115">
        <w:t xml:space="preserve"> overstig ei kostnadsramme på 15 mrd. kroner. Olje- og energidepartementet får fullmakt til å prisjustere kontraktspris, minsteprisen og kostnadsramma med verknad </w:t>
      </w:r>
      <w:proofErr w:type="spellStart"/>
      <w:r w:rsidRPr="00506115">
        <w:t>frå</w:t>
      </w:r>
      <w:proofErr w:type="spellEnd"/>
      <w:r w:rsidRPr="00506115">
        <w:t xml:space="preserve"> 1. kvartal 2024 fram til det første kvartalet der havvindparken er sett i drift.</w:t>
      </w:r>
    </w:p>
    <w:p w14:paraId="098DBBE2" w14:textId="77777777" w:rsidR="00A02896" w:rsidRPr="00506115" w:rsidRDefault="00A02896" w:rsidP="00506115"/>
    <w:sectPr w:rsidR="00A02896" w:rsidRPr="00506115">
      <w:headerReference w:type="even" r:id="rId13"/>
      <w:headerReference w:type="default" r:id="rId14"/>
      <w:footerReference w:type="even" r:id="rId15"/>
      <w:footerReference w:type="default" r:id="rId16"/>
      <w:headerReference w:type="first" r:id="rId17"/>
      <w:footerReference w:type="first" r:id="rId1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BD3B" w14:textId="77777777" w:rsidR="00A02896" w:rsidRDefault="00AE1379">
      <w:pPr>
        <w:spacing w:after="0" w:line="240" w:lineRule="auto"/>
      </w:pPr>
      <w:r>
        <w:separator/>
      </w:r>
    </w:p>
  </w:endnote>
  <w:endnote w:type="continuationSeparator" w:id="0">
    <w:p w14:paraId="23310042" w14:textId="77777777" w:rsidR="00A02896" w:rsidRDefault="00AE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D54E" w14:textId="77777777" w:rsidR="00A02896" w:rsidRPr="00506115" w:rsidRDefault="00A02896" w:rsidP="0050611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FFBE" w14:textId="77777777" w:rsidR="00A02896" w:rsidRPr="00506115" w:rsidRDefault="00A02896" w:rsidP="0050611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EF51" w14:textId="77777777" w:rsidR="00A02896" w:rsidRPr="00506115" w:rsidRDefault="00A02896" w:rsidP="0050611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088D" w14:textId="77777777" w:rsidR="00A02896" w:rsidRDefault="00AE1379">
      <w:pPr>
        <w:spacing w:after="0" w:line="240" w:lineRule="auto"/>
      </w:pPr>
      <w:r>
        <w:separator/>
      </w:r>
    </w:p>
  </w:footnote>
  <w:footnote w:type="continuationSeparator" w:id="0">
    <w:p w14:paraId="68C4CB74" w14:textId="77777777" w:rsidR="00A02896" w:rsidRDefault="00AE1379">
      <w:pPr>
        <w:spacing w:after="0" w:line="240" w:lineRule="auto"/>
      </w:pPr>
      <w:r>
        <w:continuationSeparator/>
      </w:r>
    </w:p>
  </w:footnote>
  <w:footnote w:id="1">
    <w:p w14:paraId="48418113" w14:textId="4656EE1D" w:rsidR="00A02896" w:rsidRDefault="00AE1379">
      <w:pPr>
        <w:pStyle w:val="Fotnotetekst"/>
      </w:pPr>
      <w:r>
        <w:rPr>
          <w:vertAlign w:val="superscript"/>
        </w:rPr>
        <w:footnoteRef/>
      </w:r>
      <w:r w:rsidRPr="00506115">
        <w:t xml:space="preserve">Meld. St. 11 (2021–2022) </w:t>
      </w:r>
      <w:r w:rsidRPr="00506115">
        <w:rPr>
          <w:rStyle w:val="kursiv"/>
        </w:rPr>
        <w:t>Tilleggsmelding til Meld. St. 36 (2020–2021) Energi til arbeid – langsiktig verdiskaping fra norske energiressurser</w:t>
      </w:r>
    </w:p>
  </w:footnote>
  <w:footnote w:id="2">
    <w:p w14:paraId="1C334F58" w14:textId="0FF9AB13" w:rsidR="00A02896" w:rsidRDefault="00AE1379">
      <w:pPr>
        <w:pStyle w:val="Fotnotetekst"/>
      </w:pPr>
      <w:r>
        <w:rPr>
          <w:vertAlign w:val="superscript"/>
        </w:rPr>
        <w:footnoteRef/>
      </w:r>
      <w:r w:rsidRPr="00506115">
        <w:t>Multiconsult (2022) Kartlegging av de norskbaserte næringene for fornybar energi, hydrogen og CO</w:t>
      </w:r>
      <w:r w:rsidRPr="00506115">
        <w:rPr>
          <w:rStyle w:val="skrift-senket"/>
        </w:rPr>
        <w:t>2</w:t>
      </w:r>
      <w:r w:rsidRPr="00506115">
        <w:t>-håndtering i 2021</w:t>
      </w:r>
    </w:p>
  </w:footnote>
  <w:footnote w:id="3">
    <w:p w14:paraId="423240D1" w14:textId="7824B7E3" w:rsidR="00A02896" w:rsidRDefault="00AE1379">
      <w:pPr>
        <w:pStyle w:val="Fotnotetekst"/>
      </w:pPr>
      <w:r>
        <w:rPr>
          <w:vertAlign w:val="superscript"/>
        </w:rPr>
        <w:footnoteRef/>
      </w:r>
      <w:r w:rsidRPr="00506115">
        <w:t xml:space="preserve">Fornybarnæringa inkluderer vasskraft, landbasert og havbasert vindkraft, solenergi og bioenergi. </w:t>
      </w:r>
      <w:proofErr w:type="spellStart"/>
      <w:r w:rsidRPr="00506115">
        <w:t>Omsetningstala</w:t>
      </w:r>
      <w:proofErr w:type="spellEnd"/>
      <w:r w:rsidRPr="00506115">
        <w:t xml:space="preserve"> inkluderer </w:t>
      </w:r>
      <w:proofErr w:type="spellStart"/>
      <w:r w:rsidRPr="00506115">
        <w:t>utstyrsleveransar</w:t>
      </w:r>
      <w:proofErr w:type="spellEnd"/>
      <w:r w:rsidRPr="00506115">
        <w:t xml:space="preserve">, </w:t>
      </w:r>
      <w:proofErr w:type="spellStart"/>
      <w:r w:rsidRPr="00506115">
        <w:t>utbyggingstenester</w:t>
      </w:r>
      <w:proofErr w:type="spellEnd"/>
      <w:r w:rsidRPr="00506115">
        <w:t xml:space="preserve">, rådgjeving og andre </w:t>
      </w:r>
      <w:proofErr w:type="spellStart"/>
      <w:r w:rsidRPr="00506115">
        <w:t>tenester</w:t>
      </w:r>
      <w:proofErr w:type="spellEnd"/>
      <w:r w:rsidRPr="00506115">
        <w:t xml:space="preserve">. </w:t>
      </w:r>
    </w:p>
  </w:footnote>
  <w:footnote w:id="4">
    <w:p w14:paraId="5DDB7263" w14:textId="33AF8450" w:rsidR="00A02896" w:rsidRDefault="00AE1379">
      <w:pPr>
        <w:pStyle w:val="Fotnotetekst"/>
      </w:pPr>
      <w:r>
        <w:rPr>
          <w:vertAlign w:val="superscript"/>
        </w:rPr>
        <w:footnoteRef/>
      </w:r>
      <w:proofErr w:type="spellStart"/>
      <w:r w:rsidRPr="00506115">
        <w:t>WindEurope</w:t>
      </w:r>
      <w:proofErr w:type="spellEnd"/>
      <w:r w:rsidRPr="00506115">
        <w:t xml:space="preserve"> (2021) </w:t>
      </w:r>
      <w:r w:rsidRPr="00506115">
        <w:rPr>
          <w:rStyle w:val="kursiv"/>
        </w:rPr>
        <w:t xml:space="preserve">Offshore Wind in Europe – Key trends and </w:t>
      </w:r>
      <w:proofErr w:type="spellStart"/>
      <w:r w:rsidRPr="00506115">
        <w:rPr>
          <w:rStyle w:val="kursiv"/>
        </w:rPr>
        <w:t>statistics</w:t>
      </w:r>
      <w:proofErr w:type="spellEnd"/>
    </w:p>
  </w:footnote>
  <w:footnote w:id="5">
    <w:p w14:paraId="5584E4A8" w14:textId="6F73CCD9" w:rsidR="00A02896" w:rsidRDefault="00AE1379">
      <w:pPr>
        <w:pStyle w:val="Fotnotetekst"/>
      </w:pPr>
      <w:r>
        <w:rPr>
          <w:vertAlign w:val="superscript"/>
        </w:rPr>
        <w:footnoteRef/>
      </w:r>
      <w:r w:rsidRPr="00506115">
        <w:t xml:space="preserve">NVE Rapport 47/2012 </w:t>
      </w:r>
      <w:r w:rsidRPr="00506115">
        <w:rPr>
          <w:rStyle w:val="kursiv"/>
        </w:rPr>
        <w:t>Havvind – strategisk konsekvensutredning</w:t>
      </w:r>
    </w:p>
  </w:footnote>
  <w:footnote w:id="6">
    <w:p w14:paraId="7E98401F" w14:textId="48868E3A" w:rsidR="00A02896" w:rsidRDefault="00AE1379">
      <w:pPr>
        <w:pStyle w:val="Fotnotetekst"/>
      </w:pPr>
      <w:r>
        <w:rPr>
          <w:vertAlign w:val="superscript"/>
        </w:rPr>
        <w:footnoteRef/>
      </w:r>
      <w:proofErr w:type="spellStart"/>
      <w:r w:rsidRPr="00506115">
        <w:t>WindEurope</w:t>
      </w:r>
      <w:proofErr w:type="spellEnd"/>
      <w:r w:rsidRPr="00506115">
        <w:t xml:space="preserve"> (2021) </w:t>
      </w:r>
      <w:r w:rsidRPr="00506115">
        <w:rPr>
          <w:rStyle w:val="kursiv"/>
        </w:rPr>
        <w:t xml:space="preserve">Offshore Wind in Europe – Key trends and </w:t>
      </w:r>
      <w:proofErr w:type="spellStart"/>
      <w:r w:rsidRPr="00506115">
        <w:rPr>
          <w:rStyle w:val="kursiv"/>
        </w:rPr>
        <w:t>statistics</w:t>
      </w:r>
      <w:proofErr w:type="spellEnd"/>
    </w:p>
  </w:footnote>
  <w:footnote w:id="7">
    <w:p w14:paraId="1DA18307" w14:textId="6D0B2866" w:rsidR="00A02896" w:rsidRDefault="00AE1379">
      <w:pPr>
        <w:pStyle w:val="Fotnotetekst"/>
      </w:pPr>
      <w:r>
        <w:rPr>
          <w:vertAlign w:val="superscript"/>
        </w:rPr>
        <w:footnoteRef/>
      </w:r>
      <w:r w:rsidRPr="00506115">
        <w:t xml:space="preserve">Statnett (2022) </w:t>
      </w:r>
      <w:r w:rsidRPr="00506115">
        <w:rPr>
          <w:rStyle w:val="kursiv"/>
        </w:rPr>
        <w:t xml:space="preserve">Brev av 1.12.22 </w:t>
      </w:r>
      <w:proofErr w:type="spellStart"/>
      <w:r w:rsidRPr="00506115">
        <w:rPr>
          <w:rStyle w:val="kursiv"/>
        </w:rPr>
        <w:t>Tilknytingspunkter</w:t>
      </w:r>
      <w:proofErr w:type="spellEnd"/>
      <w:r w:rsidRPr="00506115">
        <w:rPr>
          <w:rStyle w:val="kursiv"/>
        </w:rPr>
        <w:t xml:space="preserve"> Sørlige </w:t>
      </w:r>
      <w:proofErr w:type="spellStart"/>
      <w:r w:rsidRPr="00506115">
        <w:rPr>
          <w:rStyle w:val="kursiv"/>
        </w:rPr>
        <w:t>Nordsjø</w:t>
      </w:r>
      <w:proofErr w:type="spellEnd"/>
      <w:r w:rsidRPr="00506115">
        <w:rPr>
          <w:rStyle w:val="kursiv"/>
        </w:rPr>
        <w:t xml:space="preserve"> II fase 1 og Utsira Nord </w:t>
      </w:r>
    </w:p>
  </w:footnote>
  <w:footnote w:id="8">
    <w:p w14:paraId="3C7CD9AA" w14:textId="6019CF62" w:rsidR="00A02896" w:rsidRDefault="00AE1379">
      <w:pPr>
        <w:pStyle w:val="Fotnotetekst"/>
      </w:pPr>
      <w:r>
        <w:rPr>
          <w:vertAlign w:val="superscript"/>
        </w:rPr>
        <w:footnoteRef/>
      </w:r>
      <w:r w:rsidRPr="00506115">
        <w:t>Dette blir omtalt som «</w:t>
      </w:r>
      <w:proofErr w:type="spellStart"/>
      <w:r w:rsidRPr="00506115">
        <w:t>dimensjonerande</w:t>
      </w:r>
      <w:proofErr w:type="spellEnd"/>
      <w:r w:rsidRPr="00506115">
        <w:t xml:space="preserve"> feil», som er det </w:t>
      </w:r>
      <w:proofErr w:type="spellStart"/>
      <w:r w:rsidRPr="00506115">
        <w:t>høgste</w:t>
      </w:r>
      <w:proofErr w:type="spellEnd"/>
      <w:r w:rsidRPr="00506115">
        <w:t xml:space="preserve"> effektutfallet som kan skje i transmisjonsnettet ved </w:t>
      </w:r>
      <w:proofErr w:type="spellStart"/>
      <w:r w:rsidRPr="00506115">
        <w:t>ein</w:t>
      </w:r>
      <w:proofErr w:type="spellEnd"/>
      <w:r w:rsidRPr="00506115">
        <w:t xml:space="preserve"> enkeltfeil </w:t>
      </w:r>
      <w:proofErr w:type="spellStart"/>
      <w:r w:rsidRPr="00506115">
        <w:t>utan</w:t>
      </w:r>
      <w:proofErr w:type="spellEnd"/>
      <w:r w:rsidRPr="00506115">
        <w:t xml:space="preserve"> at det må </w:t>
      </w:r>
      <w:proofErr w:type="spellStart"/>
      <w:r w:rsidRPr="00506115">
        <w:t>koplast</w:t>
      </w:r>
      <w:proofErr w:type="spellEnd"/>
      <w:r w:rsidRPr="00506115">
        <w:t xml:space="preserve"> ut forbruk. </w:t>
      </w:r>
    </w:p>
  </w:footnote>
  <w:footnote w:id="9">
    <w:p w14:paraId="384CF663" w14:textId="5935C608" w:rsidR="00A02896" w:rsidRDefault="00AE1379">
      <w:pPr>
        <w:pStyle w:val="Fotnotetekst"/>
      </w:pPr>
      <w:r>
        <w:rPr>
          <w:vertAlign w:val="superscript"/>
        </w:rPr>
        <w:footnoteRef/>
      </w:r>
      <w:r w:rsidRPr="00506115">
        <w:t>Sjå tabell 5.1 for omtale.</w:t>
      </w:r>
    </w:p>
  </w:footnote>
  <w:footnote w:id="10">
    <w:p w14:paraId="7B94FCCB" w14:textId="77777777" w:rsidR="00A02896" w:rsidRDefault="00AE1379" w:rsidP="00506115">
      <w:pPr>
        <w:pStyle w:val="Fotnotetekst"/>
      </w:pPr>
      <w:r>
        <w:rPr>
          <w:vertAlign w:val="superscript"/>
        </w:rPr>
        <w:footnoteRef/>
      </w:r>
      <w:r w:rsidRPr="00506115">
        <w:t xml:space="preserve">NVE (2021) </w:t>
      </w:r>
      <w:r w:rsidRPr="00506115">
        <w:rPr>
          <w:rStyle w:val="kursiv"/>
        </w:rPr>
        <w:t xml:space="preserve">Langsiktig markedsanalyse 2021 </w:t>
      </w:r>
      <w:r w:rsidRPr="00506115">
        <w:t xml:space="preserve">og </w:t>
      </w:r>
      <w:proofErr w:type="spellStart"/>
      <w:r w:rsidRPr="00506115">
        <w:t>Thema</w:t>
      </w:r>
      <w:proofErr w:type="spellEnd"/>
      <w:r w:rsidRPr="00506115">
        <w:t xml:space="preserve"> </w:t>
      </w:r>
      <w:proofErr w:type="spellStart"/>
      <w:r w:rsidRPr="00506115">
        <w:t>Consulting</w:t>
      </w:r>
      <w:proofErr w:type="spellEnd"/>
      <w:r w:rsidRPr="00506115">
        <w:t xml:space="preserve"> (2022) </w:t>
      </w:r>
      <w:r w:rsidRPr="00506115">
        <w:rPr>
          <w:rStyle w:val="kursiv"/>
        </w:rPr>
        <w:t>Kraftprisprognoser for NO2, september 2022</w:t>
      </w:r>
      <w:r w:rsidRPr="00506115">
        <w:t xml:space="preserve"> </w:t>
      </w:r>
    </w:p>
  </w:footnote>
  <w:footnote w:id="11">
    <w:p w14:paraId="734F9482" w14:textId="7EFAFC2A" w:rsidR="00A02896" w:rsidRDefault="00AE1379">
      <w:pPr>
        <w:pStyle w:val="Fotnotetekst"/>
      </w:pPr>
      <w:r>
        <w:rPr>
          <w:vertAlign w:val="superscript"/>
        </w:rPr>
        <w:footnoteRef/>
      </w:r>
      <w:r w:rsidRPr="00506115">
        <w:t xml:space="preserve">Statnett (2022) </w:t>
      </w:r>
      <w:r w:rsidRPr="00506115">
        <w:rPr>
          <w:rStyle w:val="kursiv"/>
        </w:rPr>
        <w:t xml:space="preserve">Fagrapport om havvind i Sørlige </w:t>
      </w:r>
      <w:proofErr w:type="spellStart"/>
      <w:r w:rsidRPr="00506115">
        <w:rPr>
          <w:rStyle w:val="kursiv"/>
        </w:rPr>
        <w:t>Nordsjø</w:t>
      </w:r>
      <w:proofErr w:type="spellEnd"/>
      <w:r w:rsidRPr="00506115">
        <w:rPr>
          <w:rStyle w:val="kursiv"/>
        </w:rPr>
        <w:t xml:space="preserve"> II</w:t>
      </w:r>
      <w:r w:rsidRPr="00506115">
        <w:t xml:space="preserve"> </w:t>
      </w:r>
    </w:p>
  </w:footnote>
  <w:footnote w:id="12">
    <w:p w14:paraId="7BF9E727" w14:textId="7DA8E099" w:rsidR="00A02896" w:rsidRDefault="00AE1379">
      <w:pPr>
        <w:pStyle w:val="Fotnotetekst"/>
      </w:pPr>
      <w:r>
        <w:rPr>
          <w:vertAlign w:val="superscript"/>
        </w:rPr>
        <w:footnoteRef/>
      </w:r>
      <w:r w:rsidRPr="00506115">
        <w:t xml:space="preserve">Statnett (2022) </w:t>
      </w:r>
      <w:r w:rsidRPr="00506115">
        <w:rPr>
          <w:rStyle w:val="kursiv"/>
        </w:rPr>
        <w:t xml:space="preserve">Fagrapport om havvind i Sørlige </w:t>
      </w:r>
      <w:proofErr w:type="spellStart"/>
      <w:r w:rsidRPr="00506115">
        <w:rPr>
          <w:rStyle w:val="kursiv"/>
        </w:rPr>
        <w:t>Nordsjø</w:t>
      </w:r>
      <w:proofErr w:type="spellEnd"/>
      <w:r w:rsidRPr="00506115">
        <w:rPr>
          <w:rStyle w:val="kursiv"/>
        </w:rPr>
        <w:t xml:space="preserve"> II.</w:t>
      </w:r>
      <w:r w:rsidRPr="00506115">
        <w:t xml:space="preserve"> </w:t>
      </w:r>
      <w:proofErr w:type="spellStart"/>
      <w:r w:rsidRPr="00506115">
        <w:t>Omberekna</w:t>
      </w:r>
      <w:proofErr w:type="spellEnd"/>
      <w:r w:rsidRPr="00506115">
        <w:t xml:space="preserve"> </w:t>
      </w:r>
      <w:proofErr w:type="spellStart"/>
      <w:r w:rsidRPr="00506115">
        <w:t>frå</w:t>
      </w:r>
      <w:proofErr w:type="spellEnd"/>
      <w:r w:rsidRPr="00506115">
        <w:t xml:space="preserve"> EUR/</w:t>
      </w:r>
      <w:proofErr w:type="spellStart"/>
      <w:r w:rsidRPr="00506115">
        <w:t>MWh</w:t>
      </w:r>
      <w:proofErr w:type="spellEnd"/>
      <w:r w:rsidRPr="00506115">
        <w:t xml:space="preserve">. Valutakurs: 9,9 NOK/EUR, jf. </w:t>
      </w:r>
      <w:proofErr w:type="spellStart"/>
      <w:r w:rsidRPr="00506115">
        <w:t>føresetning</w:t>
      </w:r>
      <w:proofErr w:type="spellEnd"/>
      <w:r w:rsidRPr="00506115">
        <w:t xml:space="preserve"> i </w:t>
      </w:r>
      <w:proofErr w:type="spellStart"/>
      <w:r w:rsidRPr="00506115">
        <w:t>Samnett</w:t>
      </w:r>
      <w:proofErr w:type="spellEnd"/>
      <w:r w:rsidRPr="00506115">
        <w:t>-modellen (</w:t>
      </w:r>
      <w:proofErr w:type="spellStart"/>
      <w:r w:rsidRPr="00506115">
        <w:t>kraftmarknadsmodell</w:t>
      </w:r>
      <w:proofErr w:type="spellEnd"/>
      <w:r w:rsidRPr="00506115">
        <w:t>).</w:t>
      </w:r>
    </w:p>
  </w:footnote>
  <w:footnote w:id="13">
    <w:p w14:paraId="6C660999" w14:textId="52BD4BD6" w:rsidR="00A02896" w:rsidRDefault="00AE1379">
      <w:pPr>
        <w:pStyle w:val="Fotnotetekst"/>
      </w:pPr>
      <w:r>
        <w:rPr>
          <w:vertAlign w:val="superscript"/>
        </w:rPr>
        <w:footnoteRef/>
      </w:r>
      <w:r w:rsidRPr="00506115">
        <w:t xml:space="preserve">Meld. St. 11 (2021–2022) </w:t>
      </w:r>
      <w:r w:rsidRPr="00506115">
        <w:rPr>
          <w:rStyle w:val="kursiv"/>
        </w:rPr>
        <w:t>Tilleggsmelding til Meld. St. 36 (2020–2021) Energi til arbeid – langsiktig verdiskaping fra norske energiressurser</w:t>
      </w:r>
    </w:p>
  </w:footnote>
  <w:footnote w:id="14">
    <w:p w14:paraId="218B2ED1" w14:textId="77777777" w:rsidR="00A02896" w:rsidRDefault="00AE1379" w:rsidP="00506115">
      <w:pPr>
        <w:pStyle w:val="Fotnotetekst"/>
      </w:pPr>
      <w:r>
        <w:rPr>
          <w:vertAlign w:val="superscript"/>
        </w:rPr>
        <w:footnoteRef/>
      </w:r>
      <w:r w:rsidRPr="00506115">
        <w:t xml:space="preserve">European </w:t>
      </w:r>
      <w:proofErr w:type="spellStart"/>
      <w:r w:rsidRPr="00506115">
        <w:t>Comission</w:t>
      </w:r>
      <w:proofErr w:type="spellEnd"/>
      <w:r w:rsidRPr="00506115">
        <w:t xml:space="preserve"> (2022) </w:t>
      </w:r>
      <w:r w:rsidRPr="00506115">
        <w:rPr>
          <w:rStyle w:val="kursiv"/>
        </w:rPr>
        <w:t xml:space="preserve">Guidelines </w:t>
      </w:r>
      <w:proofErr w:type="spellStart"/>
      <w:r w:rsidRPr="00506115">
        <w:rPr>
          <w:rStyle w:val="kursiv"/>
        </w:rPr>
        <w:t>on</w:t>
      </w:r>
      <w:proofErr w:type="spellEnd"/>
      <w:r w:rsidRPr="00506115">
        <w:rPr>
          <w:rStyle w:val="kursiv"/>
        </w:rPr>
        <w:t xml:space="preserve"> State </w:t>
      </w:r>
      <w:proofErr w:type="spellStart"/>
      <w:r w:rsidRPr="00506115">
        <w:rPr>
          <w:rStyle w:val="kursiv"/>
        </w:rPr>
        <w:t>aid</w:t>
      </w:r>
      <w:proofErr w:type="spellEnd"/>
      <w:r w:rsidRPr="00506115">
        <w:rPr>
          <w:rStyle w:val="kursiv"/>
        </w:rPr>
        <w:t xml:space="preserve"> for </w:t>
      </w:r>
      <w:proofErr w:type="spellStart"/>
      <w:r w:rsidRPr="00506115">
        <w:rPr>
          <w:rStyle w:val="kursiv"/>
        </w:rPr>
        <w:t>climate</w:t>
      </w:r>
      <w:proofErr w:type="spellEnd"/>
      <w:r w:rsidRPr="00506115">
        <w:rPr>
          <w:rStyle w:val="kursiv"/>
        </w:rPr>
        <w:t xml:space="preserve">, </w:t>
      </w:r>
      <w:proofErr w:type="spellStart"/>
      <w:r w:rsidRPr="00506115">
        <w:rPr>
          <w:rStyle w:val="kursiv"/>
        </w:rPr>
        <w:t>environmental</w:t>
      </w:r>
      <w:proofErr w:type="spellEnd"/>
      <w:r w:rsidRPr="00506115">
        <w:rPr>
          <w:rStyle w:val="kursiv"/>
        </w:rPr>
        <w:t xml:space="preserve"> </w:t>
      </w:r>
      <w:proofErr w:type="spellStart"/>
      <w:r w:rsidRPr="00506115">
        <w:rPr>
          <w:rStyle w:val="kursiv"/>
        </w:rPr>
        <w:t>protection</w:t>
      </w:r>
      <w:proofErr w:type="spellEnd"/>
      <w:r w:rsidRPr="00506115">
        <w:rPr>
          <w:rStyle w:val="kursiv"/>
        </w:rPr>
        <w:t xml:space="preserve"> and </w:t>
      </w:r>
      <w:proofErr w:type="spellStart"/>
      <w:r w:rsidRPr="00506115">
        <w:rPr>
          <w:rStyle w:val="kursiv"/>
        </w:rPr>
        <w:t>energy</w:t>
      </w:r>
      <w:proofErr w:type="spellEnd"/>
      <w:r w:rsidRPr="00506115">
        <w:rPr>
          <w:rStyle w:val="kursiv"/>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CF49" w14:textId="51B72367" w:rsidR="00A02896" w:rsidRPr="00506115" w:rsidRDefault="00A02896" w:rsidP="0050611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06B4" w14:textId="43132D21" w:rsidR="00A02896" w:rsidRPr="00506115" w:rsidRDefault="00A02896" w:rsidP="0050611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07C7" w14:textId="77777777" w:rsidR="00A02896" w:rsidRPr="00506115" w:rsidRDefault="00A02896" w:rsidP="0050611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557739462">
    <w:abstractNumId w:val="16"/>
  </w:num>
  <w:num w:numId="2" w16cid:durableId="170994017">
    <w:abstractNumId w:val="0"/>
  </w:num>
  <w:num w:numId="3" w16cid:durableId="451171155">
    <w:abstractNumId w:val="14"/>
  </w:num>
  <w:num w:numId="4" w16cid:durableId="1272206206">
    <w:abstractNumId w:val="7"/>
  </w:num>
  <w:num w:numId="5" w16cid:durableId="1308851293">
    <w:abstractNumId w:val="12"/>
  </w:num>
  <w:num w:numId="6" w16cid:durableId="1604848612">
    <w:abstractNumId w:val="17"/>
  </w:num>
  <w:num w:numId="7" w16cid:durableId="1520662882">
    <w:abstractNumId w:val="2"/>
  </w:num>
  <w:num w:numId="8" w16cid:durableId="2100179976">
    <w:abstractNumId w:val="1"/>
  </w:num>
  <w:num w:numId="9" w16cid:durableId="1127164066">
    <w:abstractNumId w:val="13"/>
  </w:num>
  <w:num w:numId="10" w16cid:durableId="283118028">
    <w:abstractNumId w:val="3"/>
  </w:num>
  <w:num w:numId="11" w16cid:durableId="93408854">
    <w:abstractNumId w:val="11"/>
  </w:num>
  <w:num w:numId="12" w16cid:durableId="287394226">
    <w:abstractNumId w:val="8"/>
  </w:num>
  <w:num w:numId="13" w16cid:durableId="109663372">
    <w:abstractNumId w:val="18"/>
  </w:num>
  <w:num w:numId="14" w16cid:durableId="1247113707">
    <w:abstractNumId w:val="5"/>
  </w:num>
  <w:num w:numId="15" w16cid:durableId="358167496">
    <w:abstractNumId w:val="15"/>
  </w:num>
  <w:num w:numId="16" w16cid:durableId="1249312889">
    <w:abstractNumId w:val="19"/>
  </w:num>
  <w:num w:numId="17" w16cid:durableId="1114177584">
    <w:abstractNumId w:val="9"/>
  </w:num>
  <w:num w:numId="18" w16cid:durableId="1812282832">
    <w:abstractNumId w:val="10"/>
  </w:num>
  <w:num w:numId="19" w16cid:durableId="2023896252">
    <w:abstractNumId w:val="20"/>
  </w:num>
  <w:num w:numId="20" w16cid:durableId="650449711">
    <w:abstractNumId w:val="4"/>
  </w:num>
  <w:num w:numId="21" w16cid:durableId="3757408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06115"/>
    <w:rsid w:val="00506115"/>
    <w:rsid w:val="006400BF"/>
    <w:rsid w:val="00A02896"/>
    <w:rsid w:val="00AE13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D7AB6"/>
  <w14:defaultImageDpi w14:val="0"/>
  <w15:docId w15:val="{D331FF9B-6176-4A39-B808-85A033CF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BF"/>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400B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400B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400B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400B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400B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400B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400B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400B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400B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400B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400B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400BF"/>
    <w:pPr>
      <w:keepNext/>
      <w:keepLines/>
      <w:spacing w:before="240" w:after="240"/>
    </w:pPr>
  </w:style>
  <w:style w:type="paragraph" w:customStyle="1" w:styleId="a-konge-tit">
    <w:name w:val="a-konge-tit"/>
    <w:basedOn w:val="Normal"/>
    <w:next w:val="Normal"/>
    <w:rsid w:val="006400BF"/>
    <w:pPr>
      <w:keepNext/>
      <w:keepLines/>
      <w:spacing w:before="240"/>
      <w:jc w:val="center"/>
    </w:pPr>
    <w:rPr>
      <w:spacing w:val="30"/>
    </w:rPr>
  </w:style>
  <w:style w:type="paragraph" w:customStyle="1" w:styleId="a-tilraar-dep">
    <w:name w:val="a-tilraar-dep"/>
    <w:basedOn w:val="Normal"/>
    <w:next w:val="Normal"/>
    <w:rsid w:val="006400B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400B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400B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400B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400B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400B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6400BF"/>
    <w:pPr>
      <w:numPr>
        <w:numId w:val="3"/>
      </w:numPr>
      <w:spacing w:after="0"/>
    </w:pPr>
  </w:style>
  <w:style w:type="paragraph" w:customStyle="1" w:styleId="alfaliste2">
    <w:name w:val="alfaliste 2"/>
    <w:basedOn w:val="Liste2"/>
    <w:rsid w:val="006400B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400B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400B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400B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400B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400B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400B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400B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6400BF"/>
    <w:rPr>
      <w:rFonts w:ascii="Arial" w:eastAsia="Times New Roman" w:hAnsi="Arial"/>
      <w:b/>
      <w:spacing w:val="4"/>
      <w:sz w:val="28"/>
    </w:rPr>
  </w:style>
  <w:style w:type="paragraph" w:customStyle="1" w:styleId="b-post">
    <w:name w:val="b-post"/>
    <w:basedOn w:val="Normal"/>
    <w:next w:val="Normal"/>
    <w:rsid w:val="006400B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400B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6400B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400B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400BF"/>
  </w:style>
  <w:style w:type="paragraph" w:customStyle="1" w:styleId="Def">
    <w:name w:val="Def"/>
    <w:basedOn w:val="hengende-innrykk"/>
    <w:rsid w:val="006400BF"/>
    <w:pPr>
      <w:spacing w:line="240" w:lineRule="auto"/>
      <w:ind w:left="0" w:firstLine="0"/>
    </w:pPr>
    <w:rPr>
      <w:rFonts w:ascii="Times" w:eastAsia="Batang" w:hAnsi="Times"/>
      <w:spacing w:val="0"/>
      <w:szCs w:val="20"/>
    </w:rPr>
  </w:style>
  <w:style w:type="paragraph" w:customStyle="1" w:styleId="del-nr">
    <w:name w:val="del-nr"/>
    <w:basedOn w:val="Normal"/>
    <w:qFormat/>
    <w:rsid w:val="006400B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400B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400BF"/>
  </w:style>
  <w:style w:type="paragraph" w:customStyle="1" w:styleId="figur-noter">
    <w:name w:val="figur-noter"/>
    <w:basedOn w:val="Normal"/>
    <w:next w:val="Normal"/>
    <w:rsid w:val="006400B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400B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400BF"/>
    <w:rPr>
      <w:sz w:val="20"/>
    </w:rPr>
  </w:style>
  <w:style w:type="character" w:customStyle="1" w:styleId="FotnotetekstTegn">
    <w:name w:val="Fotnotetekst Tegn"/>
    <w:basedOn w:val="Standardskriftforavsnitt"/>
    <w:link w:val="Fotnotetekst"/>
    <w:rsid w:val="006400BF"/>
    <w:rPr>
      <w:rFonts w:ascii="Times New Roman" w:eastAsia="Times New Roman" w:hAnsi="Times New Roman"/>
      <w:spacing w:val="4"/>
      <w:sz w:val="20"/>
    </w:rPr>
  </w:style>
  <w:style w:type="paragraph" w:customStyle="1" w:styleId="friliste">
    <w:name w:val="friliste"/>
    <w:basedOn w:val="Normal"/>
    <w:qFormat/>
    <w:rsid w:val="006400BF"/>
    <w:pPr>
      <w:tabs>
        <w:tab w:val="left" w:pos="397"/>
      </w:tabs>
      <w:spacing w:after="0"/>
      <w:ind w:left="397" w:hanging="397"/>
    </w:pPr>
    <w:rPr>
      <w:spacing w:val="0"/>
    </w:rPr>
  </w:style>
  <w:style w:type="paragraph" w:customStyle="1" w:styleId="friliste2">
    <w:name w:val="friliste 2"/>
    <w:basedOn w:val="Normal"/>
    <w:qFormat/>
    <w:rsid w:val="006400BF"/>
    <w:pPr>
      <w:tabs>
        <w:tab w:val="left" w:pos="794"/>
      </w:tabs>
      <w:spacing w:after="0"/>
      <w:ind w:left="794" w:hanging="397"/>
    </w:pPr>
    <w:rPr>
      <w:spacing w:val="0"/>
    </w:rPr>
  </w:style>
  <w:style w:type="paragraph" w:customStyle="1" w:styleId="friliste3">
    <w:name w:val="friliste 3"/>
    <w:basedOn w:val="Normal"/>
    <w:qFormat/>
    <w:rsid w:val="006400BF"/>
    <w:pPr>
      <w:tabs>
        <w:tab w:val="left" w:pos="1191"/>
      </w:tabs>
      <w:spacing w:after="0"/>
      <w:ind w:left="1191" w:hanging="397"/>
    </w:pPr>
    <w:rPr>
      <w:spacing w:val="0"/>
    </w:rPr>
  </w:style>
  <w:style w:type="paragraph" w:customStyle="1" w:styleId="friliste4">
    <w:name w:val="friliste 4"/>
    <w:basedOn w:val="Normal"/>
    <w:qFormat/>
    <w:rsid w:val="006400BF"/>
    <w:pPr>
      <w:tabs>
        <w:tab w:val="left" w:pos="1588"/>
      </w:tabs>
      <w:spacing w:after="0"/>
      <w:ind w:left="1588" w:hanging="397"/>
    </w:pPr>
    <w:rPr>
      <w:spacing w:val="0"/>
    </w:rPr>
  </w:style>
  <w:style w:type="paragraph" w:customStyle="1" w:styleId="friliste5">
    <w:name w:val="friliste 5"/>
    <w:basedOn w:val="Normal"/>
    <w:qFormat/>
    <w:rsid w:val="006400BF"/>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400BF"/>
    <w:pPr>
      <w:ind w:left="1418" w:hanging="1418"/>
    </w:pPr>
  </w:style>
  <w:style w:type="paragraph" w:customStyle="1" w:styleId="i-budkap-over">
    <w:name w:val="i-budkap-over"/>
    <w:basedOn w:val="Normal"/>
    <w:next w:val="Normal"/>
    <w:rsid w:val="006400BF"/>
    <w:pPr>
      <w:jc w:val="right"/>
    </w:pPr>
    <w:rPr>
      <w:rFonts w:ascii="Times" w:hAnsi="Times"/>
      <w:b/>
      <w:noProof/>
    </w:rPr>
  </w:style>
  <w:style w:type="paragraph" w:customStyle="1" w:styleId="i-dep">
    <w:name w:val="i-dep"/>
    <w:basedOn w:val="Normal"/>
    <w:next w:val="Normal"/>
    <w:rsid w:val="006400B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400B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400BF"/>
    <w:pPr>
      <w:keepNext/>
      <w:keepLines/>
      <w:jc w:val="center"/>
    </w:pPr>
    <w:rPr>
      <w:rFonts w:eastAsia="Batang"/>
      <w:b/>
      <w:sz w:val="28"/>
    </w:rPr>
  </w:style>
  <w:style w:type="paragraph" w:customStyle="1" w:styleId="i-mtit">
    <w:name w:val="i-mtit"/>
    <w:basedOn w:val="Normal"/>
    <w:next w:val="Normal"/>
    <w:rsid w:val="006400B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6400B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400BF"/>
    <w:pPr>
      <w:spacing w:after="0"/>
      <w:jc w:val="center"/>
    </w:pPr>
    <w:rPr>
      <w:rFonts w:ascii="Times" w:hAnsi="Times"/>
      <w:i/>
      <w:noProof/>
    </w:rPr>
  </w:style>
  <w:style w:type="paragraph" w:customStyle="1" w:styleId="i-termin">
    <w:name w:val="i-termin"/>
    <w:basedOn w:val="Normal"/>
    <w:next w:val="Normal"/>
    <w:rsid w:val="006400BF"/>
    <w:pPr>
      <w:spacing w:before="360"/>
      <w:jc w:val="center"/>
    </w:pPr>
    <w:rPr>
      <w:b/>
      <w:noProof/>
      <w:sz w:val="28"/>
    </w:rPr>
  </w:style>
  <w:style w:type="paragraph" w:customStyle="1" w:styleId="i-tit">
    <w:name w:val="i-tit"/>
    <w:basedOn w:val="Normal"/>
    <w:next w:val="i-statsrdato"/>
    <w:rsid w:val="006400B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400B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400B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6400BF"/>
    <w:pPr>
      <w:numPr>
        <w:numId w:val="12"/>
      </w:numPr>
    </w:pPr>
    <w:rPr>
      <w:rFonts w:eastAsiaTheme="minorEastAsia"/>
    </w:rPr>
  </w:style>
  <w:style w:type="paragraph" w:customStyle="1" w:styleId="l-alfaliste2">
    <w:name w:val="l-alfaliste 2"/>
    <w:basedOn w:val="alfaliste2"/>
    <w:qFormat/>
    <w:rsid w:val="006400B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400B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400B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400B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400BF"/>
    <w:rPr>
      <w:lang w:val="nn-NO"/>
    </w:rPr>
  </w:style>
  <w:style w:type="paragraph" w:customStyle="1" w:styleId="l-ledd">
    <w:name w:val="l-ledd"/>
    <w:basedOn w:val="Normal"/>
    <w:qFormat/>
    <w:rsid w:val="006400B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400B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400B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400B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400B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6400BF"/>
    <w:pPr>
      <w:spacing w:after="0"/>
    </w:pPr>
  </w:style>
  <w:style w:type="paragraph" w:customStyle="1" w:styleId="l-tit-endr-avsnitt">
    <w:name w:val="l-tit-endr-avsnitt"/>
    <w:basedOn w:val="l-tit-endr-lovkap"/>
    <w:qFormat/>
    <w:rsid w:val="006400BF"/>
  </w:style>
  <w:style w:type="paragraph" w:customStyle="1" w:styleId="l-tit-endr-ledd">
    <w:name w:val="l-tit-endr-ledd"/>
    <w:basedOn w:val="Normal"/>
    <w:qFormat/>
    <w:rsid w:val="006400BF"/>
    <w:pPr>
      <w:keepNext/>
      <w:spacing w:before="240" w:after="0" w:line="240" w:lineRule="auto"/>
    </w:pPr>
    <w:rPr>
      <w:rFonts w:ascii="Times" w:hAnsi="Times"/>
      <w:noProof/>
      <w:lang w:val="nn-NO"/>
    </w:rPr>
  </w:style>
  <w:style w:type="paragraph" w:customStyle="1" w:styleId="l-tit-endr-lov">
    <w:name w:val="l-tit-endr-lov"/>
    <w:basedOn w:val="Normal"/>
    <w:qFormat/>
    <w:rsid w:val="006400B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400BF"/>
    <w:pPr>
      <w:keepNext/>
      <w:spacing w:before="240" w:after="0" w:line="240" w:lineRule="auto"/>
    </w:pPr>
    <w:rPr>
      <w:rFonts w:ascii="Times" w:hAnsi="Times"/>
      <w:noProof/>
      <w:lang w:val="nn-NO"/>
    </w:rPr>
  </w:style>
  <w:style w:type="paragraph" w:customStyle="1" w:styleId="l-tit-endr-lovkap">
    <w:name w:val="l-tit-endr-lovkap"/>
    <w:basedOn w:val="Normal"/>
    <w:qFormat/>
    <w:rsid w:val="006400BF"/>
    <w:pPr>
      <w:keepNext/>
      <w:spacing w:before="240" w:after="0" w:line="240" w:lineRule="auto"/>
    </w:pPr>
    <w:rPr>
      <w:rFonts w:ascii="Times" w:hAnsi="Times"/>
      <w:noProof/>
      <w:lang w:val="nn-NO"/>
    </w:rPr>
  </w:style>
  <w:style w:type="paragraph" w:customStyle="1" w:styleId="l-tit-endr-paragraf">
    <w:name w:val="l-tit-endr-paragraf"/>
    <w:basedOn w:val="Normal"/>
    <w:qFormat/>
    <w:rsid w:val="006400BF"/>
    <w:pPr>
      <w:keepNext/>
      <w:spacing w:before="240" w:after="0" w:line="240" w:lineRule="auto"/>
    </w:pPr>
    <w:rPr>
      <w:rFonts w:ascii="Times" w:hAnsi="Times"/>
      <w:noProof/>
      <w:lang w:val="nn-NO"/>
    </w:rPr>
  </w:style>
  <w:style w:type="paragraph" w:customStyle="1" w:styleId="l-tit-endr-punktum">
    <w:name w:val="l-tit-endr-punktum"/>
    <w:basedOn w:val="l-tit-endr-ledd"/>
    <w:qFormat/>
    <w:rsid w:val="006400B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400BF"/>
    <w:pPr>
      <w:numPr>
        <w:numId w:val="6"/>
      </w:numPr>
      <w:spacing w:line="240" w:lineRule="auto"/>
      <w:contextualSpacing/>
    </w:pPr>
  </w:style>
  <w:style w:type="paragraph" w:styleId="Liste2">
    <w:name w:val="List 2"/>
    <w:basedOn w:val="Normal"/>
    <w:rsid w:val="006400BF"/>
    <w:pPr>
      <w:numPr>
        <w:ilvl w:val="1"/>
        <w:numId w:val="6"/>
      </w:numPr>
      <w:spacing w:after="0"/>
    </w:pPr>
  </w:style>
  <w:style w:type="paragraph" w:styleId="Liste3">
    <w:name w:val="List 3"/>
    <w:basedOn w:val="Normal"/>
    <w:rsid w:val="006400BF"/>
    <w:pPr>
      <w:numPr>
        <w:ilvl w:val="2"/>
        <w:numId w:val="6"/>
      </w:numPr>
      <w:spacing w:after="0"/>
    </w:pPr>
    <w:rPr>
      <w:spacing w:val="0"/>
    </w:rPr>
  </w:style>
  <w:style w:type="paragraph" w:styleId="Liste4">
    <w:name w:val="List 4"/>
    <w:basedOn w:val="Normal"/>
    <w:rsid w:val="006400BF"/>
    <w:pPr>
      <w:numPr>
        <w:ilvl w:val="3"/>
        <w:numId w:val="6"/>
      </w:numPr>
      <w:spacing w:after="0"/>
    </w:pPr>
    <w:rPr>
      <w:spacing w:val="0"/>
    </w:rPr>
  </w:style>
  <w:style w:type="paragraph" w:styleId="Liste5">
    <w:name w:val="List 5"/>
    <w:basedOn w:val="Normal"/>
    <w:rsid w:val="006400BF"/>
    <w:pPr>
      <w:numPr>
        <w:ilvl w:val="4"/>
        <w:numId w:val="6"/>
      </w:numPr>
      <w:spacing w:after="0"/>
    </w:pPr>
    <w:rPr>
      <w:spacing w:val="0"/>
    </w:rPr>
  </w:style>
  <w:style w:type="paragraph" w:customStyle="1" w:styleId="Listebombe">
    <w:name w:val="Liste bombe"/>
    <w:basedOn w:val="Liste"/>
    <w:qFormat/>
    <w:rsid w:val="006400BF"/>
    <w:pPr>
      <w:numPr>
        <w:numId w:val="14"/>
      </w:numPr>
      <w:tabs>
        <w:tab w:val="left" w:pos="397"/>
      </w:tabs>
      <w:ind w:left="397" w:hanging="397"/>
    </w:pPr>
  </w:style>
  <w:style w:type="paragraph" w:customStyle="1" w:styleId="Listebombe2">
    <w:name w:val="Liste bombe 2"/>
    <w:basedOn w:val="Liste2"/>
    <w:qFormat/>
    <w:rsid w:val="006400BF"/>
    <w:pPr>
      <w:numPr>
        <w:ilvl w:val="0"/>
        <w:numId w:val="15"/>
      </w:numPr>
      <w:ind w:left="794" w:hanging="397"/>
    </w:pPr>
  </w:style>
  <w:style w:type="paragraph" w:customStyle="1" w:styleId="Listebombe3">
    <w:name w:val="Liste bombe 3"/>
    <w:basedOn w:val="Liste3"/>
    <w:qFormat/>
    <w:rsid w:val="006400BF"/>
    <w:pPr>
      <w:numPr>
        <w:ilvl w:val="0"/>
        <w:numId w:val="16"/>
      </w:numPr>
      <w:ind w:left="1191" w:hanging="397"/>
    </w:pPr>
  </w:style>
  <w:style w:type="paragraph" w:customStyle="1" w:styleId="Listebombe4">
    <w:name w:val="Liste bombe 4"/>
    <w:basedOn w:val="Liste4"/>
    <w:qFormat/>
    <w:rsid w:val="006400BF"/>
    <w:pPr>
      <w:numPr>
        <w:ilvl w:val="0"/>
        <w:numId w:val="17"/>
      </w:numPr>
      <w:ind w:left="1588" w:hanging="397"/>
    </w:pPr>
  </w:style>
  <w:style w:type="paragraph" w:customStyle="1" w:styleId="Listebombe5">
    <w:name w:val="Liste bombe 5"/>
    <w:basedOn w:val="Liste5"/>
    <w:qFormat/>
    <w:rsid w:val="006400BF"/>
    <w:pPr>
      <w:numPr>
        <w:ilvl w:val="0"/>
        <w:numId w:val="18"/>
      </w:numPr>
      <w:ind w:left="1985" w:hanging="397"/>
    </w:pPr>
  </w:style>
  <w:style w:type="paragraph" w:styleId="Listeavsnitt">
    <w:name w:val="List Paragraph"/>
    <w:basedOn w:val="Normal"/>
    <w:uiPriority w:val="34"/>
    <w:qFormat/>
    <w:rsid w:val="006400BF"/>
    <w:pPr>
      <w:spacing w:before="60" w:after="0"/>
      <w:ind w:left="397"/>
    </w:pPr>
    <w:rPr>
      <w:spacing w:val="0"/>
    </w:rPr>
  </w:style>
  <w:style w:type="paragraph" w:customStyle="1" w:styleId="Listeavsnitt2">
    <w:name w:val="Listeavsnitt 2"/>
    <w:basedOn w:val="Normal"/>
    <w:qFormat/>
    <w:rsid w:val="006400BF"/>
    <w:pPr>
      <w:spacing w:before="60" w:after="0"/>
      <w:ind w:left="794"/>
    </w:pPr>
    <w:rPr>
      <w:spacing w:val="0"/>
    </w:rPr>
  </w:style>
  <w:style w:type="paragraph" w:customStyle="1" w:styleId="Listeavsnitt3">
    <w:name w:val="Listeavsnitt 3"/>
    <w:basedOn w:val="Normal"/>
    <w:qFormat/>
    <w:rsid w:val="006400BF"/>
    <w:pPr>
      <w:spacing w:before="60" w:after="0"/>
      <w:ind w:left="1191"/>
    </w:pPr>
    <w:rPr>
      <w:spacing w:val="0"/>
    </w:rPr>
  </w:style>
  <w:style w:type="paragraph" w:customStyle="1" w:styleId="Listeavsnitt4">
    <w:name w:val="Listeavsnitt 4"/>
    <w:basedOn w:val="Normal"/>
    <w:qFormat/>
    <w:rsid w:val="006400BF"/>
    <w:pPr>
      <w:spacing w:before="60" w:after="0"/>
      <w:ind w:left="1588"/>
    </w:pPr>
    <w:rPr>
      <w:spacing w:val="0"/>
    </w:rPr>
  </w:style>
  <w:style w:type="paragraph" w:customStyle="1" w:styleId="Listeavsnitt5">
    <w:name w:val="Listeavsnitt 5"/>
    <w:basedOn w:val="Normal"/>
    <w:qFormat/>
    <w:rsid w:val="006400B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400B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6400BF"/>
    <w:pPr>
      <w:numPr>
        <w:numId w:val="4"/>
      </w:numPr>
      <w:spacing w:after="0"/>
    </w:pPr>
    <w:rPr>
      <w:rFonts w:ascii="Times" w:eastAsia="Batang" w:hAnsi="Times"/>
      <w:spacing w:val="0"/>
      <w:szCs w:val="20"/>
    </w:rPr>
  </w:style>
  <w:style w:type="paragraph" w:styleId="Nummerertliste2">
    <w:name w:val="List Number 2"/>
    <w:basedOn w:val="Normal"/>
    <w:rsid w:val="006400B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400B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400B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400B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400BF"/>
    <w:pPr>
      <w:spacing w:after="0"/>
      <w:ind w:left="397"/>
    </w:pPr>
    <w:rPr>
      <w:spacing w:val="0"/>
      <w:lang w:val="en-US"/>
    </w:rPr>
  </w:style>
  <w:style w:type="paragraph" w:customStyle="1" w:styleId="opplisting3">
    <w:name w:val="opplisting 3"/>
    <w:basedOn w:val="Normal"/>
    <w:qFormat/>
    <w:rsid w:val="006400BF"/>
    <w:pPr>
      <w:spacing w:after="0"/>
      <w:ind w:left="794"/>
    </w:pPr>
    <w:rPr>
      <w:spacing w:val="0"/>
    </w:rPr>
  </w:style>
  <w:style w:type="paragraph" w:customStyle="1" w:styleId="opplisting4">
    <w:name w:val="opplisting 4"/>
    <w:basedOn w:val="Normal"/>
    <w:qFormat/>
    <w:rsid w:val="006400BF"/>
    <w:pPr>
      <w:spacing w:after="0"/>
      <w:ind w:left="1191"/>
    </w:pPr>
    <w:rPr>
      <w:spacing w:val="0"/>
    </w:rPr>
  </w:style>
  <w:style w:type="paragraph" w:customStyle="1" w:styleId="opplisting5">
    <w:name w:val="opplisting 5"/>
    <w:basedOn w:val="Normal"/>
    <w:qFormat/>
    <w:rsid w:val="006400B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6400B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6400BF"/>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6400BF"/>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6400BF"/>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6400BF"/>
    <w:rPr>
      <w:spacing w:val="6"/>
      <w:sz w:val="19"/>
    </w:rPr>
  </w:style>
  <w:style w:type="paragraph" w:customStyle="1" w:styleId="ramme-noter">
    <w:name w:val="ramme-noter"/>
    <w:basedOn w:val="Normal"/>
    <w:next w:val="Normal"/>
    <w:rsid w:val="006400B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400B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400B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400B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400B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400B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400B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6400B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400B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400B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400B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400B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400B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400BF"/>
    <w:pPr>
      <w:keepNext/>
      <w:keepLines/>
      <w:spacing w:before="360" w:after="240"/>
      <w:jc w:val="center"/>
    </w:pPr>
    <w:rPr>
      <w:rFonts w:ascii="Arial" w:hAnsi="Arial"/>
      <w:b/>
      <w:sz w:val="28"/>
    </w:rPr>
  </w:style>
  <w:style w:type="paragraph" w:customStyle="1" w:styleId="tittel-ordforkl">
    <w:name w:val="tittel-ordforkl"/>
    <w:basedOn w:val="Normal"/>
    <w:next w:val="Normal"/>
    <w:rsid w:val="006400BF"/>
    <w:pPr>
      <w:keepNext/>
      <w:keepLines/>
      <w:spacing w:before="360" w:after="240"/>
      <w:jc w:val="center"/>
    </w:pPr>
    <w:rPr>
      <w:rFonts w:ascii="Arial" w:hAnsi="Arial"/>
      <w:b/>
      <w:sz w:val="28"/>
    </w:rPr>
  </w:style>
  <w:style w:type="paragraph" w:customStyle="1" w:styleId="tittel-ramme">
    <w:name w:val="tittel-ramme"/>
    <w:basedOn w:val="Normal"/>
    <w:next w:val="Normal"/>
    <w:rsid w:val="006400B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6400BF"/>
    <w:pPr>
      <w:keepNext/>
      <w:keepLines/>
      <w:spacing w:before="360"/>
    </w:pPr>
    <w:rPr>
      <w:rFonts w:ascii="Arial" w:hAnsi="Arial"/>
      <w:b/>
      <w:sz w:val="28"/>
    </w:rPr>
  </w:style>
  <w:style w:type="character" w:customStyle="1" w:styleId="UndertittelTegn">
    <w:name w:val="Undertittel Tegn"/>
    <w:basedOn w:val="Standardskriftforavsnitt"/>
    <w:link w:val="Undertittel"/>
    <w:rsid w:val="006400BF"/>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400BF"/>
    <w:pPr>
      <w:numPr>
        <w:numId w:val="0"/>
      </w:numPr>
    </w:pPr>
    <w:rPr>
      <w:b w:val="0"/>
      <w:i/>
    </w:rPr>
  </w:style>
  <w:style w:type="paragraph" w:customStyle="1" w:styleId="Undervedl-tittel">
    <w:name w:val="Undervedl-tittel"/>
    <w:basedOn w:val="Normal"/>
    <w:next w:val="Normal"/>
    <w:rsid w:val="006400B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400BF"/>
    <w:pPr>
      <w:numPr>
        <w:numId w:val="0"/>
      </w:numPr>
      <w:outlineLvl w:val="9"/>
    </w:pPr>
  </w:style>
  <w:style w:type="paragraph" w:customStyle="1" w:styleId="v-Overskrift2">
    <w:name w:val="v-Overskrift 2"/>
    <w:basedOn w:val="Overskrift2"/>
    <w:next w:val="Normal"/>
    <w:rsid w:val="006400B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400B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400B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6400B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6400B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6400BF"/>
    <w:pPr>
      <w:keepNext/>
      <w:keepLines/>
      <w:numPr>
        <w:numId w:val="2"/>
      </w:numPr>
      <w:ind w:left="357" w:hanging="357"/>
    </w:pPr>
    <w:rPr>
      <w:rFonts w:ascii="Arial" w:hAnsi="Arial"/>
      <w:b/>
      <w:u w:val="single"/>
    </w:rPr>
  </w:style>
  <w:style w:type="paragraph" w:customStyle="1" w:styleId="Kilde">
    <w:name w:val="Kilde"/>
    <w:basedOn w:val="Normal"/>
    <w:next w:val="Normal"/>
    <w:rsid w:val="006400B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6400BF"/>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400BF"/>
    <w:rPr>
      <w:rFonts w:ascii="Times New Roman" w:eastAsia="Times New Roman" w:hAnsi="Times New Roman"/>
      <w:spacing w:val="4"/>
      <w:sz w:val="24"/>
    </w:rPr>
  </w:style>
  <w:style w:type="character" w:styleId="Fotnotereferanse">
    <w:name w:val="footnote reference"/>
    <w:basedOn w:val="Standardskriftforavsnitt"/>
    <w:rsid w:val="006400BF"/>
    <w:rPr>
      <w:vertAlign w:val="superscript"/>
    </w:rPr>
  </w:style>
  <w:style w:type="character" w:customStyle="1" w:styleId="gjennomstreket">
    <w:name w:val="gjennomstreket"/>
    <w:uiPriority w:val="1"/>
    <w:rsid w:val="006400BF"/>
    <w:rPr>
      <w:strike/>
      <w:dstrike w:val="0"/>
    </w:rPr>
  </w:style>
  <w:style w:type="character" w:customStyle="1" w:styleId="halvfet0">
    <w:name w:val="halvfet"/>
    <w:basedOn w:val="Standardskriftforavsnitt"/>
    <w:rsid w:val="006400BF"/>
    <w:rPr>
      <w:b/>
    </w:rPr>
  </w:style>
  <w:style w:type="character" w:styleId="Hyperkobling">
    <w:name w:val="Hyperlink"/>
    <w:basedOn w:val="Standardskriftforavsnitt"/>
    <w:uiPriority w:val="99"/>
    <w:unhideWhenUsed/>
    <w:rsid w:val="006400BF"/>
    <w:rPr>
      <w:color w:val="0563C1" w:themeColor="hyperlink"/>
      <w:u w:val="single"/>
    </w:rPr>
  </w:style>
  <w:style w:type="character" w:customStyle="1" w:styleId="kursiv">
    <w:name w:val="kursiv"/>
    <w:basedOn w:val="Standardskriftforavsnitt"/>
    <w:rsid w:val="006400BF"/>
    <w:rPr>
      <w:i/>
    </w:rPr>
  </w:style>
  <w:style w:type="character" w:customStyle="1" w:styleId="l-endring">
    <w:name w:val="l-endring"/>
    <w:basedOn w:val="Standardskriftforavsnitt"/>
    <w:rsid w:val="006400B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400BF"/>
  </w:style>
  <w:style w:type="character" w:styleId="Plassholdertekst">
    <w:name w:val="Placeholder Text"/>
    <w:basedOn w:val="Standardskriftforavsnitt"/>
    <w:uiPriority w:val="99"/>
    <w:rsid w:val="006400BF"/>
    <w:rPr>
      <w:color w:val="808080"/>
    </w:rPr>
  </w:style>
  <w:style w:type="character" w:customStyle="1" w:styleId="regular">
    <w:name w:val="regular"/>
    <w:basedOn w:val="Standardskriftforavsnitt"/>
    <w:uiPriority w:val="1"/>
    <w:qFormat/>
    <w:rsid w:val="006400B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400BF"/>
    <w:rPr>
      <w:vertAlign w:val="superscript"/>
    </w:rPr>
  </w:style>
  <w:style w:type="character" w:customStyle="1" w:styleId="skrift-senket">
    <w:name w:val="skrift-senket"/>
    <w:basedOn w:val="Standardskriftforavsnitt"/>
    <w:rsid w:val="006400BF"/>
    <w:rPr>
      <w:vertAlign w:val="subscript"/>
    </w:rPr>
  </w:style>
  <w:style w:type="character" w:customStyle="1" w:styleId="SluttnotetekstTegn">
    <w:name w:val="Sluttnotetekst Tegn"/>
    <w:basedOn w:val="Standardskriftforavsnitt"/>
    <w:link w:val="Sluttnotetekst"/>
    <w:uiPriority w:val="99"/>
    <w:semiHidden/>
    <w:rsid w:val="006400BF"/>
    <w:rPr>
      <w:rFonts w:ascii="Times New Roman" w:eastAsia="Times New Roman" w:hAnsi="Times New Roman"/>
      <w:spacing w:val="4"/>
      <w:sz w:val="20"/>
      <w:szCs w:val="20"/>
    </w:rPr>
  </w:style>
  <w:style w:type="character" w:customStyle="1" w:styleId="sperret0">
    <w:name w:val="sperret"/>
    <w:basedOn w:val="Standardskriftforavsnitt"/>
    <w:rsid w:val="006400BF"/>
    <w:rPr>
      <w:spacing w:val="30"/>
    </w:rPr>
  </w:style>
  <w:style w:type="character" w:customStyle="1" w:styleId="SterktsitatTegn">
    <w:name w:val="Sterkt sitat Tegn"/>
    <w:basedOn w:val="Standardskriftforavsnitt"/>
    <w:link w:val="Sterktsitat"/>
    <w:uiPriority w:val="30"/>
    <w:rsid w:val="006400B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400BF"/>
    <w:rPr>
      <w:color w:val="0000FF"/>
    </w:rPr>
  </w:style>
  <w:style w:type="character" w:customStyle="1" w:styleId="stikkord0">
    <w:name w:val="stikkord"/>
    <w:uiPriority w:val="99"/>
  </w:style>
  <w:style w:type="character" w:styleId="Sterk">
    <w:name w:val="Strong"/>
    <w:basedOn w:val="Standardskriftforavsnitt"/>
    <w:uiPriority w:val="22"/>
    <w:qFormat/>
    <w:rsid w:val="006400BF"/>
    <w:rPr>
      <w:b/>
      <w:bCs/>
    </w:rPr>
  </w:style>
  <w:style w:type="character" w:customStyle="1" w:styleId="TopptekstTegn">
    <w:name w:val="Topptekst Tegn"/>
    <w:basedOn w:val="Standardskriftforavsnitt"/>
    <w:link w:val="Topptekst"/>
    <w:rsid w:val="006400B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400BF"/>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400BF"/>
    <w:rPr>
      <w:rFonts w:ascii="Arial" w:eastAsia="Times New Roman" w:hAnsi="Arial"/>
      <w:i/>
      <w:spacing w:val="4"/>
    </w:rPr>
  </w:style>
  <w:style w:type="character" w:customStyle="1" w:styleId="Overskrift7Tegn">
    <w:name w:val="Overskrift 7 Tegn"/>
    <w:basedOn w:val="Standardskriftforavsnitt"/>
    <w:link w:val="Overskrift7"/>
    <w:rsid w:val="006400BF"/>
    <w:rPr>
      <w:rFonts w:ascii="Arial" w:eastAsia="Times New Roman" w:hAnsi="Arial"/>
      <w:spacing w:val="4"/>
      <w:sz w:val="24"/>
    </w:rPr>
  </w:style>
  <w:style w:type="character" w:customStyle="1" w:styleId="Overskrift8Tegn">
    <w:name w:val="Overskrift 8 Tegn"/>
    <w:basedOn w:val="Standardskriftforavsnitt"/>
    <w:link w:val="Overskrift8"/>
    <w:rsid w:val="006400BF"/>
    <w:rPr>
      <w:rFonts w:ascii="Arial" w:eastAsia="Times New Roman" w:hAnsi="Arial"/>
      <w:i/>
      <w:spacing w:val="4"/>
      <w:sz w:val="24"/>
    </w:rPr>
  </w:style>
  <w:style w:type="character" w:customStyle="1" w:styleId="Overskrift9Tegn">
    <w:name w:val="Overskrift 9 Tegn"/>
    <w:basedOn w:val="Standardskriftforavsnitt"/>
    <w:link w:val="Overskrift9"/>
    <w:rsid w:val="006400BF"/>
    <w:rPr>
      <w:rFonts w:ascii="Arial" w:eastAsia="Times New Roman" w:hAnsi="Arial"/>
      <w:i/>
      <w:spacing w:val="4"/>
      <w:sz w:val="18"/>
    </w:rPr>
  </w:style>
  <w:style w:type="table" w:customStyle="1" w:styleId="Tabell-VM">
    <w:name w:val="Tabell-VM"/>
    <w:basedOn w:val="Tabelltemaer"/>
    <w:uiPriority w:val="99"/>
    <w:qFormat/>
    <w:rsid w:val="006400B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400B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400B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400B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400B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6400BF"/>
    <w:pPr>
      <w:tabs>
        <w:tab w:val="center" w:pos="4153"/>
        <w:tab w:val="right" w:pos="8306"/>
      </w:tabs>
    </w:pPr>
    <w:rPr>
      <w:sz w:val="20"/>
    </w:rPr>
  </w:style>
  <w:style w:type="character" w:customStyle="1" w:styleId="BunntekstTegn1">
    <w:name w:val="Bunntekst Tegn1"/>
    <w:basedOn w:val="Standardskriftforavsnitt"/>
    <w:uiPriority w:val="99"/>
    <w:semiHidden/>
    <w:rsid w:val="00506115"/>
    <w:rPr>
      <w:rFonts w:ascii="Times New Roman" w:eastAsia="Times New Roman" w:hAnsi="Times New Roman"/>
      <w:spacing w:val="4"/>
      <w:sz w:val="24"/>
    </w:rPr>
  </w:style>
  <w:style w:type="paragraph" w:styleId="INNH1">
    <w:name w:val="toc 1"/>
    <w:basedOn w:val="Normal"/>
    <w:next w:val="Normal"/>
    <w:rsid w:val="006400BF"/>
    <w:pPr>
      <w:tabs>
        <w:tab w:val="right" w:leader="dot" w:pos="8306"/>
      </w:tabs>
    </w:pPr>
    <w:rPr>
      <w:spacing w:val="0"/>
    </w:rPr>
  </w:style>
  <w:style w:type="paragraph" w:styleId="INNH2">
    <w:name w:val="toc 2"/>
    <w:basedOn w:val="Normal"/>
    <w:next w:val="Normal"/>
    <w:rsid w:val="006400BF"/>
    <w:pPr>
      <w:tabs>
        <w:tab w:val="right" w:leader="dot" w:pos="8306"/>
      </w:tabs>
      <w:ind w:left="200"/>
    </w:pPr>
    <w:rPr>
      <w:spacing w:val="0"/>
    </w:rPr>
  </w:style>
  <w:style w:type="paragraph" w:styleId="INNH3">
    <w:name w:val="toc 3"/>
    <w:basedOn w:val="Normal"/>
    <w:next w:val="Normal"/>
    <w:rsid w:val="006400BF"/>
    <w:pPr>
      <w:tabs>
        <w:tab w:val="right" w:leader="dot" w:pos="8306"/>
      </w:tabs>
      <w:ind w:left="400"/>
    </w:pPr>
    <w:rPr>
      <w:spacing w:val="0"/>
    </w:rPr>
  </w:style>
  <w:style w:type="paragraph" w:styleId="INNH4">
    <w:name w:val="toc 4"/>
    <w:basedOn w:val="Normal"/>
    <w:next w:val="Normal"/>
    <w:rsid w:val="006400BF"/>
    <w:pPr>
      <w:tabs>
        <w:tab w:val="right" w:leader="dot" w:pos="8306"/>
      </w:tabs>
      <w:ind w:left="600"/>
    </w:pPr>
    <w:rPr>
      <w:spacing w:val="0"/>
    </w:rPr>
  </w:style>
  <w:style w:type="paragraph" w:styleId="INNH5">
    <w:name w:val="toc 5"/>
    <w:basedOn w:val="Normal"/>
    <w:next w:val="Normal"/>
    <w:rsid w:val="006400BF"/>
    <w:pPr>
      <w:tabs>
        <w:tab w:val="right" w:leader="dot" w:pos="8306"/>
      </w:tabs>
      <w:ind w:left="800"/>
    </w:pPr>
    <w:rPr>
      <w:spacing w:val="0"/>
    </w:rPr>
  </w:style>
  <w:style w:type="character" w:styleId="Merknadsreferanse">
    <w:name w:val="annotation reference"/>
    <w:basedOn w:val="Standardskriftforavsnitt"/>
    <w:rsid w:val="006400BF"/>
    <w:rPr>
      <w:sz w:val="16"/>
    </w:rPr>
  </w:style>
  <w:style w:type="paragraph" w:styleId="Merknadstekst">
    <w:name w:val="annotation text"/>
    <w:basedOn w:val="Normal"/>
    <w:link w:val="MerknadstekstTegn"/>
    <w:rsid w:val="006400BF"/>
    <w:rPr>
      <w:spacing w:val="0"/>
      <w:sz w:val="20"/>
    </w:rPr>
  </w:style>
  <w:style w:type="character" w:customStyle="1" w:styleId="MerknadstekstTegn">
    <w:name w:val="Merknadstekst Tegn"/>
    <w:basedOn w:val="Standardskriftforavsnitt"/>
    <w:link w:val="Merknadstekst"/>
    <w:rsid w:val="006400BF"/>
    <w:rPr>
      <w:rFonts w:ascii="Times New Roman" w:eastAsia="Times New Roman" w:hAnsi="Times New Roman"/>
      <w:sz w:val="20"/>
    </w:rPr>
  </w:style>
  <w:style w:type="paragraph" w:styleId="Punktliste">
    <w:name w:val="List Bullet"/>
    <w:basedOn w:val="Normal"/>
    <w:rsid w:val="006400BF"/>
    <w:pPr>
      <w:spacing w:after="0"/>
      <w:ind w:left="284" w:hanging="284"/>
    </w:pPr>
  </w:style>
  <w:style w:type="paragraph" w:styleId="Punktliste2">
    <w:name w:val="List Bullet 2"/>
    <w:basedOn w:val="Normal"/>
    <w:rsid w:val="006400BF"/>
    <w:pPr>
      <w:spacing w:after="0"/>
      <w:ind w:left="568" w:hanging="284"/>
    </w:pPr>
  </w:style>
  <w:style w:type="paragraph" w:styleId="Punktliste3">
    <w:name w:val="List Bullet 3"/>
    <w:basedOn w:val="Normal"/>
    <w:rsid w:val="006400BF"/>
    <w:pPr>
      <w:spacing w:after="0"/>
      <w:ind w:left="851" w:hanging="284"/>
    </w:pPr>
  </w:style>
  <w:style w:type="paragraph" w:styleId="Punktliste4">
    <w:name w:val="List Bullet 4"/>
    <w:basedOn w:val="Normal"/>
    <w:rsid w:val="006400BF"/>
    <w:pPr>
      <w:spacing w:after="0"/>
      <w:ind w:left="1135" w:hanging="284"/>
    </w:pPr>
    <w:rPr>
      <w:spacing w:val="0"/>
    </w:rPr>
  </w:style>
  <w:style w:type="paragraph" w:styleId="Punktliste5">
    <w:name w:val="List Bullet 5"/>
    <w:basedOn w:val="Normal"/>
    <w:rsid w:val="006400BF"/>
    <w:pPr>
      <w:spacing w:after="0"/>
      <w:ind w:left="1418" w:hanging="284"/>
    </w:pPr>
    <w:rPr>
      <w:spacing w:val="0"/>
    </w:rPr>
  </w:style>
  <w:style w:type="paragraph" w:styleId="Topptekst">
    <w:name w:val="header"/>
    <w:basedOn w:val="Normal"/>
    <w:link w:val="TopptekstTegn"/>
    <w:rsid w:val="006400B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06115"/>
    <w:rPr>
      <w:rFonts w:ascii="Times New Roman" w:eastAsia="Times New Roman" w:hAnsi="Times New Roman"/>
      <w:spacing w:val="4"/>
      <w:sz w:val="24"/>
    </w:rPr>
  </w:style>
  <w:style w:type="table" w:customStyle="1" w:styleId="StandardTabell">
    <w:name w:val="StandardTabell"/>
    <w:basedOn w:val="Vanligtabell"/>
    <w:uiPriority w:val="99"/>
    <w:qFormat/>
    <w:rsid w:val="006400BF"/>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400B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400B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400BF"/>
    <w:pPr>
      <w:spacing w:after="0" w:line="240" w:lineRule="auto"/>
      <w:ind w:left="240" w:hanging="240"/>
    </w:pPr>
  </w:style>
  <w:style w:type="paragraph" w:styleId="Indeks2">
    <w:name w:val="index 2"/>
    <w:basedOn w:val="Normal"/>
    <w:next w:val="Normal"/>
    <w:autoRedefine/>
    <w:uiPriority w:val="99"/>
    <w:semiHidden/>
    <w:unhideWhenUsed/>
    <w:rsid w:val="006400BF"/>
    <w:pPr>
      <w:spacing w:after="0" w:line="240" w:lineRule="auto"/>
      <w:ind w:left="480" w:hanging="240"/>
    </w:pPr>
  </w:style>
  <w:style w:type="paragraph" w:styleId="Indeks3">
    <w:name w:val="index 3"/>
    <w:basedOn w:val="Normal"/>
    <w:next w:val="Normal"/>
    <w:autoRedefine/>
    <w:uiPriority w:val="99"/>
    <w:semiHidden/>
    <w:unhideWhenUsed/>
    <w:rsid w:val="006400BF"/>
    <w:pPr>
      <w:spacing w:after="0" w:line="240" w:lineRule="auto"/>
      <w:ind w:left="720" w:hanging="240"/>
    </w:pPr>
  </w:style>
  <w:style w:type="paragraph" w:styleId="Indeks4">
    <w:name w:val="index 4"/>
    <w:basedOn w:val="Normal"/>
    <w:next w:val="Normal"/>
    <w:autoRedefine/>
    <w:uiPriority w:val="99"/>
    <w:semiHidden/>
    <w:unhideWhenUsed/>
    <w:rsid w:val="006400BF"/>
    <w:pPr>
      <w:spacing w:after="0" w:line="240" w:lineRule="auto"/>
      <w:ind w:left="960" w:hanging="240"/>
    </w:pPr>
  </w:style>
  <w:style w:type="paragraph" w:styleId="Indeks5">
    <w:name w:val="index 5"/>
    <w:basedOn w:val="Normal"/>
    <w:next w:val="Normal"/>
    <w:autoRedefine/>
    <w:uiPriority w:val="99"/>
    <w:semiHidden/>
    <w:unhideWhenUsed/>
    <w:rsid w:val="006400BF"/>
    <w:pPr>
      <w:spacing w:after="0" w:line="240" w:lineRule="auto"/>
      <w:ind w:left="1200" w:hanging="240"/>
    </w:pPr>
  </w:style>
  <w:style w:type="paragraph" w:styleId="Indeks6">
    <w:name w:val="index 6"/>
    <w:basedOn w:val="Normal"/>
    <w:next w:val="Normal"/>
    <w:autoRedefine/>
    <w:uiPriority w:val="99"/>
    <w:semiHidden/>
    <w:unhideWhenUsed/>
    <w:rsid w:val="006400BF"/>
    <w:pPr>
      <w:spacing w:after="0" w:line="240" w:lineRule="auto"/>
      <w:ind w:left="1440" w:hanging="240"/>
    </w:pPr>
  </w:style>
  <w:style w:type="paragraph" w:styleId="Indeks7">
    <w:name w:val="index 7"/>
    <w:basedOn w:val="Normal"/>
    <w:next w:val="Normal"/>
    <w:autoRedefine/>
    <w:uiPriority w:val="99"/>
    <w:semiHidden/>
    <w:unhideWhenUsed/>
    <w:rsid w:val="006400BF"/>
    <w:pPr>
      <w:spacing w:after="0" w:line="240" w:lineRule="auto"/>
      <w:ind w:left="1680" w:hanging="240"/>
    </w:pPr>
  </w:style>
  <w:style w:type="paragraph" w:styleId="Indeks8">
    <w:name w:val="index 8"/>
    <w:basedOn w:val="Normal"/>
    <w:next w:val="Normal"/>
    <w:autoRedefine/>
    <w:uiPriority w:val="99"/>
    <w:semiHidden/>
    <w:unhideWhenUsed/>
    <w:rsid w:val="006400BF"/>
    <w:pPr>
      <w:spacing w:after="0" w:line="240" w:lineRule="auto"/>
      <w:ind w:left="1920" w:hanging="240"/>
    </w:pPr>
  </w:style>
  <w:style w:type="paragraph" w:styleId="Indeks9">
    <w:name w:val="index 9"/>
    <w:basedOn w:val="Normal"/>
    <w:next w:val="Normal"/>
    <w:autoRedefine/>
    <w:uiPriority w:val="99"/>
    <w:semiHidden/>
    <w:unhideWhenUsed/>
    <w:rsid w:val="006400BF"/>
    <w:pPr>
      <w:spacing w:after="0" w:line="240" w:lineRule="auto"/>
      <w:ind w:left="2160" w:hanging="240"/>
    </w:pPr>
  </w:style>
  <w:style w:type="paragraph" w:styleId="INNH6">
    <w:name w:val="toc 6"/>
    <w:basedOn w:val="Normal"/>
    <w:next w:val="Normal"/>
    <w:autoRedefine/>
    <w:uiPriority w:val="39"/>
    <w:semiHidden/>
    <w:unhideWhenUsed/>
    <w:rsid w:val="006400BF"/>
    <w:pPr>
      <w:spacing w:after="100"/>
      <w:ind w:left="1200"/>
    </w:pPr>
  </w:style>
  <w:style w:type="paragraph" w:styleId="INNH7">
    <w:name w:val="toc 7"/>
    <w:basedOn w:val="Normal"/>
    <w:next w:val="Normal"/>
    <w:autoRedefine/>
    <w:uiPriority w:val="39"/>
    <w:semiHidden/>
    <w:unhideWhenUsed/>
    <w:rsid w:val="006400BF"/>
    <w:pPr>
      <w:spacing w:after="100"/>
      <w:ind w:left="1440"/>
    </w:pPr>
  </w:style>
  <w:style w:type="paragraph" w:styleId="INNH8">
    <w:name w:val="toc 8"/>
    <w:basedOn w:val="Normal"/>
    <w:next w:val="Normal"/>
    <w:autoRedefine/>
    <w:uiPriority w:val="39"/>
    <w:semiHidden/>
    <w:unhideWhenUsed/>
    <w:rsid w:val="006400BF"/>
    <w:pPr>
      <w:spacing w:after="100"/>
      <w:ind w:left="1680"/>
    </w:pPr>
  </w:style>
  <w:style w:type="paragraph" w:styleId="INNH9">
    <w:name w:val="toc 9"/>
    <w:basedOn w:val="Normal"/>
    <w:next w:val="Normal"/>
    <w:autoRedefine/>
    <w:uiPriority w:val="39"/>
    <w:semiHidden/>
    <w:unhideWhenUsed/>
    <w:rsid w:val="006400BF"/>
    <w:pPr>
      <w:spacing w:after="100"/>
      <w:ind w:left="1920"/>
    </w:pPr>
  </w:style>
  <w:style w:type="paragraph" w:styleId="Vanliginnrykk">
    <w:name w:val="Normal Indent"/>
    <w:basedOn w:val="Normal"/>
    <w:uiPriority w:val="99"/>
    <w:semiHidden/>
    <w:unhideWhenUsed/>
    <w:rsid w:val="006400BF"/>
    <w:pPr>
      <w:ind w:left="708"/>
    </w:pPr>
  </w:style>
  <w:style w:type="paragraph" w:styleId="Stikkordregisteroverskrift">
    <w:name w:val="index heading"/>
    <w:basedOn w:val="Normal"/>
    <w:next w:val="Indeks1"/>
    <w:uiPriority w:val="99"/>
    <w:semiHidden/>
    <w:unhideWhenUsed/>
    <w:rsid w:val="006400B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400B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400BF"/>
    <w:pPr>
      <w:spacing w:after="0"/>
    </w:pPr>
  </w:style>
  <w:style w:type="paragraph" w:styleId="Konvoluttadresse">
    <w:name w:val="envelope address"/>
    <w:basedOn w:val="Normal"/>
    <w:uiPriority w:val="99"/>
    <w:semiHidden/>
    <w:unhideWhenUsed/>
    <w:rsid w:val="006400B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400BF"/>
  </w:style>
  <w:style w:type="character" w:styleId="Sluttnotereferanse">
    <w:name w:val="endnote reference"/>
    <w:basedOn w:val="Standardskriftforavsnitt"/>
    <w:uiPriority w:val="99"/>
    <w:semiHidden/>
    <w:unhideWhenUsed/>
    <w:rsid w:val="006400BF"/>
    <w:rPr>
      <w:vertAlign w:val="superscript"/>
    </w:rPr>
  </w:style>
  <w:style w:type="paragraph" w:styleId="Sluttnotetekst">
    <w:name w:val="endnote text"/>
    <w:basedOn w:val="Normal"/>
    <w:link w:val="SluttnotetekstTegn"/>
    <w:uiPriority w:val="99"/>
    <w:semiHidden/>
    <w:unhideWhenUsed/>
    <w:rsid w:val="006400BF"/>
    <w:pPr>
      <w:spacing w:after="0" w:line="240" w:lineRule="auto"/>
    </w:pPr>
    <w:rPr>
      <w:sz w:val="20"/>
      <w:szCs w:val="20"/>
    </w:rPr>
  </w:style>
  <w:style w:type="character" w:customStyle="1" w:styleId="SluttnotetekstTegn1">
    <w:name w:val="Sluttnotetekst Tegn1"/>
    <w:basedOn w:val="Standardskriftforavsnitt"/>
    <w:uiPriority w:val="99"/>
    <w:semiHidden/>
    <w:rsid w:val="0050611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400BF"/>
    <w:pPr>
      <w:spacing w:after="0"/>
      <w:ind w:left="240" w:hanging="240"/>
    </w:pPr>
  </w:style>
  <w:style w:type="paragraph" w:styleId="Makrotekst">
    <w:name w:val="macro"/>
    <w:link w:val="MakrotekstTegn"/>
    <w:uiPriority w:val="99"/>
    <w:semiHidden/>
    <w:unhideWhenUsed/>
    <w:rsid w:val="006400B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400BF"/>
    <w:rPr>
      <w:rFonts w:ascii="Consolas" w:eastAsia="Times New Roman" w:hAnsi="Consolas"/>
      <w:spacing w:val="4"/>
    </w:rPr>
  </w:style>
  <w:style w:type="paragraph" w:styleId="Kildelisteoverskrift">
    <w:name w:val="toa heading"/>
    <w:basedOn w:val="Normal"/>
    <w:next w:val="Normal"/>
    <w:uiPriority w:val="99"/>
    <w:semiHidden/>
    <w:unhideWhenUsed/>
    <w:rsid w:val="006400B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400B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400B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400BF"/>
    <w:pPr>
      <w:spacing w:after="0" w:line="240" w:lineRule="auto"/>
      <w:ind w:left="4252"/>
    </w:pPr>
  </w:style>
  <w:style w:type="character" w:customStyle="1" w:styleId="HilsenTegn">
    <w:name w:val="Hilsen Tegn"/>
    <w:basedOn w:val="Standardskriftforavsnitt"/>
    <w:link w:val="Hilsen"/>
    <w:uiPriority w:val="99"/>
    <w:semiHidden/>
    <w:rsid w:val="006400BF"/>
    <w:rPr>
      <w:rFonts w:ascii="Times New Roman" w:eastAsia="Times New Roman" w:hAnsi="Times New Roman"/>
      <w:spacing w:val="4"/>
      <w:sz w:val="24"/>
    </w:rPr>
  </w:style>
  <w:style w:type="paragraph" w:styleId="Underskrift">
    <w:name w:val="Signature"/>
    <w:basedOn w:val="Normal"/>
    <w:link w:val="UnderskriftTegn"/>
    <w:uiPriority w:val="99"/>
    <w:unhideWhenUsed/>
    <w:rsid w:val="006400BF"/>
    <w:pPr>
      <w:spacing w:after="0" w:line="240" w:lineRule="auto"/>
      <w:ind w:left="4252"/>
    </w:pPr>
  </w:style>
  <w:style w:type="character" w:customStyle="1" w:styleId="UnderskriftTegn1">
    <w:name w:val="Underskrift Tegn1"/>
    <w:basedOn w:val="Standardskriftforavsnitt"/>
    <w:uiPriority w:val="99"/>
    <w:semiHidden/>
    <w:rsid w:val="00506115"/>
    <w:rPr>
      <w:rFonts w:ascii="Times New Roman" w:eastAsia="Times New Roman" w:hAnsi="Times New Roman"/>
      <w:spacing w:val="4"/>
      <w:sz w:val="24"/>
    </w:rPr>
  </w:style>
  <w:style w:type="paragraph" w:styleId="Liste-forts">
    <w:name w:val="List Continue"/>
    <w:basedOn w:val="Normal"/>
    <w:uiPriority w:val="99"/>
    <w:semiHidden/>
    <w:unhideWhenUsed/>
    <w:rsid w:val="006400BF"/>
    <w:pPr>
      <w:ind w:left="283"/>
      <w:contextualSpacing/>
    </w:pPr>
  </w:style>
  <w:style w:type="paragraph" w:styleId="Liste-forts2">
    <w:name w:val="List Continue 2"/>
    <w:basedOn w:val="Normal"/>
    <w:uiPriority w:val="99"/>
    <w:semiHidden/>
    <w:unhideWhenUsed/>
    <w:rsid w:val="006400BF"/>
    <w:pPr>
      <w:ind w:left="566"/>
      <w:contextualSpacing/>
    </w:pPr>
  </w:style>
  <w:style w:type="paragraph" w:styleId="Liste-forts3">
    <w:name w:val="List Continue 3"/>
    <w:basedOn w:val="Normal"/>
    <w:uiPriority w:val="99"/>
    <w:semiHidden/>
    <w:unhideWhenUsed/>
    <w:rsid w:val="006400BF"/>
    <w:pPr>
      <w:ind w:left="849"/>
      <w:contextualSpacing/>
    </w:pPr>
  </w:style>
  <w:style w:type="paragraph" w:styleId="Liste-forts4">
    <w:name w:val="List Continue 4"/>
    <w:basedOn w:val="Normal"/>
    <w:uiPriority w:val="99"/>
    <w:semiHidden/>
    <w:unhideWhenUsed/>
    <w:rsid w:val="006400BF"/>
    <w:pPr>
      <w:ind w:left="1132"/>
      <w:contextualSpacing/>
    </w:pPr>
  </w:style>
  <w:style w:type="paragraph" w:styleId="Liste-forts5">
    <w:name w:val="List Continue 5"/>
    <w:basedOn w:val="Normal"/>
    <w:uiPriority w:val="99"/>
    <w:semiHidden/>
    <w:unhideWhenUsed/>
    <w:rsid w:val="006400BF"/>
    <w:pPr>
      <w:ind w:left="1415"/>
      <w:contextualSpacing/>
    </w:pPr>
  </w:style>
  <w:style w:type="paragraph" w:styleId="Meldingshode">
    <w:name w:val="Message Header"/>
    <w:basedOn w:val="Normal"/>
    <w:link w:val="MeldingshodeTegn"/>
    <w:uiPriority w:val="99"/>
    <w:semiHidden/>
    <w:unhideWhenUsed/>
    <w:rsid w:val="006400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400B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400BF"/>
  </w:style>
  <w:style w:type="character" w:customStyle="1" w:styleId="InnledendehilsenTegn">
    <w:name w:val="Innledende hilsen Tegn"/>
    <w:basedOn w:val="Standardskriftforavsnitt"/>
    <w:link w:val="Innledendehilsen"/>
    <w:uiPriority w:val="99"/>
    <w:semiHidden/>
    <w:rsid w:val="006400BF"/>
    <w:rPr>
      <w:rFonts w:ascii="Times New Roman" w:eastAsia="Times New Roman" w:hAnsi="Times New Roman"/>
      <w:spacing w:val="4"/>
      <w:sz w:val="24"/>
    </w:rPr>
  </w:style>
  <w:style w:type="paragraph" w:styleId="Dato0">
    <w:name w:val="Date"/>
    <w:basedOn w:val="Normal"/>
    <w:next w:val="Normal"/>
    <w:link w:val="DatoTegn"/>
    <w:rsid w:val="006400BF"/>
  </w:style>
  <w:style w:type="character" w:customStyle="1" w:styleId="DatoTegn1">
    <w:name w:val="Dato Tegn1"/>
    <w:basedOn w:val="Standardskriftforavsnitt"/>
    <w:uiPriority w:val="99"/>
    <w:semiHidden/>
    <w:rsid w:val="0050611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400BF"/>
    <w:pPr>
      <w:spacing w:after="0" w:line="240" w:lineRule="auto"/>
    </w:pPr>
  </w:style>
  <w:style w:type="character" w:customStyle="1" w:styleId="NotatoverskriftTegn">
    <w:name w:val="Notatoverskrift Tegn"/>
    <w:basedOn w:val="Standardskriftforavsnitt"/>
    <w:link w:val="Notatoverskrift"/>
    <w:uiPriority w:val="99"/>
    <w:semiHidden/>
    <w:rsid w:val="006400BF"/>
    <w:rPr>
      <w:rFonts w:ascii="Times New Roman" w:eastAsia="Times New Roman" w:hAnsi="Times New Roman"/>
      <w:spacing w:val="4"/>
      <w:sz w:val="24"/>
    </w:rPr>
  </w:style>
  <w:style w:type="paragraph" w:styleId="Blokktekst">
    <w:name w:val="Block Text"/>
    <w:basedOn w:val="Normal"/>
    <w:uiPriority w:val="99"/>
    <w:semiHidden/>
    <w:unhideWhenUsed/>
    <w:rsid w:val="006400B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400BF"/>
    <w:rPr>
      <w:color w:val="954F72" w:themeColor="followedHyperlink"/>
      <w:u w:val="single"/>
    </w:rPr>
  </w:style>
  <w:style w:type="character" w:styleId="Utheving">
    <w:name w:val="Emphasis"/>
    <w:basedOn w:val="Standardskriftforavsnitt"/>
    <w:uiPriority w:val="20"/>
    <w:qFormat/>
    <w:rsid w:val="006400BF"/>
    <w:rPr>
      <w:i/>
      <w:iCs/>
    </w:rPr>
  </w:style>
  <w:style w:type="paragraph" w:styleId="Dokumentkart">
    <w:name w:val="Document Map"/>
    <w:basedOn w:val="Normal"/>
    <w:link w:val="DokumentkartTegn"/>
    <w:uiPriority w:val="99"/>
    <w:semiHidden/>
    <w:rsid w:val="006400B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400B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400BF"/>
    <w:rPr>
      <w:rFonts w:ascii="Courier New" w:hAnsi="Courier New" w:cs="Courier New"/>
      <w:sz w:val="20"/>
    </w:rPr>
  </w:style>
  <w:style w:type="character" w:customStyle="1" w:styleId="RentekstTegn">
    <w:name w:val="Ren tekst Tegn"/>
    <w:basedOn w:val="Standardskriftforavsnitt"/>
    <w:link w:val="Rentekst"/>
    <w:uiPriority w:val="99"/>
    <w:semiHidden/>
    <w:rsid w:val="006400B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400BF"/>
    <w:pPr>
      <w:spacing w:after="0" w:line="240" w:lineRule="auto"/>
    </w:pPr>
  </w:style>
  <w:style w:type="character" w:customStyle="1" w:styleId="E-postsignaturTegn">
    <w:name w:val="E-postsignatur Tegn"/>
    <w:basedOn w:val="Standardskriftforavsnitt"/>
    <w:link w:val="E-postsignatur"/>
    <w:uiPriority w:val="99"/>
    <w:semiHidden/>
    <w:rsid w:val="006400BF"/>
    <w:rPr>
      <w:rFonts w:ascii="Times New Roman" w:eastAsia="Times New Roman" w:hAnsi="Times New Roman"/>
      <w:spacing w:val="4"/>
      <w:sz w:val="24"/>
    </w:rPr>
  </w:style>
  <w:style w:type="paragraph" w:styleId="NormalWeb">
    <w:name w:val="Normal (Web)"/>
    <w:basedOn w:val="Normal"/>
    <w:uiPriority w:val="99"/>
    <w:semiHidden/>
    <w:unhideWhenUsed/>
    <w:rsid w:val="006400BF"/>
    <w:rPr>
      <w:szCs w:val="24"/>
    </w:rPr>
  </w:style>
  <w:style w:type="character" w:styleId="HTML-akronym">
    <w:name w:val="HTML Acronym"/>
    <w:basedOn w:val="Standardskriftforavsnitt"/>
    <w:uiPriority w:val="99"/>
    <w:semiHidden/>
    <w:unhideWhenUsed/>
    <w:rsid w:val="006400BF"/>
  </w:style>
  <w:style w:type="paragraph" w:styleId="HTML-adresse">
    <w:name w:val="HTML Address"/>
    <w:basedOn w:val="Normal"/>
    <w:link w:val="HTML-adresseTegn"/>
    <w:uiPriority w:val="99"/>
    <w:semiHidden/>
    <w:unhideWhenUsed/>
    <w:rsid w:val="006400BF"/>
    <w:pPr>
      <w:spacing w:after="0" w:line="240" w:lineRule="auto"/>
    </w:pPr>
    <w:rPr>
      <w:i/>
      <w:iCs/>
    </w:rPr>
  </w:style>
  <w:style w:type="character" w:customStyle="1" w:styleId="HTML-adresseTegn">
    <w:name w:val="HTML-adresse Tegn"/>
    <w:basedOn w:val="Standardskriftforavsnitt"/>
    <w:link w:val="HTML-adresse"/>
    <w:uiPriority w:val="99"/>
    <w:semiHidden/>
    <w:rsid w:val="006400B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400BF"/>
    <w:rPr>
      <w:i/>
      <w:iCs/>
    </w:rPr>
  </w:style>
  <w:style w:type="character" w:styleId="HTML-kode">
    <w:name w:val="HTML Code"/>
    <w:basedOn w:val="Standardskriftforavsnitt"/>
    <w:uiPriority w:val="99"/>
    <w:semiHidden/>
    <w:unhideWhenUsed/>
    <w:rsid w:val="006400BF"/>
    <w:rPr>
      <w:rFonts w:ascii="Consolas" w:hAnsi="Consolas"/>
      <w:sz w:val="20"/>
      <w:szCs w:val="20"/>
    </w:rPr>
  </w:style>
  <w:style w:type="character" w:styleId="HTML-definisjon">
    <w:name w:val="HTML Definition"/>
    <w:basedOn w:val="Standardskriftforavsnitt"/>
    <w:uiPriority w:val="99"/>
    <w:semiHidden/>
    <w:unhideWhenUsed/>
    <w:rsid w:val="006400BF"/>
    <w:rPr>
      <w:i/>
      <w:iCs/>
    </w:rPr>
  </w:style>
  <w:style w:type="character" w:styleId="HTML-tastatur">
    <w:name w:val="HTML Keyboard"/>
    <w:basedOn w:val="Standardskriftforavsnitt"/>
    <w:uiPriority w:val="99"/>
    <w:semiHidden/>
    <w:unhideWhenUsed/>
    <w:rsid w:val="006400BF"/>
    <w:rPr>
      <w:rFonts w:ascii="Consolas" w:hAnsi="Consolas"/>
      <w:sz w:val="20"/>
      <w:szCs w:val="20"/>
    </w:rPr>
  </w:style>
  <w:style w:type="paragraph" w:styleId="HTML-forhndsformatert">
    <w:name w:val="HTML Preformatted"/>
    <w:basedOn w:val="Normal"/>
    <w:link w:val="HTML-forhndsformatertTegn"/>
    <w:uiPriority w:val="99"/>
    <w:semiHidden/>
    <w:unhideWhenUsed/>
    <w:rsid w:val="006400B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400B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400BF"/>
    <w:rPr>
      <w:rFonts w:ascii="Consolas" w:hAnsi="Consolas"/>
      <w:sz w:val="24"/>
      <w:szCs w:val="24"/>
    </w:rPr>
  </w:style>
  <w:style w:type="character" w:styleId="HTML-skrivemaskin">
    <w:name w:val="HTML Typewriter"/>
    <w:basedOn w:val="Standardskriftforavsnitt"/>
    <w:uiPriority w:val="99"/>
    <w:semiHidden/>
    <w:unhideWhenUsed/>
    <w:rsid w:val="006400BF"/>
    <w:rPr>
      <w:rFonts w:ascii="Consolas" w:hAnsi="Consolas"/>
      <w:sz w:val="20"/>
      <w:szCs w:val="20"/>
    </w:rPr>
  </w:style>
  <w:style w:type="character" w:styleId="HTML-variabel">
    <w:name w:val="HTML Variable"/>
    <w:basedOn w:val="Standardskriftforavsnitt"/>
    <w:uiPriority w:val="99"/>
    <w:semiHidden/>
    <w:unhideWhenUsed/>
    <w:rsid w:val="006400BF"/>
    <w:rPr>
      <w:i/>
      <w:iCs/>
    </w:rPr>
  </w:style>
  <w:style w:type="paragraph" w:styleId="Kommentaremne">
    <w:name w:val="annotation subject"/>
    <w:basedOn w:val="Merknadstekst"/>
    <w:next w:val="Merknadstekst"/>
    <w:link w:val="KommentaremneTegn"/>
    <w:uiPriority w:val="99"/>
    <w:semiHidden/>
    <w:unhideWhenUsed/>
    <w:rsid w:val="006400B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400B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400B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00BF"/>
    <w:rPr>
      <w:rFonts w:ascii="Tahoma" w:eastAsia="Times New Roman" w:hAnsi="Tahoma" w:cs="Tahoma"/>
      <w:spacing w:val="4"/>
      <w:sz w:val="16"/>
      <w:szCs w:val="16"/>
    </w:rPr>
  </w:style>
  <w:style w:type="table" w:styleId="Tabellrutenett">
    <w:name w:val="Table Grid"/>
    <w:aliases w:val="MetadataTabellss"/>
    <w:basedOn w:val="Vanligtabell"/>
    <w:uiPriority w:val="59"/>
    <w:rsid w:val="006400B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400B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400B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0611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400BF"/>
    <w:rPr>
      <w:i/>
      <w:iCs/>
      <w:color w:val="808080" w:themeColor="text1" w:themeTint="7F"/>
    </w:rPr>
  </w:style>
  <w:style w:type="character" w:styleId="Sterkutheving">
    <w:name w:val="Intense Emphasis"/>
    <w:basedOn w:val="Standardskriftforavsnitt"/>
    <w:uiPriority w:val="21"/>
    <w:qFormat/>
    <w:rsid w:val="006400BF"/>
    <w:rPr>
      <w:b/>
      <w:bCs/>
      <w:i/>
      <w:iCs/>
      <w:color w:val="4472C4" w:themeColor="accent1"/>
    </w:rPr>
  </w:style>
  <w:style w:type="character" w:styleId="Svakreferanse">
    <w:name w:val="Subtle Reference"/>
    <w:basedOn w:val="Standardskriftforavsnitt"/>
    <w:uiPriority w:val="31"/>
    <w:qFormat/>
    <w:rsid w:val="006400BF"/>
    <w:rPr>
      <w:smallCaps/>
      <w:color w:val="ED7D31" w:themeColor="accent2"/>
      <w:u w:val="single"/>
    </w:rPr>
  </w:style>
  <w:style w:type="character" w:styleId="Sterkreferanse">
    <w:name w:val="Intense Reference"/>
    <w:basedOn w:val="Standardskriftforavsnitt"/>
    <w:uiPriority w:val="32"/>
    <w:qFormat/>
    <w:rsid w:val="006400BF"/>
    <w:rPr>
      <w:b/>
      <w:bCs/>
      <w:smallCaps/>
      <w:color w:val="ED7D31" w:themeColor="accent2"/>
      <w:spacing w:val="5"/>
      <w:u w:val="single"/>
    </w:rPr>
  </w:style>
  <w:style w:type="character" w:styleId="Boktittel">
    <w:name w:val="Book Title"/>
    <w:basedOn w:val="Standardskriftforavsnitt"/>
    <w:uiPriority w:val="33"/>
    <w:qFormat/>
    <w:rsid w:val="006400BF"/>
    <w:rPr>
      <w:b/>
      <w:bCs/>
      <w:smallCaps/>
      <w:spacing w:val="5"/>
    </w:rPr>
  </w:style>
  <w:style w:type="paragraph" w:styleId="Bibliografi">
    <w:name w:val="Bibliography"/>
    <w:basedOn w:val="Normal"/>
    <w:next w:val="Normal"/>
    <w:uiPriority w:val="37"/>
    <w:semiHidden/>
    <w:unhideWhenUsed/>
    <w:rsid w:val="006400BF"/>
  </w:style>
  <w:style w:type="paragraph" w:styleId="Overskriftforinnholdsfortegnelse">
    <w:name w:val="TOC Heading"/>
    <w:basedOn w:val="Overskrift1"/>
    <w:next w:val="Normal"/>
    <w:uiPriority w:val="39"/>
    <w:semiHidden/>
    <w:unhideWhenUsed/>
    <w:qFormat/>
    <w:rsid w:val="006400B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400BF"/>
    <w:pPr>
      <w:numPr>
        <w:numId w:val="3"/>
      </w:numPr>
    </w:pPr>
  </w:style>
  <w:style w:type="numbering" w:customStyle="1" w:styleId="NrListeStil">
    <w:name w:val="NrListeStil"/>
    <w:uiPriority w:val="99"/>
    <w:rsid w:val="006400BF"/>
    <w:pPr>
      <w:numPr>
        <w:numId w:val="4"/>
      </w:numPr>
    </w:pPr>
  </w:style>
  <w:style w:type="numbering" w:customStyle="1" w:styleId="RomListeStil">
    <w:name w:val="RomListeStil"/>
    <w:uiPriority w:val="99"/>
    <w:rsid w:val="006400BF"/>
    <w:pPr>
      <w:numPr>
        <w:numId w:val="5"/>
      </w:numPr>
    </w:pPr>
  </w:style>
  <w:style w:type="numbering" w:customStyle="1" w:styleId="StrekListeStil">
    <w:name w:val="StrekListeStil"/>
    <w:uiPriority w:val="99"/>
    <w:rsid w:val="006400BF"/>
    <w:pPr>
      <w:numPr>
        <w:numId w:val="6"/>
      </w:numPr>
    </w:pPr>
  </w:style>
  <w:style w:type="numbering" w:customStyle="1" w:styleId="OpplistingListeStil">
    <w:name w:val="OpplistingListeStil"/>
    <w:uiPriority w:val="99"/>
    <w:rsid w:val="006400BF"/>
    <w:pPr>
      <w:numPr>
        <w:numId w:val="7"/>
      </w:numPr>
    </w:pPr>
  </w:style>
  <w:style w:type="numbering" w:customStyle="1" w:styleId="l-NummerertListeStil">
    <w:name w:val="l-NummerertListeStil"/>
    <w:uiPriority w:val="99"/>
    <w:rsid w:val="006400BF"/>
    <w:pPr>
      <w:numPr>
        <w:numId w:val="8"/>
      </w:numPr>
    </w:pPr>
  </w:style>
  <w:style w:type="numbering" w:customStyle="1" w:styleId="l-AlfaListeStil">
    <w:name w:val="l-AlfaListeStil"/>
    <w:uiPriority w:val="99"/>
    <w:rsid w:val="006400BF"/>
    <w:pPr>
      <w:numPr>
        <w:numId w:val="9"/>
      </w:numPr>
    </w:pPr>
  </w:style>
  <w:style w:type="numbering" w:customStyle="1" w:styleId="OverskrifterListeStil">
    <w:name w:val="OverskrifterListeStil"/>
    <w:uiPriority w:val="99"/>
    <w:rsid w:val="006400BF"/>
    <w:pPr>
      <w:numPr>
        <w:numId w:val="10"/>
      </w:numPr>
    </w:pPr>
  </w:style>
  <w:style w:type="numbering" w:customStyle="1" w:styleId="l-ListeStilMal">
    <w:name w:val="l-ListeStilMal"/>
    <w:uiPriority w:val="99"/>
    <w:rsid w:val="006400BF"/>
    <w:pPr>
      <w:numPr>
        <w:numId w:val="11"/>
      </w:numPr>
    </w:pPr>
  </w:style>
  <w:style w:type="paragraph" w:styleId="Avsenderadresse">
    <w:name w:val="envelope return"/>
    <w:basedOn w:val="Normal"/>
    <w:uiPriority w:val="99"/>
    <w:semiHidden/>
    <w:unhideWhenUsed/>
    <w:rsid w:val="006400B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400BF"/>
  </w:style>
  <w:style w:type="character" w:customStyle="1" w:styleId="BrdtekstTegn">
    <w:name w:val="Brødtekst Tegn"/>
    <w:basedOn w:val="Standardskriftforavsnitt"/>
    <w:link w:val="Brdtekst"/>
    <w:semiHidden/>
    <w:rsid w:val="006400B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400BF"/>
    <w:pPr>
      <w:ind w:firstLine="360"/>
    </w:pPr>
  </w:style>
  <w:style w:type="character" w:customStyle="1" w:styleId="Brdtekst-frsteinnrykkTegn">
    <w:name w:val="Brødtekst - første innrykk Tegn"/>
    <w:basedOn w:val="BrdtekstTegn"/>
    <w:link w:val="Brdtekst-frsteinnrykk"/>
    <w:uiPriority w:val="99"/>
    <w:semiHidden/>
    <w:rsid w:val="006400B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400BF"/>
    <w:pPr>
      <w:ind w:left="283"/>
    </w:pPr>
  </w:style>
  <w:style w:type="character" w:customStyle="1" w:styleId="BrdtekstinnrykkTegn">
    <w:name w:val="Brødtekstinnrykk Tegn"/>
    <w:basedOn w:val="Standardskriftforavsnitt"/>
    <w:link w:val="Brdtekstinnrykk"/>
    <w:uiPriority w:val="99"/>
    <w:semiHidden/>
    <w:rsid w:val="006400B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400BF"/>
    <w:pPr>
      <w:ind w:left="360" w:firstLine="360"/>
    </w:pPr>
  </w:style>
  <w:style w:type="character" w:customStyle="1" w:styleId="Brdtekst-frsteinnrykk2Tegn">
    <w:name w:val="Brødtekst - første innrykk 2 Tegn"/>
    <w:basedOn w:val="BrdtekstinnrykkTegn"/>
    <w:link w:val="Brdtekst-frsteinnrykk2"/>
    <w:uiPriority w:val="99"/>
    <w:semiHidden/>
    <w:rsid w:val="006400B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400BF"/>
    <w:pPr>
      <w:spacing w:line="480" w:lineRule="auto"/>
    </w:pPr>
  </w:style>
  <w:style w:type="character" w:customStyle="1" w:styleId="Brdtekst2Tegn">
    <w:name w:val="Brødtekst 2 Tegn"/>
    <w:basedOn w:val="Standardskriftforavsnitt"/>
    <w:link w:val="Brdtekst2"/>
    <w:uiPriority w:val="99"/>
    <w:semiHidden/>
    <w:rsid w:val="006400B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400BF"/>
    <w:rPr>
      <w:sz w:val="16"/>
      <w:szCs w:val="16"/>
    </w:rPr>
  </w:style>
  <w:style w:type="character" w:customStyle="1" w:styleId="Brdtekst3Tegn">
    <w:name w:val="Brødtekst 3 Tegn"/>
    <w:basedOn w:val="Standardskriftforavsnitt"/>
    <w:link w:val="Brdtekst3"/>
    <w:uiPriority w:val="99"/>
    <w:semiHidden/>
    <w:rsid w:val="006400B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400BF"/>
    <w:pPr>
      <w:spacing w:line="480" w:lineRule="auto"/>
      <w:ind w:left="283"/>
    </w:pPr>
  </w:style>
  <w:style w:type="character" w:customStyle="1" w:styleId="Brdtekstinnrykk2Tegn">
    <w:name w:val="Brødtekstinnrykk 2 Tegn"/>
    <w:basedOn w:val="Standardskriftforavsnitt"/>
    <w:link w:val="Brdtekstinnrykk2"/>
    <w:uiPriority w:val="99"/>
    <w:semiHidden/>
    <w:rsid w:val="006400B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400BF"/>
    <w:pPr>
      <w:ind w:left="283"/>
    </w:pPr>
    <w:rPr>
      <w:sz w:val="16"/>
      <w:szCs w:val="16"/>
    </w:rPr>
  </w:style>
  <w:style w:type="character" w:customStyle="1" w:styleId="Brdtekstinnrykk3Tegn">
    <w:name w:val="Brødtekstinnrykk 3 Tegn"/>
    <w:basedOn w:val="Standardskriftforavsnitt"/>
    <w:link w:val="Brdtekstinnrykk3"/>
    <w:uiPriority w:val="99"/>
    <w:semiHidden/>
    <w:rsid w:val="006400BF"/>
    <w:rPr>
      <w:rFonts w:ascii="Times New Roman" w:eastAsia="Times New Roman" w:hAnsi="Times New Roman"/>
      <w:spacing w:val="4"/>
      <w:sz w:val="16"/>
      <w:szCs w:val="16"/>
    </w:rPr>
  </w:style>
  <w:style w:type="paragraph" w:customStyle="1" w:styleId="Sammendrag">
    <w:name w:val="Sammendrag"/>
    <w:basedOn w:val="Overskrift1"/>
    <w:qFormat/>
    <w:rsid w:val="006400BF"/>
    <w:pPr>
      <w:numPr>
        <w:numId w:val="0"/>
      </w:numPr>
    </w:pPr>
  </w:style>
  <w:style w:type="paragraph" w:customStyle="1" w:styleId="TrykkeriMerknad">
    <w:name w:val="TrykkeriMerknad"/>
    <w:basedOn w:val="Normal"/>
    <w:qFormat/>
    <w:rsid w:val="006400B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400BF"/>
    <w:pPr>
      <w:shd w:val="clear" w:color="auto" w:fill="FFFF99"/>
      <w:spacing w:line="240" w:lineRule="auto"/>
    </w:pPr>
    <w:rPr>
      <w:color w:val="833C0B" w:themeColor="accent2" w:themeShade="80"/>
    </w:rPr>
  </w:style>
  <w:style w:type="paragraph" w:customStyle="1" w:styleId="tblRad">
    <w:name w:val="tblRad"/>
    <w:rsid w:val="006400B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400BF"/>
  </w:style>
  <w:style w:type="paragraph" w:customStyle="1" w:styleId="tbl2LinjeSumBold">
    <w:name w:val="tbl2LinjeSumBold"/>
    <w:basedOn w:val="tblRad"/>
    <w:rsid w:val="006400BF"/>
  </w:style>
  <w:style w:type="paragraph" w:customStyle="1" w:styleId="tblDelsum1">
    <w:name w:val="tblDelsum1"/>
    <w:basedOn w:val="tblRad"/>
    <w:rsid w:val="006400BF"/>
  </w:style>
  <w:style w:type="paragraph" w:customStyle="1" w:styleId="tblDelsum1-Kapittel">
    <w:name w:val="tblDelsum1 - Kapittel"/>
    <w:basedOn w:val="tblDelsum1"/>
    <w:rsid w:val="006400BF"/>
    <w:pPr>
      <w:keepNext w:val="0"/>
    </w:pPr>
  </w:style>
  <w:style w:type="paragraph" w:customStyle="1" w:styleId="tblDelsum2">
    <w:name w:val="tblDelsum2"/>
    <w:basedOn w:val="tblRad"/>
    <w:rsid w:val="006400BF"/>
  </w:style>
  <w:style w:type="paragraph" w:customStyle="1" w:styleId="tblDelsum2-Kapittel">
    <w:name w:val="tblDelsum2 - Kapittel"/>
    <w:basedOn w:val="tblDelsum2"/>
    <w:rsid w:val="006400BF"/>
    <w:pPr>
      <w:keepNext w:val="0"/>
    </w:pPr>
  </w:style>
  <w:style w:type="paragraph" w:customStyle="1" w:styleId="tblTabelloverskrift">
    <w:name w:val="tblTabelloverskrift"/>
    <w:rsid w:val="006400B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400BF"/>
    <w:pPr>
      <w:spacing w:after="0"/>
      <w:jc w:val="right"/>
    </w:pPr>
    <w:rPr>
      <w:b w:val="0"/>
      <w:caps w:val="0"/>
      <w:sz w:val="16"/>
    </w:rPr>
  </w:style>
  <w:style w:type="paragraph" w:customStyle="1" w:styleId="tblKategoriOverskrift">
    <w:name w:val="tblKategoriOverskrift"/>
    <w:basedOn w:val="tblRad"/>
    <w:rsid w:val="006400BF"/>
    <w:pPr>
      <w:spacing w:before="120"/>
    </w:pPr>
  </w:style>
  <w:style w:type="paragraph" w:customStyle="1" w:styleId="tblKolonneoverskrift">
    <w:name w:val="tblKolonneoverskrift"/>
    <w:basedOn w:val="Normal"/>
    <w:rsid w:val="006400B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400BF"/>
    <w:pPr>
      <w:spacing w:after="360"/>
      <w:jc w:val="center"/>
    </w:pPr>
    <w:rPr>
      <w:b w:val="0"/>
      <w:caps w:val="0"/>
    </w:rPr>
  </w:style>
  <w:style w:type="paragraph" w:customStyle="1" w:styleId="tblKolonneoverskrift-Vedtak">
    <w:name w:val="tblKolonneoverskrift - Vedtak"/>
    <w:basedOn w:val="tblTabelloverskrift-Vedtak"/>
    <w:rsid w:val="006400BF"/>
    <w:pPr>
      <w:spacing w:after="0"/>
    </w:pPr>
  </w:style>
  <w:style w:type="paragraph" w:customStyle="1" w:styleId="tblOverskrift-Vedtak">
    <w:name w:val="tblOverskrift - Vedtak"/>
    <w:basedOn w:val="tblRad"/>
    <w:rsid w:val="006400BF"/>
    <w:pPr>
      <w:spacing w:before="360"/>
      <w:jc w:val="center"/>
    </w:pPr>
  </w:style>
  <w:style w:type="paragraph" w:customStyle="1" w:styleId="tblRadBold">
    <w:name w:val="tblRadBold"/>
    <w:basedOn w:val="tblRad"/>
    <w:rsid w:val="006400BF"/>
  </w:style>
  <w:style w:type="paragraph" w:customStyle="1" w:styleId="tblRadItalic">
    <w:name w:val="tblRadItalic"/>
    <w:basedOn w:val="tblRad"/>
    <w:rsid w:val="006400BF"/>
  </w:style>
  <w:style w:type="paragraph" w:customStyle="1" w:styleId="tblRadItalicSiste">
    <w:name w:val="tblRadItalicSiste"/>
    <w:basedOn w:val="tblRadItalic"/>
    <w:rsid w:val="006400BF"/>
  </w:style>
  <w:style w:type="paragraph" w:customStyle="1" w:styleId="tblRadMedLuft">
    <w:name w:val="tblRadMedLuft"/>
    <w:basedOn w:val="tblRad"/>
    <w:rsid w:val="006400BF"/>
    <w:pPr>
      <w:spacing w:before="120"/>
    </w:pPr>
  </w:style>
  <w:style w:type="paragraph" w:customStyle="1" w:styleId="tblRadMedLuftSiste">
    <w:name w:val="tblRadMedLuftSiste"/>
    <w:basedOn w:val="tblRadMedLuft"/>
    <w:rsid w:val="006400BF"/>
    <w:pPr>
      <w:spacing w:after="120"/>
    </w:pPr>
  </w:style>
  <w:style w:type="paragraph" w:customStyle="1" w:styleId="tblRadMedLuftSiste-Vedtak">
    <w:name w:val="tblRadMedLuftSiste - Vedtak"/>
    <w:basedOn w:val="tblRadMedLuftSiste"/>
    <w:rsid w:val="006400BF"/>
    <w:pPr>
      <w:keepNext w:val="0"/>
    </w:pPr>
  </w:style>
  <w:style w:type="paragraph" w:customStyle="1" w:styleId="tblRadSiste">
    <w:name w:val="tblRadSiste"/>
    <w:basedOn w:val="tblRad"/>
    <w:rsid w:val="006400BF"/>
  </w:style>
  <w:style w:type="paragraph" w:customStyle="1" w:styleId="tblSluttsum">
    <w:name w:val="tblSluttsum"/>
    <w:basedOn w:val="tblRad"/>
    <w:rsid w:val="006400BF"/>
    <w:pPr>
      <w:spacing w:before="120"/>
    </w:pPr>
  </w:style>
  <w:style w:type="table" w:customStyle="1" w:styleId="MetadataTabell">
    <w:name w:val="MetadataTabell"/>
    <w:basedOn w:val="Rutenettabelllys"/>
    <w:uiPriority w:val="99"/>
    <w:rsid w:val="006400B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400BF"/>
    <w:pPr>
      <w:spacing w:before="60" w:after="60"/>
    </w:pPr>
    <w:rPr>
      <w:rFonts w:ascii="Consolas" w:hAnsi="Consolas"/>
      <w:color w:val="ED7D31" w:themeColor="accent2"/>
      <w:sz w:val="26"/>
    </w:rPr>
  </w:style>
  <w:style w:type="table" w:styleId="Rutenettabelllys">
    <w:name w:val="Grid Table Light"/>
    <w:basedOn w:val="Vanligtabell"/>
    <w:uiPriority w:val="40"/>
    <w:rsid w:val="006400B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400B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400B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400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5</TotalTime>
  <Pages>29</Pages>
  <Words>9688</Words>
  <Characters>56647</Characters>
  <Application>Microsoft Office Word</Application>
  <DocSecurity>0</DocSecurity>
  <Lines>472</Lines>
  <Paragraphs>132</Paragraphs>
  <ScaleCrop>false</ScaleCrop>
  <Company/>
  <LinksUpToDate>false</LinksUpToDate>
  <CharactersWithSpaces>66203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2023-03-27T06:53:00Z</dcterms:created>
  <dcterms:modified xsi:type="dcterms:W3CDTF">2023-03-27T06:57:00Z</dcterms:modified>
</cp:coreProperties>
</file>