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988D" w14:textId="77777777" w:rsidR="00823443" w:rsidRDefault="00860B60">
      <w:pPr>
        <w:pStyle w:val="MainTitle"/>
      </w:pPr>
      <w:r>
        <w:rPr>
          <w:noProof/>
        </w:rPr>
        <mc:AlternateContent>
          <mc:Choice Requires="wps">
            <w:drawing>
              <wp:anchor distT="0" distB="0" distL="114300" distR="114300" simplePos="0" relativeHeight="251655168" behindDoc="0" locked="0" layoutInCell="1" allowOverlap="1" wp14:anchorId="39FF7CC4" wp14:editId="19623B3B">
                <wp:simplePos x="0" y="0"/>
                <wp:positionH relativeFrom="page">
                  <wp:posOffset>6035040</wp:posOffset>
                </wp:positionH>
                <wp:positionV relativeFrom="paragraph">
                  <wp:posOffset>0</wp:posOffset>
                </wp:positionV>
                <wp:extent cx="835660" cy="167004"/>
                <wp:effectExtent l="0" t="0" r="0" b="5080"/>
                <wp:wrapNone/>
                <wp:docPr id="99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167004"/>
                        </a:xfrm>
                        <a:prstGeom prst="rect">
                          <a:avLst/>
                        </a:prstGeom>
                        <a:solidFill>
                          <a:srgbClr val="FFFFFF"/>
                        </a:solidFill>
                        <a:ln w="9525">
                          <a:noFill/>
                          <a:miter lim="800000"/>
                          <a:headEnd/>
                          <a:tailEnd/>
                        </a:ln>
                      </wps:spPr>
                      <wps:txbx>
                        <w:txbxContent>
                          <w:p w14:paraId="6CA7B670" w14:textId="77777777" w:rsidR="006C68E6" w:rsidRDefault="006C68E6">
                            <w:pPr>
                              <w:pStyle w:val="SequenceNumber"/>
                            </w:pPr>
                            <w:bookmarkStart w:id="0" w:name="SEQUENCE_NUMBER_99001"/>
                            <w:r>
                              <w:t>0000/XXX/00/00</w:t>
                            </w:r>
                            <w:bookmarkEnd w:id="0"/>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F7CC4" id="_x0000_t202" coordsize="21600,21600" o:spt="202" path="m,l,21600r21600,l21600,xe">
                <v:stroke joinstyle="miter"/>
                <v:path gradientshapeok="t" o:connecttype="rect"/>
              </v:shapetype>
              <v:shape id="Text Box 2" o:spid="_x0000_s1026" type="#_x0000_t202" style="position:absolute;left:0;text-align:left;margin-left:475.2pt;margin-top:0;width:65.8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" stroked="f">
                <v:textbox inset="0,0,0,0">
                  <w:txbxContent>
                    <w:p w14:paraId="6CA7B670" w14:textId="77777777" w:rsidR="006C68E6" w:rsidRDefault="006C68E6">
                      <w:pPr>
                        <w:pStyle w:val="SequenceNumber"/>
                      </w:pPr>
                      <w:bookmarkStart w:id="1" w:name="SEQUENCE_NUMBER_99001"/>
                      <w:r>
                        <w:t>0000/XXX/00/00</w:t>
                      </w:r>
                      <w:bookmarkEnd w:id="1"/>
                    </w:p>
                  </w:txbxContent>
                </v:textbox>
                <w10:wrap anchorx="page"/>
              </v:shape>
            </w:pict>
          </mc:Fallback>
        </mc:AlternateContent>
      </w:r>
      <w:r>
        <w:t xml:space="preserve">DELEGERT KOMMISJONSFORORDNING (EU) </w:t>
      </w:r>
    </w:p>
    <w:p w14:paraId="4FB1FFBC" w14:textId="77777777" w:rsidR="00823443" w:rsidRDefault="00860B60" w:rsidP="00860B60">
      <w:pPr>
        <w:pStyle w:val="MainTitle"/>
      </w:pPr>
      <w:r>
        <w:t xml:space="preserve">av 4.7.2025 </w:t>
      </w:r>
    </w:p>
    <w:p w14:paraId="7AACB712" w14:textId="77777777" w:rsidR="00823443" w:rsidRDefault="00860B60" w:rsidP="00860B60">
      <w:pPr>
        <w:pStyle w:val="MainTitle"/>
        <w:spacing w:after="360"/>
      </w:pPr>
      <w:r>
        <w:t>om endring av delegert kommisjonsforordning (EU) 2021/2178 med hensyn til forenkling av innholdet i og presentasjonen av opplysninger som skal gis om miljømessig bærekraftige aktiviteter, og delegert kommisjonsforordning (EU) 2021/2139 og (EU) 2023/2486 med hensyn til forenkling av visse tekniske screeningkriterier for å fastslå om det er slik at økonomiske aktiviteter ikke er til betydelig skade for miljømål</w:t>
      </w:r>
    </w:p>
    <w:p w14:paraId="4EF81D55" w14:textId="77777777" w:rsidR="00823443" w:rsidRPr="00860B60" w:rsidRDefault="00860B60" w:rsidP="00860B60">
      <w:pPr>
        <w:pStyle w:val="PreambleInit"/>
      </w:pPr>
      <w:r>
        <w:t>EUROPAKOMMISJONEN HAR</w:t>
      </w:r>
    </w:p>
    <w:p w14:paraId="1F8A2005" w14:textId="77777777" w:rsidR="00823443" w:rsidRDefault="00860B60">
      <w:pPr>
        <w:pStyle w:val="Para"/>
      </w:pPr>
      <w:r>
        <w:t>under henvisning til traktaten om Den europeiske unions virkemåte,</w:t>
      </w:r>
    </w:p>
    <w:p w14:paraId="205E9965" w14:textId="1506A6C9" w:rsidR="00823443" w:rsidRDefault="00860B60">
      <w:pPr>
        <w:pStyle w:val="Para"/>
      </w:pPr>
      <w:r>
        <w:t>under henvisning til europaparlaments- og rådsforordning (EU) 2020/852 av 18. juni 2020 om etablering av et rammeverk for å fremme bærekraftige investeringer og om endring av forordning (EU) 2019/2088(</w:t>
      </w:r>
      <w:r w:rsidR="00535290" w:rsidRPr="001E7D70">
        <w:rPr>
          <w:rStyle w:val="Fotnotereferanse"/>
          <w:sz w:val="18"/>
        </w:rPr>
        <w:footnoteReference w:id="2"/>
      </w:r>
      <w:r>
        <w:t>), særlig artikkel 8 nr. 4, artikkel 10 nr. 3, artikkel 11 nr. 3, artikkel 12 nr. 2, artikkel 13 nr. 2, artikkel 14 nr. 2 og artikkel 15 nr. 2, og</w:t>
      </w:r>
    </w:p>
    <w:p w14:paraId="682F7DF9" w14:textId="77777777" w:rsidR="00823443" w:rsidRDefault="00860B60">
      <w:pPr>
        <w:pStyle w:val="Para"/>
      </w:pPr>
      <w:r>
        <w:t>ut fra følgende betraktninger:</w:t>
      </w:r>
    </w:p>
    <w:p w14:paraId="0100A1D6" w14:textId="77777777" w:rsidR="00823443" w:rsidRDefault="00860B60" w:rsidP="00860B60">
      <w:pPr>
        <w:pStyle w:val="Consid"/>
      </w:pPr>
      <w:r>
        <w:t>1)</w:t>
      </w:r>
      <w:r>
        <w:tab/>
        <w:t>I delegert kommisjonsforordning (EU) 2021/2178(</w:t>
      </w:r>
      <w:r w:rsidRPr="001E7D70">
        <w:rPr>
          <w:rStyle w:val="Fotnotereferanse"/>
          <w:sz w:val="18"/>
        </w:rPr>
        <w:footnoteReference w:id="3"/>
      </w:r>
      <w:r>
        <w:t>) presiseres innholdet i og presentasjonen av de opplysningene som ikke-finansielle og finansielle foretak som er omfattet av plikten til å offentliggjøre bærekraftsopplysninger i henhold til artikkel 19a eller artikkel 29a i europaparlaments- og rådsdirektiv 2013/34/EU(</w:t>
      </w:r>
      <w:r w:rsidRPr="001E7D70">
        <w:rPr>
          <w:rStyle w:val="Fotnotereferanse"/>
          <w:sz w:val="18"/>
        </w:rPr>
        <w:footnoteReference w:id="4"/>
      </w:r>
      <w:r>
        <w:t>), skal gi i sin årsberetning i henhold til artikkel 8 i forordning (EU) 2020/852. I delegert forordning (EU) 2021/2178 gjøres dette ved at de tekniske screeningkriteriene for miljømessig bærekraftige økonomiske aktiviteter, som er fastsatt i delegert kommisjonsforordning (EU) 2021/2139(</w:t>
      </w:r>
      <w:r w:rsidRPr="001E7D70">
        <w:rPr>
          <w:rStyle w:val="Fotnotereferanse"/>
          <w:sz w:val="18"/>
        </w:rPr>
        <w:footnoteReference w:id="5"/>
      </w:r>
      <w:r>
        <w:t>) og delegert kommisjonsforordning (EU) 2023/2486(</w:t>
      </w:r>
      <w:r w:rsidRPr="001E7D70">
        <w:rPr>
          <w:rStyle w:val="Fotnotereferanse"/>
          <w:sz w:val="18"/>
        </w:rPr>
        <w:footnoteReference w:id="6"/>
      </w:r>
      <w:r>
        <w:t>), omdannes til kvantitative nøkkelindikatorer (KPI-er). Disse KPI-ene viser hvorvidt og i hvilken utstrekning disse foretakenes aktiviteter er forbundet med slike miljømessig bærekraftige økonomiske aktiviteter, og hjelper dermed investorer og allmennheten med å forstå disse foretakenes  miljøprestasjon i forbindelse med aktiviteter som er omfattet av forordning (EU) 2020/852, delegert forordning (EU) 2021/2139 og delegert forordning (EU) 2023/2486 (heretter samlet kalt «taksonomien»), og deres forløp mot å tilpasse sine aktiviteter til taksonomikriteriene, som i sin tur gjør det lettere å finansiere miljømessig bærekraftige økonomiske aktiviteter og prosjekter. Delegert forordning (EU) 2021/2178 gir dermed økt markedsinnsyn og bidrar til å hindre grønnvasking ved å informere investorer om et foretaks miljøprestasjon.</w:t>
      </w:r>
    </w:p>
    <w:p w14:paraId="104D4332" w14:textId="77777777" w:rsidR="00652815" w:rsidRDefault="00860B60" w:rsidP="00652815">
      <w:pPr>
        <w:pStyle w:val="Consid"/>
        <w:tabs>
          <w:tab w:val="left" w:pos="662"/>
        </w:tabs>
        <w:spacing w:after="0"/>
      </w:pPr>
      <w:r>
        <w:t>2)</w:t>
      </w:r>
      <w:r>
        <w:tab/>
        <w:t>Ikke-finansielle foretak begynte å rapportere sine KPI-er i henhold til delegert forordning (EU) 2021/2178 1. januar 2023, mens finansforetak begynte 1. januar 2024. Mellom det første og det andre rapporteringsåret for ikke-finansielle foretak økte verdien av omsetning og investeringsutgifter knyttet til miljømessig bærekraftige økonomiske aktiviteter betydelig.</w:t>
      </w:r>
      <w:r>
        <w:br w:type="page"/>
      </w:r>
    </w:p>
    <w:p w14:paraId="7F178E55" w14:textId="77777777" w:rsidR="00823443" w:rsidRDefault="00860B60">
      <w:pPr>
        <w:pStyle w:val="Consid"/>
        <w:tabs>
          <w:tab w:val="left" w:pos="662"/>
        </w:tabs>
      </w:pPr>
      <w:r>
        <w:lastRenderedPageBreak/>
        <w:t>3)</w:t>
      </w:r>
      <w:r>
        <w:tab/>
        <w:t>Etter at taksonomien er tatt i bruk, viser tilbakemeldingene og de samlede erfaringene som er rapportert av både ikke-finansielle foretak og finansforetak, at innholdet i og presentasjonen av opplysninger som skal gis i samsvar med delegert forordning (EU) 2021/2178, bør forenkles og forbedres for å redusere urimelige rapporteringsbyrder og overlappende rapportering. En slik forenkling og forbedring bør imidlertid ikke fjerne de vesentlige aspektene som gjelder i hvilken utstrekning rapporterende foretaks aktiviteter er forbundet med miljømessig bærekraftige økonomiske aktiviteter. En slik forenkling og forbedring bør føre til en merkbar og umiddelbar lettelse for de rapporterende foretakene i deres rapportering som skal finne sted i 2026.</w:t>
      </w:r>
    </w:p>
    <w:p w14:paraId="45BC4EEC" w14:textId="77777777" w:rsidR="00823443" w:rsidRDefault="00860B60">
      <w:pPr>
        <w:pStyle w:val="Consid"/>
        <w:tabs>
          <w:tab w:val="left" w:pos="662"/>
        </w:tabs>
      </w:pPr>
      <w:r>
        <w:t>4)</w:t>
      </w:r>
      <w:r>
        <w:tab/>
        <w:t>For å redusere ikke-finansielle foretaks rapporteringsbyrde bør disse foretakene, i lys av forholdsmessighetsprinsippet, kunne velge ikke å vurdere om de økonomiske aktivitetene oppfyller de tekniske screeningkriteriene angitt i delegert forordning (EU) 2021/2139 og delegert forordning (EU) 2023/2486, dersom disse aktivitetene ikke er økonomisk vesentlige for deres virksomhet. På samme måte bør finansforetak kunne velge ikke å vurdere om de tekniske screeningkriteriene angitt i delegert forordning (EU) 2021/2139 og delegert forordning (EU) 2023/2486 er oppfylt når det gjelder deres eksponeringer som finansierer deres motparters spesifikke økonomiske aktiviteter eller eiendeler, dersom disse eksponeringene ikke er økonomisk vesentlige. Dersom det generelle formålet for finansforetaks aktiviteter er å finansiere alle aktivitetene til motpartene deres, bør finansforetakene ta hensyn til disse motpartenes ikke-vesentlige aktiviteter når de beregner deres respektive ikke-vesentlige økonomiske aktiviteter.</w:t>
      </w:r>
    </w:p>
    <w:p w14:paraId="642C9584" w14:textId="77777777" w:rsidR="00823443" w:rsidRDefault="00860B60">
      <w:pPr>
        <w:pStyle w:val="Consid"/>
        <w:tabs>
          <w:tab w:val="left" w:pos="667"/>
        </w:tabs>
      </w:pPr>
      <w:r>
        <w:t>5)</w:t>
      </w:r>
      <w:r>
        <w:tab/>
        <w:t>For å sikre rettslig forutsigbarhet er det nødvendig å fastsette en nedre terskel for når en økonomisk aktivitet, eiendel eller inntekt anses som ikke økonomisk vesentlig med hensyn til kravene om gjennomsiktighet i henhold til forordning (EU) 2020/852.</w:t>
      </w:r>
    </w:p>
    <w:p w14:paraId="1D70C45E" w14:textId="77777777" w:rsidR="00823443" w:rsidRDefault="00860B60">
      <w:pPr>
        <w:pStyle w:val="Consid"/>
        <w:tabs>
          <w:tab w:val="left" w:pos="667"/>
        </w:tabs>
      </w:pPr>
      <w:r>
        <w:t>6)</w:t>
      </w:r>
      <w:r>
        <w:tab/>
        <w:t>Det er viktig å gi investorer og allmennheten en oversikt over hvilke aktiviteter som anses som ikke-vesentlige for hver KPI. I tillegg bør det unngås at ikke-vesentlige aktiviteter fjernes fra nevneren i de relevante KPI-ene, eller at foretak, blant de ikke-vesentlige aktivitetene, bevisst tar med skadelige aktiviteter som ville forvrenge rapporteringen og være i strid med målene for forordning (EU) 2020/852. Ikke-finansielle foretak og finansforetak bør derfor rapportere ikke-vesentlige aktiviteter separat på aggregert og individuelt nivå. I bakgrunnsopplysningene som forklarer rapporteringsmalene, bør foretak på individuelt nivå klart angi sektoren for de økonomiske aktivitetene som anses som ikke-vesentlige, for å sikre gjennomsiktighet når det gjelder disse aktivitetene. For å gjøre dette kan rapporterende foretak bruke standarden for næringsgruppering i Den europeiske union (NACE) som fastsatt ved europaparlaments- og rådsforordning (EF) nr. 1893/2006 av 20. desember 2006(</w:t>
      </w:r>
      <w:r w:rsidR="00535290" w:rsidRPr="001E7D70">
        <w:rPr>
          <w:rStyle w:val="Fotnotereferanse"/>
          <w:sz w:val="18"/>
        </w:rPr>
        <w:footnoteReference w:id="7"/>
      </w:r>
      <w:r>
        <w:t>).</w:t>
      </w:r>
    </w:p>
    <w:p w14:paraId="0A2A14B5" w14:textId="77777777" w:rsidR="00823443" w:rsidRDefault="00860B60">
      <w:pPr>
        <w:pStyle w:val="Consid"/>
        <w:tabs>
          <w:tab w:val="left" w:pos="667"/>
        </w:tabs>
      </w:pPr>
      <w:r>
        <w:t>7)</w:t>
      </w:r>
      <w:r>
        <w:tab/>
        <w:t>I lys av Kommisjonens forslag til et direktiv som endrer direktiv 2013/34/EU for å sikre at kravet om å rapportere taksonomirelatert informasjon er forholdsmessig(</w:t>
      </w:r>
      <w:r w:rsidR="00535290" w:rsidRPr="001E7D70">
        <w:rPr>
          <w:rStyle w:val="Fotnotereferanse"/>
          <w:sz w:val="18"/>
        </w:rPr>
        <w:footnoteReference w:id="8"/>
      </w:r>
      <w:r>
        <w:t>), og for å gi kredittinstitusjoner tilstrekkelig tid til å innføre rapporteringskravene som er fastsatt i delegert forordning (EU) 2021/2178, bør anvendelsen av rapporteringskravene knyttet til KPI for handelsporteføljen og KPI for gebyrer og provisjoner utsettes til 2028.</w:t>
      </w:r>
    </w:p>
    <w:p w14:paraId="0B690CF8" w14:textId="4DC76B16" w:rsidR="00823443" w:rsidRDefault="00860B60">
      <w:pPr>
        <w:pStyle w:val="Consid"/>
        <w:tabs>
          <w:tab w:val="left" w:pos="667"/>
        </w:tabs>
      </w:pPr>
      <w:r>
        <w:t>8)</w:t>
      </w:r>
      <w:r>
        <w:tab/>
        <w:t>Det er dessuten hensiktsmessig å fastsette en gradert metode for å vurdere vesentligheten for de ulike klassene av opplysninger som skal rapporteres.  Ettersom det er vanlig å anse at opplysninger om driftsutgifter har mindre betydning og beslutningsmessig nytteverdi for vurderinger av om foretakenes aktiviteter er bærekraftige, enn opplysninger om omsetning eller investeringsutgifter, bør ikke-finansielle foretak kunne la være å rapportere om hvorvidt driftsutgiftene er omfattet av og forenlige med taksonomien, dersom driftsutgiftene ikke er økonomisk vesentlige for deres forretningsmodell. En slik fleksibilitet vil fortsatt bevare foretakenes gjennomsiktighet overfor finansmarkedsdeltakere og investorer, samtidig som en forholdsmessig anvendelse av rapporteringskravene i henhold til artikkel 8 i forordning 2020/852 sikres.</w:t>
      </w:r>
    </w:p>
    <w:p w14:paraId="582335D2" w14:textId="77777777" w:rsidR="00823443" w:rsidRDefault="00860B60" w:rsidP="0083109E">
      <w:pPr>
        <w:pStyle w:val="Consid"/>
        <w:tabs>
          <w:tab w:val="left" w:pos="667"/>
          <w:tab w:val="right" w:pos="6475"/>
          <w:tab w:val="left" w:pos="6620"/>
        </w:tabs>
      </w:pPr>
      <w:r>
        <w:t>9)</w:t>
      </w:r>
      <w:r>
        <w:tab/>
        <w:t xml:space="preserve">Eksponeringer for hvilke det ikke er mulig å foreta en </w:t>
      </w:r>
      <w:r>
        <w:tab/>
        <w:t>vurdering av om de er omfattet av eller forenlige med taksonomien, for eksempel derivater, kontanter og kontantekvivalenter, banklån på anfordring, goodwill eller varer, bør ikke tas med i nevneren i finansforetaks KPI-er.</w:t>
      </w:r>
    </w:p>
    <w:p w14:paraId="59D4AE2D" w14:textId="77777777" w:rsidR="00823443" w:rsidRDefault="00860B60" w:rsidP="0083109E">
      <w:pPr>
        <w:pStyle w:val="Consid"/>
      </w:pPr>
      <w:r>
        <w:t>10)</w:t>
      </w:r>
      <w:r>
        <w:tab/>
        <w:t xml:space="preserve">Artikkel 7 nr. 3 i delegert forordning (EU) 2021/2178 krever ikke at finansforetak ved beregningen av telleren i sine KPI-er skal ta hensyn til eksponeringer mot motpartsforetak som ikke er underlagt rapporteringskravene fastsatt i artikkel 19a og 29a i direktiv 2013/34/EU. Av den grunn kan finansforetaks KPI-er ikke gjenspeile finansieringen av økonomiske aktiviteter og eiendeler i de motpartsforetakene som er bærekraftige i henhold til artikkel 3 i forordning </w:t>
      </w:r>
      <w:r>
        <w:lastRenderedPageBreak/>
        <w:t>(EU) 2020/852. For å sikre at finansforetaks KPI-er er nøyaktige, og samtidig unngå at deres motpartsforetak indirekte blir gjenstand for strenge taksonomikriterier for å få tilgang til bærekraftig finansiering, er det nødvendig å tilpasse telleren og nevneren i de relevante KPI-ene og utelukke finansforetaks eksponeringer mot disse motpartsforetakene fra nevneren i de relevante KPI-ene. Derfor bør omfanget av finansforetaks KPI-er omfatte all finansiering og investering i foretak som er underlagt rapporteringskravene fastsatt i artikkel 19a og 29a i direktiv 2013/34/EU, og i datterforetak av morforetak som er omfattet av artikkel 29a i nevnte direktiv, forutsatt at disse morforetakene rapporterer individuelle bærekraftsopplysninger, herunder i henhold til taksonomien, om disse datterforetakene. Dette betyr at det er nødvendig at finansforetaks KPI-er også omfatter eksponeringer mot andre motpartsforetak som ikke er underlagt rapporteringskravene fastsatt i artikkel 19a i direktiv 2013/34/EU, men som inngår i en foretaksgruppe som omfattes av et morforetaks konsoliderte rapportering i henhold til artikkel 29a i det nevnte direktivet. Tilsvarende bør eksponeringer mot spesialforetak som finansierer foretak som er underlagt rapporteringskravene fastsatt i artikkel 19a eller 29a i direktiv 2013/34/EU, og deres respektive datterforetak, omfattes av finansforetaks KPI-er.</w:t>
      </w:r>
    </w:p>
    <w:p w14:paraId="4F2ADBF9" w14:textId="0C579091" w:rsidR="00823443" w:rsidRDefault="00860B60" w:rsidP="0083109E">
      <w:pPr>
        <w:pStyle w:val="Consid"/>
      </w:pPr>
      <w:r>
        <w:t>11)</w:t>
      </w:r>
      <w:r>
        <w:tab/>
        <w:t>Selv om finansforetaks eksponeringer mot motpartsforetak som ikke er underlagt rapporteringskravene fastsatt i artikkel</w:t>
      </w:r>
      <w:r w:rsidR="00727987">
        <w:t> </w:t>
      </w:r>
      <w:r>
        <w:t>19a og 29a i direktiv 2013/34/EU og i artikkel 8 i forordning (EU) 2020/852, bør utelukkes fra finansforetaks KPI-er, kan finansforetak fortsatt i sine KPI-er ta med eksponeringer mot motpartsforetak som på frivillig grunnlag oppfyller kravene fastsatt i artikkel 8 i forordning (EU) 2020/852. Tilsvarende kan finansforetak i sine KPI-er ta med eksponeringer mot de motpartsforetakene som finansierer spesifikke økonomiske aktiviteter eller eiendeler, basert på tilgjengelig informasjon om disse økonomiske aktivitetenes og eiendelenes oppfyllelse av taksonomikriteriene. Som en følge av disse endringene blir artikkel 7 nr. 4 og artikkel 7 nr. 7 i delegert forordning (EU) 2021/2178 irrelevante og bør derfor utgå.</w:t>
      </w:r>
    </w:p>
    <w:p w14:paraId="3A45C150" w14:textId="77777777" w:rsidR="00823443" w:rsidRDefault="00860B60" w:rsidP="0083109E">
      <w:pPr>
        <w:pStyle w:val="Consid"/>
      </w:pPr>
      <w:r>
        <w:t>12)</w:t>
      </w:r>
      <w:r>
        <w:tab/>
        <w:t>Målet om å redusere den administrative byrden og forenkle rapporteringsplikten bør skjelnes fra de pågående langsiktige og omfattende gjennomgåelsene av rapporteringskravene som er fastsatt i delegert forordning (EU) 2021/2178, og av taksonomiens tekniske screeningkriterier som er fastsatt i delegert forordning (EU) 2021/2139 og (EU) 2023/2486, for å gjøre det betydelig lettere å gjennomføre disse rapporteringskravene og -kriteriene. Med tanke på at rapporteringskravene for finansforetak er komplekse, og at foretakenes oppfyllelse av dem avhenger av strømmen av informasjon og data fra de motpartene som de finansierer, bør finansforetak fram til gjennomgåelsen av rapporteringskravene og de tekniske screeningkriteriene fastsatt i delegert forordning (EU) 2021/2139 og (EU) 2023/2486 er fullført, kunne velge ikke å bruke malene fastsatt i vedleggene til delegert forordning (EU) 2021/2178 for å oppfylle opplysningspliktene fastsatt i artikkel 8 i forordning (EU) 2020/852. For å sikre rettslig forutsigbarhet, forebygge risiko for grønnvasking og overholde forholdsmessighetsprinsippet bør slike foretak i stedet offentliggjøre en standarderklæring i sin årsberetning, der de angir at de ikke hevder at deres økonomiske aktiviteter er forbundet med miljømessig bærekraftige aktiviteter som omhandlet i forordning (EU) 2020/852.</w:t>
      </w:r>
    </w:p>
    <w:p w14:paraId="2115FC72" w14:textId="77777777" w:rsidR="00823443" w:rsidRDefault="00860B60" w:rsidP="0083109E">
      <w:pPr>
        <w:pStyle w:val="Consid"/>
      </w:pPr>
      <w:r>
        <w:t>13)</w:t>
      </w:r>
      <w:r>
        <w:tab/>
        <w:t>For å redusere rapporteringsmalenes kompleksitet og lengde og gjøre det betydelig lettere for foretakene å rapportere i henhold til delegert forordning (EU) 2021/2178, bør rapporteringsmalene i den delegerte forordningen forkortes og forenkles betydelig uten at det går tapt vesentlige opplysninger som gis i disse malene, om i hvilken utstrekning de rapporterende foretakenes aktiviteter er forbundet med miljømessig bærekraftige økonomiske aktiviteter. Videre bør de spesifikke malene i vedlegg XII til delegert forordning (EU) 2021/2178 som er knyttet til aktivitetene i sektorene for fossil gass og kjerneenergi, utgå for å redusere rapporteringsbyrden og unngå overlapping med opplysninger som ikke-finansielle foretak gir i malene i vedlegg II til denne forordningen. Ikke-finansielle foretak bør gi de samme kategoriene av opplysninger med hensyn til sine vesentlige aktiviteter i sektorene for fossil gass og kjerneenergi som for andre sektorer. For å redusere finansforetaks rapporteringsbyrde og sikre samsvar med deres motparters taksonomirelaterte opplysninger er det nødvendig å endre vedlegg IV, VI, VIII og X til nevnte forordning for å sikre at finansforetak konsekvent opplyser om sine eksponeringer mot aktiviteter i sektorene for fossil gass og kjerneenergi, som er omfattet av eller forenlige med taksonomien, i aggregert form.</w:t>
      </w:r>
    </w:p>
    <w:p w14:paraId="638267D8" w14:textId="77777777" w:rsidR="00823443" w:rsidRDefault="00860B60">
      <w:pPr>
        <w:pStyle w:val="Consid"/>
        <w:tabs>
          <w:tab w:val="left" w:pos="629"/>
        </w:tabs>
      </w:pPr>
      <w:r>
        <w:t>14)</w:t>
      </w:r>
      <w:r>
        <w:tab/>
        <w:t>Delegert forordning (EU) 2021/2178 bør derfor endres.</w:t>
      </w:r>
    </w:p>
    <w:p w14:paraId="1CD6BFC8" w14:textId="77777777" w:rsidR="00652815" w:rsidRDefault="00860B60" w:rsidP="00652815">
      <w:pPr>
        <w:pStyle w:val="Consid"/>
        <w:tabs>
          <w:tab w:val="right" w:pos="9049"/>
        </w:tabs>
        <w:spacing w:after="0"/>
      </w:pPr>
      <w:r>
        <w:t>15)</w:t>
      </w:r>
      <w:r>
        <w:tab/>
        <w:t xml:space="preserve">Oppfyllelse av alle kriteriene fastsatt i delegert forordning (EU) 2021/2139 og (EU) 2023/2486 for å fastslå om det er slik at en økonomisk aktivitet </w:t>
      </w:r>
      <w:r>
        <w:tab/>
        <w:t>ikke er til betydelig skade for noen av miljømålene, er et nødvendig vilkår for at denne økonomiske aktiviteten skal kunne anses som miljømessig bærekraftig. Manglende påvist oppfyllelse av bare ett av disse kriteriene er nok til at det blir umulig for et foretak å rapportere sine økonomiske aktiviteter som miljømessig bærekraftige. Foretak har vanskeligheter med å vurdere og vise at de oppfyller enkelte av disse kriteriene. For å redusere foretakenes administrative byrde bør disse kriteriene endres.</w:t>
      </w:r>
      <w:r>
        <w:br w:type="page"/>
      </w:r>
    </w:p>
    <w:p w14:paraId="75882E39" w14:textId="34C516D9" w:rsidR="00823443" w:rsidRDefault="00860B60" w:rsidP="0083109E">
      <w:pPr>
        <w:pStyle w:val="Consid"/>
        <w:tabs>
          <w:tab w:val="left" w:pos="629"/>
          <w:tab w:val="right" w:pos="9049"/>
        </w:tabs>
      </w:pPr>
      <w:r>
        <w:lastRenderedPageBreak/>
        <w:t>16)</w:t>
      </w:r>
      <w:r>
        <w:tab/>
        <w:t xml:space="preserve">De generiske kriteriene for </w:t>
      </w:r>
      <w:r w:rsidR="0090057A">
        <w:t xml:space="preserve">å </w:t>
      </w:r>
      <w:r>
        <w:t>fastslå om det er slik at en økonomisk aktivitet ikke gjør betydelig skade for forebygging og begrensning av forurensning med hensyn til bruk og forekomst av kjemikalier, får anvendelse på økonomiske aktiviteter i ulike sektorer. Vurderingen av om disse kravene er oppfylt, påfører foretak en særlig stor byrde på grunn av kravenes kompleksitet. For å oppnå større juridisk klarhet og bedre sammenheng når det gjelder visse elementer i disse generiske kriteriene, bør anvendelsen av visse unntak på grunnlag av unionsretten, som det vises til i disse kriteriene, spesifiseres.</w:t>
      </w:r>
    </w:p>
    <w:p w14:paraId="0462475B" w14:textId="77777777" w:rsidR="00823443" w:rsidRDefault="00860B60" w:rsidP="0083109E">
      <w:pPr>
        <w:pStyle w:val="Consid"/>
      </w:pPr>
      <w:r>
        <w:t>17)</w:t>
      </w:r>
      <w:r>
        <w:tab/>
        <w:t>Europaparlaments- og rådsforordning (EU) 2024/590(</w:t>
      </w:r>
      <w:r w:rsidR="00535290" w:rsidRPr="001E7D70">
        <w:rPr>
          <w:rStyle w:val="Fotnotereferanse"/>
          <w:sz w:val="18"/>
        </w:rPr>
        <w:footnoteReference w:id="9"/>
      </w:r>
      <w:r>
        <w:t>) tillater et visst antall klart definerte unntak fra forbudet mot å bruke stoffer som bryter ned ozonlaget. De generiske kriteriene for å fastslå om det er slik at en økonomisk aktivitet ikke gjør betydelig skade for forebygging og begrensning av forurensning, bør derfor tillate bruk av slike unntak og nødvendig bruk av stoffer som bryter ned ozonlaget, i tilfeller der alternativer ikke er tilgjengelige.</w:t>
      </w:r>
    </w:p>
    <w:p w14:paraId="49583145" w14:textId="5E10C9CA" w:rsidR="00823443" w:rsidRDefault="00860B60" w:rsidP="0083109E">
      <w:pPr>
        <w:pStyle w:val="Consid"/>
        <w:tabs>
          <w:tab w:val="left" w:pos="634"/>
          <w:tab w:val="right" w:pos="9052"/>
        </w:tabs>
      </w:pPr>
      <w:r>
        <w:t>18)</w:t>
      </w:r>
      <w:r>
        <w:tab/>
        <w:t>Europaparlaments- og rådsdirektiv 2011/65/EU(</w:t>
      </w:r>
      <w:r w:rsidR="00535290" w:rsidRPr="001E7D70">
        <w:rPr>
          <w:rStyle w:val="Fotnotereferanse"/>
          <w:sz w:val="18"/>
        </w:rPr>
        <w:footnoteReference w:id="10"/>
      </w:r>
      <w:r>
        <w:t xml:space="preserve">) inneholder unntak, av begrenset omfang og varighet, fra begrensningen for visse særskilte materialer eller komponenter. Disse unntakene gjelder i situasjoner der erstatning ikke er mulig fra et vitenskapelig og teknisk synspunkt, der det er sannsynlig at de negative virkningene av erstatningen for miljø, helse og forbrukersikkerhet vil oppveie fordelene ved erstatningen for miljø, helse og forbrukersikkerhet, eller der erstatningsproduktenes pålitelighet ikke er sikret. De generiske kriteriene for </w:t>
      </w:r>
      <w:r w:rsidR="0090057A">
        <w:t xml:space="preserve">å </w:t>
      </w:r>
      <w:r>
        <w:t>fastslå om det er slik at en økonomisk aktivitet ikke gjør betydelig skade for forebygging og begrensning av forurensning, bør derfor tillate bruk av disse unntakene.</w:t>
      </w:r>
    </w:p>
    <w:p w14:paraId="5766FB48" w14:textId="77777777" w:rsidR="00823443" w:rsidRDefault="00860B60">
      <w:pPr>
        <w:pStyle w:val="Consid"/>
        <w:tabs>
          <w:tab w:val="left" w:pos="634"/>
        </w:tabs>
      </w:pPr>
      <w:r>
        <w:t>19)</w:t>
      </w:r>
      <w:r>
        <w:tab/>
        <w:t>De generiske kriteriene knyttet til produksjon, forekomst i sluttproduktet eller sluttresultatet, eller omsetning av stoffer som oppfyller kriteriene fastsatt i europaparlaments- og rådsforordning (EF) nr. 1272/2008(</w:t>
      </w:r>
      <w:r w:rsidR="00535290" w:rsidRPr="001E7D70">
        <w:rPr>
          <w:rStyle w:val="Fotnotereferanse"/>
          <w:sz w:val="18"/>
        </w:rPr>
        <w:footnoteReference w:id="11"/>
      </w:r>
      <w:r>
        <w:t>) for en av fareklassene eller farekategoriene nevnt i artikkel 57 i europaparlaments- og rådsforordning (EF) nr. 1907/2006(</w:t>
      </w:r>
      <w:r w:rsidR="00535290" w:rsidRPr="001E7D70">
        <w:rPr>
          <w:rStyle w:val="Fotnotereferanse"/>
          <w:sz w:val="18"/>
        </w:rPr>
        <w:footnoteReference w:id="12"/>
      </w:r>
      <w:r>
        <w:t>), krever at rapporterende foretak kontrollerer et svært stort antall stoffer, herunder forekomsten av dem i alle produkter og resultater som følger av deres økonomiske aktivitet. Forordning (EF) nr. 1272/2008 og (EF) nr. 1907/2006 krever at leverandører formidler alle nødvendige data i forbindelse med forekomsten av disse stoffene for seg og i stoffblandinger samt, når det gjelder stoffer som gir grunn til svært alvorlig bekymring, i produkter. Det foreligger imidlertid ikke noen rettslig forpliktelse til å framlegge slike opplysninger om stoffer som oppfyller kriteriene for en av fareklassene eller farekategoriene nevnt i artikkel 57 i forordning (EF) nr. 1907/2006, dersom de forekommer i produkter. Innsamling av opplysninger i forsyningskjeden for disse stoffene påfører derfor rapporterende foretak en ytterligere byrde. For å unngå en slik ytterligere administrativ byrde for rapporterende foretak bør derfor de horisontale kriteriene for den aktuelle gruppen av stoffer fjernes.</w:t>
      </w:r>
    </w:p>
    <w:p w14:paraId="24C2E37B" w14:textId="77777777" w:rsidR="00823443" w:rsidRDefault="00860B60" w:rsidP="0083109E">
      <w:pPr>
        <w:pStyle w:val="Consid"/>
      </w:pPr>
      <w:r>
        <w:t>20)</w:t>
      </w:r>
      <w:r>
        <w:tab/>
        <w:t>Delegert forordning (EU) 2021/2139 og (EU) 2023/2486 bør derfor endres.</w:t>
      </w:r>
    </w:p>
    <w:p w14:paraId="639DB5DB" w14:textId="77777777" w:rsidR="00823443" w:rsidRDefault="00860B60" w:rsidP="0083109E">
      <w:pPr>
        <w:pStyle w:val="Consid"/>
      </w:pPr>
      <w:r>
        <w:t>21)</w:t>
      </w:r>
      <w:r>
        <w:tab/>
        <w:t>De seks miljømålene som er nevnt i artikkel 9 bokstav a)–f) i forordning (EU) 2020/852 og i artikkel 10, 11, 12, 13, 14 og 15 i den nevnte forordningen, er nært knyttet til hverandre når det gjelder midlene som brukes for å nå et miljømål, og de fordelene som oppnåelsen av et av disse miljømålene kan ha for de andre miljømålene. De bestemmelsene som anvendes for å fastslå om det er slik at en økonomisk aktivitet bidrar vesentlig til disse miljømålene, er derfor tett knyttet til hverandre. Disse bestemmelsene er også nært forbundet med opplysningsplikten fastsatt i delegert forordning (EU) 2021/2178. For å sikre sammenheng mellom endringene av disse bestemmelsene, som bør tre i kraft samtidig, gjøre det lettere å få et samlet overblikk over de rettslige rammene for berørte parter og gjøre det lettere å anvende forordning (EU) 2020/852, er det nødvendig å samle disse endringene i én enkelt forordning.</w:t>
      </w:r>
    </w:p>
    <w:p w14:paraId="34567A09" w14:textId="77777777" w:rsidR="00823443" w:rsidRDefault="00860B60" w:rsidP="0083109E">
      <w:pPr>
        <w:pStyle w:val="Consid"/>
      </w:pPr>
      <w:r>
        <w:t>22)</w:t>
      </w:r>
      <w:r>
        <w:tab/>
        <w:t>Denne forordningen er i samsvar med det målet om klimanøytralitet som er fastsatt i artikkel 2 nr. 1 i europaparlaments- og rådsforordning (EU) 2021/1119(</w:t>
      </w:r>
      <w:r w:rsidR="00535290" w:rsidRPr="001E7D70">
        <w:rPr>
          <w:rStyle w:val="Fotnotereferanse"/>
          <w:sz w:val="18"/>
        </w:rPr>
        <w:footnoteReference w:id="13"/>
      </w:r>
      <w:r>
        <w:t xml:space="preserve">), og sikrer framskritt med hensyn til tilpasningen til klimaendringer som omhandlet i artikkel 5 i den nevnte forordningen. Forordningen endrer ikke de tekniske screeningkriteriene for vesentlig bidrag til begrensning av klimaendringer eller tilpasning til klimaendringer, eller de tekniske screeningkriteriene for </w:t>
      </w:r>
      <w:r>
        <w:lastRenderedPageBreak/>
        <w:t>ikke å være til betydelig skade for begrensning av klimaendringer og tilpasning til klimaendringer, som ble vurdert i lys av oppnåelsen av målene i forordning (EU) 2021/1119 i henhold til kravene i artikkel 6 nr. 4 i den nevnte forordningen.</w:t>
      </w:r>
    </w:p>
    <w:p w14:paraId="74947F30" w14:textId="77777777" w:rsidR="00823443" w:rsidRDefault="00860B60" w:rsidP="0083109E">
      <w:pPr>
        <w:pStyle w:val="Consid"/>
      </w:pPr>
      <w:r>
        <w:t>23)</w:t>
      </w:r>
      <w:r>
        <w:tab/>
        <w:t>I henhold til artikkel 30 i direktiv 2013/34/EU skal årsberetningene offentliggjøres innen et rimelig tidsrom som ikke skal overstige tolv måneder etter balansedagen. For å sikre at foretak kan anvende endringene fastsatt i denne forordningen for regnskapsåret 2025, bør denne forordningen få anvendelse fra 1. januar 2026. Imidlertid bør foretak, for å unngå unødige kostnader i forbindelse med etterlevelsen av endringene som er fastsatt i denne forordningen, kunne anvende delegert forordning (EU) 2021/2178, delegert forordning (EU) 2021/2139 og delegert forordning (EU) 2023/2486 slik de lød 31. desember 2025, for regnskapsåret som begynner mellom 1. januar og 31. desember 2025.</w:t>
      </w:r>
    </w:p>
    <w:p w14:paraId="7FE03F0F" w14:textId="77777777" w:rsidR="00823443" w:rsidRDefault="00860B60" w:rsidP="0083109E">
      <w:pPr>
        <w:pStyle w:val="PreambleFinal"/>
        <w:spacing w:line="200" w:lineRule="exact"/>
        <w:ind w:left="360" w:hanging="360"/>
      </w:pPr>
      <w:r>
        <w:t>VEDTATT DENNE FORORDNINGEN:</w:t>
      </w:r>
    </w:p>
    <w:p w14:paraId="58E00E92" w14:textId="77777777" w:rsidR="00823443" w:rsidRDefault="00860B60">
      <w:pPr>
        <w:pStyle w:val="TIART"/>
      </w:pPr>
      <w:r>
        <w:t>Artikkel 1</w:t>
      </w:r>
    </w:p>
    <w:p w14:paraId="269BD513" w14:textId="77777777" w:rsidR="00823443" w:rsidRDefault="00860B60" w:rsidP="0083109E">
      <w:pPr>
        <w:pStyle w:val="STIART"/>
      </w:pPr>
      <w:r>
        <w:t>Endringer av delegert forordning (EU) 2021/2178</w:t>
      </w:r>
    </w:p>
    <w:p w14:paraId="434A122B" w14:textId="77777777" w:rsidR="00823443" w:rsidRDefault="00860B60">
      <w:pPr>
        <w:pStyle w:val="Alinea"/>
        <w:ind w:left="360" w:hanging="360"/>
      </w:pPr>
      <w:r>
        <w:t>I delegert forordning (EU) 2021/2178 gjøres følgende endringer:</w:t>
      </w:r>
    </w:p>
    <w:p w14:paraId="0BA7D46A" w14:textId="77777777" w:rsidR="00823443" w:rsidRDefault="00860B60">
      <w:pPr>
        <w:pStyle w:val="NumberedText"/>
        <w:tabs>
          <w:tab w:val="left" w:pos="865"/>
        </w:tabs>
        <w:ind w:left="353" w:hanging="353"/>
      </w:pPr>
      <w:r>
        <w:t>1)</w:t>
      </w:r>
      <w:r>
        <w:tab/>
        <w:t>I artikkel 2 skal nytt nr. 1a–1d lyde:</w:t>
      </w:r>
    </w:p>
    <w:p w14:paraId="408CA35A" w14:textId="6AC1C758" w:rsidR="00823443" w:rsidRDefault="00860B60" w:rsidP="0083109E">
      <w:pPr>
        <w:pStyle w:val="AlineaWithParag"/>
        <w:ind w:left="353"/>
      </w:pPr>
      <w:r>
        <w:t>«1a. Som unntak fra nr. 1 kan ikke-finansielle foretak, for KPI-en for omsetning omhandlet i avsnitt 1.1.1 i vedlegg I til denne forordningen, unnlate å vurdere om noen av deres økonomiske aktiviteter er omfattet av eller forenlige med taksonomien, når den kumulative omsetningen som følger av disse økonomiske aktivitetene, er lavere enn 10 % av nevneren i KPI-en for omsetning omhandlet i avsnitt 1.1.1 første ledd i vedlegg I til denne forordningen</w:t>
      </w:r>
      <w:r w:rsidR="00727987">
        <w:t>.</w:t>
      </w:r>
    </w:p>
    <w:p w14:paraId="794E3410" w14:textId="400FBF97" w:rsidR="00823443" w:rsidRDefault="00860B60" w:rsidP="0083109E">
      <w:pPr>
        <w:pStyle w:val="AlineaWithParag"/>
        <w:ind w:left="353"/>
      </w:pPr>
      <w:r>
        <w:t>1b. Som unntak fra nr. 1 kan ikke-finansielle foretak, for KPI-en for investeringsutgifter omhandlet i avsnitt 1.1.2 i vedlegg</w:t>
      </w:r>
      <w:r w:rsidR="00727987">
        <w:t> </w:t>
      </w:r>
      <w:r>
        <w:t>I til denne forordningen, unnlate å vurdere om noen av deres økonomiske aktiviteter er omfattet av eller forenlige med taksonomien, når den kumulative investeringsutgiften som er knyttet til disse økonomiske aktivitetene, er lavere enn 10 % av nevneren i KPI-en for investeringsutgifter omhandlet i avsnitt 1.1.2.1 i vedlegg I til denne forordningen.</w:t>
      </w:r>
    </w:p>
    <w:p w14:paraId="48304704" w14:textId="77777777" w:rsidR="00823443" w:rsidRDefault="00860B60" w:rsidP="0083109E">
      <w:pPr>
        <w:pStyle w:val="AlineaWithParag"/>
        <w:ind w:left="353"/>
      </w:pPr>
      <w:r>
        <w:t>1c. Som unntak fra nr. 1 kan ikke-finansielle foretak, for KPI-en for driftsutgifter omhandlet i avsnitt 1.1.3 i vedlegg I til denne forordningen, når driftsutgiftene ikke er vesentlige for disse foretakenes forretningsmodell, unnlate å vurdere om driftsutgifter knyttet til alle deres økonomiske aktiviteter er omfattet av eller forenlige med taksonomien, forutsatt at de</w:t>
      </w:r>
    </w:p>
    <w:p w14:paraId="7F21525F" w14:textId="77777777" w:rsidR="00823443" w:rsidRDefault="00860B60" w:rsidP="0083109E">
      <w:pPr>
        <w:pStyle w:val="NumberedText"/>
        <w:ind w:left="713" w:hanging="360"/>
      </w:pPr>
      <w:r>
        <w:t>a)</w:t>
      </w:r>
      <w:r>
        <w:tab/>
        <w:t>opplyser om den samlede verdien av nevneren i KPI-en for driftsutgifter omhandlet i avsnitt 1.1.3.1 i vedlegg I til denne forordningen,</w:t>
      </w:r>
    </w:p>
    <w:p w14:paraId="3C61F242" w14:textId="77777777" w:rsidR="00823443" w:rsidRDefault="00860B60" w:rsidP="0083109E">
      <w:pPr>
        <w:pStyle w:val="NumberedText"/>
        <w:ind w:left="713" w:hanging="360"/>
      </w:pPr>
      <w:r>
        <w:t>b)</w:t>
      </w:r>
      <w:r>
        <w:tab/>
        <w:t>forklarer hvorfor driftsutgiftene ikke er vesentlige for deres forretningsmodell.</w:t>
      </w:r>
    </w:p>
    <w:p w14:paraId="1497AF9C" w14:textId="77777777" w:rsidR="00823443" w:rsidRDefault="00860B60" w:rsidP="0083109E">
      <w:pPr>
        <w:pStyle w:val="AlineaWithParag"/>
        <w:ind w:left="353"/>
      </w:pPr>
      <w:r>
        <w:t>Dersom driftsutgiftene i prinsippet er vesentlige for ikke-finansielle foretaks forretningsmodell, kan disse ikke-finansielle foretakene unnlate å vurdere om noen av deres økonomiske aktiviteter er omfattet av eller forenlige med taksonomien, når den kumulative driftsutgiften som er knyttet til disse aktivitetene, er lavere enn 10 % av nevneren i KPI-en for driftsutgifter omhandlet i avsnitt 1.1.3.1 i vedlegg I til denne forordningen.</w:t>
      </w:r>
    </w:p>
    <w:p w14:paraId="1A38C126" w14:textId="27E9B874" w:rsidR="00823443" w:rsidRDefault="00860B60" w:rsidP="0083109E">
      <w:pPr>
        <w:pStyle w:val="AlineaWithParag"/>
        <w:ind w:left="353"/>
      </w:pPr>
      <w:r>
        <w:t>1d. Omsetning, investeringsutgifter og driftsutgifter knyttet til de aktivitetene som omfattes av nr. 1a–1c, skal rapporteres separat som ikke-vesentlig omsetning, ikke-vesentlige investeringsutgifter eller ikke-vesentlige driftsutgifter.»</w:t>
      </w:r>
    </w:p>
    <w:p w14:paraId="0E56A19B" w14:textId="77777777" w:rsidR="00823443" w:rsidRDefault="00860B60" w:rsidP="0083109E">
      <w:pPr>
        <w:pStyle w:val="NumberedText"/>
        <w:tabs>
          <w:tab w:val="left" w:pos="865"/>
        </w:tabs>
        <w:ind w:left="353" w:hanging="353"/>
      </w:pPr>
      <w:r>
        <w:t>2)</w:t>
      </w:r>
      <w:r>
        <w:tab/>
        <w:t>I artikkel 3 skal nytt nr. 1a lyde:</w:t>
      </w:r>
    </w:p>
    <w:p w14:paraId="2C825FC5" w14:textId="791B8A07" w:rsidR="00823443" w:rsidRDefault="00860B60" w:rsidP="0083109E">
      <w:pPr>
        <w:pStyle w:val="AlineaWithParag"/>
        <w:ind w:left="353"/>
      </w:pPr>
      <w:r>
        <w:t>«1a. Som unntak fra nr. 1 kan kapitalforvaltere unnlate å vurdere om eiendelene under forvaltning der bruken av provenyet er kjent, er omfattet av eller forenlige med taksonomien, når den kumulative verdien av disse eiendelene er lavere enn 10</w:t>
      </w:r>
      <w:r w:rsidR="00F0608B">
        <w:t> </w:t>
      </w:r>
      <w:r>
        <w:t>% av alle eiendeler under forvaltning der bruken av provenyet er kjent, og som inngår i nevneren i KPI-en omhandlet i avsnitt 1.2 i vedlegg III til denne forordningen.</w:t>
      </w:r>
    </w:p>
    <w:p w14:paraId="20A0E5B4" w14:textId="77777777" w:rsidR="00652815" w:rsidRDefault="00860B60" w:rsidP="00652815">
      <w:pPr>
        <w:pStyle w:val="AlineaWithParag"/>
        <w:spacing w:after="0"/>
        <w:ind w:left="353"/>
      </w:pPr>
      <w:r>
        <w:t>De eiendelene som første ledd får anvendelse på, skal rapporteres separat som ikke-vesentlige eiendeler.»</w:t>
      </w:r>
      <w:r>
        <w:br w:type="page"/>
      </w:r>
    </w:p>
    <w:p w14:paraId="5798FBC3" w14:textId="77777777" w:rsidR="00823443" w:rsidRDefault="00860B60" w:rsidP="0083109E">
      <w:pPr>
        <w:pStyle w:val="NumberedText"/>
        <w:tabs>
          <w:tab w:val="left" w:pos="865"/>
        </w:tabs>
        <w:ind w:left="353" w:hanging="353"/>
      </w:pPr>
      <w:r>
        <w:lastRenderedPageBreak/>
        <w:t>3)</w:t>
      </w:r>
      <w:r>
        <w:tab/>
        <w:t>I artikkel 4 skal nytt nr. 1a–1f lyde:</w:t>
      </w:r>
    </w:p>
    <w:p w14:paraId="22FF4BB9" w14:textId="65DDCF18" w:rsidR="00823443" w:rsidRDefault="00860B60" w:rsidP="0083109E">
      <w:pPr>
        <w:pStyle w:val="AlineaWithParag"/>
        <w:ind w:left="353"/>
      </w:pPr>
      <w:r>
        <w:t>«1a. Som unntak fra nr. 1 kan kredittinstitusjoner unnlate å vurdere om de balanseførte eiendelene der bruken av provenyet er kjent, er omfattet av eller forenlige med taksonomien, når den kumulative verdien av disse eiendelene er lavere enn 10</w:t>
      </w:r>
      <w:r w:rsidR="00F0608B">
        <w:t> </w:t>
      </w:r>
      <w:r>
        <w:t>% av alle balanseførte eiendeler der bruken av provenyet er kjent, og som inngår i nevneren for den grønne brøken omhandlet i avsnitt 1.1.2 i vedlegg V til denne forordningen, for henholdsvis beholdninger og strømmer.</w:t>
      </w:r>
    </w:p>
    <w:p w14:paraId="3708B08E" w14:textId="77777777" w:rsidR="00823443" w:rsidRDefault="00860B60" w:rsidP="0083109E">
      <w:pPr>
        <w:pStyle w:val="AlineaWithParag"/>
        <w:ind w:left="353"/>
      </w:pPr>
      <w:r>
        <w:t>De eiendelene som første ledd får anvendelse på, skal rapporteres separat som ikke-vesentlige eiendeler.</w:t>
      </w:r>
    </w:p>
    <w:p w14:paraId="636A01D7" w14:textId="77777777" w:rsidR="00823443" w:rsidRDefault="00860B60" w:rsidP="0083109E">
      <w:pPr>
        <w:pStyle w:val="AlineaWithParag"/>
        <w:ind w:left="353"/>
      </w:pPr>
      <w:r>
        <w:t>1b. Som unntak fra nr. 1 kan kredittinstitusjoner unnlate å vurdere om de finansielle garantiene for lån og forskudd eller gjeldsinstrumenter der bruken av provenyet er kjent, er omfattet av eller forenlige med taksonomien, når den kumulative verdien av disse finansielle garantiene er lavere enn 10 % av alle finansielle garantier for lån og forskudd eller gjeldsinstrumenter der bruken av provenyet er kjent, og som inngår i nevneren i KPI-en for finansielle garantier omhandlet i avsnitt 1.2.2.1 i vedlegg V til denne forordningen, for henholdsvis beholdninger og strømmer.</w:t>
      </w:r>
    </w:p>
    <w:p w14:paraId="74D56F2B" w14:textId="77777777" w:rsidR="00823443" w:rsidRDefault="00860B60" w:rsidP="0083109E">
      <w:pPr>
        <w:pStyle w:val="AlineaWithParag"/>
        <w:ind w:left="353"/>
      </w:pPr>
      <w:r>
        <w:t>De finansielle garantiene som første ledd får anvendelse på, skal rapporteres separat som ikke-vesentlige finansielle garantier.</w:t>
      </w:r>
    </w:p>
    <w:p w14:paraId="3B16AB33" w14:textId="77777777" w:rsidR="00823443" w:rsidRDefault="00860B60" w:rsidP="0083109E">
      <w:pPr>
        <w:pStyle w:val="AlineaWithParag"/>
        <w:ind w:left="353"/>
      </w:pPr>
      <w:r>
        <w:t>1c. Som unntak fra nr. 1 kan kredittinstitusjoner unnlate å vurdere om eiendeler under forvaltning der bruken av provenyet er kjent, er omfattet av eller forenlige med taksonomien, når den kumulative verdien av eiendelene under forvaltning er lavere enn 10 % av alle eiendeler under forvaltning der bruken av provenyet er kjent, og som inngår i nevneren i KPI-en for eiendeler under forvaltning omhandlet i avsnitt 1.2.2.2 i vedlegg V til denne forordningen, for henholdsvis beholdninger og strømmer.</w:t>
      </w:r>
    </w:p>
    <w:p w14:paraId="6FB290A0" w14:textId="77777777" w:rsidR="00823443" w:rsidRDefault="00860B60" w:rsidP="0083109E">
      <w:pPr>
        <w:pStyle w:val="AlineaWithParag"/>
        <w:ind w:left="353"/>
      </w:pPr>
      <w:r>
        <w:t>De eiendelene under forvaltning som første ledd får anvendelse på, skal rapporteres separat som ikke-vesentlige eiendeler under forvaltning.</w:t>
      </w:r>
    </w:p>
    <w:p w14:paraId="306346CF" w14:textId="77777777" w:rsidR="00823443" w:rsidRDefault="00860B60" w:rsidP="0083109E">
      <w:pPr>
        <w:pStyle w:val="AlineaWithParag"/>
        <w:ind w:left="353"/>
      </w:pPr>
      <w:r>
        <w:t>1d. Som unntak fra nr. 1 kan kredittinstitusjoner unnlate å vurdere om gebyr- og provisjonsinntektene knyttet til spesifikke økonomiske aktiviteter er omfattet av eller forenlige med taksonomien, når den kumulative verdien av disse inntektene er lavere enn 10 % av verdien av alle gebyr- og provisjonsinntekter knyttet til spesifikke økonomiske aktiviteter som inngår i nevneren i KPI-en for gebyr- og provisjonsinntekter omhandlet i avsnitt 1.2.3 i vedlegg V til denne forordningen.</w:t>
      </w:r>
    </w:p>
    <w:p w14:paraId="6BA03043" w14:textId="77777777" w:rsidR="00823443" w:rsidRDefault="00860B60" w:rsidP="0083109E">
      <w:pPr>
        <w:pStyle w:val="AlineaWithParag"/>
        <w:ind w:left="353"/>
      </w:pPr>
      <w:r>
        <w:t>De gebyr- og provisjonsinntektene som første ledd får anvendelse på, skal rapporteres separat som ikke-vesentlige gebyrer og provisjoner.</w:t>
      </w:r>
    </w:p>
    <w:p w14:paraId="7B687BF6" w14:textId="77777777" w:rsidR="00823443" w:rsidRDefault="00860B60" w:rsidP="0083109E">
      <w:pPr>
        <w:pStyle w:val="AlineaWithParag"/>
        <w:ind w:left="353"/>
      </w:pPr>
      <w:r>
        <w:t>1e. Som unntak fra nr. 1 kan kredittinstitusjoner unnlate å vurdere om finansielle eiendeler der bruken av provenyet er kjent, er omfattet av eller forenlige med taksonomien, når den kumulative verdien av disse eiendelene er lavere enn 10 % av alle finansielle eiendeler som innehas for handelsformål, der bruken av provenyet er kjent, og som inngår i nevneren i GAR for handelsporteføljen omhandlet i avsnitt 1.2.4 i vedlegg V til denne forordningen.</w:t>
      </w:r>
    </w:p>
    <w:p w14:paraId="726895DC" w14:textId="77777777" w:rsidR="00823443" w:rsidRDefault="00860B60" w:rsidP="0083109E">
      <w:pPr>
        <w:pStyle w:val="AlineaWithParag"/>
        <w:ind w:left="353"/>
      </w:pPr>
      <w:r>
        <w:t>De finansielle eiendelene som første ledd får anvendelse på, skal rapporteres separat som ikke-vesentlige eiendeler.</w:t>
      </w:r>
    </w:p>
    <w:p w14:paraId="3149FEC0" w14:textId="77777777" w:rsidR="00823443" w:rsidRDefault="00860B60" w:rsidP="0083109E">
      <w:pPr>
        <w:pStyle w:val="AlineaWithParag"/>
        <w:ind w:left="353"/>
      </w:pPr>
      <w:r>
        <w:t>1f. Som unntak fra nr. 1 kan en kredittinstitusjon unnlate å rapportere KPI-ene nevnt i vedlegg V når den kumulative verdien av nettoomsetningen som genereres av de aktivitetene som inngår i disse KPI-ene, er lavere enn 10 % av denne kredittinstitusjonens samlede nettoomsetning.»</w:t>
      </w:r>
    </w:p>
    <w:p w14:paraId="7EBEDFE4" w14:textId="77777777" w:rsidR="00823443" w:rsidRDefault="00860B60" w:rsidP="0083109E">
      <w:pPr>
        <w:pStyle w:val="NumberedText"/>
        <w:tabs>
          <w:tab w:val="left" w:pos="865"/>
        </w:tabs>
        <w:ind w:left="353" w:hanging="353"/>
      </w:pPr>
      <w:r>
        <w:t>4)</w:t>
      </w:r>
      <w:r>
        <w:tab/>
        <w:t>I artikkel 5 skal nytt nr. 1a og 1b lyde:</w:t>
      </w:r>
    </w:p>
    <w:p w14:paraId="7BA02D5A" w14:textId="77777777" w:rsidR="00823443" w:rsidRDefault="00860B60" w:rsidP="0083109E">
      <w:pPr>
        <w:pStyle w:val="AlineaWithParag"/>
        <w:ind w:left="353"/>
      </w:pPr>
      <w:r>
        <w:t>«1a. Som unntak fra nr. 1 kan verdipapirforetak som handler for egen regning, unnlate å vurdere om de eiendelene der bruken av provenyet er kjent, er omfattet av eller forenlige med taksonomien, når den kumulative verdien av disse eiendelene er lavere enn 10 % av alle eiendeler der bruken av provenyet er kjent, og som inngår i nevneren i den grønne brøken omhandlet i avsnitt 2 i vedlegg VII til denne forordningen.</w:t>
      </w:r>
    </w:p>
    <w:p w14:paraId="4AF8DBE4" w14:textId="77777777" w:rsidR="00823443" w:rsidRDefault="00860B60" w:rsidP="0083109E">
      <w:pPr>
        <w:pStyle w:val="AlineaWithParag"/>
        <w:ind w:left="353"/>
      </w:pPr>
      <w:r>
        <w:t>De eiendelene som første ledd får anvendelse på, skal rapporteres separat som ikke-vesentlige eiendeler.</w:t>
      </w:r>
    </w:p>
    <w:p w14:paraId="48189FF5" w14:textId="143514BF" w:rsidR="00823443" w:rsidRDefault="00860B60" w:rsidP="0083109E">
      <w:pPr>
        <w:pStyle w:val="AlineaWithParag"/>
        <w:ind w:left="353"/>
      </w:pPr>
      <w:r>
        <w:t>1b. Som unntak fra nr. 1 kan verdipapirforetak som ikke handler for egen regning, unnlate å vurdere om de inntektene fra investeringstjenester og -aktiviteter som ikke utgjør handel for egen regning, og som er knyttet til spesifikke økonomiske aktiviteter, er omfattet av eller forenlige med taksonomien, når den kumulative verdien av disse inntektene er lavere enn 10</w:t>
      </w:r>
      <w:r w:rsidR="00F0608B">
        <w:t> </w:t>
      </w:r>
      <w:r>
        <w:t>% av alle inntekter fra investeringstjenester og -aktiviteter som ikke utgjør handel for egen regning, og som er knyttet til spesifikke økonomiske aktiviteter som inngår i nevneren i KPI-en for inntekter omhandlet i avsnitt 3 i vedlegg VII til denne forordningen.</w:t>
      </w:r>
    </w:p>
    <w:p w14:paraId="73BD4395" w14:textId="029634BF" w:rsidR="00652815" w:rsidRDefault="00860B60" w:rsidP="00652815">
      <w:pPr>
        <w:pStyle w:val="AlineaWithParag"/>
        <w:spacing w:after="0"/>
        <w:ind w:left="353"/>
      </w:pPr>
      <w:r>
        <w:lastRenderedPageBreak/>
        <w:t>De inntektene som første ledd får anvendelse på, skal rapporteres separat som ikke-vesentlige inntekter.»</w:t>
      </w:r>
    </w:p>
    <w:p w14:paraId="5589D89F" w14:textId="77777777" w:rsidR="00DF7B9C" w:rsidRDefault="00DF7B9C" w:rsidP="00652815">
      <w:pPr>
        <w:pStyle w:val="AlineaWithParag"/>
        <w:spacing w:after="0"/>
        <w:ind w:left="353"/>
      </w:pPr>
    </w:p>
    <w:p w14:paraId="3ED69334" w14:textId="77777777" w:rsidR="00823443" w:rsidRDefault="00860B60" w:rsidP="0083109E">
      <w:pPr>
        <w:pStyle w:val="NumberedText"/>
        <w:tabs>
          <w:tab w:val="left" w:pos="865"/>
        </w:tabs>
        <w:ind w:left="353" w:hanging="353"/>
      </w:pPr>
      <w:r>
        <w:t>5)</w:t>
      </w:r>
      <w:r>
        <w:tab/>
        <w:t>I artikkel 6 skal nytt nr. 1a og 1b lyde:</w:t>
      </w:r>
    </w:p>
    <w:p w14:paraId="48DA1745" w14:textId="16403D47" w:rsidR="00823443" w:rsidRDefault="00860B60" w:rsidP="0083109E">
      <w:pPr>
        <w:pStyle w:val="AlineaWithParag"/>
        <w:ind w:left="353"/>
      </w:pPr>
      <w:r>
        <w:t>«1a. Som unntak fra nr. 1 kan skadeforsikrings- eller gjenforsikringsforetak unnlate å vurdere om de tegnede bruttopremiene, skadeforsikringsinntektene eller eventuelt gjenforsikringsinntektene er omfattet av eller forenlige med taksonomien, når de kumulative inntektene fra disse bruttopremiene, skadeforsikringsinntektene eller eventuelt gjenforsikringsinntektene er lavere enn 10 % av nevneren i KPI-en knyttet til forsikringsvirksomheten omhandlet i avsnitt</w:t>
      </w:r>
      <w:r w:rsidR="00F0608B">
        <w:t> </w:t>
      </w:r>
      <w:r>
        <w:t>2 i vedlegg IX til denne forordningen.</w:t>
      </w:r>
    </w:p>
    <w:p w14:paraId="71BB82B0" w14:textId="77777777" w:rsidR="00823443" w:rsidRDefault="00860B60" w:rsidP="0083109E">
      <w:pPr>
        <w:pStyle w:val="AlineaWithParag"/>
        <w:ind w:left="353"/>
      </w:pPr>
      <w:r>
        <w:t>De tegnede bruttopremiene eller inntektene som første ledd får anvendelse på, skal rapporteres separat som ikke-vesentlige tegnede bruttopremier eller ikke-vesentlige inntekter.</w:t>
      </w:r>
    </w:p>
    <w:p w14:paraId="419184DC" w14:textId="77777777" w:rsidR="00823443" w:rsidRDefault="00860B60" w:rsidP="0083109E">
      <w:pPr>
        <w:pStyle w:val="AlineaWithParag"/>
        <w:ind w:left="353"/>
      </w:pPr>
      <w:r>
        <w:t>1b. Som unntak fra nr. 1 kan forsikrings- eller gjenforsikringsforetak unnlate å vurdere om de eiendelene der bruken av provenyet er kjent, er omfattet av eller forenlige med taksonomien, når den kumulative verdien av disse eiendelene er lavere enn 10 % av alle eiendeler der bruken av provenyet er kjent, og som inngår i nevneren i KPI-en knyttet til investeringer omhandlet i avsnitt 1 i vedlegg IX til denne forordningen.</w:t>
      </w:r>
    </w:p>
    <w:p w14:paraId="06A2CD8F" w14:textId="77777777" w:rsidR="00823443" w:rsidRDefault="00860B60" w:rsidP="0083109E">
      <w:pPr>
        <w:pStyle w:val="AlineaWithParag"/>
        <w:ind w:left="353"/>
      </w:pPr>
      <w:r>
        <w:t>De eiendelene som første ledd får anvendelse på, skal rapporteres separat som ikke-vesentlige eiendeler.»</w:t>
      </w:r>
    </w:p>
    <w:p w14:paraId="2EB48E10" w14:textId="77777777" w:rsidR="00823443" w:rsidRDefault="00860B60" w:rsidP="0083109E">
      <w:pPr>
        <w:pStyle w:val="NumberedText"/>
        <w:tabs>
          <w:tab w:val="left" w:pos="865"/>
        </w:tabs>
        <w:ind w:left="353" w:hanging="353"/>
      </w:pPr>
      <w:r>
        <w:t>6)</w:t>
      </w:r>
      <w:r>
        <w:tab/>
        <w:t>I artikkel 7 gjøres følgende endringer:</w:t>
      </w:r>
    </w:p>
    <w:p w14:paraId="5FBACE9B" w14:textId="77777777" w:rsidR="00823443" w:rsidRDefault="00860B60" w:rsidP="007B5BD9">
      <w:pPr>
        <w:pStyle w:val="NumberedText"/>
        <w:ind w:left="360" w:hanging="360"/>
      </w:pPr>
      <w:r>
        <w:t>a)</w:t>
      </w:r>
      <w:r>
        <w:tab/>
        <w:t>Nr. 2 og 3 skal lyde:</w:t>
      </w:r>
    </w:p>
    <w:p w14:paraId="1C950580" w14:textId="77777777" w:rsidR="00823443" w:rsidRDefault="00860B60" w:rsidP="0083109E">
      <w:pPr>
        <w:pStyle w:val="AlineaWithParag"/>
        <w:ind w:left="353"/>
      </w:pPr>
      <w:r>
        <w:t>«2. Derivater, kontanter og kontantekvivalenter, interbanklån på anfordring og andre kategorier av eiendeler som ikke er nevnt i artikkel 7 nr. 6, herunder goodwill og varer, skal ikke tas med i nevneren i finansforetaks nøkkeltallsindikatorer.</w:t>
      </w:r>
    </w:p>
    <w:p w14:paraId="1C00B646" w14:textId="77777777" w:rsidR="00823443" w:rsidRDefault="00860B60" w:rsidP="0083109E">
      <w:pPr>
        <w:pStyle w:val="AlineaWithParag"/>
        <w:ind w:left="353"/>
      </w:pPr>
      <w:r>
        <w:t>3. Alle eksponeringer mot foretak som ikke er forpliktet til å ta med bærekraftsopplysninger i sin årsberetning i henhold til artikkel 19a eller artikkel 29a i direktiv 2013/34/EU, eller som ikke tilhører foretaksgrupper som er forpliktet til å ta med bærekraftsopplysninger i sin årsberetning i henhold til artikkel 19a eller artikkel 29a i direktiv 2013/34/EU, i løpet av regnskapsåret, skal ikke tas med i nevneren i finansforetaks nøkkeltallsindikatorer.</w:t>
      </w:r>
    </w:p>
    <w:p w14:paraId="625D6CCD" w14:textId="77777777" w:rsidR="00823443" w:rsidRDefault="00860B60" w:rsidP="0083109E">
      <w:pPr>
        <w:pStyle w:val="AlineaWithParag"/>
        <w:ind w:left="353"/>
      </w:pPr>
      <w:r>
        <w:t>Som unntak fra første ledd skal eksponeringer mot spesialforetak tas med i nevneren i finansforetaks nøkkeltallsindikatorer når disse spesialforetakene finansierer</w:t>
      </w:r>
    </w:p>
    <w:p w14:paraId="3523D85A" w14:textId="77777777" w:rsidR="00823443" w:rsidRDefault="00860B60" w:rsidP="0083109E">
      <w:pPr>
        <w:pStyle w:val="NumberedText"/>
        <w:ind w:left="713" w:hanging="360"/>
      </w:pPr>
      <w:r>
        <w:t>a)</w:t>
      </w:r>
      <w:r>
        <w:tab/>
        <w:t>enheter som er omfattet av artikkel 19a eller 29a i direktiv 2013/34/EU, eller enheter som tilhører et konsern der spesialforetakets morforetak er omfattet av artikkel 29a i nevnte direktiv,</w:t>
      </w:r>
    </w:p>
    <w:p w14:paraId="3B2FD368" w14:textId="77777777" w:rsidR="00823443" w:rsidRDefault="00860B60" w:rsidP="0083109E">
      <w:pPr>
        <w:pStyle w:val="NumberedText"/>
        <w:ind w:left="713" w:hanging="360"/>
      </w:pPr>
      <w:r>
        <w:t>b)</w:t>
      </w:r>
      <w:r>
        <w:tab/>
        <w:t>eiendeler som forvaltes av enheter som er omfattet av artikkel 19a eller 29a i direktiv 2013/34/EU, eller enheter som tilhører et konsern der spesialforetakets morforetak er omfattet av artikkel 29a i nevnte direktiv.</w:t>
      </w:r>
    </w:p>
    <w:p w14:paraId="34CE0709" w14:textId="77777777" w:rsidR="00823443" w:rsidRDefault="00860B60" w:rsidP="0083109E">
      <w:pPr>
        <w:pStyle w:val="AlineaWithParag"/>
        <w:ind w:left="353"/>
      </w:pPr>
      <w:r>
        <w:t>Som unntak fra første ledd kan finansforetak ta med følgende eksponeringer i nevneren i sine nøkkeltallsindikatorer:</w:t>
      </w:r>
    </w:p>
    <w:p w14:paraId="5EF0BE55" w14:textId="77777777" w:rsidR="00823443" w:rsidRDefault="00860B60" w:rsidP="0083109E">
      <w:pPr>
        <w:pStyle w:val="NumberedText"/>
        <w:ind w:left="713" w:hanging="360"/>
      </w:pPr>
      <w:r>
        <w:t>a)</w:t>
      </w:r>
      <w:r>
        <w:tab/>
        <w:t>Eksponeringer mot foretak som nevnt i første ledd når disse foretakene på frivillig grunnlag rapporterer nøkkeltallsindikatorene i samsvar med vedlegg I–XI til denne forordningen.</w:t>
      </w:r>
    </w:p>
    <w:p w14:paraId="54C2A974" w14:textId="397B854A" w:rsidR="00823443" w:rsidRDefault="00860B60" w:rsidP="0083109E">
      <w:pPr>
        <w:pStyle w:val="NumberedText"/>
        <w:ind w:left="713" w:hanging="360"/>
      </w:pPr>
      <w:r>
        <w:t xml:space="preserve">b) </w:t>
      </w:r>
      <w:r w:rsidR="00F0608B">
        <w:tab/>
      </w:r>
      <w:r>
        <w:t>Eksponeringer mot foretak omhandlet i første ledd når deres bruk av provenyet er kjent.</w:t>
      </w:r>
    </w:p>
    <w:p w14:paraId="4AEBBA88" w14:textId="77777777" w:rsidR="00823443" w:rsidRDefault="00860B60" w:rsidP="007B5BD9">
      <w:pPr>
        <w:pStyle w:val="AlineaWithParag"/>
        <w:ind w:left="353"/>
      </w:pPr>
      <w:r>
        <w:t>Når tredje ledd får anvendelse, skal eksponeringene nevnt i det leddet tas med i telleren i finansforetaks nøkkeltallsindikatorer på følgende måte:</w:t>
      </w:r>
    </w:p>
    <w:p w14:paraId="505FC2C1" w14:textId="77777777" w:rsidR="00823443" w:rsidRDefault="00860B60" w:rsidP="0083109E">
      <w:pPr>
        <w:pStyle w:val="NumberedText"/>
        <w:ind w:left="713" w:hanging="360"/>
      </w:pPr>
      <w:r>
        <w:t>a)</w:t>
      </w:r>
      <w:r>
        <w:tab/>
        <w:t>Eksponeringer nevnt i tredje ledd bokstav a) skal tas med i telleren i finansforetaks nøkkeltallsindikatorer vektet med de nøkkeltallsindikatorene som deres motparter har rapportert på frivillig grunnlag i samsvar med metoden fastsatt i vedlegg III, V, VII og IX til denne forordningen.</w:t>
      </w:r>
    </w:p>
    <w:p w14:paraId="04BF4DAB" w14:textId="77777777" w:rsidR="00652815" w:rsidRDefault="00860B60" w:rsidP="00652815">
      <w:pPr>
        <w:pStyle w:val="NumberedText"/>
        <w:spacing w:after="0"/>
        <w:ind w:left="713" w:hanging="360"/>
      </w:pPr>
      <w:r>
        <w:t>b)</w:t>
      </w:r>
      <w:r>
        <w:tab/>
        <w:t>Eksponeringer nevnt i tredje ledd bokstav b) skal tas med i telleren i finansforetaks nøkkeltallsindikatorer opp til den fulle verdien av taksonomiforenlige økonomiske aktiviteter som disse eksponeringene finansierer, på grunnlag av opplysninger som motpartene deres har gitt.»</w:t>
      </w:r>
      <w:r>
        <w:br w:type="page"/>
      </w:r>
    </w:p>
    <w:p w14:paraId="3A134DA6" w14:textId="77777777" w:rsidR="00823443" w:rsidRDefault="00860B60" w:rsidP="007B5BD9">
      <w:pPr>
        <w:pStyle w:val="NumberedText"/>
        <w:ind w:left="353" w:hanging="353"/>
      </w:pPr>
      <w:r>
        <w:lastRenderedPageBreak/>
        <w:t>b)</w:t>
      </w:r>
      <w:r>
        <w:tab/>
        <w:t>Nr. 4 utgår.</w:t>
      </w:r>
    </w:p>
    <w:p w14:paraId="11969972" w14:textId="77777777" w:rsidR="00823443" w:rsidRDefault="00860B60" w:rsidP="007B5BD9">
      <w:pPr>
        <w:pStyle w:val="NumberedText"/>
        <w:ind w:left="353" w:hanging="353"/>
      </w:pPr>
      <w:r>
        <w:t>c)</w:t>
      </w:r>
      <w:r>
        <w:tab/>
        <w:t>Nr. 5 og 6 skal lyde:</w:t>
      </w:r>
    </w:p>
    <w:p w14:paraId="59897079" w14:textId="77777777" w:rsidR="00823443" w:rsidRDefault="00860B60" w:rsidP="007B5BD9">
      <w:pPr>
        <w:pStyle w:val="AlineaWithParag"/>
        <w:tabs>
          <w:tab w:val="clear" w:pos="400"/>
          <w:tab w:val="left" w:pos="624"/>
        </w:tabs>
        <w:ind w:left="353"/>
      </w:pPr>
      <w:r>
        <w:t>«5.</w:t>
      </w:r>
      <w:r>
        <w:tab/>
        <w:t>Dersom de tekniske screeningkriteriene fastsatt i de delegerte rettsaktene vedtatt i samsvar med artikkel 10 nr. 3, artikkel 11 nr. 3, artikkel 12 nr. 2, artikkel 13 nr. 2, artikkel 14 nr. 2 og artikkel 15 nr. 2 i forordning (EU) 2020/852 endres, skal de lånene og instrumentene der bruken av provenyet er kjent, og som innehas av finansforetak som finansierer taksonomiforenlige økonomiske aktiviteter eller eiendeler, dersom de økonomiske aktivitetene eller eiendelene som finansieres, ikke oppfyller de endrede tekniske screeningkriteriene, rapporteres som sådan i henhold til denne forordningen i inntil fem år etter anvendelsesdatoen for de delegerte rettsaktene som endrer de tekniske screeningkriteriene.</w:t>
      </w:r>
    </w:p>
    <w:p w14:paraId="08ACA56E" w14:textId="77777777" w:rsidR="00823443" w:rsidRDefault="00860B60" w:rsidP="007B5BD9">
      <w:pPr>
        <w:pStyle w:val="AlineaWithParag"/>
        <w:tabs>
          <w:tab w:val="clear" w:pos="400"/>
          <w:tab w:val="left" w:pos="624"/>
        </w:tabs>
        <w:ind w:left="353"/>
      </w:pPr>
      <w:r>
        <w:t>6.</w:t>
      </w:r>
      <w:r>
        <w:tab/>
        <w:t>Finansforetak skal i telleren og nevneren for nøkkeltallsindikatorene, der det er aktuelt, spesifisere alle</w:t>
      </w:r>
    </w:p>
    <w:p w14:paraId="62532DC6" w14:textId="77777777" w:rsidR="00823443" w:rsidRDefault="00860B60" w:rsidP="0083109E">
      <w:pPr>
        <w:pStyle w:val="NumberedText"/>
        <w:ind w:left="713" w:hanging="360"/>
      </w:pPr>
      <w:r>
        <w:t>a)</w:t>
      </w:r>
      <w:r>
        <w:tab/>
        <w:t>eksponeringer mot og investeringer i ikke-finansielle foretak,</w:t>
      </w:r>
    </w:p>
    <w:p w14:paraId="2C0FE357" w14:textId="77777777" w:rsidR="00823443" w:rsidRDefault="00860B60" w:rsidP="0083109E">
      <w:pPr>
        <w:pStyle w:val="NumberedText"/>
        <w:ind w:left="713" w:hanging="360"/>
      </w:pPr>
      <w:r>
        <w:t>b)</w:t>
      </w:r>
      <w:r>
        <w:tab/>
        <w:t>eksponeringer mot og investeringer i finansforetak,</w:t>
      </w:r>
    </w:p>
    <w:p w14:paraId="78915559" w14:textId="77777777" w:rsidR="00823443" w:rsidRDefault="00860B60" w:rsidP="0083109E">
      <w:pPr>
        <w:pStyle w:val="NumberedText"/>
        <w:ind w:left="713" w:hanging="360"/>
      </w:pPr>
      <w:r>
        <w:t>c)</w:t>
      </w:r>
      <w:r>
        <w:tab/>
        <w:t>eksponeringer som er omfattet av taksonomien, mot ikke-profesjonelle kunder,</w:t>
      </w:r>
    </w:p>
    <w:p w14:paraId="7A8421E0" w14:textId="77777777" w:rsidR="00823443" w:rsidRDefault="00860B60" w:rsidP="0083109E">
      <w:pPr>
        <w:pStyle w:val="NumberedText"/>
        <w:ind w:left="713" w:hanging="360"/>
      </w:pPr>
      <w:r>
        <w:t>d)</w:t>
      </w:r>
      <w:r>
        <w:tab/>
        <w:t>eksponeringer mot lokale myndigheter,</w:t>
      </w:r>
    </w:p>
    <w:p w14:paraId="3A1499F8" w14:textId="77777777" w:rsidR="00823443" w:rsidRDefault="00860B60" w:rsidP="007B5BD9">
      <w:pPr>
        <w:pStyle w:val="NumberedText"/>
        <w:ind w:left="713" w:hanging="360"/>
      </w:pPr>
      <w:r>
        <w:t>e)</w:t>
      </w:r>
      <w:r>
        <w:tab/>
        <w:t>fast eiendom,</w:t>
      </w:r>
    </w:p>
    <w:p w14:paraId="436381DB" w14:textId="77777777" w:rsidR="00823443" w:rsidRDefault="00860B60" w:rsidP="007B5BD9">
      <w:pPr>
        <w:pStyle w:val="NumberedText"/>
        <w:ind w:left="713" w:hanging="360"/>
      </w:pPr>
      <w:r>
        <w:t>f)</w:t>
      </w:r>
      <w:r>
        <w:tab/>
        <w:t>eksponeringer mot og investeringer i foretak som nevnt i artikkel 7 nr. 3 tredje ledd.»</w:t>
      </w:r>
    </w:p>
    <w:p w14:paraId="5B798254" w14:textId="4C2B3AA7" w:rsidR="00823443" w:rsidRDefault="00860B60" w:rsidP="00DF7B9C">
      <w:pPr>
        <w:pStyle w:val="NumberedText"/>
      </w:pPr>
      <w:r>
        <w:t>d)</w:t>
      </w:r>
      <w:r w:rsidR="00DF7B9C">
        <w:t xml:space="preserve">     </w:t>
      </w:r>
      <w:r>
        <w:t>Nr. 7 utgår.</w:t>
      </w:r>
    </w:p>
    <w:p w14:paraId="5F89AD33" w14:textId="2D8957C2" w:rsidR="00823443" w:rsidRDefault="00860B60" w:rsidP="00DF7B9C">
      <w:pPr>
        <w:pStyle w:val="NumberedText"/>
      </w:pPr>
      <w:r>
        <w:t>e)</w:t>
      </w:r>
      <w:r w:rsidR="00DF7B9C">
        <w:t xml:space="preserve">     </w:t>
      </w:r>
      <w:r>
        <w:t>Nye nr. 8 og 9 skal lyde:</w:t>
      </w:r>
    </w:p>
    <w:p w14:paraId="3FC671D1" w14:textId="77777777" w:rsidR="00823443" w:rsidRDefault="00860B60" w:rsidP="007B5BD9">
      <w:pPr>
        <w:pStyle w:val="AlineaWithParag"/>
        <w:tabs>
          <w:tab w:val="clear" w:pos="400"/>
          <w:tab w:val="left" w:pos="720"/>
        </w:tabs>
        <w:ind w:left="353"/>
      </w:pPr>
      <w:r>
        <w:t>«8.</w:t>
      </w:r>
      <w:r>
        <w:tab/>
        <w:t>Når finansforetak rapporterer nøkkeltallsindikatorene i samsvar med denne forordningen, skal de i rapporteringsmalene ta med</w:t>
      </w:r>
    </w:p>
    <w:p w14:paraId="3B09352B" w14:textId="77777777" w:rsidR="00823443" w:rsidRDefault="00860B60" w:rsidP="007B5BD9">
      <w:pPr>
        <w:pStyle w:val="NumberedText"/>
        <w:ind w:left="713" w:hanging="360"/>
      </w:pPr>
      <w:r>
        <w:t>a)</w:t>
      </w:r>
      <w:r>
        <w:tab/>
        <w:t>eksponeringer og investeringer som finansierer ikke-vesentlige økonomiske aktiviteter for deres motparter som er ikke-finansielle foretak som rapporteres i samsvar med artikkel 2 nr. 1a og 1b, ved å vekte sine eksponeringer mot disse motpartene med andelen av disse ikke-vesentlige økonomiske aktivitetene i nevneren i disse motpartenes nøkkeltallsindikatorer,</w:t>
      </w:r>
    </w:p>
    <w:p w14:paraId="6B498F15" w14:textId="77777777" w:rsidR="00823443" w:rsidRDefault="00860B60" w:rsidP="007B5BD9">
      <w:pPr>
        <w:pStyle w:val="NumberedText"/>
        <w:ind w:left="713" w:hanging="360"/>
      </w:pPr>
      <w:r>
        <w:t>b)</w:t>
      </w:r>
      <w:r>
        <w:tab/>
        <w:t>eksponeringer mot motparter som er finansforetak, ved å vekte disse eksponeringene med den andelen i nevneren i disse motpartenes nøkkeltallsindikatorer som består av aktiviteter som ikke vurderes av disse motpartene i samsvar med dette nummeret,</w:t>
      </w:r>
    </w:p>
    <w:p w14:paraId="0002F804" w14:textId="77777777" w:rsidR="00823443" w:rsidRDefault="00860B60" w:rsidP="007B5BD9">
      <w:pPr>
        <w:pStyle w:val="NumberedText"/>
        <w:ind w:left="713" w:hanging="360"/>
      </w:pPr>
      <w:r>
        <w:t>c)</w:t>
      </w:r>
      <w:r>
        <w:tab/>
        <w:t>aktiviteter, eksponeringer og investeringer som de rapporterende foretakene anser som ikke-vesentlige i samsvar med artikkel 3 nr. 1a, artikkel 4 nr. 1a–1e, artikkel 5 nr. 1a og 1b, artikkel 6 nr. 1a og 1b, alt etter hva som er relevant,</w:t>
      </w:r>
    </w:p>
    <w:p w14:paraId="0CF16DC6" w14:textId="77777777" w:rsidR="00823443" w:rsidRDefault="00860B60" w:rsidP="007B5BD9">
      <w:pPr>
        <w:pStyle w:val="NumberedText"/>
        <w:ind w:left="713" w:hanging="360"/>
      </w:pPr>
      <w:r>
        <w:t>d)</w:t>
      </w:r>
      <w:r>
        <w:tab/>
        <w:t>eksponeringer mot og investeringer i finansforetak som rapporterer i samsvar med artikkel 7 nr. 9 i denne forordningen.</w:t>
      </w:r>
    </w:p>
    <w:p w14:paraId="250D00E0" w14:textId="77777777" w:rsidR="00823443" w:rsidRDefault="00860B60" w:rsidP="007B5BD9">
      <w:pPr>
        <w:pStyle w:val="AlineaWithParag"/>
        <w:ind w:left="353"/>
      </w:pPr>
      <w:r>
        <w:t>9. Fram til 31. desember 2027 skal artikkel 2–8, unntatt artikkel 8 nr. 2 og dette nummer 9, ikke få anvendelse på finansforetak som i henhold til artikkel 3 og 9 i forordning (EU) 2020/852 ikke hevder at de har økonomiske aktiviteter som er forbundet med den forordningen, forutsatt at disse foretakene offentliggjør de opplysningene som er nevnt i artikkel 8 nr. 1 i den forordningen, ved å ta med følgende erklæring i sin årsberetning:</w:t>
      </w:r>
    </w:p>
    <w:p w14:paraId="7EE75EAB" w14:textId="23FBFA52" w:rsidR="00823443" w:rsidRDefault="00860B60" w:rsidP="007B5BD9">
      <w:pPr>
        <w:pStyle w:val="AlineaWithParag"/>
        <w:ind w:left="353"/>
      </w:pPr>
      <w:r>
        <w:t>«Ingen aktiviteter hevdes å være forbundet med økonomiske aktiviteter som anses som miljømessig bærekraftige i henhold til artikkel 3 og 9 i forordning (EU) 2020/852 (taksonomiforordningen).»</w:t>
      </w:r>
      <w:r w:rsidR="00C3581C">
        <w:t>»</w:t>
      </w:r>
    </w:p>
    <w:p w14:paraId="0D27D04B" w14:textId="77777777" w:rsidR="00823443" w:rsidRDefault="00860B60">
      <w:pPr>
        <w:pStyle w:val="AlineaWithParag"/>
        <w:tabs>
          <w:tab w:val="left" w:pos="845"/>
        </w:tabs>
      </w:pPr>
      <w:r>
        <w:t>7)</w:t>
      </w:r>
      <w:r>
        <w:tab/>
        <w:t>I artikkel 8 skal nr. 6, 7 og 8 lyde:</w:t>
      </w:r>
    </w:p>
    <w:p w14:paraId="4B6E7EA0" w14:textId="77777777" w:rsidR="00823443" w:rsidRDefault="00860B60" w:rsidP="007B5BD9">
      <w:pPr>
        <w:pStyle w:val="AlineaWithParag"/>
        <w:ind w:left="353"/>
      </w:pPr>
      <w:r>
        <w:t>«6. Når de utfører eller finansierer de økonomiske aktivitetene som er nevnt i avsnitt 4.26, 4.27 og 4.28 i vedlegg I og II til delegert forordning (EU) 2021/2139, skal ikke-finansielle foretak og finansforetak offentliggjøre andelen av</w:t>
      </w:r>
    </w:p>
    <w:p w14:paraId="68FC8E7F" w14:textId="77777777" w:rsidR="00652815" w:rsidRDefault="00860B60" w:rsidP="00652815">
      <w:pPr>
        <w:pStyle w:val="NumberedText"/>
        <w:spacing w:after="0"/>
        <w:ind w:left="713" w:hanging="360"/>
      </w:pPr>
      <w:r>
        <w:t>a)</w:t>
      </w:r>
      <w:r>
        <w:tab/>
        <w:t>taksonomiforenlige økonomiske aktiviteter som nevnt i avsnitt 4.26, 4.27 og 4.28 i vedlegg I og II til delegert forordning (EU) 2021/2139, i nevneren i deres nøkkeltallsindikatorer,</w:t>
      </w:r>
      <w:r>
        <w:br w:type="page"/>
      </w:r>
    </w:p>
    <w:p w14:paraId="3BF39E31" w14:textId="77777777" w:rsidR="00823443" w:rsidRDefault="00860B60" w:rsidP="007B5BD9">
      <w:pPr>
        <w:pStyle w:val="NumberedText"/>
        <w:ind w:left="713" w:hanging="360"/>
      </w:pPr>
      <w:r>
        <w:lastRenderedPageBreak/>
        <w:t>b)</w:t>
      </w:r>
      <w:r>
        <w:tab/>
        <w:t xml:space="preserve"> økonomiske aktiviteter som er omfattet taksonomien, som nevnt i avsnitt 4.26, 4.27 og 4.28 i vedlegg I og II til delegert forordning (EU) 2021/2139, i nevneren i deres nøkkeltallsindikatorer.</w:t>
      </w:r>
    </w:p>
    <w:p w14:paraId="0C08818A" w14:textId="77777777" w:rsidR="00823443" w:rsidRDefault="00860B60" w:rsidP="007B5BD9">
      <w:pPr>
        <w:pStyle w:val="AlineaWithParag"/>
        <w:ind w:left="353"/>
      </w:pPr>
      <w:r>
        <w:t>7. Når de utfører eller finansierer de økonomiske aktivitetene som er nevnt i avsnitt 4.29, 4.30 og 4.31 i vedlegg I og II til delegert forordning (EU) 2021/2139, skal ikke-finansielle foretak og finansforetak offentliggjøre andelen av</w:t>
      </w:r>
    </w:p>
    <w:p w14:paraId="3D5E4667" w14:textId="77777777" w:rsidR="00823443" w:rsidRDefault="00860B60" w:rsidP="007B5BD9">
      <w:pPr>
        <w:pStyle w:val="NumberedText"/>
        <w:ind w:left="713" w:hanging="360"/>
      </w:pPr>
      <w:r>
        <w:t>a)</w:t>
      </w:r>
      <w:r>
        <w:tab/>
        <w:t>taksonomiforenlige økonomiske aktiviteter som nevnt i avsnitt 4.29, 4.30 og 4.31 i vedlegg I og II til delegert forordning (EU) 2021/2139, i nevneren i deres nøkkeltallsindikatorer,</w:t>
      </w:r>
    </w:p>
    <w:p w14:paraId="64BFAAE4" w14:textId="77777777" w:rsidR="00823443" w:rsidRDefault="00860B60" w:rsidP="007B5BD9">
      <w:pPr>
        <w:pStyle w:val="NumberedText"/>
        <w:ind w:left="713" w:hanging="360"/>
      </w:pPr>
      <w:r>
        <w:t>b)</w:t>
      </w:r>
      <w:r>
        <w:tab/>
        <w:t>økonomiske aktiviteter som er omfattet taksonomien, som nevnt i avsnitt 4.29, 4.30 og 4.31 i vedlegg I og II til delegert forordning (EU) 2021/2139, i nevneren i deres nøkkeltallsindikatorer.</w:t>
      </w:r>
    </w:p>
    <w:p w14:paraId="280BE5FD" w14:textId="659A49AE" w:rsidR="00823443" w:rsidRDefault="00860B60" w:rsidP="007B5BD9">
      <w:pPr>
        <w:pStyle w:val="AlineaWithParag"/>
        <w:ind w:left="353"/>
      </w:pPr>
      <w:r>
        <w:t>8. Opplysningene nevnt i nr. 6 og 7 skal legges fram i tabellform ved hjelp av malene fastsatt i vedlegg II, IV, VI, VIII og</w:t>
      </w:r>
      <w:r w:rsidR="00E10EBC">
        <w:t> </w:t>
      </w:r>
      <w:r>
        <w:t>X til denne forordningen.»</w:t>
      </w:r>
    </w:p>
    <w:p w14:paraId="6B82E9BB" w14:textId="77777777" w:rsidR="00823443" w:rsidRDefault="00860B60">
      <w:pPr>
        <w:pStyle w:val="AlineaWithParag"/>
        <w:tabs>
          <w:tab w:val="left" w:pos="788"/>
        </w:tabs>
      </w:pPr>
      <w:r>
        <w:t>8)</w:t>
      </w:r>
      <w:r>
        <w:tab/>
        <w:t>I artikkel 10 nr. 5 skal andre ledd lyde:</w:t>
      </w:r>
    </w:p>
    <w:p w14:paraId="184DAE6F" w14:textId="77777777" w:rsidR="00823443" w:rsidRDefault="00860B60" w:rsidP="007B5BD9">
      <w:pPr>
        <w:pStyle w:val="NumberedText"/>
        <w:ind w:left="713" w:hanging="360"/>
      </w:pPr>
      <w:r>
        <w:t>«Avsnitt 1.2.3 og 1.2.4 i vedlegg V får anvendelse fra 1. januar 2028.»</w:t>
      </w:r>
    </w:p>
    <w:p w14:paraId="7729A9C5" w14:textId="77777777" w:rsidR="00823443" w:rsidRDefault="00860B60">
      <w:pPr>
        <w:pStyle w:val="NumberedText"/>
        <w:tabs>
          <w:tab w:val="left" w:pos="788"/>
        </w:tabs>
        <w:ind w:left="353" w:hanging="353"/>
      </w:pPr>
      <w:r>
        <w:t>9)</w:t>
      </w:r>
      <w:r>
        <w:tab/>
        <w:t>Vedlegg I til forordning (EU) 2021/2178 endres i samsvar med vedlegg I til denne forordningen.</w:t>
      </w:r>
    </w:p>
    <w:p w14:paraId="1462D56B" w14:textId="77777777" w:rsidR="00823443" w:rsidRDefault="00860B60" w:rsidP="007B5BD9">
      <w:pPr>
        <w:pStyle w:val="NumberedText"/>
        <w:tabs>
          <w:tab w:val="left" w:pos="788"/>
        </w:tabs>
        <w:ind w:left="353" w:hanging="353"/>
      </w:pPr>
      <w:r>
        <w:t>10)</w:t>
      </w:r>
      <w:r>
        <w:tab/>
        <w:t>Vedlegg II til forordning (EU) 2021/2178 erstattes med teksten i vedlegg II til denne forordningen.</w:t>
      </w:r>
    </w:p>
    <w:p w14:paraId="2EA21E3F" w14:textId="77777777" w:rsidR="00823443" w:rsidRDefault="00860B60" w:rsidP="007B5BD9">
      <w:pPr>
        <w:pStyle w:val="NumberedText"/>
        <w:tabs>
          <w:tab w:val="left" w:pos="788"/>
        </w:tabs>
        <w:ind w:left="353" w:hanging="353"/>
      </w:pPr>
      <w:r>
        <w:t>11)</w:t>
      </w:r>
      <w:r>
        <w:tab/>
        <w:t>Vedlegg III til forordning (EU) 2021/2178 endres i samsvar med vedlegg III til denne forordningen.</w:t>
      </w:r>
    </w:p>
    <w:p w14:paraId="1C6F2F74" w14:textId="77777777" w:rsidR="00823443" w:rsidRDefault="00860B60" w:rsidP="007B5BD9">
      <w:pPr>
        <w:pStyle w:val="NumberedText"/>
        <w:tabs>
          <w:tab w:val="left" w:pos="788"/>
        </w:tabs>
        <w:ind w:left="353" w:hanging="353"/>
      </w:pPr>
      <w:r>
        <w:t>12)</w:t>
      </w:r>
      <w:r>
        <w:tab/>
        <w:t>Vedlegg IV til forordning (EU) 2021/2178 erstattes med teksten i vedlegg IV til denne forordningen.</w:t>
      </w:r>
    </w:p>
    <w:p w14:paraId="707C4370" w14:textId="77777777" w:rsidR="00823443" w:rsidRDefault="00860B60" w:rsidP="007B5BD9">
      <w:pPr>
        <w:pStyle w:val="NumberedText"/>
        <w:tabs>
          <w:tab w:val="left" w:pos="788"/>
        </w:tabs>
        <w:ind w:left="353" w:hanging="353"/>
      </w:pPr>
      <w:r>
        <w:t>13)</w:t>
      </w:r>
      <w:r>
        <w:tab/>
        <w:t>Vedlegg V til forordning (EU) 2021/2178 endres i samsvar med vedlegg V til denne forordningen.</w:t>
      </w:r>
    </w:p>
    <w:p w14:paraId="6A3418C5" w14:textId="77777777" w:rsidR="00823443" w:rsidRDefault="00860B60" w:rsidP="007B5BD9">
      <w:pPr>
        <w:pStyle w:val="NumberedText"/>
        <w:tabs>
          <w:tab w:val="left" w:pos="788"/>
        </w:tabs>
        <w:ind w:left="353" w:hanging="353"/>
      </w:pPr>
      <w:r>
        <w:t>14)</w:t>
      </w:r>
      <w:r>
        <w:tab/>
        <w:t>Vedlegg VI til forordning (EU) 2021/2178 erstattes med teksten i vedlegg VI til denne forordningen.</w:t>
      </w:r>
    </w:p>
    <w:p w14:paraId="6BA72BC9" w14:textId="77777777" w:rsidR="00823443" w:rsidRDefault="00860B60" w:rsidP="007B5BD9">
      <w:pPr>
        <w:pStyle w:val="NumberedText"/>
        <w:tabs>
          <w:tab w:val="left" w:pos="788"/>
        </w:tabs>
        <w:ind w:left="353" w:hanging="353"/>
      </w:pPr>
      <w:r>
        <w:t>15)</w:t>
      </w:r>
      <w:r>
        <w:tab/>
        <w:t>Vedlegg VII til forordning (EU) 2021/2178 endres i samsvar med vedlegg VII til denne forordningen.</w:t>
      </w:r>
    </w:p>
    <w:p w14:paraId="07479F48" w14:textId="77777777" w:rsidR="00823443" w:rsidRDefault="00860B60" w:rsidP="007B5BD9">
      <w:pPr>
        <w:pStyle w:val="NumberedText"/>
        <w:tabs>
          <w:tab w:val="left" w:pos="788"/>
        </w:tabs>
        <w:ind w:left="353" w:hanging="353"/>
      </w:pPr>
      <w:r>
        <w:t>16)</w:t>
      </w:r>
      <w:r>
        <w:tab/>
        <w:t>Vedlegg VIII til forordning (EU) 2021/2178 erstattes med teksten i vedlegg VIII til denne forordningen.</w:t>
      </w:r>
    </w:p>
    <w:p w14:paraId="61B637F0" w14:textId="77777777" w:rsidR="00823443" w:rsidRDefault="00860B60" w:rsidP="007B5BD9">
      <w:pPr>
        <w:pStyle w:val="NumberedText"/>
        <w:tabs>
          <w:tab w:val="left" w:pos="788"/>
        </w:tabs>
        <w:ind w:left="353" w:hanging="353"/>
      </w:pPr>
      <w:r>
        <w:t>17)</w:t>
      </w:r>
      <w:r>
        <w:tab/>
        <w:t>Vedlegg IX til forordning (EU) 2021/2178 endres i samsvar med vedlegg IX til denne forordningen.</w:t>
      </w:r>
    </w:p>
    <w:p w14:paraId="268CE787" w14:textId="77777777" w:rsidR="00823443" w:rsidRDefault="00860B60" w:rsidP="007B5BD9">
      <w:pPr>
        <w:pStyle w:val="NumberedText"/>
        <w:tabs>
          <w:tab w:val="left" w:pos="788"/>
        </w:tabs>
        <w:ind w:left="353" w:hanging="353"/>
      </w:pPr>
      <w:r>
        <w:t>18)</w:t>
      </w:r>
      <w:r>
        <w:tab/>
        <w:t>Vedlegg X til forordning (EU) 2021/2178 erstattes med teksten i vedlegg X til denne forordningen.</w:t>
      </w:r>
    </w:p>
    <w:p w14:paraId="069AEAC2" w14:textId="77777777" w:rsidR="00823443" w:rsidRDefault="00860B60" w:rsidP="007B5BD9">
      <w:pPr>
        <w:pStyle w:val="NumberedText"/>
        <w:tabs>
          <w:tab w:val="left" w:pos="788"/>
        </w:tabs>
        <w:ind w:left="353" w:hanging="353"/>
      </w:pPr>
      <w:r>
        <w:t>19)</w:t>
      </w:r>
      <w:r>
        <w:tab/>
        <w:t>Vedlegg XI til forordning (EU) 2021/2178 endres i samsvar med vedlegg XI til denne forordningen.</w:t>
      </w:r>
    </w:p>
    <w:p w14:paraId="002CB73F" w14:textId="77777777" w:rsidR="00823443" w:rsidRDefault="00860B60" w:rsidP="007B5BD9">
      <w:pPr>
        <w:pStyle w:val="NumberedText"/>
        <w:tabs>
          <w:tab w:val="left" w:pos="788"/>
        </w:tabs>
        <w:ind w:left="353" w:hanging="353"/>
      </w:pPr>
      <w:r>
        <w:t>20)</w:t>
      </w:r>
      <w:r>
        <w:tab/>
        <w:t>Vedlegg XII til forordning (EU) 2021/2178 utgår.</w:t>
      </w:r>
    </w:p>
    <w:p w14:paraId="4E7EAA27" w14:textId="77777777" w:rsidR="00823443" w:rsidRDefault="00860B60">
      <w:pPr>
        <w:pStyle w:val="TIART"/>
      </w:pPr>
      <w:r>
        <w:t>Artikkel 2</w:t>
      </w:r>
    </w:p>
    <w:p w14:paraId="6C5271D5" w14:textId="77777777" w:rsidR="00823443" w:rsidRDefault="00860B60">
      <w:pPr>
        <w:pStyle w:val="Alinea"/>
      </w:pPr>
      <w:r>
        <w:t>Endringer av delegert forordning (EU) 2021/2139</w:t>
      </w:r>
    </w:p>
    <w:p w14:paraId="31E5F489" w14:textId="77777777" w:rsidR="00823443" w:rsidRDefault="00860B60">
      <w:pPr>
        <w:pStyle w:val="Alinea"/>
      </w:pPr>
      <w:r>
        <w:t>I delegert forordning (EU) 2021/2139 gjøres følgende endringer:</w:t>
      </w:r>
    </w:p>
    <w:p w14:paraId="5DE304DC" w14:textId="77777777" w:rsidR="00823443" w:rsidRDefault="00860B60" w:rsidP="007B5BD9">
      <w:pPr>
        <w:pStyle w:val="NumberedText"/>
        <w:tabs>
          <w:tab w:val="left" w:pos="788"/>
        </w:tabs>
        <w:ind w:left="353" w:hanging="353"/>
      </w:pPr>
      <w:r>
        <w:t>1)</w:t>
      </w:r>
      <w:r>
        <w:tab/>
        <w:t>Vedlegg I endres i samsvar med vedlegg XII til denne forordningen.</w:t>
      </w:r>
    </w:p>
    <w:p w14:paraId="693E44A3" w14:textId="77777777" w:rsidR="00823443" w:rsidRDefault="00860B60" w:rsidP="007B5BD9">
      <w:pPr>
        <w:pStyle w:val="NumberedText"/>
        <w:tabs>
          <w:tab w:val="left" w:pos="788"/>
        </w:tabs>
        <w:ind w:left="353" w:hanging="353"/>
      </w:pPr>
      <w:r>
        <w:t>2)</w:t>
      </w:r>
      <w:r>
        <w:tab/>
        <w:t>Vedlegg II endres i samsvar med vedlegg XIII til denne forordningen.</w:t>
      </w:r>
    </w:p>
    <w:p w14:paraId="14DBFD74" w14:textId="77777777" w:rsidR="00823443" w:rsidRDefault="00860B60">
      <w:pPr>
        <w:pStyle w:val="TIART"/>
      </w:pPr>
      <w:r>
        <w:t>Artikkel 3</w:t>
      </w:r>
    </w:p>
    <w:p w14:paraId="5697159E" w14:textId="77777777" w:rsidR="00823443" w:rsidRDefault="00860B60">
      <w:pPr>
        <w:pStyle w:val="Alinea"/>
      </w:pPr>
      <w:r>
        <w:t>Endringer av delegert forordning (EU) 2023/2486</w:t>
      </w:r>
    </w:p>
    <w:p w14:paraId="7D253D5D" w14:textId="77777777" w:rsidR="00823443" w:rsidRDefault="00860B60">
      <w:pPr>
        <w:pStyle w:val="Alinea"/>
      </w:pPr>
      <w:r>
        <w:t>I delegert forordning (EU) 2023/2486 gjøres følgende endringer:</w:t>
      </w:r>
    </w:p>
    <w:p w14:paraId="18B0195D" w14:textId="77777777" w:rsidR="00823443" w:rsidRDefault="00860B60" w:rsidP="00504A61">
      <w:pPr>
        <w:pStyle w:val="NumberedText"/>
        <w:tabs>
          <w:tab w:val="left" w:pos="788"/>
        </w:tabs>
        <w:ind w:left="353" w:hanging="353"/>
      </w:pPr>
      <w:r>
        <w:t>1)</w:t>
      </w:r>
      <w:r>
        <w:tab/>
        <w:t>Vedlegg I endres i samsvar med vedlegg XIV til denne forordningen.</w:t>
      </w:r>
    </w:p>
    <w:p w14:paraId="36C9D2F0" w14:textId="77777777" w:rsidR="00652815" w:rsidRDefault="00860B60" w:rsidP="00652815">
      <w:pPr>
        <w:pStyle w:val="NumberedText"/>
        <w:tabs>
          <w:tab w:val="left" w:pos="788"/>
        </w:tabs>
        <w:spacing w:after="0"/>
        <w:ind w:left="353" w:hanging="353"/>
      </w:pPr>
      <w:r>
        <w:t>2)</w:t>
      </w:r>
      <w:r>
        <w:tab/>
        <w:t>Vedlegg II endres i samsvar med vedlegg XV til denne forordningen.</w:t>
      </w:r>
      <w:r>
        <w:br w:type="page"/>
      </w:r>
    </w:p>
    <w:p w14:paraId="77AE05F8" w14:textId="77777777" w:rsidR="00823443" w:rsidRDefault="00860B60" w:rsidP="00504A61">
      <w:pPr>
        <w:pStyle w:val="NumberedText"/>
        <w:tabs>
          <w:tab w:val="left" w:pos="788"/>
        </w:tabs>
        <w:ind w:left="353" w:hanging="353"/>
      </w:pPr>
      <w:r>
        <w:lastRenderedPageBreak/>
        <w:t>3)</w:t>
      </w:r>
      <w:r>
        <w:tab/>
        <w:t>Vedlegg IV endres i samsvar med vedlegg XVI til denne forordningen.</w:t>
      </w:r>
    </w:p>
    <w:p w14:paraId="6A27F18E" w14:textId="77777777" w:rsidR="00823443" w:rsidRDefault="00860B60">
      <w:pPr>
        <w:pStyle w:val="TIART"/>
      </w:pPr>
      <w:r>
        <w:t>Artikkel 4</w:t>
      </w:r>
    </w:p>
    <w:p w14:paraId="196AB52C" w14:textId="77777777" w:rsidR="00823443" w:rsidRDefault="00860B60" w:rsidP="00504A61">
      <w:pPr>
        <w:pStyle w:val="STIART"/>
      </w:pPr>
      <w:r>
        <w:t>Ikrafttredelse og anvendelse</w:t>
      </w:r>
    </w:p>
    <w:p w14:paraId="2DB511A2" w14:textId="77777777" w:rsidR="00823443" w:rsidRDefault="00860B60">
      <w:pPr>
        <w:pStyle w:val="Alinea"/>
      </w:pPr>
      <w:r>
        <w:t xml:space="preserve">Denne forordningen trer i kraft den 20. dagen etter at den er kunngjort i </w:t>
      </w:r>
      <w:r>
        <w:rPr>
          <w:i/>
        </w:rPr>
        <w:t>Den europeiske unions tidende</w:t>
      </w:r>
      <w:r>
        <w:t>.</w:t>
      </w:r>
    </w:p>
    <w:p w14:paraId="1672339E" w14:textId="77777777" w:rsidR="00823443" w:rsidRDefault="00860B60">
      <w:pPr>
        <w:pStyle w:val="Alinea"/>
      </w:pPr>
      <w:r>
        <w:t>Den får anvendelse fra 1. januar 2026.</w:t>
      </w:r>
    </w:p>
    <w:p w14:paraId="3632FDFB" w14:textId="77777777" w:rsidR="00823443" w:rsidRDefault="00860B60">
      <w:pPr>
        <w:pStyle w:val="Alinea"/>
      </w:pPr>
      <w:r>
        <w:t>Foretak kan imidlertid anvende forordning (EU) 2021/2178, forordning (EU) 2021/2139 og forordning (EU) 2023/2486 slik de lød 31. desember 2025, for regnskapsåret som begynner mellom 1. januar og 31. desember 2025.</w:t>
      </w:r>
    </w:p>
    <w:p w14:paraId="66FE50A6" w14:textId="77777777" w:rsidR="00E10EBC" w:rsidRDefault="00860B60" w:rsidP="00652815">
      <w:pPr>
        <w:pStyle w:val="Final"/>
        <w:spacing w:after="600"/>
        <w:ind w:left="0"/>
      </w:pPr>
      <w:r>
        <w:t xml:space="preserve">Denne forordningen er bindende i alle deler og kommer direkte til anvendelse i alle medlemsstater. </w:t>
      </w:r>
    </w:p>
    <w:p w14:paraId="5D4647E5" w14:textId="6B098348" w:rsidR="00823443" w:rsidRDefault="00860B60" w:rsidP="00652815">
      <w:pPr>
        <w:pStyle w:val="Final"/>
        <w:spacing w:after="600"/>
        <w:ind w:left="0"/>
      </w:pPr>
      <w:r>
        <w:t>Utferdiget i Brussel 4.7.2025.</w:t>
      </w:r>
    </w:p>
    <w:tbl>
      <w:tblPr>
        <w:tblW w:w="7908" w:type="dxa"/>
        <w:tblInd w:w="670" w:type="dxa"/>
        <w:tblLook w:val="04A0" w:firstRow="1" w:lastRow="0" w:firstColumn="1" w:lastColumn="0" w:noHBand="0" w:noVBand="1"/>
      </w:tblPr>
      <w:tblGrid>
        <w:gridCol w:w="4490"/>
        <w:gridCol w:w="3418"/>
      </w:tblGrid>
      <w:tr w:rsidR="00504A61" w14:paraId="0DC18494" w14:textId="77777777" w:rsidTr="00652815">
        <w:trPr>
          <w:trHeight w:val="440"/>
        </w:trPr>
        <w:tc>
          <w:tcPr>
            <w:tcW w:w="4490" w:type="dxa"/>
          </w:tcPr>
          <w:p w14:paraId="6C41017E" w14:textId="77777777" w:rsidR="00504A61" w:rsidRPr="007818C9" w:rsidRDefault="00504A61" w:rsidP="00652815">
            <w:pPr>
              <w:pStyle w:val="Para"/>
              <w:rPr>
                <w:lang w:val="en-US"/>
              </w:rPr>
            </w:pPr>
          </w:p>
        </w:tc>
        <w:tc>
          <w:tcPr>
            <w:tcW w:w="3418" w:type="dxa"/>
          </w:tcPr>
          <w:p w14:paraId="14E32ECB" w14:textId="77777777" w:rsidR="00504A61" w:rsidRDefault="00504A61" w:rsidP="00652815">
            <w:pPr>
              <w:pStyle w:val="Signatory"/>
              <w:spacing w:after="120"/>
            </w:pPr>
            <w:r>
              <w:rPr>
                <w:i/>
              </w:rPr>
              <w:t>For Kommisjonen</w:t>
            </w:r>
          </w:p>
          <w:p w14:paraId="6A86EA80" w14:textId="77777777" w:rsidR="00504A61" w:rsidRDefault="00504A61" w:rsidP="00652815">
            <w:pPr>
              <w:pStyle w:val="SignatorySmall"/>
              <w:spacing w:after="120"/>
            </w:pPr>
            <w:r>
              <w:t xml:space="preserve">Ursula </w:t>
            </w:r>
            <w:r>
              <w:rPr>
                <w:caps/>
              </w:rPr>
              <w:t>von der Leyen</w:t>
            </w:r>
          </w:p>
          <w:p w14:paraId="54DF18A6" w14:textId="77777777" w:rsidR="00504A61" w:rsidRDefault="00504A61" w:rsidP="00652815">
            <w:pPr>
              <w:pStyle w:val="Signatory"/>
              <w:spacing w:after="0"/>
            </w:pPr>
            <w:r>
              <w:rPr>
                <w:i/>
              </w:rPr>
              <w:t>President</w:t>
            </w:r>
          </w:p>
        </w:tc>
      </w:tr>
    </w:tbl>
    <w:p w14:paraId="5407E74C" w14:textId="77777777" w:rsidR="00823443" w:rsidRDefault="00823443" w:rsidP="00652815">
      <w:pPr>
        <w:pStyle w:val="Para"/>
        <w:spacing w:after="20000"/>
      </w:pPr>
    </w:p>
    <w:p w14:paraId="4E413E07" w14:textId="77777777" w:rsidR="00823443" w:rsidRDefault="00823443" w:rsidP="00652815">
      <w:pPr>
        <w:pStyle w:val="Para"/>
        <w:spacing w:after="20000"/>
        <w:sectPr w:rsidR="00823443" w:rsidSect="00652815">
          <w:headerReference w:type="even" r:id="rId8"/>
          <w:headerReference w:type="default" r:id="rId9"/>
          <w:headerReference w:type="first" r:id="rId10"/>
          <w:footnotePr>
            <w:pos w:val="beneathText"/>
          </w:footnotePr>
          <w:type w:val="continuous"/>
          <w:pgSz w:w="11906" w:h="16838" w:code="9"/>
          <w:pgMar w:top="1680" w:right="1333" w:bottom="840" w:left="1333" w:header="920" w:footer="280" w:gutter="0"/>
          <w:cols w:space="708"/>
          <w:vAlign w:val="both"/>
          <w:docGrid w:linePitch="360"/>
        </w:sectPr>
      </w:pPr>
    </w:p>
    <w:p w14:paraId="37F57034" w14:textId="77777777" w:rsidR="00652815" w:rsidRPr="00652815" w:rsidRDefault="00652815" w:rsidP="00652815">
      <w:pPr>
        <w:pStyle w:val="AnnexTI"/>
        <w:spacing w:after="360"/>
        <w:rPr>
          <w:b/>
          <w:i w:val="0"/>
          <w:u w:val="single"/>
        </w:rPr>
      </w:pPr>
      <w:r>
        <w:rPr>
          <w:b/>
          <w:i w:val="0"/>
          <w:u w:val="single"/>
        </w:rPr>
        <w:lastRenderedPageBreak/>
        <w:t>VEDLEGG I</w:t>
      </w:r>
    </w:p>
    <w:p w14:paraId="5DDE56AD" w14:textId="77777777" w:rsidR="00652815" w:rsidRDefault="00652815" w:rsidP="00652815">
      <w:pPr>
        <w:pStyle w:val="AnnexNormal"/>
      </w:pPr>
      <w:r>
        <w:t>I vedlegg I gjøres følgende endringer:</w:t>
      </w:r>
    </w:p>
    <w:p w14:paraId="35B0183E" w14:textId="77777777" w:rsidR="00652815" w:rsidRDefault="00652815" w:rsidP="00652815">
      <w:pPr>
        <w:pStyle w:val="AnnexNormal"/>
      </w:pPr>
      <w:r>
        <w:t>1) I avsnitt 1.1.3.2 utgår siste ledd.</w:t>
      </w:r>
    </w:p>
    <w:p w14:paraId="3F9EE3DB" w14:textId="77777777" w:rsidR="00652815" w:rsidRDefault="00652815" w:rsidP="00652815">
      <w:pPr>
        <w:pStyle w:val="AnnexNormal"/>
      </w:pPr>
      <w:r>
        <w:t>2) I avsnitt 1.2.3.1 første ledd skal ny bokstav d) lyde:</w:t>
      </w:r>
    </w:p>
    <w:p w14:paraId="4D982086" w14:textId="77777777" w:rsidR="00652815" w:rsidRDefault="00652815" w:rsidP="00652815">
      <w:pPr>
        <w:pStyle w:val="AnnexNormal"/>
      </w:pPr>
      <w:r>
        <w:t>«d) Opplysninger om sektoren for økonomiske aktiviteter som anses som ikke-vesentlige i henhold til artikkel 2 nr. 1a, og en redegjørelse for hvorfor disse økonomiske aktivitetene ikke er vesentlige.»</w:t>
      </w:r>
    </w:p>
    <w:p w14:paraId="602497F5" w14:textId="77777777" w:rsidR="00652815" w:rsidRDefault="00652815" w:rsidP="00652815">
      <w:pPr>
        <w:pStyle w:val="AnnexNormal"/>
      </w:pPr>
      <w:r>
        <w:t>3) I avsnitt 1.2.3.2 første ledd skal ny bokstav d) lyde:</w:t>
      </w:r>
    </w:p>
    <w:p w14:paraId="76E685B1" w14:textId="77777777" w:rsidR="00652815" w:rsidRDefault="00652815" w:rsidP="00652815">
      <w:pPr>
        <w:pStyle w:val="AnnexNormal"/>
      </w:pPr>
      <w:r>
        <w:t>«d) Opplysninger om sektoren for økonomiske aktiviteter som anses som ikke-vesentlige i henhold til artikkel 2 nr. 1b, og en redegjørelse for hvorfor disse økonomiske aktivitetene ikke er vesentlige.»</w:t>
      </w:r>
    </w:p>
    <w:p w14:paraId="04A3C287" w14:textId="77777777" w:rsidR="00652815" w:rsidRDefault="00652815" w:rsidP="00652815">
      <w:pPr>
        <w:pStyle w:val="AnnexNormal"/>
      </w:pPr>
      <w:r>
        <w:t>4) I avsnitt 1.2.3.3 første ledd skal ny bokstav d) lyde:</w:t>
      </w:r>
    </w:p>
    <w:p w14:paraId="196A65D3" w14:textId="77777777" w:rsidR="00D94629" w:rsidRDefault="00652815" w:rsidP="00956D44">
      <w:pPr>
        <w:pStyle w:val="AnnexNormal"/>
        <w:spacing w:after="0"/>
      </w:pPr>
      <w:r>
        <w:t>«d) Opplysninger om sektoren for økonomiske aktiviteter som anses som ikke-vesentlige i henhold til artikkel 2 nr. 1c, og en redegjørelse for hvorfor disse økonomiske aktivitetene ikke er vesentlige.»</w:t>
      </w:r>
    </w:p>
    <w:p w14:paraId="21D10CA5" w14:textId="77777777" w:rsidR="00D94629" w:rsidRDefault="00D94629" w:rsidP="00652815">
      <w:pPr>
        <w:pStyle w:val="AnnexNormal"/>
        <w:sectPr w:rsidR="00D94629">
          <w:headerReference w:type="even" r:id="rId11"/>
          <w:headerReference w:type="default" r:id="rId12"/>
          <w:headerReference w:type="first" r:id="rId13"/>
          <w:pgSz w:w="11906" w:h="16838" w:code="9"/>
          <w:pgMar w:top="1680" w:right="1333" w:bottom="840" w:left="1333" w:header="920" w:footer="280" w:gutter="0"/>
          <w:cols w:space="708"/>
          <w:docGrid w:linePitch="360"/>
        </w:sectPr>
      </w:pPr>
    </w:p>
    <w:p w14:paraId="6BDEEA3C" w14:textId="77777777" w:rsidR="00D94629" w:rsidRDefault="00D94629" w:rsidP="00D94629">
      <w:pPr>
        <w:pStyle w:val="AnnexTI"/>
        <w:spacing w:after="360"/>
      </w:pPr>
      <w:r>
        <w:rPr>
          <w:b/>
          <w:i w:val="0"/>
          <w:u w:val="single"/>
        </w:rPr>
        <w:lastRenderedPageBreak/>
        <w:t>VEDLEGG II</w:t>
      </w:r>
    </w:p>
    <w:p w14:paraId="61CCE6E5" w14:textId="77777777" w:rsidR="00D94629" w:rsidRPr="00D94629" w:rsidRDefault="00D94629" w:rsidP="00D94629">
      <w:pPr>
        <w:pStyle w:val="AnnexTI"/>
        <w:ind w:right="800"/>
        <w:rPr>
          <w:b/>
          <w:i w:val="0"/>
        </w:rPr>
      </w:pPr>
      <w:r>
        <w:rPr>
          <w:b/>
          <w:i w:val="0"/>
        </w:rPr>
        <w:t>«VEDLEGG II</w:t>
      </w:r>
    </w:p>
    <w:p w14:paraId="0CC2DD00" w14:textId="77777777" w:rsidR="00D94629" w:rsidRPr="00D94629" w:rsidRDefault="00D94629" w:rsidP="00D94629">
      <w:pPr>
        <w:pStyle w:val="AnnexNormal"/>
        <w:spacing w:line="200" w:lineRule="exact"/>
        <w:jc w:val="center"/>
        <w:rPr>
          <w:sz w:val="16"/>
        </w:rPr>
      </w:pPr>
      <w:r>
        <w:rPr>
          <w:sz w:val="16"/>
        </w:rPr>
        <w:t>MALER FOR KPI-ER FOR IKKE-FINANSIELLE FORETAK</w:t>
      </w:r>
    </w:p>
    <w:p w14:paraId="2AA4FB81" w14:textId="77777777" w:rsidR="00D94629" w:rsidRPr="00B310F8" w:rsidRDefault="00D94629" w:rsidP="00D94629">
      <w:pPr>
        <w:pStyle w:val="AnnexNormal"/>
        <w:jc w:val="left"/>
        <w:rPr>
          <w:i/>
        </w:rPr>
      </w:pPr>
      <w:r>
        <w:rPr>
          <w:i/>
        </w:rPr>
        <w:t>Mal I: Andel av omsetningen, investeringsutgiftene, driftsutgiftene fra produkter eller tjenester som er forbundet med økonomiske aktiviteter som er omfattet av taksonomien, eller taksonomiforenlige økonomiske aktiviteter – opplysninger for år N (sammendrag av KPI-er)</w:t>
      </w:r>
    </w:p>
    <w:tbl>
      <w:tblPr>
        <w:tblStyle w:val="EFTATable"/>
        <w:tblW w:w="4986" w:type="pct"/>
        <w:tblLook w:val="04A0" w:firstRow="1" w:lastRow="0" w:firstColumn="1" w:lastColumn="0" w:noHBand="0" w:noVBand="1"/>
      </w:tblPr>
      <w:tblGrid>
        <w:gridCol w:w="1634"/>
        <w:gridCol w:w="534"/>
        <w:gridCol w:w="944"/>
        <w:gridCol w:w="1411"/>
        <w:gridCol w:w="1372"/>
        <w:gridCol w:w="331"/>
        <w:gridCol w:w="407"/>
        <w:gridCol w:w="407"/>
        <w:gridCol w:w="408"/>
        <w:gridCol w:w="408"/>
        <w:gridCol w:w="413"/>
        <w:gridCol w:w="1045"/>
        <w:gridCol w:w="1481"/>
        <w:gridCol w:w="765"/>
        <w:gridCol w:w="1411"/>
        <w:gridCol w:w="1352"/>
      </w:tblGrid>
      <w:tr w:rsidR="002A153D" w:rsidRPr="006C68E6" w14:paraId="38B09481" w14:textId="77777777" w:rsidTr="00F92E7B">
        <w:tc>
          <w:tcPr>
            <w:tcW w:w="312" w:type="pct"/>
            <w:tcBorders>
              <w:left w:val="single" w:sz="4" w:space="0" w:color="auto"/>
            </w:tcBorders>
            <w:tcMar>
              <w:top w:w="120" w:type="dxa"/>
              <w:left w:w="0" w:type="dxa"/>
              <w:bottom w:w="120" w:type="dxa"/>
            </w:tcMar>
          </w:tcPr>
          <w:p w14:paraId="165147AD" w14:textId="77777777" w:rsidR="002A153D" w:rsidRPr="006C68E6" w:rsidRDefault="002A153D" w:rsidP="00F92E7B">
            <w:pPr>
              <w:pStyle w:val="AnnexTableHeader"/>
              <w:spacing w:line="200" w:lineRule="exact"/>
              <w:rPr>
                <w:rFonts w:ascii="Helvetica" w:hAnsi="Helvetica"/>
                <w:b/>
                <w:sz w:val="14"/>
                <w:szCs w:val="14"/>
              </w:rPr>
            </w:pPr>
            <w:r>
              <w:rPr>
                <w:rFonts w:ascii="Helvetica" w:hAnsi="Helvetica"/>
                <w:b/>
                <w:sz w:val="14"/>
              </w:rPr>
              <w:t>Regnskapsår (N)</w:t>
            </w:r>
          </w:p>
        </w:tc>
        <w:tc>
          <w:tcPr>
            <w:tcW w:w="312" w:type="pct"/>
            <w:tcMar>
              <w:top w:w="120" w:type="dxa"/>
              <w:bottom w:w="120" w:type="dxa"/>
            </w:tcMar>
          </w:tcPr>
          <w:p w14:paraId="47377A16" w14:textId="77777777" w:rsidR="002A153D" w:rsidRPr="006C68E6" w:rsidRDefault="002A153D" w:rsidP="00F92E7B">
            <w:pPr>
              <w:pStyle w:val="AnnexTableHeader"/>
              <w:spacing w:line="200" w:lineRule="exact"/>
              <w:rPr>
                <w:b/>
                <w:sz w:val="14"/>
                <w:szCs w:val="14"/>
              </w:rPr>
            </w:pPr>
          </w:p>
        </w:tc>
        <w:tc>
          <w:tcPr>
            <w:tcW w:w="4377" w:type="pct"/>
            <w:gridSpan w:val="14"/>
            <w:tcBorders>
              <w:top w:val="nil"/>
            </w:tcBorders>
            <w:tcMar>
              <w:top w:w="120" w:type="dxa"/>
              <w:bottom w:w="120" w:type="dxa"/>
            </w:tcMar>
          </w:tcPr>
          <w:p w14:paraId="36536759" w14:textId="77777777" w:rsidR="002A153D" w:rsidRPr="006C68E6" w:rsidRDefault="002A153D" w:rsidP="00F92E7B">
            <w:pPr>
              <w:pStyle w:val="AnnexTableHeader"/>
              <w:spacing w:line="200" w:lineRule="exact"/>
              <w:rPr>
                <w:b/>
                <w:sz w:val="14"/>
                <w:szCs w:val="14"/>
              </w:rPr>
            </w:pPr>
          </w:p>
        </w:tc>
      </w:tr>
      <w:tr w:rsidR="00F92E7B" w:rsidRPr="006C68E6" w14:paraId="7B692A3F" w14:textId="77777777" w:rsidTr="00F92E7B">
        <w:trPr>
          <w:cantSplit/>
          <w:trHeight w:val="20"/>
        </w:trPr>
        <w:tc>
          <w:tcPr>
            <w:tcW w:w="312" w:type="pct"/>
            <w:vMerge w:val="restart"/>
            <w:tcBorders>
              <w:left w:val="single" w:sz="4" w:space="0" w:color="auto"/>
            </w:tcBorders>
            <w:tcMar>
              <w:top w:w="120" w:type="dxa"/>
              <w:left w:w="0" w:type="dxa"/>
              <w:bottom w:w="120" w:type="dxa"/>
            </w:tcMar>
            <w:vAlign w:val="center"/>
          </w:tcPr>
          <w:p w14:paraId="693DE42A"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KPI (1)</w:t>
            </w:r>
          </w:p>
        </w:tc>
        <w:tc>
          <w:tcPr>
            <w:tcW w:w="312" w:type="pct"/>
            <w:vMerge w:val="restart"/>
            <w:tcMar>
              <w:top w:w="120" w:type="dxa"/>
              <w:bottom w:w="120" w:type="dxa"/>
            </w:tcMar>
            <w:vAlign w:val="center"/>
          </w:tcPr>
          <w:p w14:paraId="06670E28"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Sum (2)</w:t>
            </w:r>
          </w:p>
        </w:tc>
        <w:tc>
          <w:tcPr>
            <w:tcW w:w="312" w:type="pct"/>
            <w:vMerge w:val="restart"/>
            <w:tcMar>
              <w:top w:w="120" w:type="dxa"/>
              <w:bottom w:w="120" w:type="dxa"/>
            </w:tcMar>
            <w:vAlign w:val="center"/>
          </w:tcPr>
          <w:p w14:paraId="3A96C16A"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Andel aktiviteter som er omfattet av taksonomien (3)</w:t>
            </w:r>
          </w:p>
        </w:tc>
        <w:tc>
          <w:tcPr>
            <w:tcW w:w="312" w:type="pct"/>
            <w:vMerge w:val="restart"/>
            <w:tcMar>
              <w:top w:w="120" w:type="dxa"/>
              <w:bottom w:w="120" w:type="dxa"/>
            </w:tcMar>
            <w:vAlign w:val="center"/>
          </w:tcPr>
          <w:p w14:paraId="4486D1C7"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Taksonomiforenlige aktiviteter (4)</w:t>
            </w:r>
          </w:p>
        </w:tc>
        <w:tc>
          <w:tcPr>
            <w:tcW w:w="312" w:type="pct"/>
            <w:vMerge w:val="restart"/>
            <w:tcMar>
              <w:top w:w="120" w:type="dxa"/>
              <w:bottom w:w="120" w:type="dxa"/>
            </w:tcMar>
            <w:vAlign w:val="center"/>
          </w:tcPr>
          <w:p w14:paraId="032AAA12" w14:textId="692539E9"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Andel taksonomiforenlige aktiviteter (5)</w:t>
            </w:r>
          </w:p>
        </w:tc>
        <w:tc>
          <w:tcPr>
            <w:tcW w:w="1874" w:type="pct"/>
            <w:gridSpan w:val="6"/>
            <w:tcMar>
              <w:top w:w="120" w:type="dxa"/>
              <w:bottom w:w="120" w:type="dxa"/>
            </w:tcMar>
            <w:vAlign w:val="center"/>
          </w:tcPr>
          <w:p w14:paraId="16CB21CC"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Taksonomiforenlige aktiviteter spesifisert etter miljømål</w:t>
            </w:r>
          </w:p>
        </w:tc>
        <w:tc>
          <w:tcPr>
            <w:tcW w:w="313" w:type="pct"/>
            <w:vMerge w:val="restart"/>
            <w:tcMar>
              <w:top w:w="120" w:type="dxa"/>
              <w:bottom w:w="120" w:type="dxa"/>
            </w:tcMar>
            <w:vAlign w:val="center"/>
          </w:tcPr>
          <w:p w14:paraId="09DC5DDD"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Andel muliggjørende aktiviteter (12)</w:t>
            </w:r>
          </w:p>
        </w:tc>
        <w:tc>
          <w:tcPr>
            <w:tcW w:w="313" w:type="pct"/>
            <w:vMerge w:val="restart"/>
            <w:tcMar>
              <w:top w:w="120" w:type="dxa"/>
              <w:bottom w:w="120" w:type="dxa"/>
            </w:tcMar>
            <w:vAlign w:val="center"/>
          </w:tcPr>
          <w:p w14:paraId="6609AE17"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Andel omstillingsaktiviteter (13)</w:t>
            </w:r>
          </w:p>
        </w:tc>
        <w:tc>
          <w:tcPr>
            <w:tcW w:w="313" w:type="pct"/>
            <w:vMerge w:val="restart"/>
            <w:tcMar>
              <w:top w:w="120" w:type="dxa"/>
              <w:bottom w:w="120" w:type="dxa"/>
            </w:tcMar>
            <w:vAlign w:val="center"/>
          </w:tcPr>
          <w:p w14:paraId="1C689B26"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Ikke-vurderte aktiviteter som anses som ikke-vesentlige (14)</w:t>
            </w:r>
          </w:p>
        </w:tc>
        <w:tc>
          <w:tcPr>
            <w:tcW w:w="313" w:type="pct"/>
            <w:vMerge w:val="restart"/>
            <w:tcMar>
              <w:top w:w="120" w:type="dxa"/>
              <w:bottom w:w="120" w:type="dxa"/>
            </w:tcMar>
            <w:vAlign w:val="center"/>
          </w:tcPr>
          <w:p w14:paraId="7414BEC4"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Taksonomiforenlige aktiviteter i det foregående regnskapsåret (N-1) (15)</w:t>
            </w:r>
          </w:p>
        </w:tc>
        <w:tc>
          <w:tcPr>
            <w:tcW w:w="314" w:type="pct"/>
            <w:vMerge w:val="restart"/>
            <w:tcBorders>
              <w:right w:val="single" w:sz="4" w:space="0" w:color="auto"/>
            </w:tcBorders>
            <w:tcMar>
              <w:top w:w="120" w:type="dxa"/>
              <w:bottom w:w="120" w:type="dxa"/>
              <w:right w:w="0" w:type="dxa"/>
            </w:tcMar>
            <w:vAlign w:val="center"/>
          </w:tcPr>
          <w:p w14:paraId="5AE76DB9" w14:textId="77777777" w:rsidR="00F92E7B" w:rsidRPr="006C68E6" w:rsidRDefault="00F92E7B" w:rsidP="00966BC8">
            <w:pPr>
              <w:pStyle w:val="AnnexTableHeader"/>
              <w:spacing w:line="200" w:lineRule="exact"/>
              <w:ind w:right="20"/>
              <w:rPr>
                <w:rFonts w:ascii="Helvetica" w:hAnsi="Helvetica"/>
                <w:b/>
                <w:sz w:val="14"/>
                <w:szCs w:val="14"/>
              </w:rPr>
            </w:pPr>
            <w:r>
              <w:rPr>
                <w:rFonts w:ascii="Helvetica" w:hAnsi="Helvetica"/>
                <w:b/>
                <w:sz w:val="14"/>
              </w:rPr>
              <w:t>Andel taksonomiforenlige aktiviteter i det foregående regnskapsåret (N-1) (16)</w:t>
            </w:r>
          </w:p>
        </w:tc>
      </w:tr>
      <w:tr w:rsidR="00F92E7B" w:rsidRPr="006C68E6" w14:paraId="3E39A961" w14:textId="77777777" w:rsidTr="00F92E7B">
        <w:trPr>
          <w:cantSplit/>
          <w:trHeight w:val="1689"/>
        </w:trPr>
        <w:tc>
          <w:tcPr>
            <w:tcW w:w="312" w:type="pct"/>
            <w:vMerge/>
            <w:tcBorders>
              <w:left w:val="single" w:sz="4" w:space="0" w:color="auto"/>
            </w:tcBorders>
            <w:tcMar>
              <w:top w:w="120" w:type="dxa"/>
              <w:left w:w="0" w:type="dxa"/>
              <w:bottom w:w="120" w:type="dxa"/>
            </w:tcMar>
            <w:vAlign w:val="center"/>
          </w:tcPr>
          <w:p w14:paraId="0C869D23" w14:textId="77777777" w:rsidR="00F92E7B" w:rsidRPr="006C68E6" w:rsidRDefault="00F92E7B" w:rsidP="00F92E7B">
            <w:pPr>
              <w:pStyle w:val="AnnexTableHeader"/>
              <w:spacing w:line="200" w:lineRule="exact"/>
              <w:rPr>
                <w:rFonts w:ascii="Helvetica" w:hAnsi="Helvetica"/>
              </w:rPr>
            </w:pPr>
          </w:p>
        </w:tc>
        <w:tc>
          <w:tcPr>
            <w:tcW w:w="312" w:type="pct"/>
            <w:vMerge/>
            <w:tcMar>
              <w:top w:w="120" w:type="dxa"/>
              <w:bottom w:w="120" w:type="dxa"/>
            </w:tcMar>
            <w:vAlign w:val="center"/>
          </w:tcPr>
          <w:p w14:paraId="23471112" w14:textId="77777777" w:rsidR="00F92E7B" w:rsidRPr="006C68E6" w:rsidRDefault="00F92E7B" w:rsidP="00F92E7B">
            <w:pPr>
              <w:pStyle w:val="AnnexTableHeader"/>
              <w:spacing w:line="200" w:lineRule="exact"/>
              <w:rPr>
                <w:rFonts w:ascii="Helvetica" w:hAnsi="Helvetica"/>
              </w:rPr>
            </w:pPr>
          </w:p>
        </w:tc>
        <w:tc>
          <w:tcPr>
            <w:tcW w:w="312" w:type="pct"/>
            <w:vMerge/>
            <w:tcMar>
              <w:top w:w="120" w:type="dxa"/>
              <w:bottom w:w="120" w:type="dxa"/>
            </w:tcMar>
            <w:vAlign w:val="center"/>
          </w:tcPr>
          <w:p w14:paraId="7866B2B5" w14:textId="77777777" w:rsidR="00F92E7B" w:rsidRPr="006C68E6" w:rsidRDefault="00F92E7B" w:rsidP="00F92E7B">
            <w:pPr>
              <w:pStyle w:val="AnnexTableHeader"/>
              <w:spacing w:line="200" w:lineRule="exact"/>
              <w:rPr>
                <w:rFonts w:ascii="Helvetica" w:hAnsi="Helvetica"/>
              </w:rPr>
            </w:pPr>
          </w:p>
        </w:tc>
        <w:tc>
          <w:tcPr>
            <w:tcW w:w="312" w:type="pct"/>
            <w:vMerge/>
            <w:tcMar>
              <w:top w:w="120" w:type="dxa"/>
              <w:bottom w:w="120" w:type="dxa"/>
            </w:tcMar>
            <w:vAlign w:val="center"/>
          </w:tcPr>
          <w:p w14:paraId="16E2BB6C" w14:textId="77777777" w:rsidR="00F92E7B" w:rsidRPr="006C68E6" w:rsidRDefault="00F92E7B" w:rsidP="00F92E7B">
            <w:pPr>
              <w:pStyle w:val="AnnexTableHeader"/>
              <w:spacing w:line="200" w:lineRule="exact"/>
              <w:rPr>
                <w:rFonts w:ascii="Helvetica" w:hAnsi="Helvetica"/>
              </w:rPr>
            </w:pPr>
          </w:p>
        </w:tc>
        <w:tc>
          <w:tcPr>
            <w:tcW w:w="312" w:type="pct"/>
            <w:vMerge/>
            <w:tcMar>
              <w:top w:w="120" w:type="dxa"/>
              <w:bottom w:w="120" w:type="dxa"/>
            </w:tcMar>
            <w:vAlign w:val="center"/>
          </w:tcPr>
          <w:p w14:paraId="133CE6D8" w14:textId="77777777" w:rsidR="00F92E7B" w:rsidRPr="006C68E6" w:rsidRDefault="00F92E7B" w:rsidP="00F92E7B">
            <w:pPr>
              <w:pStyle w:val="AnnexTableHeader"/>
              <w:spacing w:line="200" w:lineRule="exact"/>
              <w:rPr>
                <w:rFonts w:ascii="Helvetica" w:hAnsi="Helvetica"/>
              </w:rPr>
            </w:pPr>
          </w:p>
        </w:tc>
        <w:tc>
          <w:tcPr>
            <w:tcW w:w="312" w:type="pct"/>
            <w:tcMar>
              <w:top w:w="120" w:type="dxa"/>
              <w:bottom w:w="120" w:type="dxa"/>
            </w:tcMar>
            <w:textDirection w:val="tbRl"/>
            <w:vAlign w:val="center"/>
          </w:tcPr>
          <w:p w14:paraId="2270A052"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Begrensning av klimaendringer (6)</w:t>
            </w:r>
          </w:p>
        </w:tc>
        <w:tc>
          <w:tcPr>
            <w:tcW w:w="312" w:type="pct"/>
            <w:tcMar>
              <w:top w:w="120" w:type="dxa"/>
              <w:bottom w:w="120" w:type="dxa"/>
            </w:tcMar>
            <w:textDirection w:val="tbRl"/>
            <w:vAlign w:val="center"/>
          </w:tcPr>
          <w:p w14:paraId="55C337F0"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Tilpasning til klimaendringer (7)</w:t>
            </w:r>
          </w:p>
        </w:tc>
        <w:tc>
          <w:tcPr>
            <w:tcW w:w="312" w:type="pct"/>
            <w:tcMar>
              <w:top w:w="120" w:type="dxa"/>
              <w:bottom w:w="120" w:type="dxa"/>
            </w:tcMar>
            <w:textDirection w:val="tbRl"/>
            <w:vAlign w:val="center"/>
          </w:tcPr>
          <w:p w14:paraId="3D45DD56"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Vann (8)</w:t>
            </w:r>
          </w:p>
        </w:tc>
        <w:tc>
          <w:tcPr>
            <w:tcW w:w="312" w:type="pct"/>
            <w:tcMar>
              <w:top w:w="120" w:type="dxa"/>
              <w:bottom w:w="120" w:type="dxa"/>
            </w:tcMar>
            <w:textDirection w:val="tbRl"/>
            <w:vAlign w:val="center"/>
          </w:tcPr>
          <w:p w14:paraId="3C48FC57"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Sirkulær økonomi (9)</w:t>
            </w:r>
          </w:p>
        </w:tc>
        <w:tc>
          <w:tcPr>
            <w:tcW w:w="312" w:type="pct"/>
            <w:tcMar>
              <w:top w:w="120" w:type="dxa"/>
              <w:bottom w:w="120" w:type="dxa"/>
            </w:tcMar>
            <w:textDirection w:val="tbRl"/>
            <w:vAlign w:val="center"/>
          </w:tcPr>
          <w:p w14:paraId="5705761D"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Forurensning (10)</w:t>
            </w:r>
          </w:p>
        </w:tc>
        <w:tc>
          <w:tcPr>
            <w:tcW w:w="314" w:type="pct"/>
            <w:tcMar>
              <w:top w:w="120" w:type="dxa"/>
              <w:bottom w:w="120" w:type="dxa"/>
            </w:tcMar>
            <w:textDirection w:val="tbRl"/>
            <w:vAlign w:val="center"/>
          </w:tcPr>
          <w:p w14:paraId="07910E94" w14:textId="77777777" w:rsidR="00F92E7B" w:rsidRPr="006C68E6" w:rsidRDefault="00F92E7B" w:rsidP="00F92E7B">
            <w:pPr>
              <w:pStyle w:val="AnnexTableHeader"/>
              <w:spacing w:line="200" w:lineRule="exact"/>
              <w:rPr>
                <w:rFonts w:ascii="Helvetica" w:hAnsi="Helvetica"/>
                <w:b/>
                <w:sz w:val="14"/>
                <w:szCs w:val="14"/>
              </w:rPr>
            </w:pPr>
            <w:r>
              <w:rPr>
                <w:rFonts w:ascii="Helvetica" w:hAnsi="Helvetica"/>
                <w:b/>
                <w:sz w:val="14"/>
              </w:rPr>
              <w:t>Biologisk mangfold (11)</w:t>
            </w:r>
          </w:p>
        </w:tc>
        <w:tc>
          <w:tcPr>
            <w:tcW w:w="313" w:type="pct"/>
            <w:vMerge/>
            <w:tcMar>
              <w:top w:w="120" w:type="dxa"/>
              <w:bottom w:w="120" w:type="dxa"/>
            </w:tcMar>
            <w:vAlign w:val="center"/>
          </w:tcPr>
          <w:p w14:paraId="62E907A6" w14:textId="77777777" w:rsidR="00F92E7B" w:rsidRPr="006C68E6" w:rsidRDefault="00F92E7B" w:rsidP="00F92E7B">
            <w:pPr>
              <w:pStyle w:val="AnnexTableHeader"/>
              <w:spacing w:line="200" w:lineRule="exact"/>
              <w:rPr>
                <w:rFonts w:ascii="Helvetica" w:hAnsi="Helvetica"/>
              </w:rPr>
            </w:pPr>
          </w:p>
        </w:tc>
        <w:tc>
          <w:tcPr>
            <w:tcW w:w="313" w:type="pct"/>
            <w:vMerge/>
            <w:tcMar>
              <w:top w:w="120" w:type="dxa"/>
              <w:bottom w:w="120" w:type="dxa"/>
            </w:tcMar>
            <w:vAlign w:val="center"/>
          </w:tcPr>
          <w:p w14:paraId="20D75AE0" w14:textId="77777777" w:rsidR="00F92E7B" w:rsidRPr="006C68E6" w:rsidRDefault="00F92E7B" w:rsidP="00F92E7B">
            <w:pPr>
              <w:pStyle w:val="AnnexTableHeader"/>
              <w:spacing w:line="200" w:lineRule="exact"/>
              <w:rPr>
                <w:rFonts w:ascii="Helvetica" w:hAnsi="Helvetica"/>
              </w:rPr>
            </w:pPr>
          </w:p>
        </w:tc>
        <w:tc>
          <w:tcPr>
            <w:tcW w:w="313" w:type="pct"/>
            <w:vMerge/>
            <w:tcMar>
              <w:top w:w="120" w:type="dxa"/>
              <w:bottom w:w="120" w:type="dxa"/>
            </w:tcMar>
            <w:vAlign w:val="center"/>
          </w:tcPr>
          <w:p w14:paraId="00C6089D" w14:textId="77777777" w:rsidR="00F92E7B" w:rsidRPr="006C68E6" w:rsidRDefault="00F92E7B" w:rsidP="00F92E7B">
            <w:pPr>
              <w:pStyle w:val="AnnexTableHeader"/>
              <w:spacing w:line="200" w:lineRule="exact"/>
              <w:rPr>
                <w:rFonts w:ascii="Helvetica" w:hAnsi="Helvetica"/>
              </w:rPr>
            </w:pPr>
          </w:p>
        </w:tc>
        <w:tc>
          <w:tcPr>
            <w:tcW w:w="313" w:type="pct"/>
            <w:vMerge/>
            <w:tcMar>
              <w:top w:w="120" w:type="dxa"/>
              <w:bottom w:w="120" w:type="dxa"/>
            </w:tcMar>
            <w:vAlign w:val="center"/>
          </w:tcPr>
          <w:p w14:paraId="48451C37" w14:textId="77777777" w:rsidR="00F92E7B" w:rsidRPr="006C68E6" w:rsidRDefault="00F92E7B" w:rsidP="00F92E7B">
            <w:pPr>
              <w:pStyle w:val="AnnexTableHeader"/>
              <w:spacing w:line="200" w:lineRule="exact"/>
              <w:rPr>
                <w:rFonts w:ascii="Helvetica" w:hAnsi="Helvetica"/>
              </w:rPr>
            </w:pPr>
          </w:p>
        </w:tc>
        <w:tc>
          <w:tcPr>
            <w:tcW w:w="314" w:type="pct"/>
            <w:vMerge/>
            <w:tcBorders>
              <w:right w:val="single" w:sz="4" w:space="0" w:color="auto"/>
            </w:tcBorders>
            <w:tcMar>
              <w:top w:w="120" w:type="dxa"/>
              <w:bottom w:w="120" w:type="dxa"/>
              <w:right w:w="0" w:type="dxa"/>
            </w:tcMar>
            <w:vAlign w:val="center"/>
          </w:tcPr>
          <w:p w14:paraId="1E585821" w14:textId="77777777" w:rsidR="00F92E7B" w:rsidRPr="006C68E6" w:rsidRDefault="00F92E7B" w:rsidP="00F92E7B">
            <w:pPr>
              <w:pStyle w:val="AnnexTableHeader"/>
              <w:spacing w:line="200" w:lineRule="exact"/>
              <w:rPr>
                <w:rFonts w:ascii="Helvetica" w:hAnsi="Helvetica"/>
              </w:rPr>
            </w:pPr>
          </w:p>
        </w:tc>
      </w:tr>
      <w:tr w:rsidR="00F92E7B" w:rsidRPr="006C68E6" w14:paraId="65924B98" w14:textId="77777777" w:rsidTr="00F92E7B">
        <w:tc>
          <w:tcPr>
            <w:tcW w:w="312" w:type="pct"/>
            <w:tcBorders>
              <w:left w:val="single" w:sz="4" w:space="0" w:color="auto"/>
            </w:tcBorders>
            <w:tcMar>
              <w:top w:w="120" w:type="dxa"/>
              <w:left w:w="0" w:type="dxa"/>
              <w:bottom w:w="120" w:type="dxa"/>
            </w:tcMar>
          </w:tcPr>
          <w:p w14:paraId="4523BB57"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Tekst</w:t>
            </w:r>
          </w:p>
        </w:tc>
        <w:tc>
          <w:tcPr>
            <w:tcW w:w="312" w:type="pct"/>
            <w:tcMar>
              <w:top w:w="120" w:type="dxa"/>
              <w:bottom w:w="120" w:type="dxa"/>
            </w:tcMar>
          </w:tcPr>
          <w:p w14:paraId="06D6CEED"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Valuta</w:t>
            </w:r>
          </w:p>
        </w:tc>
        <w:tc>
          <w:tcPr>
            <w:tcW w:w="312" w:type="pct"/>
            <w:tcMar>
              <w:top w:w="120" w:type="dxa"/>
              <w:bottom w:w="120" w:type="dxa"/>
            </w:tcMar>
          </w:tcPr>
          <w:p w14:paraId="79CD1729"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2" w:type="pct"/>
            <w:tcMar>
              <w:top w:w="120" w:type="dxa"/>
              <w:bottom w:w="120" w:type="dxa"/>
            </w:tcMar>
          </w:tcPr>
          <w:p w14:paraId="4BFE8185"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Valuta</w:t>
            </w:r>
          </w:p>
        </w:tc>
        <w:tc>
          <w:tcPr>
            <w:tcW w:w="312" w:type="pct"/>
            <w:tcMar>
              <w:top w:w="120" w:type="dxa"/>
              <w:bottom w:w="120" w:type="dxa"/>
            </w:tcMar>
          </w:tcPr>
          <w:p w14:paraId="7DBBAE71"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2" w:type="pct"/>
            <w:tcMar>
              <w:top w:w="120" w:type="dxa"/>
              <w:bottom w:w="120" w:type="dxa"/>
            </w:tcMar>
          </w:tcPr>
          <w:p w14:paraId="2420312B"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2" w:type="pct"/>
            <w:tcMar>
              <w:top w:w="120" w:type="dxa"/>
              <w:bottom w:w="120" w:type="dxa"/>
            </w:tcMar>
          </w:tcPr>
          <w:p w14:paraId="020B0BE0"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2" w:type="pct"/>
            <w:tcMar>
              <w:top w:w="120" w:type="dxa"/>
              <w:bottom w:w="120" w:type="dxa"/>
            </w:tcMar>
          </w:tcPr>
          <w:p w14:paraId="7CD34E43"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2" w:type="pct"/>
            <w:tcMar>
              <w:top w:w="120" w:type="dxa"/>
              <w:bottom w:w="120" w:type="dxa"/>
            </w:tcMar>
          </w:tcPr>
          <w:p w14:paraId="516E61E4"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2" w:type="pct"/>
            <w:tcMar>
              <w:top w:w="120" w:type="dxa"/>
              <w:bottom w:w="120" w:type="dxa"/>
            </w:tcMar>
          </w:tcPr>
          <w:p w14:paraId="12AE5AD9"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4" w:type="pct"/>
            <w:tcMar>
              <w:top w:w="120" w:type="dxa"/>
              <w:bottom w:w="120" w:type="dxa"/>
            </w:tcMar>
          </w:tcPr>
          <w:p w14:paraId="45DFE357"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3" w:type="pct"/>
            <w:tcMar>
              <w:top w:w="120" w:type="dxa"/>
              <w:bottom w:w="120" w:type="dxa"/>
            </w:tcMar>
          </w:tcPr>
          <w:p w14:paraId="39215666"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3" w:type="pct"/>
            <w:tcMar>
              <w:top w:w="120" w:type="dxa"/>
              <w:bottom w:w="120" w:type="dxa"/>
            </w:tcMar>
          </w:tcPr>
          <w:p w14:paraId="4EFC6012"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3" w:type="pct"/>
            <w:tcMar>
              <w:top w:w="120" w:type="dxa"/>
              <w:bottom w:w="120" w:type="dxa"/>
            </w:tcMar>
          </w:tcPr>
          <w:p w14:paraId="42FE6449"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c>
          <w:tcPr>
            <w:tcW w:w="313" w:type="pct"/>
            <w:tcMar>
              <w:top w:w="120" w:type="dxa"/>
              <w:bottom w:w="120" w:type="dxa"/>
            </w:tcMar>
          </w:tcPr>
          <w:p w14:paraId="345A24E1"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Valuta</w:t>
            </w:r>
          </w:p>
        </w:tc>
        <w:tc>
          <w:tcPr>
            <w:tcW w:w="314" w:type="pct"/>
            <w:tcBorders>
              <w:right w:val="single" w:sz="4" w:space="0" w:color="auto"/>
            </w:tcBorders>
            <w:tcMar>
              <w:top w:w="120" w:type="dxa"/>
              <w:bottom w:w="120" w:type="dxa"/>
              <w:right w:w="0" w:type="dxa"/>
            </w:tcMar>
          </w:tcPr>
          <w:p w14:paraId="014595D9" w14:textId="77777777" w:rsidR="002A153D" w:rsidRPr="006C68E6" w:rsidRDefault="00F92E7B" w:rsidP="00F92E7B">
            <w:pPr>
              <w:pStyle w:val="AnnexTableCellLeft"/>
              <w:jc w:val="center"/>
              <w:rPr>
                <w:rFonts w:ascii="Helvetica" w:hAnsi="Helvetica"/>
                <w:i/>
                <w:color w:val="808080" w:themeColor="background1" w:themeShade="80"/>
                <w:sz w:val="16"/>
              </w:rPr>
            </w:pPr>
            <w:r>
              <w:rPr>
                <w:rFonts w:ascii="Helvetica" w:hAnsi="Helvetica"/>
                <w:i/>
                <w:color w:val="808080" w:themeColor="background1" w:themeShade="80"/>
                <w:sz w:val="16"/>
              </w:rPr>
              <w:t>%</w:t>
            </w:r>
          </w:p>
        </w:tc>
      </w:tr>
      <w:tr w:rsidR="002A153D" w:rsidRPr="006C68E6" w14:paraId="1AC83F9D" w14:textId="77777777" w:rsidTr="00F92E7B">
        <w:tc>
          <w:tcPr>
            <w:tcW w:w="312" w:type="pct"/>
            <w:tcBorders>
              <w:left w:val="single" w:sz="4" w:space="0" w:color="auto"/>
            </w:tcBorders>
            <w:tcMar>
              <w:top w:w="120" w:type="dxa"/>
              <w:left w:w="0" w:type="dxa"/>
              <w:bottom w:w="120" w:type="dxa"/>
            </w:tcMar>
          </w:tcPr>
          <w:p w14:paraId="386AF50A" w14:textId="77777777" w:rsidR="002A153D" w:rsidRPr="006C68E6" w:rsidRDefault="00F92E7B" w:rsidP="00F92E7B">
            <w:pPr>
              <w:pStyle w:val="AnnexTableCellLeft"/>
              <w:ind w:left="100"/>
              <w:jc w:val="left"/>
              <w:rPr>
                <w:rFonts w:ascii="Helvetica" w:hAnsi="Helvetica"/>
                <w:b/>
                <w:sz w:val="16"/>
              </w:rPr>
            </w:pPr>
            <w:r>
              <w:rPr>
                <w:rFonts w:ascii="Helvetica" w:hAnsi="Helvetica"/>
                <w:b/>
                <w:sz w:val="16"/>
              </w:rPr>
              <w:t>Omsetning</w:t>
            </w:r>
          </w:p>
        </w:tc>
        <w:tc>
          <w:tcPr>
            <w:tcW w:w="312" w:type="pct"/>
            <w:tcMar>
              <w:top w:w="120" w:type="dxa"/>
              <w:bottom w:w="120" w:type="dxa"/>
            </w:tcMar>
          </w:tcPr>
          <w:p w14:paraId="7A47585F" w14:textId="77777777" w:rsidR="002A153D" w:rsidRPr="006C68E6" w:rsidRDefault="002A153D" w:rsidP="00F92E7B">
            <w:pPr>
              <w:pStyle w:val="AnnexTableCellLeft"/>
              <w:rPr>
                <w:rFonts w:ascii="Helvetica" w:hAnsi="Helvetica"/>
                <w:b/>
                <w:sz w:val="16"/>
              </w:rPr>
            </w:pPr>
          </w:p>
        </w:tc>
        <w:tc>
          <w:tcPr>
            <w:tcW w:w="312" w:type="pct"/>
            <w:tcMar>
              <w:top w:w="120" w:type="dxa"/>
              <w:bottom w:w="120" w:type="dxa"/>
            </w:tcMar>
          </w:tcPr>
          <w:p w14:paraId="1E162941"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53395617" w14:textId="77777777" w:rsidR="002A153D" w:rsidRPr="006C68E6" w:rsidRDefault="002A153D" w:rsidP="00F92E7B">
            <w:pPr>
              <w:pStyle w:val="AnnexTableCellLeft"/>
              <w:jc w:val="center"/>
              <w:rPr>
                <w:rFonts w:ascii="Helvetica" w:hAnsi="Helvetica"/>
                <w:b/>
                <w:sz w:val="16"/>
              </w:rPr>
            </w:pPr>
          </w:p>
        </w:tc>
        <w:tc>
          <w:tcPr>
            <w:tcW w:w="312" w:type="pct"/>
            <w:tcMar>
              <w:top w:w="120" w:type="dxa"/>
              <w:bottom w:w="120" w:type="dxa"/>
            </w:tcMar>
          </w:tcPr>
          <w:p w14:paraId="59A88207"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30911FEF"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4A82E20D"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1A26D87A"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5F4B8C4C"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7052207D"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4" w:type="pct"/>
            <w:tcMar>
              <w:top w:w="120" w:type="dxa"/>
              <w:bottom w:w="120" w:type="dxa"/>
            </w:tcMar>
          </w:tcPr>
          <w:p w14:paraId="19B5564C"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5CBC50E3"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3F7805E8"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7A876F44"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38C489AD" w14:textId="77777777" w:rsidR="002A153D" w:rsidRPr="006C68E6" w:rsidRDefault="002A153D" w:rsidP="00F92E7B">
            <w:pPr>
              <w:pStyle w:val="AnnexTableCellLeft"/>
              <w:jc w:val="center"/>
              <w:rPr>
                <w:rFonts w:ascii="Helvetica" w:hAnsi="Helvetica"/>
                <w:b/>
                <w:sz w:val="16"/>
              </w:rPr>
            </w:pPr>
          </w:p>
        </w:tc>
        <w:tc>
          <w:tcPr>
            <w:tcW w:w="314" w:type="pct"/>
            <w:tcBorders>
              <w:right w:val="single" w:sz="4" w:space="0" w:color="auto"/>
            </w:tcBorders>
            <w:tcMar>
              <w:top w:w="120" w:type="dxa"/>
              <w:bottom w:w="120" w:type="dxa"/>
              <w:right w:w="0" w:type="dxa"/>
            </w:tcMar>
          </w:tcPr>
          <w:p w14:paraId="66E282FE"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r>
      <w:tr w:rsidR="002A153D" w:rsidRPr="006C68E6" w14:paraId="00793EA6" w14:textId="77777777" w:rsidTr="00F92E7B">
        <w:tc>
          <w:tcPr>
            <w:tcW w:w="312" w:type="pct"/>
            <w:tcBorders>
              <w:left w:val="single" w:sz="4" w:space="0" w:color="auto"/>
            </w:tcBorders>
            <w:tcMar>
              <w:top w:w="120" w:type="dxa"/>
              <w:left w:w="0" w:type="dxa"/>
              <w:bottom w:w="120" w:type="dxa"/>
            </w:tcMar>
          </w:tcPr>
          <w:p w14:paraId="0F3D2EBF" w14:textId="77777777" w:rsidR="002A153D" w:rsidRPr="006C68E6" w:rsidRDefault="00F92E7B" w:rsidP="00F92E7B">
            <w:pPr>
              <w:pStyle w:val="AnnexTableCellLeft"/>
              <w:ind w:left="100"/>
              <w:jc w:val="left"/>
              <w:rPr>
                <w:rFonts w:ascii="Helvetica" w:hAnsi="Helvetica"/>
                <w:b/>
                <w:sz w:val="16"/>
              </w:rPr>
            </w:pPr>
            <w:r>
              <w:rPr>
                <w:rFonts w:ascii="Helvetica" w:hAnsi="Helvetica"/>
                <w:b/>
                <w:sz w:val="16"/>
              </w:rPr>
              <w:t>Investeringsutgifter</w:t>
            </w:r>
          </w:p>
        </w:tc>
        <w:tc>
          <w:tcPr>
            <w:tcW w:w="312" w:type="pct"/>
            <w:tcMar>
              <w:top w:w="120" w:type="dxa"/>
              <w:bottom w:w="120" w:type="dxa"/>
            </w:tcMar>
          </w:tcPr>
          <w:p w14:paraId="39371E84" w14:textId="77777777" w:rsidR="002A153D" w:rsidRPr="006C68E6" w:rsidRDefault="002A153D" w:rsidP="00F92E7B">
            <w:pPr>
              <w:pStyle w:val="AnnexTableCellLeft"/>
              <w:rPr>
                <w:rFonts w:ascii="Helvetica" w:hAnsi="Helvetica"/>
                <w:b/>
                <w:sz w:val="16"/>
              </w:rPr>
            </w:pPr>
          </w:p>
        </w:tc>
        <w:tc>
          <w:tcPr>
            <w:tcW w:w="312" w:type="pct"/>
            <w:tcMar>
              <w:top w:w="120" w:type="dxa"/>
              <w:bottom w:w="120" w:type="dxa"/>
            </w:tcMar>
          </w:tcPr>
          <w:p w14:paraId="129A9296"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4EF635CB" w14:textId="77777777" w:rsidR="002A153D" w:rsidRPr="006C68E6" w:rsidRDefault="002A153D" w:rsidP="00F92E7B">
            <w:pPr>
              <w:pStyle w:val="AnnexTableCellLeft"/>
              <w:jc w:val="center"/>
              <w:rPr>
                <w:rFonts w:ascii="Helvetica" w:hAnsi="Helvetica"/>
                <w:b/>
                <w:sz w:val="16"/>
              </w:rPr>
            </w:pPr>
          </w:p>
        </w:tc>
        <w:tc>
          <w:tcPr>
            <w:tcW w:w="312" w:type="pct"/>
            <w:tcMar>
              <w:top w:w="120" w:type="dxa"/>
              <w:bottom w:w="120" w:type="dxa"/>
            </w:tcMar>
          </w:tcPr>
          <w:p w14:paraId="567A9A84"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388697C4"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1E78FD91"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22A46278"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17625150"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31D63AFC"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4" w:type="pct"/>
            <w:tcMar>
              <w:top w:w="120" w:type="dxa"/>
              <w:bottom w:w="120" w:type="dxa"/>
            </w:tcMar>
          </w:tcPr>
          <w:p w14:paraId="02A1B5FC"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10CF2F42"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7754BEFB"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092FA962"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0481D45F" w14:textId="77777777" w:rsidR="002A153D" w:rsidRPr="006C68E6" w:rsidRDefault="002A153D" w:rsidP="00F92E7B">
            <w:pPr>
              <w:pStyle w:val="AnnexTableCellLeft"/>
              <w:jc w:val="center"/>
              <w:rPr>
                <w:rFonts w:ascii="Helvetica" w:hAnsi="Helvetica"/>
                <w:b/>
                <w:sz w:val="16"/>
              </w:rPr>
            </w:pPr>
          </w:p>
        </w:tc>
        <w:tc>
          <w:tcPr>
            <w:tcW w:w="314" w:type="pct"/>
            <w:tcBorders>
              <w:right w:val="single" w:sz="4" w:space="0" w:color="auto"/>
            </w:tcBorders>
            <w:tcMar>
              <w:top w:w="120" w:type="dxa"/>
              <w:bottom w:w="120" w:type="dxa"/>
              <w:right w:w="0" w:type="dxa"/>
            </w:tcMar>
          </w:tcPr>
          <w:p w14:paraId="03BCE3BB"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r>
      <w:tr w:rsidR="002A153D" w:rsidRPr="006C68E6" w14:paraId="2456DD8F" w14:textId="77777777" w:rsidTr="00F92E7B">
        <w:tc>
          <w:tcPr>
            <w:tcW w:w="312" w:type="pct"/>
            <w:tcBorders>
              <w:left w:val="single" w:sz="4" w:space="0" w:color="auto"/>
            </w:tcBorders>
            <w:tcMar>
              <w:top w:w="120" w:type="dxa"/>
              <w:left w:w="0" w:type="dxa"/>
              <w:bottom w:w="120" w:type="dxa"/>
            </w:tcMar>
          </w:tcPr>
          <w:p w14:paraId="4665253F" w14:textId="77777777" w:rsidR="002A153D" w:rsidRPr="006C68E6" w:rsidRDefault="00F92E7B" w:rsidP="00F92E7B">
            <w:pPr>
              <w:pStyle w:val="AnnexTableCellLeft"/>
              <w:ind w:left="100"/>
              <w:jc w:val="left"/>
              <w:rPr>
                <w:rFonts w:ascii="Helvetica" w:hAnsi="Helvetica"/>
                <w:b/>
                <w:sz w:val="16"/>
              </w:rPr>
            </w:pPr>
            <w:r>
              <w:rPr>
                <w:rFonts w:ascii="Helvetica" w:hAnsi="Helvetica"/>
                <w:b/>
                <w:sz w:val="16"/>
              </w:rPr>
              <w:t>Driftsutgifter</w:t>
            </w:r>
          </w:p>
        </w:tc>
        <w:tc>
          <w:tcPr>
            <w:tcW w:w="312" w:type="pct"/>
            <w:tcMar>
              <w:top w:w="120" w:type="dxa"/>
              <w:bottom w:w="120" w:type="dxa"/>
            </w:tcMar>
          </w:tcPr>
          <w:p w14:paraId="3152AB8B" w14:textId="77777777" w:rsidR="002A153D" w:rsidRPr="006C68E6" w:rsidRDefault="002A153D" w:rsidP="00F92E7B">
            <w:pPr>
              <w:pStyle w:val="AnnexTableCellLeft"/>
              <w:rPr>
                <w:rFonts w:ascii="Helvetica" w:hAnsi="Helvetica"/>
                <w:b/>
                <w:sz w:val="16"/>
              </w:rPr>
            </w:pPr>
          </w:p>
        </w:tc>
        <w:tc>
          <w:tcPr>
            <w:tcW w:w="312" w:type="pct"/>
            <w:tcMar>
              <w:top w:w="120" w:type="dxa"/>
              <w:bottom w:w="120" w:type="dxa"/>
            </w:tcMar>
          </w:tcPr>
          <w:p w14:paraId="4B8BC7A4"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4C76B7BE" w14:textId="77777777" w:rsidR="002A153D" w:rsidRPr="006C68E6" w:rsidRDefault="002A153D" w:rsidP="00F92E7B">
            <w:pPr>
              <w:pStyle w:val="AnnexTableCellLeft"/>
              <w:jc w:val="center"/>
              <w:rPr>
                <w:rFonts w:ascii="Helvetica" w:hAnsi="Helvetica"/>
                <w:b/>
                <w:sz w:val="16"/>
              </w:rPr>
            </w:pPr>
          </w:p>
        </w:tc>
        <w:tc>
          <w:tcPr>
            <w:tcW w:w="312" w:type="pct"/>
            <w:tcMar>
              <w:top w:w="120" w:type="dxa"/>
              <w:bottom w:w="120" w:type="dxa"/>
            </w:tcMar>
          </w:tcPr>
          <w:p w14:paraId="0173D3B6"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538D9EDE"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7B149BDD"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60AC6432"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508CB631"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2" w:type="pct"/>
            <w:tcMar>
              <w:top w:w="120" w:type="dxa"/>
              <w:bottom w:w="120" w:type="dxa"/>
            </w:tcMar>
          </w:tcPr>
          <w:p w14:paraId="41366272"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4" w:type="pct"/>
            <w:tcMar>
              <w:top w:w="120" w:type="dxa"/>
              <w:bottom w:w="120" w:type="dxa"/>
            </w:tcMar>
          </w:tcPr>
          <w:p w14:paraId="5E6B97CA"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60AAFB32"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1A738CB3"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5DE97934"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c>
          <w:tcPr>
            <w:tcW w:w="313" w:type="pct"/>
            <w:tcMar>
              <w:top w:w="120" w:type="dxa"/>
              <w:bottom w:w="120" w:type="dxa"/>
            </w:tcMar>
          </w:tcPr>
          <w:p w14:paraId="60DBB959" w14:textId="77777777" w:rsidR="002A153D" w:rsidRPr="006C68E6" w:rsidRDefault="002A153D" w:rsidP="00F92E7B">
            <w:pPr>
              <w:pStyle w:val="AnnexTableCellLeft"/>
              <w:jc w:val="center"/>
              <w:rPr>
                <w:rFonts w:ascii="Helvetica" w:hAnsi="Helvetica"/>
                <w:b/>
                <w:sz w:val="16"/>
              </w:rPr>
            </w:pPr>
          </w:p>
        </w:tc>
        <w:tc>
          <w:tcPr>
            <w:tcW w:w="314" w:type="pct"/>
            <w:tcBorders>
              <w:right w:val="single" w:sz="4" w:space="0" w:color="auto"/>
            </w:tcBorders>
            <w:tcMar>
              <w:top w:w="120" w:type="dxa"/>
              <w:bottom w:w="120" w:type="dxa"/>
              <w:right w:w="0" w:type="dxa"/>
            </w:tcMar>
          </w:tcPr>
          <w:p w14:paraId="68627607" w14:textId="77777777" w:rsidR="002A153D" w:rsidRPr="006C68E6" w:rsidRDefault="00F92E7B" w:rsidP="00F92E7B">
            <w:pPr>
              <w:pStyle w:val="AnnexTableCellLeft"/>
              <w:jc w:val="center"/>
              <w:rPr>
                <w:rFonts w:ascii="Helvetica" w:hAnsi="Helvetica"/>
                <w:b/>
                <w:sz w:val="16"/>
              </w:rPr>
            </w:pPr>
            <w:r>
              <w:rPr>
                <w:rFonts w:ascii="Helvetica" w:hAnsi="Helvetica"/>
                <w:b/>
                <w:sz w:val="16"/>
              </w:rPr>
              <w:t>%</w:t>
            </w:r>
          </w:p>
        </w:tc>
      </w:tr>
    </w:tbl>
    <w:p w14:paraId="337E89D2" w14:textId="77777777" w:rsidR="00D94629" w:rsidRDefault="00F92E7B" w:rsidP="00F92E7B">
      <w:pPr>
        <w:pStyle w:val="AnnexNormal"/>
        <w:spacing w:before="200"/>
        <w:jc w:val="left"/>
      </w:pPr>
      <w:r>
        <w:t>Forklarende merknader til mal 1:</w:t>
      </w:r>
    </w:p>
    <w:p w14:paraId="187A1316" w14:textId="77777777" w:rsidR="00F92E7B" w:rsidRDefault="00F92E7B" w:rsidP="00F92E7B">
      <w:pPr>
        <w:pStyle w:val="AnnexNormal"/>
        <w:spacing w:before="200" w:after="0"/>
        <w:jc w:val="left"/>
      </w:pPr>
      <w:r>
        <w:t>1. (N) Angir det regnskapsåret som de rapporterte dataene gjelder. Kolonne 2–14 skal gjelde for finansår N. (N-1) Angir det foregående regnskapsåret. Dersom ingen data ble rapportert for regnskapsår N-1, skal kolonne 15 og 16 ikke fylles ut.</w:t>
      </w:r>
      <w:r>
        <w:br w:type="page"/>
      </w:r>
    </w:p>
    <w:p w14:paraId="1E3AE5A5" w14:textId="77777777" w:rsidR="00F92E7B" w:rsidRPr="00F92E7B" w:rsidRDefault="00F92E7B" w:rsidP="00F92E7B">
      <w:pPr>
        <w:pStyle w:val="AnnexNormal"/>
      </w:pPr>
      <w:r>
        <w:lastRenderedPageBreak/>
        <w:t>2. Kolonne 2 skal inneholde nevneren i den respektive KPI-en.</w:t>
      </w:r>
    </w:p>
    <w:p w14:paraId="5488BCB0" w14:textId="77777777" w:rsidR="00F92E7B" w:rsidRPr="00F92E7B" w:rsidRDefault="00F92E7B" w:rsidP="00F92E7B">
      <w:pPr>
        <w:pStyle w:val="AnnexNormal"/>
      </w:pPr>
      <w:r>
        <w:t>3. Kolonne 3 skal inneholde den andelen av nevneren i den respektive KPI-en som er forbundet med de samlede økonomiske aktivitetene som er omfattet av taksonomien, uavhengig av om disse aktivitetene er eller ikke er taksonomiforenlige.</w:t>
      </w:r>
    </w:p>
    <w:p w14:paraId="1CBB8C4C" w14:textId="77777777" w:rsidR="00F92E7B" w:rsidRPr="00F92E7B" w:rsidRDefault="00F92E7B" w:rsidP="00F92E7B">
      <w:pPr>
        <w:pStyle w:val="AnnexNormal"/>
      </w:pPr>
      <w:r>
        <w:t>4. Kolonne 5 skal inneholde den andelen av nevneren i den respektive KPI-en som er forbundet med samlede taksonomiforenlige økonomiske aktiviteter.</w:t>
      </w:r>
    </w:p>
    <w:p w14:paraId="620209B6" w14:textId="77777777" w:rsidR="00F92E7B" w:rsidRPr="00F92E7B" w:rsidRDefault="00F92E7B" w:rsidP="00F92E7B">
      <w:pPr>
        <w:pStyle w:val="AnnexNormal"/>
      </w:pPr>
      <w:r>
        <w:t>5. Kolonne 6–11 skal inneholde den andelen av nevneren i den respektive KPI-en som er forbundet med taksonomiforenlige økonomiske aktiviteter som bidrar vesentlig til det respektive miljømålet. For den respektive KPI-en skal summen av andelene i kolonne 6–11 være lik tallet i kolonne 5.</w:t>
      </w:r>
    </w:p>
    <w:p w14:paraId="033B7D9D" w14:textId="77777777" w:rsidR="00F92E7B" w:rsidRPr="00F92E7B" w:rsidRDefault="00F92E7B" w:rsidP="00F92E7B">
      <w:pPr>
        <w:pStyle w:val="AnnexNormal"/>
      </w:pPr>
      <w:r>
        <w:t>6. Kolonne 12 skal inneholde den andelen av nevneren i den respektive KPI-en som er forbundet med taksonomiforenlige økonomiske aktiviteter som er muliggjørende økonomiske aktiviteter.</w:t>
      </w:r>
    </w:p>
    <w:p w14:paraId="1C4E9221" w14:textId="77777777" w:rsidR="00F92E7B" w:rsidRPr="00F92E7B" w:rsidRDefault="00F92E7B" w:rsidP="00F92E7B">
      <w:pPr>
        <w:pStyle w:val="AnnexNormal"/>
      </w:pPr>
      <w:r>
        <w:t>7. Kolonne 13 skal inneholde den andelen av nevneren i den respektive KPI-en som er forbundet med taksonomiforenlige økonomiske aktiviteter som er økonomiske omstillingsaktiviteter.</w:t>
      </w:r>
    </w:p>
    <w:p w14:paraId="0D48C845" w14:textId="34BB856E" w:rsidR="00F92E7B" w:rsidRPr="00F92E7B" w:rsidRDefault="00F92E7B" w:rsidP="00F92E7B">
      <w:pPr>
        <w:pStyle w:val="AnnexNormal"/>
      </w:pPr>
      <w:r>
        <w:t>8. Kolonne 14 skal inneholde den andelen av nevneren i den respektive KPI-en som er forbundet med økonomiske aktiviteter som anses som ikke-vesentlige med hensyn til den respektive KPI-en, og som ikke vurderes med tanke på om de er omfattet av og forenlige med taksonomien i samsvar med artikkel 2 henholdsvis nr. 1a, 1b og 1c. For en økonomisk aktivitet som anses som vesentlig med hensyn til en KPI (omsetning, investeringsutgifter eller driftsutgifter), skal foretak vurdere om denne KPI-en er omfattet av og forenlig med taksonomien når det gjelder denne aktiviteten i sin helhet, og ikke anse en del av denne KPI-en som gjelder denne aktiviteten, som ikke-vesentlig. Kolonne 14 skal ikke inneholde noen del av omsetning, investeringsutgifter eller driftsutgifter som er forbundet med vesentlige økonomiske aktiviteter.</w:t>
      </w:r>
    </w:p>
    <w:p w14:paraId="3C37C619" w14:textId="7C954CB9" w:rsidR="00F92E7B" w:rsidRPr="00F92E7B" w:rsidRDefault="00F92E7B" w:rsidP="00F92E7B">
      <w:pPr>
        <w:pStyle w:val="AnnexNormal"/>
      </w:pPr>
      <w:r>
        <w:t>9. Kolonne 16 skal inneholde den andelen av nevneren i den respektive KPI-en for regnskapsåret N-1 som er forbundet med samlede taksonomiforenlige økonomiske aktiviteter for regnskapsåret</w:t>
      </w:r>
      <w:r w:rsidR="00E10EBC">
        <w:t> </w:t>
      </w:r>
      <w:r>
        <w:t>N</w:t>
      </w:r>
      <w:r w:rsidR="00E10EBC">
        <w:noBreakHyphen/>
      </w:r>
      <w:r>
        <w:t>1.</w:t>
      </w:r>
    </w:p>
    <w:p w14:paraId="42B78E6A" w14:textId="77777777" w:rsidR="00F92E7B" w:rsidRDefault="00F92E7B" w:rsidP="00745AC8">
      <w:pPr>
        <w:pStyle w:val="AnnexNormal"/>
        <w:spacing w:after="0"/>
      </w:pPr>
      <w:r>
        <w:t>10. Kolonne 5–11, for å unngå dobbelttelling: Dersom tallet i kolonne 5 inneholder taksonomiforenlige økonomiske aktiviteter som bidrar vesentlig til mer enn ett miljømål samtidig, bør disse økonomiske aktivitetenes vesentlige bidrag til flere miljømål angis under de respektive miljømålene i kolonne 6–11 i mal 2, i de respektive aktivitetsradene, men ikke dobbelttelles i kolonne 5–11 i mal 1.</w:t>
      </w:r>
      <w:r>
        <w:br w:type="page"/>
      </w:r>
    </w:p>
    <w:p w14:paraId="16DF507A" w14:textId="77777777" w:rsidR="00F92E7B" w:rsidRDefault="00F92E7B" w:rsidP="00F92E7B">
      <w:pPr>
        <w:pStyle w:val="TableTitle"/>
        <w:rPr>
          <w:i/>
        </w:rPr>
      </w:pPr>
      <w:r>
        <w:rPr>
          <w:i/>
        </w:rPr>
        <w:lastRenderedPageBreak/>
        <w:t>Mal 2: Andel av omsetningen, investeringsutgiftene, driftsutgiftene fra produkter eller tjenester som er forbundet med økonomiske aktiviteter som er omfattet av taksonomien, eller taksonomiforenlige økonomiske aktiviteter – opplysninger for år N (spesifisert etter aktivitet)</w:t>
      </w:r>
    </w:p>
    <w:tbl>
      <w:tblPr>
        <w:tblStyle w:val="EFTATable"/>
        <w:tblW w:w="5000" w:type="pct"/>
        <w:tblLayout w:type="fixed"/>
        <w:tblLook w:val="04A0" w:firstRow="1" w:lastRow="0" w:firstColumn="1" w:lastColumn="0" w:noHBand="0" w:noVBand="1"/>
      </w:tblPr>
      <w:tblGrid>
        <w:gridCol w:w="1406"/>
        <w:gridCol w:w="1298"/>
        <w:gridCol w:w="2264"/>
        <w:gridCol w:w="2416"/>
        <w:gridCol w:w="2571"/>
        <w:gridCol w:w="241"/>
        <w:gridCol w:w="241"/>
        <w:gridCol w:w="241"/>
        <w:gridCol w:w="241"/>
        <w:gridCol w:w="241"/>
        <w:gridCol w:w="241"/>
        <w:gridCol w:w="827"/>
        <w:gridCol w:w="1089"/>
        <w:gridCol w:w="1046"/>
      </w:tblGrid>
      <w:tr w:rsidR="00B40B9F" w:rsidRPr="006C68E6" w14:paraId="50B35022" w14:textId="77777777" w:rsidTr="00B40B9F">
        <w:trPr>
          <w:cantSplit/>
          <w:trHeight w:val="20"/>
        </w:trPr>
        <w:tc>
          <w:tcPr>
            <w:tcW w:w="941" w:type="pct"/>
            <w:gridSpan w:val="2"/>
            <w:tcBorders>
              <w:left w:val="single" w:sz="4" w:space="0" w:color="auto"/>
            </w:tcBorders>
            <w:tcMar>
              <w:top w:w="20" w:type="dxa"/>
              <w:left w:w="0" w:type="dxa"/>
              <w:bottom w:w="20" w:type="dxa"/>
            </w:tcMar>
            <w:vAlign w:val="center"/>
          </w:tcPr>
          <w:p w14:paraId="101F153E" w14:textId="7DCF5F09" w:rsidR="00745AC8" w:rsidRPr="006C68E6" w:rsidRDefault="00745AC8" w:rsidP="00745AC8">
            <w:pPr>
              <w:pStyle w:val="AnnexTableHeader"/>
              <w:spacing w:line="200" w:lineRule="exact"/>
              <w:ind w:left="100"/>
              <w:jc w:val="left"/>
              <w:rPr>
                <w:rFonts w:ascii="Helvetica" w:hAnsi="Helvetica"/>
                <w:b/>
                <w:sz w:val="14"/>
                <w:szCs w:val="14"/>
              </w:rPr>
            </w:pPr>
            <w:r>
              <w:rPr>
                <w:rFonts w:ascii="Helvetica" w:hAnsi="Helvetica"/>
                <w:b/>
                <w:sz w:val="14"/>
              </w:rPr>
              <w:t>Rapportert KPI (omsetning/investeringsutgifter/drifts</w:t>
            </w:r>
            <w:r w:rsidR="00E10EBC">
              <w:rPr>
                <w:rFonts w:ascii="Helvetica" w:hAnsi="Helvetica"/>
                <w:b/>
                <w:sz w:val="14"/>
              </w:rPr>
              <w:softHyphen/>
            </w:r>
            <w:r>
              <w:rPr>
                <w:rFonts w:ascii="Helvetica" w:hAnsi="Helvetica"/>
                <w:b/>
                <w:sz w:val="14"/>
              </w:rPr>
              <w:t>utgifter)</w:t>
            </w:r>
          </w:p>
        </w:tc>
        <w:tc>
          <w:tcPr>
            <w:tcW w:w="788" w:type="pct"/>
            <w:tcMar>
              <w:top w:w="20" w:type="dxa"/>
              <w:bottom w:w="20" w:type="dxa"/>
            </w:tcMar>
            <w:vAlign w:val="center"/>
          </w:tcPr>
          <w:p w14:paraId="137E927D" w14:textId="77777777" w:rsidR="00745AC8" w:rsidRPr="006C68E6" w:rsidRDefault="00745AC8" w:rsidP="003B1B62">
            <w:pPr>
              <w:pStyle w:val="AnnexTableHeader"/>
              <w:spacing w:line="200" w:lineRule="exact"/>
              <w:rPr>
                <w:rFonts w:ascii="Helvetica" w:hAnsi="Helvetica"/>
                <w:b/>
                <w:sz w:val="14"/>
                <w:szCs w:val="14"/>
              </w:rPr>
            </w:pPr>
          </w:p>
        </w:tc>
        <w:tc>
          <w:tcPr>
            <w:tcW w:w="3271" w:type="pct"/>
            <w:gridSpan w:val="11"/>
            <w:vMerge w:val="restart"/>
            <w:tcBorders>
              <w:top w:val="nil"/>
            </w:tcBorders>
            <w:tcMar>
              <w:top w:w="20" w:type="dxa"/>
              <w:bottom w:w="20" w:type="dxa"/>
            </w:tcMar>
            <w:vAlign w:val="center"/>
          </w:tcPr>
          <w:p w14:paraId="79C68A44" w14:textId="77777777" w:rsidR="00745AC8" w:rsidRPr="006C68E6" w:rsidRDefault="00745AC8" w:rsidP="003B1B62">
            <w:pPr>
              <w:pStyle w:val="AnnexTableHeader"/>
              <w:spacing w:line="200" w:lineRule="exact"/>
              <w:rPr>
                <w:rFonts w:ascii="Helvetica" w:hAnsi="Helvetica"/>
                <w:b/>
                <w:sz w:val="14"/>
                <w:szCs w:val="14"/>
              </w:rPr>
            </w:pPr>
          </w:p>
        </w:tc>
      </w:tr>
      <w:tr w:rsidR="00B40B9F" w:rsidRPr="006C68E6" w14:paraId="4B6FD5DB" w14:textId="77777777" w:rsidTr="00B40B9F">
        <w:trPr>
          <w:cantSplit/>
          <w:trHeight w:val="739"/>
        </w:trPr>
        <w:tc>
          <w:tcPr>
            <w:tcW w:w="941" w:type="pct"/>
            <w:gridSpan w:val="2"/>
            <w:tcBorders>
              <w:left w:val="single" w:sz="4" w:space="0" w:color="auto"/>
            </w:tcBorders>
            <w:tcMar>
              <w:top w:w="20" w:type="dxa"/>
              <w:left w:w="0" w:type="dxa"/>
              <w:bottom w:w="20" w:type="dxa"/>
            </w:tcMar>
            <w:vAlign w:val="center"/>
          </w:tcPr>
          <w:p w14:paraId="0A1604E4" w14:textId="77777777" w:rsidR="00745AC8" w:rsidRPr="006C68E6" w:rsidRDefault="00745AC8" w:rsidP="00745AC8">
            <w:pPr>
              <w:pStyle w:val="AnnexTableHeader"/>
              <w:spacing w:line="200" w:lineRule="exact"/>
              <w:ind w:left="100"/>
              <w:jc w:val="left"/>
              <w:rPr>
                <w:rFonts w:ascii="Helvetica" w:hAnsi="Helvetica"/>
                <w:b/>
                <w:sz w:val="14"/>
                <w:szCs w:val="14"/>
              </w:rPr>
            </w:pPr>
            <w:r>
              <w:rPr>
                <w:rFonts w:ascii="Helvetica" w:hAnsi="Helvetica"/>
                <w:b/>
                <w:sz w:val="14"/>
              </w:rPr>
              <w:t>Regnskapsår (N)</w:t>
            </w:r>
          </w:p>
        </w:tc>
        <w:tc>
          <w:tcPr>
            <w:tcW w:w="788" w:type="pct"/>
            <w:tcMar>
              <w:top w:w="20" w:type="dxa"/>
              <w:bottom w:w="20" w:type="dxa"/>
            </w:tcMar>
            <w:vAlign w:val="center"/>
          </w:tcPr>
          <w:p w14:paraId="09C65ED2" w14:textId="77777777" w:rsidR="00745AC8" w:rsidRPr="006C68E6" w:rsidRDefault="00745AC8" w:rsidP="003B1B62">
            <w:pPr>
              <w:pStyle w:val="AnnexTableHeader"/>
              <w:spacing w:line="200" w:lineRule="exact"/>
              <w:rPr>
                <w:rFonts w:ascii="Helvetica" w:hAnsi="Helvetica"/>
                <w:b/>
                <w:sz w:val="14"/>
                <w:szCs w:val="14"/>
              </w:rPr>
            </w:pPr>
          </w:p>
        </w:tc>
        <w:tc>
          <w:tcPr>
            <w:tcW w:w="3271" w:type="pct"/>
            <w:gridSpan w:val="11"/>
            <w:vMerge/>
            <w:tcMar>
              <w:top w:w="20" w:type="dxa"/>
              <w:bottom w:w="20" w:type="dxa"/>
            </w:tcMar>
            <w:vAlign w:val="center"/>
          </w:tcPr>
          <w:p w14:paraId="1A30566A" w14:textId="77777777" w:rsidR="00745AC8" w:rsidRPr="006C68E6" w:rsidRDefault="00745AC8" w:rsidP="003B1B62">
            <w:pPr>
              <w:pStyle w:val="AnnexTableHeader"/>
              <w:spacing w:line="200" w:lineRule="exact"/>
              <w:rPr>
                <w:rFonts w:ascii="Helvetica" w:hAnsi="Helvetica"/>
                <w:b/>
                <w:sz w:val="14"/>
                <w:szCs w:val="14"/>
              </w:rPr>
            </w:pPr>
          </w:p>
        </w:tc>
      </w:tr>
      <w:tr w:rsidR="00B40B9F" w:rsidRPr="006C68E6" w14:paraId="47BE32B5" w14:textId="77777777" w:rsidTr="00B40B9F">
        <w:trPr>
          <w:cantSplit/>
          <w:trHeight w:val="848"/>
        </w:trPr>
        <w:tc>
          <w:tcPr>
            <w:tcW w:w="489" w:type="pct"/>
            <w:vMerge w:val="restart"/>
            <w:tcBorders>
              <w:left w:val="single" w:sz="4" w:space="0" w:color="auto"/>
            </w:tcBorders>
            <w:tcMar>
              <w:top w:w="120" w:type="dxa"/>
              <w:left w:w="0" w:type="dxa"/>
              <w:bottom w:w="120" w:type="dxa"/>
            </w:tcMar>
            <w:vAlign w:val="center"/>
          </w:tcPr>
          <w:p w14:paraId="1C6C18FD" w14:textId="77777777" w:rsidR="00F92E7B" w:rsidRPr="006C68E6" w:rsidRDefault="00745AC8" w:rsidP="00745AC8">
            <w:pPr>
              <w:pStyle w:val="AnnexTableHeader"/>
              <w:spacing w:line="200" w:lineRule="exact"/>
              <w:rPr>
                <w:rFonts w:ascii="Helvetica" w:hAnsi="Helvetica"/>
                <w:b/>
                <w:sz w:val="14"/>
                <w:szCs w:val="14"/>
              </w:rPr>
            </w:pPr>
            <w:r>
              <w:rPr>
                <w:rFonts w:ascii="Helvetica" w:hAnsi="Helvetica"/>
                <w:b/>
                <w:sz w:val="14"/>
              </w:rPr>
              <w:t>Økonomiske aktiviteter (1)</w:t>
            </w:r>
          </w:p>
        </w:tc>
        <w:tc>
          <w:tcPr>
            <w:tcW w:w="451" w:type="pct"/>
            <w:vMerge w:val="restart"/>
            <w:tcMar>
              <w:top w:w="120" w:type="dxa"/>
              <w:bottom w:w="120" w:type="dxa"/>
            </w:tcMar>
            <w:vAlign w:val="center"/>
          </w:tcPr>
          <w:p w14:paraId="7A0760FF" w14:textId="77777777" w:rsidR="00F92E7B" w:rsidRPr="006C68E6" w:rsidRDefault="00745AC8" w:rsidP="003B1B62">
            <w:pPr>
              <w:pStyle w:val="AnnexTableHeader"/>
              <w:spacing w:line="200" w:lineRule="exact"/>
              <w:rPr>
                <w:rFonts w:ascii="Helvetica" w:hAnsi="Helvetica"/>
                <w:b/>
                <w:sz w:val="14"/>
                <w:szCs w:val="14"/>
              </w:rPr>
            </w:pPr>
            <w:r>
              <w:rPr>
                <w:rFonts w:ascii="Helvetica" w:hAnsi="Helvetica"/>
                <w:b/>
                <w:sz w:val="14"/>
              </w:rPr>
              <w:t>Kode (2)</w:t>
            </w:r>
          </w:p>
        </w:tc>
        <w:tc>
          <w:tcPr>
            <w:tcW w:w="788" w:type="pct"/>
            <w:vMerge w:val="restart"/>
            <w:tcMar>
              <w:top w:w="120" w:type="dxa"/>
              <w:bottom w:w="120" w:type="dxa"/>
            </w:tcMar>
            <w:vAlign w:val="center"/>
          </w:tcPr>
          <w:p w14:paraId="6BFC2C47" w14:textId="77777777" w:rsidR="00B40B9F" w:rsidRDefault="00745AC8" w:rsidP="00745AC8">
            <w:pPr>
              <w:pStyle w:val="AnnexTableHeader"/>
              <w:spacing w:line="200" w:lineRule="exact"/>
              <w:rPr>
                <w:rFonts w:ascii="Helvetica" w:hAnsi="Helvetica"/>
                <w:b/>
                <w:sz w:val="14"/>
              </w:rPr>
            </w:pPr>
            <w:r>
              <w:rPr>
                <w:rFonts w:ascii="Helvetica" w:hAnsi="Helvetica"/>
                <w:b/>
                <w:sz w:val="14"/>
              </w:rPr>
              <w:t>KPI som er omfattet av taksonomien (andel av omsetning/investeringsutgifter/</w:t>
            </w:r>
          </w:p>
          <w:p w14:paraId="08211498" w14:textId="0B984783" w:rsidR="00F92E7B" w:rsidRPr="006C68E6" w:rsidRDefault="00745AC8" w:rsidP="00745AC8">
            <w:pPr>
              <w:pStyle w:val="AnnexTableHeader"/>
              <w:spacing w:line="200" w:lineRule="exact"/>
              <w:rPr>
                <w:rFonts w:ascii="Helvetica" w:hAnsi="Helvetica"/>
                <w:b/>
                <w:sz w:val="14"/>
                <w:szCs w:val="14"/>
              </w:rPr>
            </w:pPr>
            <w:r>
              <w:rPr>
                <w:rFonts w:ascii="Helvetica" w:hAnsi="Helvetica"/>
                <w:b/>
                <w:sz w:val="14"/>
              </w:rPr>
              <w:t>driftsutgifter som er omfattet av taksonomien) (3)</w:t>
            </w:r>
          </w:p>
        </w:tc>
        <w:tc>
          <w:tcPr>
            <w:tcW w:w="841" w:type="pct"/>
            <w:vMerge w:val="restart"/>
            <w:tcMar>
              <w:top w:w="120" w:type="dxa"/>
              <w:bottom w:w="120" w:type="dxa"/>
            </w:tcMar>
            <w:vAlign w:val="center"/>
          </w:tcPr>
          <w:p w14:paraId="3AFAB37A" w14:textId="77777777" w:rsidR="00B40B9F" w:rsidRDefault="00745AC8" w:rsidP="00745AC8">
            <w:pPr>
              <w:pStyle w:val="AnnexTableHeader"/>
              <w:spacing w:line="200" w:lineRule="exact"/>
              <w:rPr>
                <w:rFonts w:ascii="Helvetica" w:hAnsi="Helvetica"/>
                <w:b/>
                <w:sz w:val="14"/>
              </w:rPr>
            </w:pPr>
            <w:r>
              <w:rPr>
                <w:rFonts w:ascii="Helvetica" w:hAnsi="Helvetica"/>
                <w:b/>
                <w:sz w:val="14"/>
              </w:rPr>
              <w:t>Taksonomiforenlig KPI (pengeverdien av omsetning/investeringsutgifter/</w:t>
            </w:r>
          </w:p>
          <w:p w14:paraId="781FCBBB" w14:textId="443B88C5" w:rsidR="00F92E7B" w:rsidRPr="006C68E6" w:rsidRDefault="00745AC8" w:rsidP="00745AC8">
            <w:pPr>
              <w:pStyle w:val="AnnexTableHeader"/>
              <w:spacing w:line="200" w:lineRule="exact"/>
              <w:rPr>
                <w:rFonts w:ascii="Helvetica" w:hAnsi="Helvetica"/>
                <w:b/>
                <w:sz w:val="14"/>
                <w:szCs w:val="14"/>
              </w:rPr>
            </w:pPr>
            <w:r>
              <w:rPr>
                <w:rFonts w:ascii="Helvetica" w:hAnsi="Helvetica"/>
                <w:b/>
                <w:sz w:val="14"/>
              </w:rPr>
              <w:t>driftsutgifter) (4)</w:t>
            </w:r>
          </w:p>
        </w:tc>
        <w:tc>
          <w:tcPr>
            <w:tcW w:w="895" w:type="pct"/>
            <w:vMerge w:val="restart"/>
            <w:tcMar>
              <w:top w:w="120" w:type="dxa"/>
              <w:bottom w:w="120" w:type="dxa"/>
            </w:tcMar>
            <w:vAlign w:val="center"/>
          </w:tcPr>
          <w:p w14:paraId="5FD0C9E3" w14:textId="77777777" w:rsidR="00B40B9F" w:rsidRDefault="00745AC8" w:rsidP="00745AC8">
            <w:pPr>
              <w:pStyle w:val="AnnexTableHeader"/>
              <w:spacing w:line="200" w:lineRule="exact"/>
              <w:rPr>
                <w:rFonts w:ascii="Helvetica" w:hAnsi="Helvetica"/>
                <w:b/>
                <w:sz w:val="14"/>
              </w:rPr>
            </w:pPr>
            <w:r>
              <w:rPr>
                <w:rFonts w:ascii="Helvetica" w:hAnsi="Helvetica"/>
                <w:b/>
                <w:sz w:val="14"/>
              </w:rPr>
              <w:t>Taksonomiforenlig KPI (andel av omsetning/investeringsutgifter/</w:t>
            </w:r>
          </w:p>
          <w:p w14:paraId="76D7ADD5" w14:textId="1E989D21" w:rsidR="00F92E7B" w:rsidRPr="006C68E6" w:rsidRDefault="00745AC8" w:rsidP="00745AC8">
            <w:pPr>
              <w:pStyle w:val="AnnexTableHeader"/>
              <w:spacing w:line="200" w:lineRule="exact"/>
              <w:rPr>
                <w:rFonts w:ascii="Helvetica" w:hAnsi="Helvetica"/>
                <w:b/>
                <w:sz w:val="14"/>
                <w:szCs w:val="14"/>
              </w:rPr>
            </w:pPr>
            <w:r>
              <w:rPr>
                <w:rFonts w:ascii="Helvetica" w:hAnsi="Helvetica"/>
                <w:b/>
                <w:sz w:val="14"/>
              </w:rPr>
              <w:t>driftsutgifter som er taksonomiforenlig) (5)</w:t>
            </w:r>
          </w:p>
        </w:tc>
        <w:tc>
          <w:tcPr>
            <w:tcW w:w="503" w:type="pct"/>
            <w:gridSpan w:val="6"/>
            <w:tcMar>
              <w:top w:w="120" w:type="dxa"/>
              <w:bottom w:w="120" w:type="dxa"/>
            </w:tcMar>
            <w:vAlign w:val="center"/>
          </w:tcPr>
          <w:p w14:paraId="4B34A99B" w14:textId="77777777" w:rsidR="00F92E7B" w:rsidRPr="006C68E6" w:rsidRDefault="00745AC8" w:rsidP="003B1B62">
            <w:pPr>
              <w:pStyle w:val="AnnexTableHeader"/>
              <w:spacing w:line="200" w:lineRule="exact"/>
              <w:rPr>
                <w:rFonts w:ascii="Helvetica" w:hAnsi="Helvetica"/>
                <w:b/>
                <w:sz w:val="14"/>
                <w:szCs w:val="14"/>
              </w:rPr>
            </w:pPr>
            <w:r>
              <w:rPr>
                <w:rFonts w:ascii="Helvetica" w:hAnsi="Helvetica"/>
                <w:b/>
                <w:sz w:val="14"/>
              </w:rPr>
              <w:t>Miljømål for taksonomiforenlige aktiviteter</w:t>
            </w:r>
          </w:p>
        </w:tc>
        <w:tc>
          <w:tcPr>
            <w:tcW w:w="288" w:type="pct"/>
            <w:vMerge w:val="restart"/>
            <w:tcMar>
              <w:top w:w="120" w:type="dxa"/>
              <w:bottom w:w="120" w:type="dxa"/>
            </w:tcMar>
            <w:vAlign w:val="center"/>
          </w:tcPr>
          <w:p w14:paraId="3E5B886F" w14:textId="3EC414DB" w:rsidR="00F92E7B" w:rsidRPr="006C68E6" w:rsidRDefault="00745AC8" w:rsidP="00745AC8">
            <w:pPr>
              <w:pStyle w:val="AnnexTableHeader"/>
              <w:spacing w:line="200" w:lineRule="exact"/>
              <w:rPr>
                <w:rFonts w:ascii="Helvetica" w:hAnsi="Helvetica"/>
                <w:b/>
                <w:sz w:val="14"/>
                <w:szCs w:val="14"/>
              </w:rPr>
            </w:pPr>
            <w:r>
              <w:rPr>
                <w:rFonts w:ascii="Helvetica" w:hAnsi="Helvetica"/>
                <w:b/>
                <w:sz w:val="14"/>
              </w:rPr>
              <w:t>Mulig</w:t>
            </w:r>
            <w:r w:rsidR="00B40B9F">
              <w:rPr>
                <w:rFonts w:ascii="Helvetica" w:hAnsi="Helvetica"/>
                <w:b/>
                <w:sz w:val="14"/>
              </w:rPr>
              <w:softHyphen/>
            </w:r>
            <w:r>
              <w:rPr>
                <w:rFonts w:ascii="Helvetica" w:hAnsi="Helvetica"/>
                <w:b/>
                <w:sz w:val="14"/>
              </w:rPr>
              <w:t>gjørende aktivitet (12)</w:t>
            </w:r>
          </w:p>
        </w:tc>
        <w:tc>
          <w:tcPr>
            <w:tcW w:w="379" w:type="pct"/>
            <w:vMerge w:val="restart"/>
            <w:tcMar>
              <w:top w:w="120" w:type="dxa"/>
              <w:bottom w:w="120" w:type="dxa"/>
            </w:tcMar>
            <w:vAlign w:val="center"/>
          </w:tcPr>
          <w:p w14:paraId="588DDE18" w14:textId="0360DE9E" w:rsidR="00F92E7B" w:rsidRPr="006C68E6" w:rsidRDefault="00745AC8" w:rsidP="00745AC8">
            <w:pPr>
              <w:pStyle w:val="AnnexTableHeader"/>
              <w:spacing w:line="200" w:lineRule="exact"/>
              <w:rPr>
                <w:rFonts w:ascii="Helvetica" w:hAnsi="Helvetica"/>
                <w:b/>
                <w:sz w:val="14"/>
                <w:szCs w:val="14"/>
              </w:rPr>
            </w:pPr>
            <w:r>
              <w:rPr>
                <w:rFonts w:ascii="Helvetica" w:hAnsi="Helvetica"/>
                <w:b/>
                <w:sz w:val="14"/>
              </w:rPr>
              <w:t>Omstillings</w:t>
            </w:r>
            <w:r w:rsidR="00B40B9F">
              <w:rPr>
                <w:rFonts w:ascii="Helvetica" w:hAnsi="Helvetica"/>
                <w:b/>
                <w:sz w:val="14"/>
              </w:rPr>
              <w:softHyphen/>
            </w:r>
            <w:r>
              <w:rPr>
                <w:rFonts w:ascii="Helvetica" w:hAnsi="Helvetica"/>
                <w:b/>
                <w:sz w:val="14"/>
              </w:rPr>
              <w:t>aktivitet (13)</w:t>
            </w:r>
          </w:p>
        </w:tc>
        <w:tc>
          <w:tcPr>
            <w:tcW w:w="365" w:type="pct"/>
            <w:vMerge w:val="restart"/>
            <w:tcBorders>
              <w:right w:val="single" w:sz="4" w:space="0" w:color="000000"/>
            </w:tcBorders>
            <w:tcMar>
              <w:top w:w="120" w:type="dxa"/>
              <w:bottom w:w="120" w:type="dxa"/>
            </w:tcMar>
            <w:vAlign w:val="center"/>
          </w:tcPr>
          <w:p w14:paraId="558E1B67" w14:textId="36490AB2" w:rsidR="00F92E7B" w:rsidRPr="006C68E6" w:rsidRDefault="00745AC8" w:rsidP="00745AC8">
            <w:pPr>
              <w:pStyle w:val="AnnexTableHeader"/>
              <w:spacing w:line="200" w:lineRule="exact"/>
              <w:rPr>
                <w:rFonts w:ascii="Helvetica" w:hAnsi="Helvetica"/>
                <w:b/>
                <w:sz w:val="14"/>
                <w:szCs w:val="14"/>
              </w:rPr>
            </w:pPr>
            <w:r>
              <w:rPr>
                <w:rFonts w:ascii="Helvetica" w:hAnsi="Helvetica"/>
                <w:b/>
                <w:sz w:val="14"/>
              </w:rPr>
              <w:t>Taksonomi</w:t>
            </w:r>
            <w:r w:rsidR="00B40B9F">
              <w:rPr>
                <w:rFonts w:ascii="Helvetica" w:hAnsi="Helvetica"/>
                <w:b/>
                <w:sz w:val="14"/>
              </w:rPr>
              <w:softHyphen/>
            </w:r>
            <w:r>
              <w:rPr>
                <w:rFonts w:ascii="Helvetica" w:hAnsi="Helvetica"/>
                <w:b/>
                <w:sz w:val="14"/>
              </w:rPr>
              <w:t>forenlig andel i andel som er omfattet av taksonomien (14)</w:t>
            </w:r>
          </w:p>
        </w:tc>
      </w:tr>
      <w:tr w:rsidR="00B40B9F" w:rsidRPr="006C68E6" w14:paraId="77F586EC" w14:textId="77777777" w:rsidTr="00B40B9F">
        <w:trPr>
          <w:cantSplit/>
          <w:trHeight w:val="1689"/>
        </w:trPr>
        <w:tc>
          <w:tcPr>
            <w:tcW w:w="489" w:type="pct"/>
            <w:vMerge/>
            <w:tcBorders>
              <w:left w:val="single" w:sz="4" w:space="0" w:color="auto"/>
            </w:tcBorders>
            <w:tcMar>
              <w:top w:w="120" w:type="dxa"/>
              <w:left w:w="0" w:type="dxa"/>
              <w:bottom w:w="120" w:type="dxa"/>
            </w:tcMar>
            <w:vAlign w:val="center"/>
          </w:tcPr>
          <w:p w14:paraId="66AC1FFF" w14:textId="77777777" w:rsidR="00F92E7B" w:rsidRPr="006C68E6" w:rsidRDefault="00F92E7B" w:rsidP="003B1B62">
            <w:pPr>
              <w:pStyle w:val="AnnexTableHeader"/>
              <w:spacing w:line="200" w:lineRule="exact"/>
              <w:rPr>
                <w:rFonts w:ascii="Helvetica" w:hAnsi="Helvetica"/>
                <w:sz w:val="14"/>
                <w:szCs w:val="14"/>
              </w:rPr>
            </w:pPr>
          </w:p>
        </w:tc>
        <w:tc>
          <w:tcPr>
            <w:tcW w:w="451" w:type="pct"/>
            <w:vMerge/>
            <w:tcMar>
              <w:top w:w="120" w:type="dxa"/>
              <w:bottom w:w="120" w:type="dxa"/>
            </w:tcMar>
            <w:vAlign w:val="center"/>
          </w:tcPr>
          <w:p w14:paraId="74545618" w14:textId="77777777" w:rsidR="00F92E7B" w:rsidRPr="006C68E6" w:rsidRDefault="00F92E7B" w:rsidP="003B1B62">
            <w:pPr>
              <w:pStyle w:val="AnnexTableHeader"/>
              <w:spacing w:line="200" w:lineRule="exact"/>
              <w:rPr>
                <w:rFonts w:ascii="Helvetica" w:hAnsi="Helvetica"/>
                <w:sz w:val="14"/>
                <w:szCs w:val="14"/>
              </w:rPr>
            </w:pPr>
          </w:p>
        </w:tc>
        <w:tc>
          <w:tcPr>
            <w:tcW w:w="788" w:type="pct"/>
            <w:vMerge/>
            <w:tcMar>
              <w:top w:w="120" w:type="dxa"/>
              <w:bottom w:w="120" w:type="dxa"/>
            </w:tcMar>
            <w:vAlign w:val="center"/>
          </w:tcPr>
          <w:p w14:paraId="6277DC77" w14:textId="77777777" w:rsidR="00F92E7B" w:rsidRPr="006C68E6" w:rsidRDefault="00F92E7B" w:rsidP="003B1B62">
            <w:pPr>
              <w:pStyle w:val="AnnexTableHeader"/>
              <w:spacing w:line="200" w:lineRule="exact"/>
              <w:rPr>
                <w:rFonts w:ascii="Helvetica" w:hAnsi="Helvetica"/>
                <w:sz w:val="14"/>
                <w:szCs w:val="14"/>
              </w:rPr>
            </w:pPr>
          </w:p>
        </w:tc>
        <w:tc>
          <w:tcPr>
            <w:tcW w:w="841" w:type="pct"/>
            <w:vMerge/>
            <w:tcMar>
              <w:top w:w="120" w:type="dxa"/>
              <w:bottom w:w="120" w:type="dxa"/>
            </w:tcMar>
            <w:vAlign w:val="center"/>
          </w:tcPr>
          <w:p w14:paraId="2B51A3EA" w14:textId="77777777" w:rsidR="00F92E7B" w:rsidRPr="006C68E6" w:rsidRDefault="00F92E7B" w:rsidP="003B1B62">
            <w:pPr>
              <w:pStyle w:val="AnnexTableHeader"/>
              <w:spacing w:line="200" w:lineRule="exact"/>
              <w:rPr>
                <w:rFonts w:ascii="Helvetica" w:hAnsi="Helvetica"/>
                <w:sz w:val="14"/>
                <w:szCs w:val="14"/>
              </w:rPr>
            </w:pPr>
          </w:p>
        </w:tc>
        <w:tc>
          <w:tcPr>
            <w:tcW w:w="895" w:type="pct"/>
            <w:vMerge/>
            <w:tcMar>
              <w:top w:w="120" w:type="dxa"/>
              <w:bottom w:w="120" w:type="dxa"/>
            </w:tcMar>
            <w:vAlign w:val="center"/>
          </w:tcPr>
          <w:p w14:paraId="760A03F3" w14:textId="77777777" w:rsidR="00F92E7B" w:rsidRPr="006C68E6" w:rsidRDefault="00F92E7B" w:rsidP="003B1B62">
            <w:pPr>
              <w:pStyle w:val="AnnexTableHeader"/>
              <w:spacing w:line="200" w:lineRule="exact"/>
              <w:rPr>
                <w:rFonts w:ascii="Helvetica" w:hAnsi="Helvetica"/>
                <w:sz w:val="14"/>
                <w:szCs w:val="14"/>
              </w:rPr>
            </w:pPr>
          </w:p>
        </w:tc>
        <w:tc>
          <w:tcPr>
            <w:tcW w:w="84" w:type="pct"/>
            <w:tcMar>
              <w:top w:w="120" w:type="dxa"/>
              <w:bottom w:w="120" w:type="dxa"/>
            </w:tcMar>
            <w:textDirection w:val="tbRl"/>
            <w:vAlign w:val="center"/>
          </w:tcPr>
          <w:p w14:paraId="7946671A" w14:textId="77777777" w:rsidR="00F92E7B" w:rsidRPr="006C68E6" w:rsidRDefault="00F92E7B" w:rsidP="003B1B62">
            <w:pPr>
              <w:pStyle w:val="AnnexTableHeader"/>
              <w:spacing w:line="200" w:lineRule="exact"/>
              <w:rPr>
                <w:rFonts w:ascii="Helvetica" w:hAnsi="Helvetica"/>
                <w:b/>
                <w:sz w:val="14"/>
                <w:szCs w:val="14"/>
              </w:rPr>
            </w:pPr>
            <w:r>
              <w:rPr>
                <w:rFonts w:ascii="Helvetica" w:hAnsi="Helvetica"/>
                <w:b/>
                <w:sz w:val="14"/>
              </w:rPr>
              <w:t>Begrensning av klimaendringer (6)</w:t>
            </w:r>
          </w:p>
        </w:tc>
        <w:tc>
          <w:tcPr>
            <w:tcW w:w="84" w:type="pct"/>
            <w:tcMar>
              <w:top w:w="120" w:type="dxa"/>
              <w:bottom w:w="120" w:type="dxa"/>
            </w:tcMar>
            <w:textDirection w:val="tbRl"/>
            <w:vAlign w:val="center"/>
          </w:tcPr>
          <w:p w14:paraId="1CEE4AF5" w14:textId="77777777" w:rsidR="00F92E7B" w:rsidRPr="006C68E6" w:rsidRDefault="00F92E7B" w:rsidP="003B1B62">
            <w:pPr>
              <w:pStyle w:val="AnnexTableHeader"/>
              <w:spacing w:line="200" w:lineRule="exact"/>
              <w:rPr>
                <w:rFonts w:ascii="Helvetica" w:hAnsi="Helvetica"/>
                <w:b/>
                <w:sz w:val="14"/>
                <w:szCs w:val="14"/>
              </w:rPr>
            </w:pPr>
            <w:r>
              <w:rPr>
                <w:rFonts w:ascii="Helvetica" w:hAnsi="Helvetica"/>
                <w:b/>
                <w:sz w:val="14"/>
              </w:rPr>
              <w:t>Tilpasning til klimaendringer (7)</w:t>
            </w:r>
          </w:p>
        </w:tc>
        <w:tc>
          <w:tcPr>
            <w:tcW w:w="84" w:type="pct"/>
            <w:tcMar>
              <w:top w:w="120" w:type="dxa"/>
              <w:bottom w:w="120" w:type="dxa"/>
            </w:tcMar>
            <w:textDirection w:val="tbRl"/>
            <w:vAlign w:val="center"/>
          </w:tcPr>
          <w:p w14:paraId="7CBE4BE0" w14:textId="77777777" w:rsidR="00F92E7B" w:rsidRPr="006C68E6" w:rsidRDefault="00F92E7B" w:rsidP="003B1B62">
            <w:pPr>
              <w:pStyle w:val="AnnexTableHeader"/>
              <w:spacing w:line="200" w:lineRule="exact"/>
              <w:rPr>
                <w:rFonts w:ascii="Helvetica" w:hAnsi="Helvetica"/>
                <w:b/>
                <w:sz w:val="14"/>
                <w:szCs w:val="14"/>
              </w:rPr>
            </w:pPr>
            <w:r>
              <w:rPr>
                <w:rFonts w:ascii="Helvetica" w:hAnsi="Helvetica"/>
                <w:b/>
                <w:sz w:val="14"/>
              </w:rPr>
              <w:t>Vann (8)</w:t>
            </w:r>
          </w:p>
        </w:tc>
        <w:tc>
          <w:tcPr>
            <w:tcW w:w="84" w:type="pct"/>
            <w:tcMar>
              <w:top w:w="120" w:type="dxa"/>
              <w:bottom w:w="120" w:type="dxa"/>
            </w:tcMar>
            <w:textDirection w:val="tbRl"/>
            <w:vAlign w:val="center"/>
          </w:tcPr>
          <w:p w14:paraId="2B71DD64" w14:textId="77777777" w:rsidR="00F92E7B" w:rsidRPr="006C68E6" w:rsidRDefault="00F92E7B" w:rsidP="003B1B62">
            <w:pPr>
              <w:pStyle w:val="AnnexTableHeader"/>
              <w:spacing w:line="200" w:lineRule="exact"/>
              <w:rPr>
                <w:rFonts w:ascii="Helvetica" w:hAnsi="Helvetica"/>
                <w:b/>
                <w:sz w:val="14"/>
                <w:szCs w:val="14"/>
              </w:rPr>
            </w:pPr>
            <w:r>
              <w:rPr>
                <w:rFonts w:ascii="Helvetica" w:hAnsi="Helvetica"/>
                <w:b/>
                <w:sz w:val="14"/>
              </w:rPr>
              <w:t>Sirkulær økonomi (9)</w:t>
            </w:r>
          </w:p>
        </w:tc>
        <w:tc>
          <w:tcPr>
            <w:tcW w:w="84" w:type="pct"/>
            <w:tcMar>
              <w:top w:w="120" w:type="dxa"/>
              <w:bottom w:w="120" w:type="dxa"/>
            </w:tcMar>
            <w:textDirection w:val="tbRl"/>
            <w:vAlign w:val="center"/>
          </w:tcPr>
          <w:p w14:paraId="4A471979" w14:textId="77777777" w:rsidR="00F92E7B" w:rsidRPr="006C68E6" w:rsidRDefault="00F92E7B" w:rsidP="003B1B62">
            <w:pPr>
              <w:pStyle w:val="AnnexTableHeader"/>
              <w:spacing w:line="200" w:lineRule="exact"/>
              <w:rPr>
                <w:rFonts w:ascii="Helvetica" w:hAnsi="Helvetica"/>
                <w:b/>
                <w:sz w:val="14"/>
                <w:szCs w:val="14"/>
              </w:rPr>
            </w:pPr>
            <w:r>
              <w:rPr>
                <w:rFonts w:ascii="Helvetica" w:hAnsi="Helvetica"/>
                <w:b/>
                <w:sz w:val="14"/>
              </w:rPr>
              <w:t>Forurensning (10)</w:t>
            </w:r>
          </w:p>
        </w:tc>
        <w:tc>
          <w:tcPr>
            <w:tcW w:w="84" w:type="pct"/>
            <w:tcMar>
              <w:top w:w="120" w:type="dxa"/>
              <w:bottom w:w="120" w:type="dxa"/>
            </w:tcMar>
            <w:textDirection w:val="tbRl"/>
            <w:vAlign w:val="center"/>
          </w:tcPr>
          <w:p w14:paraId="24A91020" w14:textId="77777777" w:rsidR="00F92E7B" w:rsidRPr="006C68E6" w:rsidRDefault="00F92E7B" w:rsidP="003B1B62">
            <w:pPr>
              <w:pStyle w:val="AnnexTableHeader"/>
              <w:spacing w:line="200" w:lineRule="exact"/>
              <w:rPr>
                <w:rFonts w:ascii="Helvetica" w:hAnsi="Helvetica"/>
                <w:b/>
                <w:sz w:val="14"/>
                <w:szCs w:val="14"/>
              </w:rPr>
            </w:pPr>
            <w:r>
              <w:rPr>
                <w:rFonts w:ascii="Helvetica" w:hAnsi="Helvetica"/>
                <w:b/>
                <w:sz w:val="14"/>
              </w:rPr>
              <w:t>Biologisk mangfold (11)</w:t>
            </w:r>
          </w:p>
        </w:tc>
        <w:tc>
          <w:tcPr>
            <w:tcW w:w="288" w:type="pct"/>
            <w:vMerge/>
            <w:tcMar>
              <w:top w:w="120" w:type="dxa"/>
              <w:bottom w:w="120" w:type="dxa"/>
            </w:tcMar>
            <w:vAlign w:val="center"/>
          </w:tcPr>
          <w:p w14:paraId="04DC54F3" w14:textId="77777777" w:rsidR="00F92E7B" w:rsidRPr="006C68E6" w:rsidRDefault="00F92E7B" w:rsidP="003B1B62">
            <w:pPr>
              <w:pStyle w:val="AnnexTableHeader"/>
              <w:spacing w:line="200" w:lineRule="exact"/>
              <w:rPr>
                <w:rFonts w:ascii="Helvetica" w:hAnsi="Helvetica"/>
                <w:sz w:val="14"/>
                <w:szCs w:val="14"/>
              </w:rPr>
            </w:pPr>
          </w:p>
        </w:tc>
        <w:tc>
          <w:tcPr>
            <w:tcW w:w="379" w:type="pct"/>
            <w:vMerge/>
            <w:tcMar>
              <w:top w:w="120" w:type="dxa"/>
              <w:bottom w:w="120" w:type="dxa"/>
            </w:tcMar>
            <w:vAlign w:val="center"/>
          </w:tcPr>
          <w:p w14:paraId="13B3A008" w14:textId="77777777" w:rsidR="00F92E7B" w:rsidRPr="006C68E6" w:rsidRDefault="00F92E7B" w:rsidP="003B1B62">
            <w:pPr>
              <w:pStyle w:val="AnnexTableHeader"/>
              <w:spacing w:line="200" w:lineRule="exact"/>
              <w:rPr>
                <w:rFonts w:ascii="Helvetica" w:hAnsi="Helvetica"/>
                <w:sz w:val="14"/>
                <w:szCs w:val="14"/>
              </w:rPr>
            </w:pPr>
          </w:p>
        </w:tc>
        <w:tc>
          <w:tcPr>
            <w:tcW w:w="365" w:type="pct"/>
            <w:vMerge/>
            <w:tcBorders>
              <w:right w:val="single" w:sz="4" w:space="0" w:color="000000"/>
            </w:tcBorders>
            <w:tcMar>
              <w:top w:w="120" w:type="dxa"/>
              <w:bottom w:w="120" w:type="dxa"/>
            </w:tcMar>
            <w:vAlign w:val="center"/>
          </w:tcPr>
          <w:p w14:paraId="6D0F1DC2" w14:textId="77777777" w:rsidR="00F92E7B" w:rsidRPr="006C68E6" w:rsidRDefault="00F92E7B" w:rsidP="003B1B62">
            <w:pPr>
              <w:pStyle w:val="AnnexTableHeader"/>
              <w:spacing w:line="200" w:lineRule="exact"/>
              <w:rPr>
                <w:rFonts w:ascii="Helvetica" w:hAnsi="Helvetica"/>
                <w:sz w:val="14"/>
                <w:szCs w:val="14"/>
              </w:rPr>
            </w:pPr>
          </w:p>
        </w:tc>
      </w:tr>
      <w:tr w:rsidR="00B40B9F" w:rsidRPr="006C68E6" w14:paraId="641D076B" w14:textId="77777777" w:rsidTr="00B40B9F">
        <w:tc>
          <w:tcPr>
            <w:tcW w:w="489" w:type="pct"/>
            <w:tcBorders>
              <w:left w:val="single" w:sz="4" w:space="0" w:color="auto"/>
            </w:tcBorders>
            <w:tcMar>
              <w:top w:w="120" w:type="dxa"/>
              <w:left w:w="0" w:type="dxa"/>
              <w:bottom w:w="120" w:type="dxa"/>
            </w:tcMar>
            <w:vAlign w:val="center"/>
          </w:tcPr>
          <w:p w14:paraId="2145F7DC"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Tekst</w:t>
            </w:r>
          </w:p>
        </w:tc>
        <w:tc>
          <w:tcPr>
            <w:tcW w:w="451" w:type="pct"/>
            <w:tcMar>
              <w:top w:w="120" w:type="dxa"/>
              <w:bottom w:w="120" w:type="dxa"/>
            </w:tcMar>
            <w:vAlign w:val="center"/>
          </w:tcPr>
          <w:p w14:paraId="14426A99" w14:textId="77777777" w:rsidR="00F92E7B" w:rsidRPr="006C68E6" w:rsidRDefault="00F92E7B" w:rsidP="00745AC8">
            <w:pPr>
              <w:pStyle w:val="AnnexTableCellLeft"/>
              <w:jc w:val="center"/>
              <w:rPr>
                <w:rFonts w:ascii="Helvetica" w:hAnsi="Helvetica"/>
                <w:i/>
                <w:color w:val="808080" w:themeColor="background1" w:themeShade="80"/>
                <w:sz w:val="16"/>
                <w:szCs w:val="16"/>
              </w:rPr>
            </w:pPr>
          </w:p>
        </w:tc>
        <w:tc>
          <w:tcPr>
            <w:tcW w:w="788" w:type="pct"/>
            <w:tcMar>
              <w:top w:w="120" w:type="dxa"/>
              <w:bottom w:w="120" w:type="dxa"/>
            </w:tcMar>
            <w:vAlign w:val="center"/>
          </w:tcPr>
          <w:p w14:paraId="5300217C"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841" w:type="pct"/>
            <w:tcMar>
              <w:top w:w="120" w:type="dxa"/>
              <w:bottom w:w="120" w:type="dxa"/>
            </w:tcMar>
            <w:vAlign w:val="center"/>
          </w:tcPr>
          <w:p w14:paraId="47116AD6"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Valuta</w:t>
            </w:r>
          </w:p>
        </w:tc>
        <w:tc>
          <w:tcPr>
            <w:tcW w:w="895" w:type="pct"/>
            <w:tcMar>
              <w:top w:w="120" w:type="dxa"/>
              <w:bottom w:w="120" w:type="dxa"/>
            </w:tcMar>
            <w:vAlign w:val="center"/>
          </w:tcPr>
          <w:p w14:paraId="023C76F4"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84" w:type="pct"/>
            <w:tcMar>
              <w:top w:w="120" w:type="dxa"/>
              <w:bottom w:w="120" w:type="dxa"/>
            </w:tcMar>
            <w:vAlign w:val="center"/>
          </w:tcPr>
          <w:p w14:paraId="64AC0EA2"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84" w:type="pct"/>
            <w:tcMar>
              <w:top w:w="120" w:type="dxa"/>
              <w:bottom w:w="120" w:type="dxa"/>
            </w:tcMar>
            <w:vAlign w:val="center"/>
          </w:tcPr>
          <w:p w14:paraId="37BA4C33"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84" w:type="pct"/>
            <w:tcMar>
              <w:top w:w="120" w:type="dxa"/>
              <w:bottom w:w="120" w:type="dxa"/>
            </w:tcMar>
            <w:vAlign w:val="center"/>
          </w:tcPr>
          <w:p w14:paraId="010A07DD"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84" w:type="pct"/>
            <w:tcMar>
              <w:top w:w="120" w:type="dxa"/>
              <w:bottom w:w="120" w:type="dxa"/>
            </w:tcMar>
            <w:vAlign w:val="center"/>
          </w:tcPr>
          <w:p w14:paraId="78DC59C3"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84" w:type="pct"/>
            <w:tcMar>
              <w:top w:w="120" w:type="dxa"/>
              <w:bottom w:w="120" w:type="dxa"/>
            </w:tcMar>
            <w:vAlign w:val="center"/>
          </w:tcPr>
          <w:p w14:paraId="386C7BB0"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84" w:type="pct"/>
            <w:tcMar>
              <w:top w:w="120" w:type="dxa"/>
              <w:bottom w:w="120" w:type="dxa"/>
            </w:tcMar>
            <w:vAlign w:val="center"/>
          </w:tcPr>
          <w:p w14:paraId="34D1D8E5"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c>
          <w:tcPr>
            <w:tcW w:w="288" w:type="pct"/>
            <w:tcMar>
              <w:top w:w="120" w:type="dxa"/>
              <w:bottom w:w="120" w:type="dxa"/>
            </w:tcMar>
            <w:vAlign w:val="center"/>
          </w:tcPr>
          <w:p w14:paraId="717A8761" w14:textId="77777777" w:rsidR="00745AC8" w:rsidRPr="006C68E6" w:rsidRDefault="00745AC8"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(M</w:t>
            </w:r>
          </w:p>
          <w:p w14:paraId="5B8BEFCE" w14:textId="31DA6574" w:rsidR="00F92E7B" w:rsidRPr="006C68E6" w:rsidRDefault="00647D81" w:rsidP="00647D81">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dersom det er relevant)</w:t>
            </w:r>
          </w:p>
        </w:tc>
        <w:tc>
          <w:tcPr>
            <w:tcW w:w="379" w:type="pct"/>
            <w:tcMar>
              <w:top w:w="120" w:type="dxa"/>
              <w:bottom w:w="120" w:type="dxa"/>
            </w:tcMar>
            <w:vAlign w:val="center"/>
          </w:tcPr>
          <w:p w14:paraId="7AF4A322" w14:textId="2AE68E4B" w:rsidR="00F92E7B" w:rsidRPr="006C68E6" w:rsidRDefault="00745AC8" w:rsidP="00647D81">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(O dersom det er relevant)</w:t>
            </w:r>
          </w:p>
        </w:tc>
        <w:tc>
          <w:tcPr>
            <w:tcW w:w="365" w:type="pct"/>
            <w:tcBorders>
              <w:right w:val="single" w:sz="4" w:space="0" w:color="000000"/>
            </w:tcBorders>
            <w:tcMar>
              <w:top w:w="120" w:type="dxa"/>
              <w:bottom w:w="120" w:type="dxa"/>
            </w:tcMar>
            <w:vAlign w:val="center"/>
          </w:tcPr>
          <w:p w14:paraId="16235267" w14:textId="77777777" w:rsidR="00F92E7B" w:rsidRPr="006C68E6" w:rsidRDefault="00F92E7B" w:rsidP="00745AC8">
            <w:pPr>
              <w:pStyle w:val="AnnexTableCellLeft"/>
              <w:jc w:val="center"/>
              <w:rPr>
                <w:rFonts w:ascii="Helvetica" w:hAnsi="Helvetica"/>
                <w:i/>
                <w:color w:val="808080" w:themeColor="background1" w:themeShade="80"/>
                <w:sz w:val="16"/>
                <w:szCs w:val="16"/>
              </w:rPr>
            </w:pPr>
            <w:r>
              <w:rPr>
                <w:rFonts w:ascii="Helvetica" w:hAnsi="Helvetica"/>
                <w:i/>
                <w:color w:val="808080" w:themeColor="background1" w:themeShade="80"/>
                <w:sz w:val="16"/>
              </w:rPr>
              <w:t>%</w:t>
            </w:r>
          </w:p>
        </w:tc>
      </w:tr>
      <w:tr w:rsidR="00B40B9F" w:rsidRPr="006C68E6" w14:paraId="34C443D0" w14:textId="77777777" w:rsidTr="00B40B9F">
        <w:tc>
          <w:tcPr>
            <w:tcW w:w="489" w:type="pct"/>
            <w:tcBorders>
              <w:left w:val="single" w:sz="4" w:space="0" w:color="auto"/>
            </w:tcBorders>
            <w:tcMar>
              <w:top w:w="120" w:type="dxa"/>
              <w:left w:w="0" w:type="dxa"/>
              <w:bottom w:w="120" w:type="dxa"/>
            </w:tcMar>
          </w:tcPr>
          <w:p w14:paraId="48B27115" w14:textId="77777777" w:rsidR="00F92E7B" w:rsidRPr="006C68E6" w:rsidRDefault="00745AC8" w:rsidP="003B1B62">
            <w:pPr>
              <w:pStyle w:val="AnnexTableCellLeft"/>
              <w:ind w:left="100"/>
              <w:jc w:val="left"/>
              <w:rPr>
                <w:rFonts w:ascii="Helvetica" w:hAnsi="Helvetica"/>
                <w:sz w:val="16"/>
                <w:szCs w:val="16"/>
              </w:rPr>
            </w:pPr>
            <w:r>
              <w:rPr>
                <w:rFonts w:ascii="Helvetica" w:hAnsi="Helvetica"/>
                <w:sz w:val="16"/>
              </w:rPr>
              <w:t>Aktivitet 1</w:t>
            </w:r>
          </w:p>
        </w:tc>
        <w:tc>
          <w:tcPr>
            <w:tcW w:w="451" w:type="pct"/>
            <w:tcMar>
              <w:top w:w="120" w:type="dxa"/>
              <w:bottom w:w="120" w:type="dxa"/>
            </w:tcMar>
          </w:tcPr>
          <w:p w14:paraId="00A90AF9" w14:textId="77777777" w:rsidR="00F92E7B" w:rsidRPr="006C68E6" w:rsidRDefault="00F92E7B" w:rsidP="003B1B62">
            <w:pPr>
              <w:pStyle w:val="AnnexTableCellLeft"/>
              <w:rPr>
                <w:rFonts w:ascii="Helvetica" w:hAnsi="Helvetica"/>
                <w:sz w:val="16"/>
                <w:szCs w:val="16"/>
              </w:rPr>
            </w:pPr>
          </w:p>
        </w:tc>
        <w:tc>
          <w:tcPr>
            <w:tcW w:w="788" w:type="pct"/>
            <w:tcMar>
              <w:top w:w="120" w:type="dxa"/>
              <w:bottom w:w="120" w:type="dxa"/>
            </w:tcMar>
          </w:tcPr>
          <w:p w14:paraId="7016ABD9" w14:textId="77777777" w:rsidR="00F92E7B" w:rsidRPr="006C68E6" w:rsidRDefault="00F92E7B" w:rsidP="003B1B62">
            <w:pPr>
              <w:pStyle w:val="AnnexTableCellLeft"/>
              <w:jc w:val="center"/>
              <w:rPr>
                <w:rFonts w:ascii="Helvetica" w:hAnsi="Helvetica"/>
                <w:sz w:val="16"/>
                <w:szCs w:val="16"/>
              </w:rPr>
            </w:pPr>
          </w:p>
        </w:tc>
        <w:tc>
          <w:tcPr>
            <w:tcW w:w="841" w:type="pct"/>
            <w:tcMar>
              <w:top w:w="120" w:type="dxa"/>
              <w:bottom w:w="120" w:type="dxa"/>
            </w:tcMar>
          </w:tcPr>
          <w:p w14:paraId="30CBA948" w14:textId="77777777" w:rsidR="00F92E7B" w:rsidRPr="006C68E6" w:rsidRDefault="00F92E7B" w:rsidP="003B1B62">
            <w:pPr>
              <w:pStyle w:val="AnnexTableCellLeft"/>
              <w:jc w:val="center"/>
              <w:rPr>
                <w:rFonts w:ascii="Helvetica" w:hAnsi="Helvetica"/>
                <w:sz w:val="16"/>
                <w:szCs w:val="16"/>
              </w:rPr>
            </w:pPr>
          </w:p>
        </w:tc>
        <w:tc>
          <w:tcPr>
            <w:tcW w:w="895" w:type="pct"/>
            <w:tcMar>
              <w:top w:w="120" w:type="dxa"/>
              <w:bottom w:w="120" w:type="dxa"/>
            </w:tcMar>
          </w:tcPr>
          <w:p w14:paraId="102A0181"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36887D3E"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2D398306"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12644C4F"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2CD01EFC"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47416A6F"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339D09B4"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288" w:type="pct"/>
            <w:tcMar>
              <w:top w:w="120" w:type="dxa"/>
              <w:bottom w:w="120" w:type="dxa"/>
            </w:tcMar>
          </w:tcPr>
          <w:p w14:paraId="2A8A0F04" w14:textId="77777777" w:rsidR="00F92E7B" w:rsidRPr="006C68E6" w:rsidRDefault="00F92E7B" w:rsidP="003B1B62">
            <w:pPr>
              <w:pStyle w:val="AnnexTableCellLeft"/>
              <w:jc w:val="center"/>
              <w:rPr>
                <w:rFonts w:ascii="Helvetica" w:hAnsi="Helvetica"/>
                <w:sz w:val="16"/>
                <w:szCs w:val="16"/>
              </w:rPr>
            </w:pPr>
          </w:p>
        </w:tc>
        <w:tc>
          <w:tcPr>
            <w:tcW w:w="379" w:type="pct"/>
            <w:tcMar>
              <w:top w:w="120" w:type="dxa"/>
              <w:bottom w:w="120" w:type="dxa"/>
            </w:tcMar>
          </w:tcPr>
          <w:p w14:paraId="0D6ED104" w14:textId="77777777" w:rsidR="00F92E7B" w:rsidRPr="006C68E6" w:rsidRDefault="00F92E7B" w:rsidP="003B1B62">
            <w:pPr>
              <w:pStyle w:val="AnnexTableCellLeft"/>
              <w:jc w:val="center"/>
              <w:rPr>
                <w:rFonts w:ascii="Helvetica" w:hAnsi="Helvetica"/>
                <w:sz w:val="16"/>
                <w:szCs w:val="16"/>
              </w:rPr>
            </w:pPr>
          </w:p>
        </w:tc>
        <w:tc>
          <w:tcPr>
            <w:tcW w:w="365" w:type="pct"/>
            <w:tcBorders>
              <w:right w:val="single" w:sz="4" w:space="0" w:color="000000"/>
            </w:tcBorders>
            <w:tcMar>
              <w:top w:w="120" w:type="dxa"/>
              <w:bottom w:w="120" w:type="dxa"/>
            </w:tcMar>
          </w:tcPr>
          <w:p w14:paraId="6F5541A5"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r>
      <w:tr w:rsidR="00B40B9F" w:rsidRPr="006C68E6" w14:paraId="4C2C303A" w14:textId="77777777" w:rsidTr="00B40B9F">
        <w:tc>
          <w:tcPr>
            <w:tcW w:w="489" w:type="pct"/>
            <w:tcBorders>
              <w:left w:val="single" w:sz="4" w:space="0" w:color="auto"/>
            </w:tcBorders>
            <w:tcMar>
              <w:top w:w="120" w:type="dxa"/>
              <w:left w:w="0" w:type="dxa"/>
              <w:bottom w:w="120" w:type="dxa"/>
            </w:tcMar>
          </w:tcPr>
          <w:p w14:paraId="686A598D" w14:textId="77777777" w:rsidR="00F92E7B" w:rsidRPr="006C68E6" w:rsidRDefault="00745AC8" w:rsidP="003B1B62">
            <w:pPr>
              <w:pStyle w:val="AnnexTableCellLeft"/>
              <w:ind w:left="100"/>
              <w:jc w:val="left"/>
              <w:rPr>
                <w:rFonts w:ascii="Helvetica" w:hAnsi="Helvetica"/>
                <w:sz w:val="16"/>
                <w:szCs w:val="16"/>
              </w:rPr>
            </w:pPr>
            <w:r>
              <w:rPr>
                <w:rFonts w:ascii="Helvetica" w:hAnsi="Helvetica"/>
                <w:sz w:val="16"/>
              </w:rPr>
              <w:t>Aktivitet 2</w:t>
            </w:r>
          </w:p>
        </w:tc>
        <w:tc>
          <w:tcPr>
            <w:tcW w:w="451" w:type="pct"/>
            <w:tcMar>
              <w:top w:w="120" w:type="dxa"/>
              <w:bottom w:w="120" w:type="dxa"/>
            </w:tcMar>
          </w:tcPr>
          <w:p w14:paraId="52FA7201" w14:textId="77777777" w:rsidR="00F92E7B" w:rsidRPr="006C68E6" w:rsidRDefault="00F92E7B" w:rsidP="003B1B62">
            <w:pPr>
              <w:pStyle w:val="AnnexTableCellLeft"/>
              <w:rPr>
                <w:rFonts w:ascii="Helvetica" w:hAnsi="Helvetica"/>
                <w:sz w:val="16"/>
                <w:szCs w:val="16"/>
              </w:rPr>
            </w:pPr>
          </w:p>
        </w:tc>
        <w:tc>
          <w:tcPr>
            <w:tcW w:w="788" w:type="pct"/>
            <w:tcMar>
              <w:top w:w="120" w:type="dxa"/>
              <w:bottom w:w="120" w:type="dxa"/>
            </w:tcMar>
          </w:tcPr>
          <w:p w14:paraId="6CF46CE6" w14:textId="77777777" w:rsidR="00F92E7B" w:rsidRPr="006C68E6" w:rsidRDefault="00F92E7B" w:rsidP="003B1B62">
            <w:pPr>
              <w:pStyle w:val="AnnexTableCellLeft"/>
              <w:jc w:val="center"/>
              <w:rPr>
                <w:rFonts w:ascii="Helvetica" w:hAnsi="Helvetica"/>
                <w:sz w:val="16"/>
                <w:szCs w:val="16"/>
              </w:rPr>
            </w:pPr>
          </w:p>
        </w:tc>
        <w:tc>
          <w:tcPr>
            <w:tcW w:w="841" w:type="pct"/>
            <w:tcMar>
              <w:top w:w="120" w:type="dxa"/>
              <w:bottom w:w="120" w:type="dxa"/>
            </w:tcMar>
          </w:tcPr>
          <w:p w14:paraId="780299E7" w14:textId="77777777" w:rsidR="00F92E7B" w:rsidRPr="006C68E6" w:rsidRDefault="00F92E7B" w:rsidP="003B1B62">
            <w:pPr>
              <w:pStyle w:val="AnnexTableCellLeft"/>
              <w:jc w:val="center"/>
              <w:rPr>
                <w:rFonts w:ascii="Helvetica" w:hAnsi="Helvetica"/>
                <w:sz w:val="16"/>
                <w:szCs w:val="16"/>
              </w:rPr>
            </w:pPr>
          </w:p>
        </w:tc>
        <w:tc>
          <w:tcPr>
            <w:tcW w:w="895" w:type="pct"/>
            <w:tcMar>
              <w:top w:w="120" w:type="dxa"/>
              <w:bottom w:w="120" w:type="dxa"/>
            </w:tcMar>
          </w:tcPr>
          <w:p w14:paraId="16D737EB"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5988F5BB"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7647EC15"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4038EA13"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6278ABE6"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4A677DF5"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7F57ECF4"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c>
          <w:tcPr>
            <w:tcW w:w="288" w:type="pct"/>
            <w:tcMar>
              <w:top w:w="120" w:type="dxa"/>
              <w:bottom w:w="120" w:type="dxa"/>
            </w:tcMar>
          </w:tcPr>
          <w:p w14:paraId="6B2A3B62" w14:textId="77777777" w:rsidR="00F92E7B" w:rsidRPr="006C68E6" w:rsidRDefault="00F92E7B" w:rsidP="003B1B62">
            <w:pPr>
              <w:pStyle w:val="AnnexTableCellLeft"/>
              <w:jc w:val="center"/>
              <w:rPr>
                <w:rFonts w:ascii="Helvetica" w:hAnsi="Helvetica"/>
                <w:sz w:val="16"/>
                <w:szCs w:val="16"/>
              </w:rPr>
            </w:pPr>
          </w:p>
        </w:tc>
        <w:tc>
          <w:tcPr>
            <w:tcW w:w="379" w:type="pct"/>
            <w:tcMar>
              <w:top w:w="120" w:type="dxa"/>
              <w:bottom w:w="120" w:type="dxa"/>
            </w:tcMar>
          </w:tcPr>
          <w:p w14:paraId="4E350A6C" w14:textId="77777777" w:rsidR="00F92E7B" w:rsidRPr="006C68E6" w:rsidRDefault="00F92E7B" w:rsidP="003B1B62">
            <w:pPr>
              <w:pStyle w:val="AnnexTableCellLeft"/>
              <w:jc w:val="center"/>
              <w:rPr>
                <w:rFonts w:ascii="Helvetica" w:hAnsi="Helvetica"/>
                <w:sz w:val="16"/>
                <w:szCs w:val="16"/>
              </w:rPr>
            </w:pPr>
          </w:p>
        </w:tc>
        <w:tc>
          <w:tcPr>
            <w:tcW w:w="365" w:type="pct"/>
            <w:tcBorders>
              <w:right w:val="single" w:sz="4" w:space="0" w:color="000000"/>
            </w:tcBorders>
            <w:tcMar>
              <w:top w:w="120" w:type="dxa"/>
              <w:bottom w:w="120" w:type="dxa"/>
            </w:tcMar>
          </w:tcPr>
          <w:p w14:paraId="63DDB9C2" w14:textId="77777777" w:rsidR="00F92E7B" w:rsidRPr="006C68E6" w:rsidRDefault="00F92E7B" w:rsidP="003B1B62">
            <w:pPr>
              <w:pStyle w:val="AnnexTableCellLeft"/>
              <w:jc w:val="center"/>
              <w:rPr>
                <w:rFonts w:ascii="Helvetica" w:hAnsi="Helvetica"/>
                <w:sz w:val="16"/>
                <w:szCs w:val="16"/>
              </w:rPr>
            </w:pPr>
            <w:r>
              <w:rPr>
                <w:rFonts w:ascii="Helvetica" w:hAnsi="Helvetica"/>
                <w:sz w:val="16"/>
              </w:rPr>
              <w:t>%</w:t>
            </w:r>
          </w:p>
        </w:tc>
      </w:tr>
      <w:tr w:rsidR="00B40B9F" w:rsidRPr="006C68E6" w14:paraId="3496F2FB" w14:textId="77777777" w:rsidTr="00B40B9F">
        <w:tc>
          <w:tcPr>
            <w:tcW w:w="941" w:type="pct"/>
            <w:gridSpan w:val="2"/>
            <w:tcBorders>
              <w:left w:val="single" w:sz="4" w:space="0" w:color="auto"/>
            </w:tcBorders>
            <w:tcMar>
              <w:top w:w="120" w:type="dxa"/>
              <w:left w:w="0" w:type="dxa"/>
              <w:bottom w:w="120" w:type="dxa"/>
            </w:tcMar>
          </w:tcPr>
          <w:p w14:paraId="5642F85C" w14:textId="77777777" w:rsidR="00745AC8" w:rsidRPr="006C68E6" w:rsidRDefault="00745AC8" w:rsidP="00745AC8">
            <w:pPr>
              <w:pStyle w:val="AnnexTableCellLeft"/>
              <w:ind w:left="100"/>
              <w:rPr>
                <w:rFonts w:ascii="Helvetica" w:hAnsi="Helvetica"/>
                <w:b/>
                <w:sz w:val="16"/>
                <w:szCs w:val="16"/>
              </w:rPr>
            </w:pPr>
            <w:r>
              <w:rPr>
                <w:rFonts w:ascii="Helvetica" w:hAnsi="Helvetica"/>
                <w:b/>
                <w:sz w:val="16"/>
              </w:rPr>
              <w:t>Sum forenlighet per mål</w:t>
            </w:r>
          </w:p>
        </w:tc>
        <w:tc>
          <w:tcPr>
            <w:tcW w:w="788" w:type="pct"/>
            <w:shd w:val="clear" w:color="auto" w:fill="000000" w:themeFill="text1"/>
            <w:tcMar>
              <w:top w:w="120" w:type="dxa"/>
              <w:bottom w:w="120" w:type="dxa"/>
            </w:tcMar>
          </w:tcPr>
          <w:p w14:paraId="623ED2B6" w14:textId="77777777" w:rsidR="00745AC8" w:rsidRPr="006C68E6" w:rsidRDefault="00745AC8" w:rsidP="003B1B62">
            <w:pPr>
              <w:pStyle w:val="AnnexTableCellLeft"/>
              <w:jc w:val="center"/>
              <w:rPr>
                <w:rFonts w:ascii="Helvetica" w:hAnsi="Helvetica"/>
                <w:sz w:val="16"/>
                <w:szCs w:val="16"/>
              </w:rPr>
            </w:pPr>
          </w:p>
        </w:tc>
        <w:tc>
          <w:tcPr>
            <w:tcW w:w="841" w:type="pct"/>
            <w:shd w:val="clear" w:color="auto" w:fill="000000" w:themeFill="text1"/>
            <w:tcMar>
              <w:top w:w="120" w:type="dxa"/>
              <w:bottom w:w="120" w:type="dxa"/>
            </w:tcMar>
          </w:tcPr>
          <w:p w14:paraId="1F268289" w14:textId="77777777" w:rsidR="00745AC8" w:rsidRPr="006C68E6" w:rsidRDefault="00745AC8" w:rsidP="003B1B62">
            <w:pPr>
              <w:pStyle w:val="AnnexTableCellLeft"/>
              <w:jc w:val="center"/>
              <w:rPr>
                <w:rFonts w:ascii="Helvetica" w:hAnsi="Helvetica"/>
                <w:sz w:val="16"/>
                <w:szCs w:val="16"/>
              </w:rPr>
            </w:pPr>
          </w:p>
        </w:tc>
        <w:tc>
          <w:tcPr>
            <w:tcW w:w="895" w:type="pct"/>
            <w:shd w:val="clear" w:color="auto" w:fill="000000" w:themeFill="text1"/>
            <w:tcMar>
              <w:top w:w="120" w:type="dxa"/>
              <w:bottom w:w="120" w:type="dxa"/>
            </w:tcMar>
          </w:tcPr>
          <w:p w14:paraId="236A8342" w14:textId="77777777" w:rsidR="00745AC8" w:rsidRPr="006C68E6" w:rsidRDefault="00745AC8" w:rsidP="003B1B62">
            <w:pPr>
              <w:pStyle w:val="AnnexTableCellLeft"/>
              <w:jc w:val="center"/>
              <w:rPr>
                <w:rFonts w:ascii="Helvetica" w:hAnsi="Helvetica"/>
                <w:sz w:val="16"/>
                <w:szCs w:val="16"/>
              </w:rPr>
            </w:pPr>
          </w:p>
        </w:tc>
        <w:tc>
          <w:tcPr>
            <w:tcW w:w="84" w:type="pct"/>
            <w:tcMar>
              <w:top w:w="120" w:type="dxa"/>
              <w:bottom w:w="120" w:type="dxa"/>
            </w:tcMar>
          </w:tcPr>
          <w:p w14:paraId="483A4B60"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7F6A77E4"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328653C0"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6647B235"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678C83B4"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14A5722D"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288" w:type="pct"/>
            <w:shd w:val="clear" w:color="auto" w:fill="000000" w:themeFill="text1"/>
            <w:tcMar>
              <w:top w:w="120" w:type="dxa"/>
              <w:bottom w:w="120" w:type="dxa"/>
            </w:tcMar>
          </w:tcPr>
          <w:p w14:paraId="2A19DD66" w14:textId="77777777" w:rsidR="00745AC8" w:rsidRPr="006C68E6" w:rsidRDefault="00745AC8" w:rsidP="003B1B62">
            <w:pPr>
              <w:pStyle w:val="AnnexTableCellLeft"/>
              <w:jc w:val="center"/>
              <w:rPr>
                <w:rFonts w:ascii="Helvetica" w:hAnsi="Helvetica"/>
                <w:sz w:val="16"/>
                <w:szCs w:val="16"/>
              </w:rPr>
            </w:pPr>
          </w:p>
        </w:tc>
        <w:tc>
          <w:tcPr>
            <w:tcW w:w="379" w:type="pct"/>
            <w:shd w:val="clear" w:color="auto" w:fill="000000" w:themeFill="text1"/>
            <w:tcMar>
              <w:top w:w="120" w:type="dxa"/>
              <w:bottom w:w="120" w:type="dxa"/>
            </w:tcMar>
          </w:tcPr>
          <w:p w14:paraId="3D4F5C9C" w14:textId="77777777" w:rsidR="00745AC8" w:rsidRPr="006C68E6" w:rsidRDefault="00745AC8" w:rsidP="003B1B62">
            <w:pPr>
              <w:pStyle w:val="AnnexTableCellLeft"/>
              <w:jc w:val="center"/>
              <w:rPr>
                <w:rFonts w:ascii="Helvetica" w:hAnsi="Helvetica"/>
                <w:sz w:val="16"/>
                <w:szCs w:val="16"/>
              </w:rPr>
            </w:pPr>
          </w:p>
        </w:tc>
        <w:tc>
          <w:tcPr>
            <w:tcW w:w="365" w:type="pct"/>
            <w:tcBorders>
              <w:right w:val="single" w:sz="4" w:space="0" w:color="000000"/>
            </w:tcBorders>
            <w:shd w:val="clear" w:color="auto" w:fill="000000" w:themeFill="text1"/>
            <w:tcMar>
              <w:top w:w="120" w:type="dxa"/>
              <w:bottom w:w="120" w:type="dxa"/>
            </w:tcMar>
          </w:tcPr>
          <w:p w14:paraId="28A09C3F" w14:textId="77777777" w:rsidR="00745AC8" w:rsidRPr="006C68E6" w:rsidRDefault="00745AC8" w:rsidP="003B1B62">
            <w:pPr>
              <w:pStyle w:val="AnnexTableCellLeft"/>
              <w:jc w:val="center"/>
              <w:rPr>
                <w:rFonts w:ascii="Helvetica" w:hAnsi="Helvetica"/>
                <w:sz w:val="16"/>
                <w:szCs w:val="16"/>
              </w:rPr>
            </w:pPr>
          </w:p>
        </w:tc>
      </w:tr>
      <w:tr w:rsidR="00B40B9F" w:rsidRPr="006C68E6" w14:paraId="495B8630" w14:textId="77777777" w:rsidTr="00B40B9F">
        <w:tc>
          <w:tcPr>
            <w:tcW w:w="941" w:type="pct"/>
            <w:gridSpan w:val="2"/>
            <w:tcBorders>
              <w:left w:val="single" w:sz="4" w:space="0" w:color="auto"/>
            </w:tcBorders>
            <w:tcMar>
              <w:top w:w="120" w:type="dxa"/>
              <w:left w:w="0" w:type="dxa"/>
              <w:bottom w:w="120" w:type="dxa"/>
            </w:tcMar>
          </w:tcPr>
          <w:p w14:paraId="3710B7D7" w14:textId="44C0774D" w:rsidR="00595D4B" w:rsidRDefault="00745AC8" w:rsidP="00745AC8">
            <w:pPr>
              <w:pStyle w:val="AnnexTableCellLeft"/>
              <w:ind w:left="100"/>
              <w:rPr>
                <w:rFonts w:ascii="Helvetica" w:hAnsi="Helvetica"/>
                <w:b/>
                <w:sz w:val="16"/>
              </w:rPr>
            </w:pPr>
            <w:r>
              <w:rPr>
                <w:rFonts w:ascii="Helvetica" w:hAnsi="Helvetica"/>
                <w:b/>
                <w:sz w:val="16"/>
              </w:rPr>
              <w:t>Samlet</w:t>
            </w:r>
            <w:r w:rsidR="00DF7B9C">
              <w:rPr>
                <w:rFonts w:ascii="Helvetica" w:hAnsi="Helvetica"/>
                <w:b/>
                <w:sz w:val="16"/>
              </w:rPr>
              <w:t> </w:t>
            </w:r>
            <w:r>
              <w:rPr>
                <w:rFonts w:ascii="Helvetica" w:hAnsi="Helvetica"/>
                <w:b/>
                <w:sz w:val="16"/>
              </w:rPr>
              <w:t>KPI (omsetning/investeringsutgifter/</w:t>
            </w:r>
          </w:p>
          <w:p w14:paraId="1DF455B6" w14:textId="635B0D0E" w:rsidR="00745AC8" w:rsidRPr="006C68E6" w:rsidRDefault="00745AC8" w:rsidP="00745AC8">
            <w:pPr>
              <w:pStyle w:val="AnnexTableCellLeft"/>
              <w:ind w:left="100"/>
              <w:rPr>
                <w:rFonts w:ascii="Helvetica" w:hAnsi="Helvetica"/>
                <w:b/>
                <w:spacing w:val="-2"/>
                <w:sz w:val="16"/>
                <w:szCs w:val="16"/>
              </w:rPr>
            </w:pPr>
            <w:r>
              <w:rPr>
                <w:rFonts w:ascii="Helvetica" w:hAnsi="Helvetica"/>
                <w:b/>
                <w:sz w:val="16"/>
              </w:rPr>
              <w:t>driftsutgifter)</w:t>
            </w:r>
          </w:p>
        </w:tc>
        <w:tc>
          <w:tcPr>
            <w:tcW w:w="788" w:type="pct"/>
            <w:tcMar>
              <w:top w:w="120" w:type="dxa"/>
              <w:bottom w:w="120" w:type="dxa"/>
            </w:tcMar>
          </w:tcPr>
          <w:p w14:paraId="4188E861" w14:textId="77777777" w:rsidR="00745AC8" w:rsidRPr="006C68E6" w:rsidRDefault="00745AC8" w:rsidP="003B1B62">
            <w:pPr>
              <w:pStyle w:val="AnnexTableCellLeft"/>
              <w:jc w:val="center"/>
              <w:rPr>
                <w:rFonts w:ascii="Helvetica" w:hAnsi="Helvetica"/>
                <w:sz w:val="16"/>
                <w:szCs w:val="16"/>
              </w:rPr>
            </w:pPr>
          </w:p>
        </w:tc>
        <w:tc>
          <w:tcPr>
            <w:tcW w:w="841" w:type="pct"/>
            <w:tcMar>
              <w:top w:w="120" w:type="dxa"/>
              <w:bottom w:w="120" w:type="dxa"/>
            </w:tcMar>
          </w:tcPr>
          <w:p w14:paraId="3C47B318" w14:textId="77777777" w:rsidR="00745AC8" w:rsidRPr="006C68E6" w:rsidRDefault="00745AC8" w:rsidP="003B1B62">
            <w:pPr>
              <w:pStyle w:val="AnnexTableCellLeft"/>
              <w:jc w:val="center"/>
              <w:rPr>
                <w:rFonts w:ascii="Helvetica" w:hAnsi="Helvetica"/>
                <w:sz w:val="16"/>
                <w:szCs w:val="16"/>
              </w:rPr>
            </w:pPr>
          </w:p>
        </w:tc>
        <w:tc>
          <w:tcPr>
            <w:tcW w:w="895" w:type="pct"/>
            <w:tcMar>
              <w:top w:w="120" w:type="dxa"/>
              <w:bottom w:w="120" w:type="dxa"/>
            </w:tcMar>
          </w:tcPr>
          <w:p w14:paraId="25AE821A"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32C1E5E1"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539CB8B0"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3E660A82"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6BADFD82"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0CE34DBB"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84" w:type="pct"/>
            <w:tcMar>
              <w:top w:w="120" w:type="dxa"/>
              <w:bottom w:w="120" w:type="dxa"/>
            </w:tcMar>
          </w:tcPr>
          <w:p w14:paraId="0729A8D3"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288" w:type="pct"/>
            <w:tcMar>
              <w:top w:w="120" w:type="dxa"/>
              <w:bottom w:w="120" w:type="dxa"/>
            </w:tcMar>
          </w:tcPr>
          <w:p w14:paraId="643E485E"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379" w:type="pct"/>
            <w:tcMar>
              <w:top w:w="120" w:type="dxa"/>
              <w:bottom w:w="120" w:type="dxa"/>
            </w:tcMar>
          </w:tcPr>
          <w:p w14:paraId="446B344F"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c>
          <w:tcPr>
            <w:tcW w:w="365" w:type="pct"/>
            <w:tcBorders>
              <w:right w:val="single" w:sz="4" w:space="0" w:color="000000"/>
            </w:tcBorders>
            <w:tcMar>
              <w:top w:w="120" w:type="dxa"/>
              <w:bottom w:w="120" w:type="dxa"/>
            </w:tcMar>
          </w:tcPr>
          <w:p w14:paraId="5FC2A5B2" w14:textId="77777777" w:rsidR="00745AC8" w:rsidRPr="006C68E6" w:rsidRDefault="00745AC8" w:rsidP="003B1B62">
            <w:pPr>
              <w:pStyle w:val="AnnexTableCellLeft"/>
              <w:jc w:val="center"/>
              <w:rPr>
                <w:rFonts w:ascii="Helvetica" w:hAnsi="Helvetica"/>
                <w:sz w:val="16"/>
                <w:szCs w:val="16"/>
              </w:rPr>
            </w:pPr>
            <w:r>
              <w:rPr>
                <w:rFonts w:ascii="Helvetica" w:hAnsi="Helvetica"/>
                <w:sz w:val="16"/>
              </w:rPr>
              <w:t>%</w:t>
            </w:r>
          </w:p>
        </w:tc>
      </w:tr>
    </w:tbl>
    <w:p w14:paraId="5737C830" w14:textId="77777777" w:rsidR="00745AC8" w:rsidRPr="00745AC8" w:rsidRDefault="00745AC8" w:rsidP="00745AC8">
      <w:pPr>
        <w:pStyle w:val="AnnexNormal"/>
        <w:spacing w:before="400"/>
      </w:pPr>
      <w:r>
        <w:t>Forklarende merknader til mal 2:</w:t>
      </w:r>
    </w:p>
    <w:p w14:paraId="1207B0BB" w14:textId="77777777" w:rsidR="00745AC8" w:rsidRPr="00745AC8" w:rsidRDefault="00745AC8" w:rsidP="00745AC8">
      <w:pPr>
        <w:pStyle w:val="AnnexNormal"/>
      </w:pPr>
      <w:r>
        <w:lastRenderedPageBreak/>
        <w:t>1. Ikke-finansielle foretak skal duplisere denne malen for å framlegge separate opplysninger om KPI-ene for omsetningen, investeringsutgiftene og driftsutgiftene, og i overskriften til hver tabell skal det klart angis hvilken KPI tabellen gjelder for. Dersom ikke-finansielle foretak i mal 1 kolonne 3 angir null for KPI som er omfattet av taksonomien (henholdsvis omsetning, investeringsutgifter eller driftsutgifter), kan de la være å fylle ut mal 2 for den KPI-en.</w:t>
      </w:r>
    </w:p>
    <w:p w14:paraId="4C13C0DD" w14:textId="26AD930D" w:rsidR="00745AC8" w:rsidRDefault="00745AC8" w:rsidP="00745AC8">
      <w:pPr>
        <w:pStyle w:val="AnnexNormal"/>
        <w:spacing w:after="0"/>
      </w:pPr>
      <w:r>
        <w:t>2. (N) Angir det regnskapsåret som de rapporterte dataene gjelder for. Kolonne 2–14 gjelder for regnskapsår N.</w:t>
      </w:r>
    </w:p>
    <w:p w14:paraId="4E66DD5A" w14:textId="77777777" w:rsidR="00DF7B9C" w:rsidRDefault="00DF7B9C" w:rsidP="00745AC8">
      <w:pPr>
        <w:pStyle w:val="AnnexNormal"/>
        <w:spacing w:after="0"/>
      </w:pPr>
    </w:p>
    <w:p w14:paraId="2CDAAA57" w14:textId="77777777" w:rsidR="00745AC8" w:rsidRPr="00745AC8" w:rsidRDefault="00745AC8" w:rsidP="00745AC8">
      <w:pPr>
        <w:pStyle w:val="AnnexNormal"/>
      </w:pPr>
      <w:r>
        <w:t>3. For aktivitetsrader, kolonne 2: Koden utgjør forkortelsen for det relevante målet som den økonomiske aktiviteten kan bidra vesentlig til, samt avsnittsnummeret på aktiviteten i det relevante vedlegget som omfatter målet, det vil si følgende:</w:t>
      </w:r>
    </w:p>
    <w:p w14:paraId="5BC58D17" w14:textId="77777777" w:rsidR="00745AC8" w:rsidRPr="00745AC8" w:rsidRDefault="00745AC8" w:rsidP="00745AC8">
      <w:pPr>
        <w:pStyle w:val="AnnexNormal"/>
      </w:pPr>
      <w:r>
        <w:t>– Begrensning av klimaendringer: CCM</w:t>
      </w:r>
    </w:p>
    <w:p w14:paraId="44C2A21E" w14:textId="77777777" w:rsidR="00745AC8" w:rsidRPr="00745AC8" w:rsidRDefault="00745AC8" w:rsidP="00745AC8">
      <w:pPr>
        <w:pStyle w:val="AnnexNormal"/>
      </w:pPr>
      <w:r>
        <w:t>– Tilpasning til klimaendringer: CCA</w:t>
      </w:r>
    </w:p>
    <w:p w14:paraId="79D22EEA" w14:textId="77777777" w:rsidR="00745AC8" w:rsidRPr="00745AC8" w:rsidRDefault="00745AC8" w:rsidP="00745AC8">
      <w:pPr>
        <w:pStyle w:val="AnnexNormal"/>
      </w:pPr>
      <w:r>
        <w:t>– Vann- og havressurser: WTR</w:t>
      </w:r>
    </w:p>
    <w:p w14:paraId="0F5EB4EE" w14:textId="77777777" w:rsidR="00745AC8" w:rsidRPr="00745AC8" w:rsidRDefault="00745AC8" w:rsidP="00745AC8">
      <w:pPr>
        <w:pStyle w:val="AnnexNormal"/>
      </w:pPr>
      <w:r>
        <w:t>– Sirkulær økonomi: CE</w:t>
      </w:r>
    </w:p>
    <w:p w14:paraId="3F4FD3EB" w14:textId="77777777" w:rsidR="00745AC8" w:rsidRPr="00745AC8" w:rsidRDefault="00745AC8" w:rsidP="00745AC8">
      <w:pPr>
        <w:pStyle w:val="AnnexNormal"/>
      </w:pPr>
      <w:r>
        <w:t>– Forebygging og begrensning av forurensning: PPC</w:t>
      </w:r>
    </w:p>
    <w:p w14:paraId="7481C6D1" w14:textId="77777777" w:rsidR="00745AC8" w:rsidRPr="00745AC8" w:rsidRDefault="00745AC8" w:rsidP="00745AC8">
      <w:pPr>
        <w:pStyle w:val="AnnexNormal"/>
      </w:pPr>
      <w:r>
        <w:t>– Biologisk mangfold og økosystemer: BIO</w:t>
      </w:r>
    </w:p>
    <w:p w14:paraId="31B54812" w14:textId="77777777" w:rsidR="00745AC8" w:rsidRPr="00745AC8" w:rsidRDefault="00745AC8" w:rsidP="00745AC8">
      <w:pPr>
        <w:pStyle w:val="AnnexNormal"/>
      </w:pPr>
      <w:r>
        <w:t>Aktiviteten «Påskoging» vil for eksempel ha følgende kode: CCM 1.1. Dersom aktiviteten kan bidra vesentlig til flere enn ett mål, bør kodene for alle målene angis.</w:t>
      </w:r>
    </w:p>
    <w:p w14:paraId="129AB608" w14:textId="77777777" w:rsidR="00745AC8" w:rsidRPr="00745AC8" w:rsidRDefault="00745AC8" w:rsidP="00745AC8">
      <w:pPr>
        <w:pStyle w:val="AnnexNormal"/>
      </w:pPr>
      <w:r>
        <w:t>4. For aktivitetsrader skal kolonne 3 inneholde den andelen av nevneren i den respektive KPI-en, som rapportert i mal 1, som er forbundet med en økonomisk aktivitet som er omfattet av taksonomien, uavhengig av om denne aktiviteten eller bare en del av den er taksonomiforenlig.</w:t>
      </w:r>
    </w:p>
    <w:p w14:paraId="5445FC10" w14:textId="77777777" w:rsidR="00745AC8" w:rsidRPr="00745AC8" w:rsidRDefault="00745AC8" w:rsidP="00745AC8">
      <w:pPr>
        <w:pStyle w:val="AnnexNormal"/>
      </w:pPr>
      <w:r>
        <w:t>5. For aktivitetsrader skal kolonne 5 inneholde den andelen av nevneren i den respektive KPI-en, som rapportert i mal 1, som er forbundet med en taksonomiforenlig økonomisk aktivitet eller med den taksonomiforenlige delen av en aktivitet som er omfattet av taksonomien.</w:t>
      </w:r>
    </w:p>
    <w:p w14:paraId="1BE3E3A2" w14:textId="77777777" w:rsidR="00745AC8" w:rsidRPr="00745AC8" w:rsidRDefault="00745AC8" w:rsidP="00745AC8">
      <w:pPr>
        <w:pStyle w:val="AnnexNormal"/>
      </w:pPr>
      <w:r>
        <w:t>6. For aktivitetsrader skal kolonne 6–11 inneholde den andelen av nevneren i den respektive KPI-en, som rapportert i mal 1, som er forbundet med en taksonomiforenlig økonomisk aktivitet eller en del av den som bidrar vesentlig til det respektive miljømålet som den økonomiske aktiviteten er omfattet av taksonomien for. Kolonner som tilsvarer de miljømålene som den økonomiske aktiviteten ikke er omfattet av taksonomien for, bør ikke fylles ut. Dersom en taksonomiforenlig økonomisk aktivitet eller en del av den bidrar vesentlig til flere miljømål, skal kolonnene under disse miljømålene inneholde den tilsvarende andelen av nevneren i den respektive KPI-en, som rapportert i mal 1, som er forbundet med denne aktiviteten eller delen av den. Det er med andre ord slik at når en aktivitet bidrar vesentlig til mer enn ett miljømål samtidig, bør dens vesentlige bidrag angis under flere miljømål i den raden som gjelder for denne økonomiske aktiviteten.</w:t>
      </w:r>
    </w:p>
    <w:p w14:paraId="10A06DF5" w14:textId="77777777" w:rsidR="00745AC8" w:rsidRPr="00745AC8" w:rsidRDefault="00745AC8" w:rsidP="00745AC8">
      <w:pPr>
        <w:pStyle w:val="AnnexNormal"/>
      </w:pPr>
      <w:r>
        <w:t>7. Kolonne 14 skal inneholde forholdet mellom tallet i kolonne 5 dividert med tallet i kolonne 3 i de respektive radene.</w:t>
      </w:r>
    </w:p>
    <w:p w14:paraId="75A71B01" w14:textId="45684792" w:rsidR="00745AC8" w:rsidRPr="00745AC8" w:rsidRDefault="00745AC8" w:rsidP="00745AC8">
      <w:pPr>
        <w:pStyle w:val="AnnexNormal"/>
      </w:pPr>
      <w:r>
        <w:t>8. Raden «Sum forenlighet per mål»: Kolonne 6–11 skal inneholde summen av tallene for alle rapporterte aktiviteter i de respektive kolonnene. Summen av kolonne 6–11 i denne raden kan overstige</w:t>
      </w:r>
      <w:r w:rsidR="00595D4B">
        <w:t> </w:t>
      </w:r>
      <w:r>
        <w:t>100 %.</w:t>
      </w:r>
    </w:p>
    <w:p w14:paraId="45AAF91E" w14:textId="600E800B" w:rsidR="00745AC8" w:rsidRDefault="00745AC8" w:rsidP="00595D4B">
      <w:pPr>
        <w:pStyle w:val="AnnexNormal"/>
        <w:spacing w:after="0"/>
      </w:pPr>
      <w:r>
        <w:t xml:space="preserve">9. Raden «Samlet KPI»: Kolonne 3–13 skal inneholde summen av tallene for alle rapporterte aktiviteter i de respektive kolonnene. For kolonne 4–11 skal ikke-finansielle foretak når de legger sammen tallene i raden «Samlet KPI», ikke dobbelttelle bidragene til flere miljømål, men ta med bare de miljømålene som de anser som mest relevante. Tall i kolonne 5 i denne raden, dvs. </w:t>
      </w:r>
      <w:r>
        <w:lastRenderedPageBreak/>
        <w:t>Sum</w:t>
      </w:r>
      <w:r w:rsidR="00595D4B">
        <w:t> t</w:t>
      </w:r>
      <w:r>
        <w:t>aksonomiforenlig KPI</w:t>
      </w:r>
      <w:r w:rsidR="00595D4B">
        <w:t>,</w:t>
      </w:r>
      <w:r>
        <w:t xml:space="preserve"> skal være lik summen av tallene som rapporteres i kolonne 6–11 i denne raden. Tallene som rapporteres i raden «Samlet KPI» i kolonne 3–13 i mal 2, skal være lik tallene som rapporteres i tilsvarende kolonne 3–13 i mal 1. For å unngå dobbelttelling skal finansforetak ta hensyn til tallet for «Samlet KPI» som rapporteres i mal 1, når de beregner sine egne KPI</w:t>
      </w:r>
      <w:r w:rsidR="00B67842">
        <w:noBreakHyphen/>
      </w:r>
      <w:r>
        <w:t>er.»</w:t>
      </w:r>
    </w:p>
    <w:p w14:paraId="4B23C4AC" w14:textId="77777777" w:rsidR="004174D8" w:rsidRDefault="004174D8" w:rsidP="00F92E7B">
      <w:pPr>
        <w:pStyle w:val="AnnexNormal"/>
        <w:sectPr w:rsidR="004174D8" w:rsidSect="00D94629">
          <w:pgSz w:w="16838" w:h="11906" w:orient="landscape" w:code="9"/>
          <w:pgMar w:top="1120" w:right="1680" w:bottom="1120" w:left="840" w:header="920" w:footer="280" w:gutter="0"/>
          <w:cols w:space="708"/>
          <w:docGrid w:linePitch="360"/>
        </w:sectPr>
      </w:pPr>
    </w:p>
    <w:p w14:paraId="363CCCFB" w14:textId="77777777" w:rsidR="00745AC8" w:rsidRPr="004174D8" w:rsidRDefault="004174D8" w:rsidP="004174D8">
      <w:pPr>
        <w:pStyle w:val="AnnexTI"/>
        <w:spacing w:after="360"/>
        <w:rPr>
          <w:b/>
          <w:i w:val="0"/>
          <w:u w:val="single"/>
        </w:rPr>
      </w:pPr>
      <w:r>
        <w:rPr>
          <w:b/>
          <w:i w:val="0"/>
          <w:u w:val="single"/>
        </w:rPr>
        <w:lastRenderedPageBreak/>
        <w:t>VEDLEGG III</w:t>
      </w:r>
    </w:p>
    <w:p w14:paraId="5590927F" w14:textId="77777777" w:rsidR="004174D8" w:rsidRPr="004174D8" w:rsidRDefault="004174D8" w:rsidP="004174D8">
      <w:pPr>
        <w:pStyle w:val="AnnexNormal"/>
      </w:pPr>
      <w:r>
        <w:t xml:space="preserve">I vedlegg III gjøres følgende endringer: </w:t>
      </w:r>
    </w:p>
    <w:p w14:paraId="2650FFC2" w14:textId="77777777" w:rsidR="004174D8" w:rsidRPr="004174D8" w:rsidRDefault="004174D8" w:rsidP="004174D8">
      <w:pPr>
        <w:pStyle w:val="AnnexNormal"/>
      </w:pPr>
      <w:r>
        <w:t xml:space="preserve">1) I avsnitt 1.2 skal første ledd lyde: </w:t>
      </w:r>
    </w:p>
    <w:p w14:paraId="0C70855B" w14:textId="77777777" w:rsidR="004174D8" w:rsidRPr="004174D8" w:rsidRDefault="004174D8" w:rsidP="004174D8">
      <w:pPr>
        <w:pStyle w:val="AnnexNormal"/>
      </w:pPr>
      <w:r>
        <w:t xml:space="preserve">«Nevneren skal bestå av verdien av alle eiendeler under forvaltning som omfattes av artikkel 7 nr. 6 i denne forordningen, og som kan henføres til kapitalforvalternes kollektive så vel som individuelle porteføljeforvaltningsaktiviteter.» </w:t>
      </w:r>
    </w:p>
    <w:p w14:paraId="53B8994C" w14:textId="77777777" w:rsidR="004174D8" w:rsidRPr="004174D8" w:rsidRDefault="004174D8" w:rsidP="004174D8">
      <w:pPr>
        <w:pStyle w:val="AnnexNormal"/>
      </w:pPr>
      <w:r>
        <w:t>2) I avsnitt 2 utgår bokstav e).</w:t>
      </w:r>
    </w:p>
    <w:p w14:paraId="6BDDDD03" w14:textId="77777777" w:rsidR="004174D8" w:rsidRPr="004174D8" w:rsidRDefault="004174D8" w:rsidP="004174D8">
      <w:pPr>
        <w:pStyle w:val="AnnexNormal"/>
      </w:pPr>
      <w:r>
        <w:t xml:space="preserve">3) I avsnitt 2 skal bokstav f) lyde: </w:t>
      </w:r>
    </w:p>
    <w:p w14:paraId="3974A537" w14:textId="77777777" w:rsidR="00F92E7B" w:rsidRDefault="004174D8" w:rsidP="00F92E7B">
      <w:pPr>
        <w:pStyle w:val="AnnexNormal"/>
      </w:pPr>
      <w:r>
        <w:t>«f) legge fram opplysninger om hvor stor andel dekkede investeringer i eksponeringer nevnt i artikkel 7 nr. 6 i denne forordningen, utgjør av alle investeringer.»</w:t>
      </w:r>
    </w:p>
    <w:p w14:paraId="4AF302D3" w14:textId="77777777" w:rsidR="007A1BD6" w:rsidRDefault="007A1BD6" w:rsidP="00F92E7B">
      <w:pPr>
        <w:pStyle w:val="AnnexNormal"/>
      </w:pPr>
      <w:r>
        <w:br w:type="page"/>
      </w:r>
    </w:p>
    <w:p w14:paraId="67C03C4E" w14:textId="77777777" w:rsidR="007A1BD6" w:rsidRPr="007A1BD6" w:rsidRDefault="007A1BD6" w:rsidP="007A1BD6">
      <w:pPr>
        <w:pStyle w:val="AnnexTI"/>
        <w:spacing w:after="360"/>
        <w:rPr>
          <w:b/>
          <w:i w:val="0"/>
          <w:u w:val="single"/>
        </w:rPr>
      </w:pPr>
      <w:r>
        <w:rPr>
          <w:b/>
          <w:i w:val="0"/>
          <w:u w:val="single"/>
        </w:rPr>
        <w:lastRenderedPageBreak/>
        <w:t>VEDLEGG IV</w:t>
      </w:r>
    </w:p>
    <w:p w14:paraId="54D66C81" w14:textId="77777777" w:rsidR="007A1BD6" w:rsidRPr="007A1BD6" w:rsidRDefault="007A1BD6" w:rsidP="007A1BD6">
      <w:pPr>
        <w:pStyle w:val="AnnexTI"/>
        <w:rPr>
          <w:b/>
          <w:i w:val="0"/>
        </w:rPr>
      </w:pPr>
      <w:r>
        <w:rPr>
          <w:b/>
          <w:i w:val="0"/>
        </w:rPr>
        <w:t>«VEDLEGG IV</w:t>
      </w:r>
    </w:p>
    <w:p w14:paraId="410D677B" w14:textId="77777777" w:rsidR="007A1BD6" w:rsidRPr="00EA514B" w:rsidRDefault="007A1BD6" w:rsidP="00EA514B">
      <w:pPr>
        <w:pStyle w:val="AnnexNormal"/>
        <w:spacing w:line="200" w:lineRule="exact"/>
        <w:jc w:val="center"/>
        <w:rPr>
          <w:b/>
          <w:sz w:val="16"/>
        </w:rPr>
      </w:pPr>
      <w:r>
        <w:rPr>
          <w:b/>
          <w:sz w:val="16"/>
        </w:rPr>
        <w:t>MAL FOR KPI-EN FOR KAPITALFORVALTERE</w:t>
      </w:r>
    </w:p>
    <w:p w14:paraId="3A47B2A0" w14:textId="77777777" w:rsidR="007A1BD6" w:rsidRDefault="007A1BD6" w:rsidP="007A1BD6">
      <w:pPr>
        <w:pStyle w:val="AnnexNormal"/>
        <w:jc w:val="left"/>
      </w:pPr>
      <w:r>
        <w:t>Standardmal for opplysninger som skal legges fram i henhold til artikkel 8 i forordning (EU) 2020/852 (kapitalforvaltere)</w:t>
      </w:r>
    </w:p>
    <w:tbl>
      <w:tblPr>
        <w:tblStyle w:val="EFTATable"/>
        <w:tblW w:w="9260" w:type="dxa"/>
        <w:tblBorders>
          <w:left w:val="single" w:sz="4" w:space="0" w:color="auto"/>
          <w:right w:val="single" w:sz="4" w:space="0" w:color="auto"/>
        </w:tblBorders>
        <w:tblLook w:val="04A0" w:firstRow="1" w:lastRow="0" w:firstColumn="1" w:lastColumn="0" w:noHBand="0" w:noVBand="1"/>
      </w:tblPr>
      <w:tblGrid>
        <w:gridCol w:w="579"/>
        <w:gridCol w:w="6250"/>
        <w:gridCol w:w="991"/>
        <w:gridCol w:w="1440"/>
      </w:tblGrid>
      <w:tr w:rsidR="00EA514B" w14:paraId="0E25B6F2" w14:textId="77777777" w:rsidTr="00EA514B">
        <w:tc>
          <w:tcPr>
            <w:tcW w:w="600" w:type="dxa"/>
            <w:tcMar>
              <w:top w:w="40" w:type="dxa"/>
              <w:left w:w="0" w:type="dxa"/>
              <w:bottom w:w="40" w:type="dxa"/>
            </w:tcMar>
          </w:tcPr>
          <w:p w14:paraId="6B9C6EE7" w14:textId="77777777" w:rsidR="00EA514B" w:rsidRPr="00AE7F98" w:rsidRDefault="00EA514B" w:rsidP="00EA514B">
            <w:pPr>
              <w:pStyle w:val="AnnexTableHeader"/>
              <w:spacing w:line="200" w:lineRule="exact"/>
            </w:pPr>
          </w:p>
        </w:tc>
        <w:tc>
          <w:tcPr>
            <w:tcW w:w="6500" w:type="dxa"/>
            <w:tcMar>
              <w:top w:w="40" w:type="dxa"/>
              <w:bottom w:w="40" w:type="dxa"/>
            </w:tcMar>
          </w:tcPr>
          <w:p w14:paraId="6B577865" w14:textId="77777777" w:rsidR="00EA514B" w:rsidRPr="00EA514B" w:rsidRDefault="00EA514B" w:rsidP="00EA514B">
            <w:pPr>
              <w:pStyle w:val="AnnexTableHeader"/>
              <w:spacing w:line="200" w:lineRule="exact"/>
              <w:jc w:val="left"/>
              <w:rPr>
                <w:b/>
              </w:rPr>
            </w:pPr>
            <w:r>
              <w:rPr>
                <w:b/>
              </w:rPr>
              <w:t>Referansedato for opplysningene</w:t>
            </w:r>
          </w:p>
        </w:tc>
        <w:tc>
          <w:tcPr>
            <w:tcW w:w="1000" w:type="dxa"/>
            <w:tcBorders>
              <w:right w:val="single" w:sz="4" w:space="0" w:color="auto"/>
            </w:tcBorders>
            <w:tcMar>
              <w:top w:w="40" w:type="dxa"/>
              <w:bottom w:w="40" w:type="dxa"/>
            </w:tcMar>
          </w:tcPr>
          <w:p w14:paraId="15B2AADD" w14:textId="77777777" w:rsidR="00EA514B" w:rsidRDefault="00EA514B" w:rsidP="00EA514B">
            <w:pPr>
              <w:pStyle w:val="AnnexTableHeader"/>
              <w:spacing w:line="200" w:lineRule="exact"/>
            </w:pPr>
          </w:p>
        </w:tc>
        <w:tc>
          <w:tcPr>
            <w:tcW w:w="1160" w:type="dxa"/>
            <w:tcBorders>
              <w:top w:val="nil"/>
              <w:left w:val="single" w:sz="4" w:space="0" w:color="auto"/>
              <w:bottom w:val="single" w:sz="4" w:space="0" w:color="auto"/>
              <w:right w:val="nil"/>
            </w:tcBorders>
            <w:tcMar>
              <w:top w:w="40" w:type="dxa"/>
              <w:bottom w:w="40" w:type="dxa"/>
              <w:right w:w="0" w:type="dxa"/>
            </w:tcMar>
          </w:tcPr>
          <w:p w14:paraId="0251909E" w14:textId="77777777" w:rsidR="00EA514B" w:rsidRDefault="00EA514B" w:rsidP="00EA514B">
            <w:pPr>
              <w:pStyle w:val="AnnexTableHeader"/>
              <w:spacing w:line="200" w:lineRule="exact"/>
            </w:pPr>
          </w:p>
        </w:tc>
      </w:tr>
      <w:tr w:rsidR="00EA514B" w14:paraId="19449C71" w14:textId="77777777" w:rsidTr="00EA514B">
        <w:tc>
          <w:tcPr>
            <w:tcW w:w="600" w:type="dxa"/>
            <w:tcMar>
              <w:top w:w="40" w:type="dxa"/>
              <w:left w:w="0" w:type="dxa"/>
              <w:bottom w:w="40" w:type="dxa"/>
            </w:tcMar>
          </w:tcPr>
          <w:p w14:paraId="57E82893" w14:textId="77777777" w:rsidR="00EA514B" w:rsidRDefault="00EA514B" w:rsidP="00EA514B">
            <w:pPr>
              <w:pStyle w:val="AnnexTableHeader"/>
              <w:spacing w:line="200" w:lineRule="exact"/>
            </w:pPr>
          </w:p>
        </w:tc>
        <w:tc>
          <w:tcPr>
            <w:tcW w:w="6500" w:type="dxa"/>
            <w:tcMar>
              <w:top w:w="40" w:type="dxa"/>
              <w:bottom w:w="40" w:type="dxa"/>
            </w:tcMar>
          </w:tcPr>
          <w:p w14:paraId="006964E6" w14:textId="77777777" w:rsidR="00EA514B" w:rsidRPr="00EA514B" w:rsidRDefault="00EA514B" w:rsidP="00EA514B">
            <w:pPr>
              <w:pStyle w:val="AnnexTableHeader"/>
              <w:spacing w:line="200" w:lineRule="exact"/>
              <w:rPr>
                <w:b/>
              </w:rPr>
            </w:pPr>
            <w:r>
              <w:rPr>
                <w:b/>
              </w:rPr>
              <w:t>Eksponeringer</w:t>
            </w:r>
          </w:p>
        </w:tc>
        <w:tc>
          <w:tcPr>
            <w:tcW w:w="1000" w:type="dxa"/>
            <w:tcMar>
              <w:top w:w="40" w:type="dxa"/>
              <w:bottom w:w="40" w:type="dxa"/>
            </w:tcMar>
          </w:tcPr>
          <w:p w14:paraId="665088B2" w14:textId="77777777" w:rsidR="00EA514B" w:rsidRDefault="00EA514B" w:rsidP="00EA514B">
            <w:pPr>
              <w:pStyle w:val="AnnexTableHeader"/>
              <w:spacing w:line="200" w:lineRule="exact"/>
            </w:pPr>
            <w:r>
              <w:t>%</w:t>
            </w:r>
          </w:p>
        </w:tc>
        <w:tc>
          <w:tcPr>
            <w:tcW w:w="1160" w:type="dxa"/>
            <w:tcBorders>
              <w:top w:val="single" w:sz="4" w:space="0" w:color="auto"/>
              <w:bottom w:val="single" w:sz="4" w:space="0" w:color="auto"/>
            </w:tcBorders>
            <w:tcMar>
              <w:top w:w="40" w:type="dxa"/>
              <w:bottom w:w="40" w:type="dxa"/>
              <w:right w:w="0" w:type="dxa"/>
            </w:tcMar>
          </w:tcPr>
          <w:p w14:paraId="31ABA347" w14:textId="77777777" w:rsidR="006D408D" w:rsidRDefault="00EA514B" w:rsidP="00EA514B">
            <w:pPr>
              <w:pStyle w:val="AnnexTableHeader"/>
              <w:spacing w:line="200" w:lineRule="exact"/>
            </w:pPr>
            <w:r>
              <w:t>Millioner</w:t>
            </w:r>
          </w:p>
          <w:p w14:paraId="3A98F6E6" w14:textId="55EE4A77" w:rsidR="00EA514B" w:rsidRDefault="00EA514B" w:rsidP="00EA514B">
            <w:pPr>
              <w:pStyle w:val="AnnexTableHeader"/>
              <w:spacing w:line="200" w:lineRule="exact"/>
            </w:pPr>
            <w:r>
              <w:t>euro</w:t>
            </w:r>
          </w:p>
        </w:tc>
      </w:tr>
      <w:tr w:rsidR="00EA514B" w14:paraId="0156622F" w14:textId="77777777" w:rsidTr="003B1B62">
        <w:tc>
          <w:tcPr>
            <w:tcW w:w="600" w:type="dxa"/>
            <w:tcMar>
              <w:top w:w="40" w:type="dxa"/>
              <w:left w:w="0" w:type="dxa"/>
              <w:bottom w:w="40" w:type="dxa"/>
            </w:tcMar>
          </w:tcPr>
          <w:p w14:paraId="78324814" w14:textId="77777777" w:rsidR="00EA514B" w:rsidRDefault="00EA514B" w:rsidP="00EA514B">
            <w:pPr>
              <w:pStyle w:val="AnnexTableCellLeft"/>
              <w:jc w:val="center"/>
            </w:pPr>
            <w:r>
              <w:t>1</w:t>
            </w:r>
          </w:p>
        </w:tc>
        <w:tc>
          <w:tcPr>
            <w:tcW w:w="6500" w:type="dxa"/>
            <w:tcMar>
              <w:top w:w="40" w:type="dxa"/>
              <w:bottom w:w="40" w:type="dxa"/>
            </w:tcMar>
          </w:tcPr>
          <w:p w14:paraId="3C042DD6" w14:textId="77777777" w:rsidR="00EA514B" w:rsidRPr="00EA514B" w:rsidRDefault="00EA514B" w:rsidP="003B1B62">
            <w:pPr>
              <w:pStyle w:val="AnnexTableCellLeft"/>
              <w:rPr>
                <w:b/>
              </w:rPr>
            </w:pPr>
            <w:r>
              <w:rPr>
                <w:b/>
              </w:rPr>
              <w:t xml:space="preserve">Samlede eiendeler under </w:t>
            </w:r>
            <w:r>
              <w:rPr>
                <w:b/>
                <w:bCs/>
              </w:rPr>
              <w:t>forvaltning</w:t>
            </w:r>
          </w:p>
        </w:tc>
        <w:tc>
          <w:tcPr>
            <w:tcW w:w="1000" w:type="dxa"/>
            <w:tcMar>
              <w:top w:w="40" w:type="dxa"/>
              <w:bottom w:w="40" w:type="dxa"/>
            </w:tcMar>
          </w:tcPr>
          <w:p w14:paraId="075F4D47" w14:textId="77777777" w:rsidR="00EA514B" w:rsidRPr="00EA514B" w:rsidRDefault="00EA514B" w:rsidP="00EA514B">
            <w:pPr>
              <w:pStyle w:val="AnnexTableCellLeft"/>
              <w:jc w:val="center"/>
            </w:pPr>
            <w:r>
              <w:t>100 %</w:t>
            </w:r>
          </w:p>
        </w:tc>
        <w:tc>
          <w:tcPr>
            <w:tcW w:w="1160" w:type="dxa"/>
            <w:tcBorders>
              <w:top w:val="single" w:sz="4" w:space="0" w:color="auto"/>
            </w:tcBorders>
            <w:tcMar>
              <w:top w:w="40" w:type="dxa"/>
              <w:bottom w:w="40" w:type="dxa"/>
              <w:right w:w="0" w:type="dxa"/>
            </w:tcMar>
          </w:tcPr>
          <w:p w14:paraId="6E244ACC" w14:textId="77777777" w:rsidR="00EA514B" w:rsidRDefault="00EA514B" w:rsidP="00EA514B">
            <w:pPr>
              <w:pStyle w:val="AnnexTableCellLeft"/>
              <w:jc w:val="center"/>
            </w:pPr>
          </w:p>
        </w:tc>
      </w:tr>
      <w:tr w:rsidR="00EA514B" w14:paraId="743B4459" w14:textId="77777777" w:rsidTr="003B1B62">
        <w:tc>
          <w:tcPr>
            <w:tcW w:w="600" w:type="dxa"/>
            <w:tcMar>
              <w:top w:w="40" w:type="dxa"/>
              <w:left w:w="0" w:type="dxa"/>
              <w:bottom w:w="40" w:type="dxa"/>
            </w:tcMar>
          </w:tcPr>
          <w:p w14:paraId="6A01521B" w14:textId="77777777" w:rsidR="00EA514B" w:rsidRDefault="00EA514B" w:rsidP="00EA514B">
            <w:pPr>
              <w:pStyle w:val="AnnexTableCellLeft"/>
              <w:jc w:val="center"/>
            </w:pPr>
            <w:r>
              <w:t>2</w:t>
            </w:r>
          </w:p>
        </w:tc>
        <w:tc>
          <w:tcPr>
            <w:tcW w:w="6500" w:type="dxa"/>
            <w:tcMar>
              <w:top w:w="40" w:type="dxa"/>
              <w:bottom w:w="40" w:type="dxa"/>
            </w:tcMar>
          </w:tcPr>
          <w:p w14:paraId="4FB7B604" w14:textId="77777777" w:rsidR="00EA514B" w:rsidRPr="00EA514B" w:rsidRDefault="00EA514B" w:rsidP="003B1B62">
            <w:pPr>
              <w:pStyle w:val="AnnexTableCellLeft"/>
              <w:rPr>
                <w:b/>
              </w:rPr>
            </w:pPr>
            <w:r>
              <w:rPr>
                <w:b/>
              </w:rPr>
              <w:t>Eiendeler dekket av KPI-en</w:t>
            </w:r>
          </w:p>
        </w:tc>
        <w:tc>
          <w:tcPr>
            <w:tcW w:w="1000" w:type="dxa"/>
            <w:tcMar>
              <w:top w:w="40" w:type="dxa"/>
              <w:bottom w:w="40" w:type="dxa"/>
            </w:tcMar>
          </w:tcPr>
          <w:p w14:paraId="55CEA572"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73ADF920" w14:textId="77777777" w:rsidR="00EA514B" w:rsidRDefault="00EA514B" w:rsidP="00EA514B">
            <w:pPr>
              <w:pStyle w:val="AnnexTableCellLeft"/>
              <w:jc w:val="center"/>
            </w:pPr>
          </w:p>
        </w:tc>
      </w:tr>
      <w:tr w:rsidR="00EA514B" w14:paraId="45F7B467" w14:textId="77777777" w:rsidTr="00EA514B">
        <w:tc>
          <w:tcPr>
            <w:tcW w:w="600" w:type="dxa"/>
            <w:tcMar>
              <w:top w:w="40" w:type="dxa"/>
              <w:left w:w="0" w:type="dxa"/>
              <w:bottom w:w="40" w:type="dxa"/>
            </w:tcMar>
            <w:vAlign w:val="center"/>
          </w:tcPr>
          <w:p w14:paraId="20B9F0C3" w14:textId="77777777" w:rsidR="00EA514B" w:rsidRDefault="00EA514B" w:rsidP="00EA514B">
            <w:pPr>
              <w:pStyle w:val="AnnexTableCellLeft"/>
              <w:jc w:val="center"/>
            </w:pPr>
          </w:p>
        </w:tc>
        <w:tc>
          <w:tcPr>
            <w:tcW w:w="6500" w:type="dxa"/>
            <w:tcMar>
              <w:top w:w="40" w:type="dxa"/>
              <w:bottom w:w="40" w:type="dxa"/>
            </w:tcMar>
            <w:vAlign w:val="center"/>
          </w:tcPr>
          <w:p w14:paraId="18562802" w14:textId="77777777" w:rsidR="00EA514B" w:rsidRPr="00EA514B" w:rsidRDefault="00EA514B" w:rsidP="00EA514B">
            <w:pPr>
              <w:pStyle w:val="AnnexTableCellLeft"/>
              <w:jc w:val="center"/>
              <w:rPr>
                <w:b/>
              </w:rPr>
            </w:pPr>
            <w:r>
              <w:rPr>
                <w:b/>
              </w:rPr>
              <w:t>% av dekkede eiendeler</w:t>
            </w:r>
          </w:p>
        </w:tc>
        <w:tc>
          <w:tcPr>
            <w:tcW w:w="1000" w:type="dxa"/>
            <w:tcMar>
              <w:top w:w="40" w:type="dxa"/>
              <w:bottom w:w="40" w:type="dxa"/>
            </w:tcMar>
            <w:vAlign w:val="center"/>
          </w:tcPr>
          <w:p w14:paraId="3C498CEC" w14:textId="77777777" w:rsidR="00EA514B" w:rsidRDefault="00EA514B" w:rsidP="00EA514B">
            <w:pPr>
              <w:pStyle w:val="AnnexTableCellLeft"/>
              <w:jc w:val="center"/>
            </w:pPr>
            <w:r>
              <w:t>%</w:t>
            </w:r>
          </w:p>
          <w:p w14:paraId="6CB01C6A" w14:textId="77777777" w:rsidR="00EA514B" w:rsidRPr="00EA514B" w:rsidRDefault="00EA514B" w:rsidP="00EA514B">
            <w:pPr>
              <w:pStyle w:val="AnnexTableCellLeft"/>
              <w:jc w:val="center"/>
            </w:pPr>
            <w:r>
              <w:t>Basert på omsetning</w:t>
            </w:r>
          </w:p>
        </w:tc>
        <w:tc>
          <w:tcPr>
            <w:tcW w:w="1160" w:type="dxa"/>
            <w:tcBorders>
              <w:top w:val="single" w:sz="4" w:space="0" w:color="auto"/>
            </w:tcBorders>
            <w:tcMar>
              <w:top w:w="40" w:type="dxa"/>
              <w:bottom w:w="40" w:type="dxa"/>
              <w:right w:w="0" w:type="dxa"/>
            </w:tcMar>
            <w:vAlign w:val="center"/>
          </w:tcPr>
          <w:p w14:paraId="3B3EF0D0" w14:textId="77777777" w:rsidR="00EA514B" w:rsidRDefault="00EA514B" w:rsidP="00EA514B">
            <w:pPr>
              <w:pStyle w:val="AnnexTableCellLeft"/>
              <w:jc w:val="center"/>
            </w:pPr>
            <w:r>
              <w:t>%</w:t>
            </w:r>
          </w:p>
          <w:p w14:paraId="78A94163" w14:textId="77777777" w:rsidR="00EA514B" w:rsidRDefault="00EA514B" w:rsidP="00EA514B">
            <w:pPr>
              <w:pStyle w:val="AnnexTableCellLeft"/>
              <w:jc w:val="center"/>
            </w:pPr>
            <w:r>
              <w:t>Basert på investeringsutgifter</w:t>
            </w:r>
          </w:p>
          <w:p w14:paraId="103E6D67" w14:textId="080A534F" w:rsidR="00EA514B" w:rsidRDefault="00EA514B" w:rsidP="00EA514B">
            <w:pPr>
              <w:pStyle w:val="AnnexTableCellLeft"/>
              <w:jc w:val="center"/>
            </w:pPr>
          </w:p>
        </w:tc>
      </w:tr>
      <w:tr w:rsidR="00EA514B" w14:paraId="2464F15E" w14:textId="77777777" w:rsidTr="003B1B62">
        <w:tc>
          <w:tcPr>
            <w:tcW w:w="600" w:type="dxa"/>
            <w:tcMar>
              <w:top w:w="40" w:type="dxa"/>
              <w:left w:w="0" w:type="dxa"/>
              <w:bottom w:w="40" w:type="dxa"/>
            </w:tcMar>
          </w:tcPr>
          <w:p w14:paraId="4AD09ECC" w14:textId="77777777" w:rsidR="00EA514B" w:rsidRDefault="00EA514B" w:rsidP="00EA514B">
            <w:pPr>
              <w:pStyle w:val="AnnexTableCellLeft"/>
              <w:jc w:val="center"/>
            </w:pPr>
            <w:r>
              <w:t>3</w:t>
            </w:r>
          </w:p>
        </w:tc>
        <w:tc>
          <w:tcPr>
            <w:tcW w:w="6500" w:type="dxa"/>
            <w:tcMar>
              <w:top w:w="40" w:type="dxa"/>
              <w:bottom w:w="40" w:type="dxa"/>
            </w:tcMar>
          </w:tcPr>
          <w:p w14:paraId="4068C79C" w14:textId="77777777" w:rsidR="00EA514B" w:rsidRPr="00EA514B" w:rsidRDefault="00EA514B" w:rsidP="003B1B62">
            <w:pPr>
              <w:pStyle w:val="AnnexTableCellLeft"/>
              <w:rPr>
                <w:b/>
              </w:rPr>
            </w:pPr>
            <w:r>
              <w:rPr>
                <w:b/>
              </w:rPr>
              <w:t>Omfattet av taksonomien</w:t>
            </w:r>
          </w:p>
        </w:tc>
        <w:tc>
          <w:tcPr>
            <w:tcW w:w="1000" w:type="dxa"/>
            <w:tcMar>
              <w:top w:w="40" w:type="dxa"/>
              <w:bottom w:w="40" w:type="dxa"/>
            </w:tcMar>
          </w:tcPr>
          <w:p w14:paraId="0EBE7ACD"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3C79B6C1" w14:textId="77777777" w:rsidR="00EA514B" w:rsidRDefault="00EA514B" w:rsidP="00EA514B">
            <w:pPr>
              <w:pStyle w:val="AnnexTableCellLeft"/>
              <w:jc w:val="center"/>
            </w:pPr>
          </w:p>
        </w:tc>
      </w:tr>
      <w:tr w:rsidR="00EA514B" w14:paraId="2982F64D" w14:textId="77777777" w:rsidTr="003B1B62">
        <w:tc>
          <w:tcPr>
            <w:tcW w:w="600" w:type="dxa"/>
            <w:tcMar>
              <w:top w:w="40" w:type="dxa"/>
              <w:left w:w="0" w:type="dxa"/>
              <w:bottom w:w="40" w:type="dxa"/>
            </w:tcMar>
          </w:tcPr>
          <w:p w14:paraId="4F8C622A" w14:textId="77777777" w:rsidR="00EA514B" w:rsidRDefault="00EA514B" w:rsidP="00EA514B">
            <w:pPr>
              <w:pStyle w:val="AnnexTableCellLeft"/>
              <w:jc w:val="center"/>
            </w:pPr>
            <w:r>
              <w:t>4</w:t>
            </w:r>
          </w:p>
        </w:tc>
        <w:tc>
          <w:tcPr>
            <w:tcW w:w="6500" w:type="dxa"/>
            <w:tcMar>
              <w:top w:w="40" w:type="dxa"/>
              <w:bottom w:w="40" w:type="dxa"/>
            </w:tcMar>
          </w:tcPr>
          <w:p w14:paraId="579EB5E1" w14:textId="77777777" w:rsidR="00EA514B" w:rsidRPr="00EA514B" w:rsidRDefault="00EA514B" w:rsidP="00EA514B">
            <w:pPr>
              <w:pStyle w:val="AnnexTableCellLeft"/>
              <w:ind w:left="200"/>
            </w:pPr>
            <w:r>
              <w:t>Kjernefysiske aktiviteter (1)</w:t>
            </w:r>
          </w:p>
        </w:tc>
        <w:tc>
          <w:tcPr>
            <w:tcW w:w="1000" w:type="dxa"/>
            <w:tcMar>
              <w:top w:w="40" w:type="dxa"/>
              <w:bottom w:w="40" w:type="dxa"/>
            </w:tcMar>
          </w:tcPr>
          <w:p w14:paraId="7EB463A8"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69602BF3" w14:textId="77777777" w:rsidR="00EA514B" w:rsidRDefault="00EA514B" w:rsidP="00EA514B">
            <w:pPr>
              <w:pStyle w:val="AnnexTableCellLeft"/>
              <w:jc w:val="center"/>
            </w:pPr>
          </w:p>
        </w:tc>
      </w:tr>
      <w:tr w:rsidR="00EA514B" w14:paraId="4CF927D4" w14:textId="77777777" w:rsidTr="003B1B62">
        <w:tc>
          <w:tcPr>
            <w:tcW w:w="600" w:type="dxa"/>
            <w:tcMar>
              <w:top w:w="40" w:type="dxa"/>
              <w:left w:w="0" w:type="dxa"/>
              <w:bottom w:w="40" w:type="dxa"/>
            </w:tcMar>
          </w:tcPr>
          <w:p w14:paraId="202FA677" w14:textId="77777777" w:rsidR="00EA514B" w:rsidRDefault="00EA514B" w:rsidP="00EA514B">
            <w:pPr>
              <w:pStyle w:val="AnnexTableCellLeft"/>
              <w:jc w:val="center"/>
            </w:pPr>
            <w:r>
              <w:t>5</w:t>
            </w:r>
          </w:p>
        </w:tc>
        <w:tc>
          <w:tcPr>
            <w:tcW w:w="6500" w:type="dxa"/>
            <w:tcMar>
              <w:top w:w="40" w:type="dxa"/>
              <w:bottom w:w="40" w:type="dxa"/>
            </w:tcMar>
          </w:tcPr>
          <w:p w14:paraId="5F11E970" w14:textId="77777777" w:rsidR="00EA514B" w:rsidRPr="00EA514B" w:rsidRDefault="00EA514B" w:rsidP="00EA514B">
            <w:pPr>
              <w:pStyle w:val="AnnexTableCellLeft"/>
              <w:ind w:left="200"/>
            </w:pPr>
            <w:r>
              <w:t>Fossilgassaktiviteter (2)</w:t>
            </w:r>
          </w:p>
        </w:tc>
        <w:tc>
          <w:tcPr>
            <w:tcW w:w="1000" w:type="dxa"/>
            <w:tcMar>
              <w:top w:w="40" w:type="dxa"/>
              <w:bottom w:w="40" w:type="dxa"/>
            </w:tcMar>
          </w:tcPr>
          <w:p w14:paraId="4D354F18"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11282AA8" w14:textId="77777777" w:rsidR="00EA514B" w:rsidRDefault="00EA514B" w:rsidP="00EA514B">
            <w:pPr>
              <w:pStyle w:val="AnnexTableCellLeft"/>
              <w:jc w:val="center"/>
            </w:pPr>
          </w:p>
        </w:tc>
      </w:tr>
      <w:tr w:rsidR="00EA514B" w14:paraId="2010EDDE" w14:textId="77777777" w:rsidTr="003B1B62">
        <w:tc>
          <w:tcPr>
            <w:tcW w:w="600" w:type="dxa"/>
            <w:tcMar>
              <w:top w:w="40" w:type="dxa"/>
              <w:left w:w="0" w:type="dxa"/>
              <w:bottom w:w="40" w:type="dxa"/>
            </w:tcMar>
          </w:tcPr>
          <w:p w14:paraId="0D79BDB8" w14:textId="77777777" w:rsidR="00EA514B" w:rsidRDefault="00EA514B" w:rsidP="00EA514B">
            <w:pPr>
              <w:pStyle w:val="AnnexTableCellLeft"/>
              <w:jc w:val="center"/>
            </w:pPr>
            <w:r>
              <w:t>6</w:t>
            </w:r>
          </w:p>
        </w:tc>
        <w:tc>
          <w:tcPr>
            <w:tcW w:w="6500" w:type="dxa"/>
            <w:tcMar>
              <w:top w:w="40" w:type="dxa"/>
              <w:bottom w:w="40" w:type="dxa"/>
            </w:tcMar>
          </w:tcPr>
          <w:p w14:paraId="126FFD2F" w14:textId="77777777" w:rsidR="00EA514B" w:rsidRPr="00EA514B" w:rsidRDefault="00EA514B" w:rsidP="003B1B62">
            <w:pPr>
              <w:pStyle w:val="AnnexTableCellLeft"/>
              <w:rPr>
                <w:b/>
              </w:rPr>
            </w:pPr>
            <w:r>
              <w:rPr>
                <w:b/>
              </w:rPr>
              <w:t>Taksonomiforenlige</w:t>
            </w:r>
          </w:p>
        </w:tc>
        <w:tc>
          <w:tcPr>
            <w:tcW w:w="1000" w:type="dxa"/>
            <w:tcMar>
              <w:top w:w="40" w:type="dxa"/>
              <w:bottom w:w="40" w:type="dxa"/>
            </w:tcMar>
          </w:tcPr>
          <w:p w14:paraId="6D50B688"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4C778407" w14:textId="77777777" w:rsidR="00EA514B" w:rsidRDefault="00EA514B" w:rsidP="00EA514B">
            <w:pPr>
              <w:pStyle w:val="AnnexTableCellLeft"/>
              <w:jc w:val="center"/>
            </w:pPr>
          </w:p>
        </w:tc>
      </w:tr>
      <w:tr w:rsidR="00EA514B" w14:paraId="45CE0D68" w14:textId="77777777" w:rsidTr="003B1B62">
        <w:tc>
          <w:tcPr>
            <w:tcW w:w="600" w:type="dxa"/>
            <w:tcMar>
              <w:top w:w="40" w:type="dxa"/>
              <w:left w:w="0" w:type="dxa"/>
              <w:bottom w:w="40" w:type="dxa"/>
            </w:tcMar>
          </w:tcPr>
          <w:p w14:paraId="448211A6" w14:textId="77777777" w:rsidR="00EA514B" w:rsidRDefault="00EA514B" w:rsidP="00EA514B">
            <w:pPr>
              <w:pStyle w:val="AnnexTableCellLeft"/>
              <w:jc w:val="center"/>
            </w:pPr>
            <w:r>
              <w:t>7</w:t>
            </w:r>
          </w:p>
        </w:tc>
        <w:tc>
          <w:tcPr>
            <w:tcW w:w="6500" w:type="dxa"/>
            <w:tcMar>
              <w:top w:w="40" w:type="dxa"/>
              <w:bottom w:w="40" w:type="dxa"/>
            </w:tcMar>
          </w:tcPr>
          <w:p w14:paraId="4CEBE964" w14:textId="77777777" w:rsidR="00EA514B" w:rsidRPr="00EA514B" w:rsidRDefault="00EA514B" w:rsidP="00EA514B">
            <w:pPr>
              <w:pStyle w:val="AnnexTableCellLeft"/>
              <w:ind w:left="200"/>
            </w:pPr>
            <w:r>
              <w:t>Foretak som er omfattet av artikkel 19a og 29a i direktiv 2013/34/EU</w:t>
            </w:r>
          </w:p>
        </w:tc>
        <w:tc>
          <w:tcPr>
            <w:tcW w:w="1000" w:type="dxa"/>
            <w:tcMar>
              <w:top w:w="40" w:type="dxa"/>
              <w:bottom w:w="40" w:type="dxa"/>
            </w:tcMar>
          </w:tcPr>
          <w:p w14:paraId="1165843D"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7E8EC2A4" w14:textId="77777777" w:rsidR="00EA514B" w:rsidRDefault="00EA514B" w:rsidP="00EA514B">
            <w:pPr>
              <w:pStyle w:val="AnnexTableCellLeft"/>
              <w:jc w:val="center"/>
            </w:pPr>
          </w:p>
        </w:tc>
      </w:tr>
      <w:tr w:rsidR="00EA514B" w14:paraId="186FF75F" w14:textId="77777777" w:rsidTr="003B1B62">
        <w:tc>
          <w:tcPr>
            <w:tcW w:w="600" w:type="dxa"/>
            <w:tcMar>
              <w:top w:w="40" w:type="dxa"/>
              <w:left w:w="0" w:type="dxa"/>
              <w:bottom w:w="40" w:type="dxa"/>
            </w:tcMar>
          </w:tcPr>
          <w:p w14:paraId="0CE52421" w14:textId="77777777" w:rsidR="00EA514B" w:rsidRDefault="00EA514B" w:rsidP="00EA514B">
            <w:pPr>
              <w:pStyle w:val="AnnexTableCellLeft"/>
              <w:jc w:val="center"/>
            </w:pPr>
            <w:r>
              <w:t>8</w:t>
            </w:r>
          </w:p>
        </w:tc>
        <w:tc>
          <w:tcPr>
            <w:tcW w:w="6500" w:type="dxa"/>
            <w:tcMar>
              <w:top w:w="40" w:type="dxa"/>
              <w:bottom w:w="40" w:type="dxa"/>
            </w:tcMar>
          </w:tcPr>
          <w:p w14:paraId="4DA7B531" w14:textId="77777777" w:rsidR="00EA514B" w:rsidRPr="00EA514B" w:rsidRDefault="00EA514B" w:rsidP="00EA514B">
            <w:pPr>
              <w:pStyle w:val="AnnexTableCellLeft"/>
              <w:ind w:left="400"/>
            </w:pPr>
            <w:r>
              <w:t>hvorav ikke-finansielle foretak</w:t>
            </w:r>
          </w:p>
        </w:tc>
        <w:tc>
          <w:tcPr>
            <w:tcW w:w="1000" w:type="dxa"/>
            <w:tcMar>
              <w:top w:w="40" w:type="dxa"/>
              <w:bottom w:w="40" w:type="dxa"/>
            </w:tcMar>
          </w:tcPr>
          <w:p w14:paraId="35DF0346"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478D728A" w14:textId="77777777" w:rsidR="00EA514B" w:rsidRDefault="00EA514B" w:rsidP="00EA514B">
            <w:pPr>
              <w:pStyle w:val="AnnexTableCellLeft"/>
              <w:jc w:val="center"/>
            </w:pPr>
          </w:p>
        </w:tc>
      </w:tr>
      <w:tr w:rsidR="00EA514B" w14:paraId="3FB2A5CA" w14:textId="77777777" w:rsidTr="003B1B62">
        <w:tc>
          <w:tcPr>
            <w:tcW w:w="600" w:type="dxa"/>
            <w:tcMar>
              <w:top w:w="40" w:type="dxa"/>
              <w:left w:w="0" w:type="dxa"/>
              <w:bottom w:w="40" w:type="dxa"/>
            </w:tcMar>
          </w:tcPr>
          <w:p w14:paraId="1A71A5D2" w14:textId="77777777" w:rsidR="00EA514B" w:rsidRDefault="00EA514B" w:rsidP="00EA514B">
            <w:pPr>
              <w:pStyle w:val="AnnexTableCellLeft"/>
              <w:jc w:val="center"/>
            </w:pPr>
            <w:r>
              <w:t>9</w:t>
            </w:r>
          </w:p>
        </w:tc>
        <w:tc>
          <w:tcPr>
            <w:tcW w:w="6500" w:type="dxa"/>
            <w:tcMar>
              <w:top w:w="40" w:type="dxa"/>
              <w:bottom w:w="40" w:type="dxa"/>
            </w:tcMar>
          </w:tcPr>
          <w:p w14:paraId="14F32682" w14:textId="77777777" w:rsidR="00EA514B" w:rsidRPr="00EA514B" w:rsidRDefault="00EA514B" w:rsidP="00EA514B">
            <w:pPr>
              <w:pStyle w:val="AnnexTableCellLeft"/>
              <w:ind w:left="400"/>
            </w:pPr>
            <w:r>
              <w:t>hvorav finansforetak</w:t>
            </w:r>
          </w:p>
        </w:tc>
        <w:tc>
          <w:tcPr>
            <w:tcW w:w="1000" w:type="dxa"/>
            <w:tcMar>
              <w:top w:w="40" w:type="dxa"/>
              <w:bottom w:w="40" w:type="dxa"/>
            </w:tcMar>
          </w:tcPr>
          <w:p w14:paraId="4F190C10"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0EF09C8E" w14:textId="77777777" w:rsidR="00EA514B" w:rsidRDefault="00EA514B" w:rsidP="00EA514B">
            <w:pPr>
              <w:pStyle w:val="AnnexTableCellLeft"/>
              <w:jc w:val="center"/>
            </w:pPr>
          </w:p>
        </w:tc>
      </w:tr>
      <w:tr w:rsidR="00EA514B" w14:paraId="5685ED68" w14:textId="77777777" w:rsidTr="003B1B62">
        <w:tc>
          <w:tcPr>
            <w:tcW w:w="600" w:type="dxa"/>
            <w:tcMar>
              <w:top w:w="40" w:type="dxa"/>
              <w:left w:w="0" w:type="dxa"/>
              <w:bottom w:w="40" w:type="dxa"/>
            </w:tcMar>
          </w:tcPr>
          <w:p w14:paraId="438F04AF" w14:textId="77777777" w:rsidR="00EA514B" w:rsidRDefault="00EA514B" w:rsidP="00EA514B">
            <w:pPr>
              <w:pStyle w:val="AnnexTableCellLeft"/>
              <w:jc w:val="center"/>
            </w:pPr>
            <w:r>
              <w:t>10</w:t>
            </w:r>
          </w:p>
        </w:tc>
        <w:tc>
          <w:tcPr>
            <w:tcW w:w="6500" w:type="dxa"/>
            <w:tcMar>
              <w:top w:w="40" w:type="dxa"/>
              <w:bottom w:w="40" w:type="dxa"/>
            </w:tcMar>
          </w:tcPr>
          <w:p w14:paraId="60B3804B" w14:textId="77777777" w:rsidR="00EA514B" w:rsidRPr="00EA514B" w:rsidRDefault="00EA514B" w:rsidP="00EA514B">
            <w:pPr>
              <w:pStyle w:val="AnnexTableCellLeft"/>
              <w:ind w:left="200"/>
            </w:pPr>
            <w:r>
              <w:t>Andre omfattede motparter og annen omfattet fast eiendom</w:t>
            </w:r>
          </w:p>
        </w:tc>
        <w:tc>
          <w:tcPr>
            <w:tcW w:w="1000" w:type="dxa"/>
            <w:tcMar>
              <w:top w:w="40" w:type="dxa"/>
              <w:bottom w:w="40" w:type="dxa"/>
            </w:tcMar>
          </w:tcPr>
          <w:p w14:paraId="614DAB77"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7BB7D57C" w14:textId="77777777" w:rsidR="00EA514B" w:rsidRDefault="00EA514B" w:rsidP="00EA514B">
            <w:pPr>
              <w:pStyle w:val="AnnexTableCellLeft"/>
              <w:jc w:val="center"/>
            </w:pPr>
          </w:p>
        </w:tc>
      </w:tr>
      <w:tr w:rsidR="00EA514B" w14:paraId="1F35EEAA" w14:textId="77777777" w:rsidTr="003B1B62">
        <w:tc>
          <w:tcPr>
            <w:tcW w:w="600" w:type="dxa"/>
            <w:tcMar>
              <w:top w:w="40" w:type="dxa"/>
              <w:left w:w="0" w:type="dxa"/>
              <w:bottom w:w="40" w:type="dxa"/>
            </w:tcMar>
          </w:tcPr>
          <w:p w14:paraId="6AF19641" w14:textId="77777777" w:rsidR="00EA514B" w:rsidRDefault="00EA514B" w:rsidP="00EA514B">
            <w:pPr>
              <w:pStyle w:val="AnnexTableCellLeft"/>
              <w:jc w:val="center"/>
            </w:pPr>
            <w:r>
              <w:t>11</w:t>
            </w:r>
          </w:p>
        </w:tc>
        <w:tc>
          <w:tcPr>
            <w:tcW w:w="6500" w:type="dxa"/>
            <w:tcMar>
              <w:top w:w="40" w:type="dxa"/>
              <w:bottom w:w="40" w:type="dxa"/>
            </w:tcMar>
          </w:tcPr>
          <w:p w14:paraId="511E35E5" w14:textId="77777777" w:rsidR="00EA514B" w:rsidRPr="00EA514B" w:rsidRDefault="00EA514B" w:rsidP="00EA514B">
            <w:pPr>
              <w:pStyle w:val="AnnexTableCellLeft"/>
              <w:ind w:left="200"/>
            </w:pPr>
            <w:r>
              <w:t>Eksponeringer som tas med på frivillig grunnlag (3)</w:t>
            </w:r>
          </w:p>
        </w:tc>
        <w:tc>
          <w:tcPr>
            <w:tcW w:w="1000" w:type="dxa"/>
            <w:tcMar>
              <w:top w:w="40" w:type="dxa"/>
              <w:bottom w:w="40" w:type="dxa"/>
            </w:tcMar>
          </w:tcPr>
          <w:p w14:paraId="0F067CD1"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06EF239D" w14:textId="77777777" w:rsidR="00EA514B" w:rsidRDefault="00EA514B" w:rsidP="00EA514B">
            <w:pPr>
              <w:pStyle w:val="AnnexTableCellLeft"/>
              <w:jc w:val="center"/>
            </w:pPr>
          </w:p>
        </w:tc>
      </w:tr>
      <w:tr w:rsidR="00EA514B" w14:paraId="78CB3ABA" w14:textId="77777777" w:rsidTr="003B1B62">
        <w:tc>
          <w:tcPr>
            <w:tcW w:w="600" w:type="dxa"/>
            <w:tcMar>
              <w:top w:w="40" w:type="dxa"/>
              <w:left w:w="0" w:type="dxa"/>
              <w:bottom w:w="40" w:type="dxa"/>
            </w:tcMar>
          </w:tcPr>
          <w:p w14:paraId="7311C52C" w14:textId="77777777" w:rsidR="00EA514B" w:rsidRDefault="00EA514B" w:rsidP="00EA514B">
            <w:pPr>
              <w:pStyle w:val="AnnexTableCellLeft"/>
              <w:jc w:val="center"/>
            </w:pPr>
            <w:r>
              <w:t>12</w:t>
            </w:r>
          </w:p>
        </w:tc>
        <w:tc>
          <w:tcPr>
            <w:tcW w:w="6500" w:type="dxa"/>
            <w:tcMar>
              <w:top w:w="40" w:type="dxa"/>
              <w:bottom w:w="40" w:type="dxa"/>
            </w:tcMar>
          </w:tcPr>
          <w:p w14:paraId="0BC62BE3" w14:textId="77777777" w:rsidR="00EA514B" w:rsidRPr="00EA514B" w:rsidRDefault="00EA514B" w:rsidP="00EA514B">
            <w:pPr>
              <w:pStyle w:val="AnnexTableCellLeft"/>
              <w:ind w:left="200"/>
            </w:pPr>
            <w:r>
              <w:t>Omstillingsaktiviteter</w:t>
            </w:r>
          </w:p>
        </w:tc>
        <w:tc>
          <w:tcPr>
            <w:tcW w:w="1000" w:type="dxa"/>
            <w:tcMar>
              <w:top w:w="40" w:type="dxa"/>
              <w:bottom w:w="40" w:type="dxa"/>
            </w:tcMar>
          </w:tcPr>
          <w:p w14:paraId="4C8E6387"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0D8D1780" w14:textId="77777777" w:rsidR="00EA514B" w:rsidRDefault="00EA514B" w:rsidP="00EA514B">
            <w:pPr>
              <w:pStyle w:val="AnnexTableCellLeft"/>
              <w:jc w:val="center"/>
            </w:pPr>
          </w:p>
        </w:tc>
      </w:tr>
      <w:tr w:rsidR="00EA514B" w14:paraId="623B2941" w14:textId="77777777" w:rsidTr="003B1B62">
        <w:tc>
          <w:tcPr>
            <w:tcW w:w="600" w:type="dxa"/>
            <w:tcMar>
              <w:top w:w="40" w:type="dxa"/>
              <w:left w:w="0" w:type="dxa"/>
              <w:bottom w:w="40" w:type="dxa"/>
            </w:tcMar>
          </w:tcPr>
          <w:p w14:paraId="2798D860" w14:textId="77777777" w:rsidR="00EA514B" w:rsidRDefault="00EA514B" w:rsidP="00EA514B">
            <w:pPr>
              <w:pStyle w:val="AnnexTableCellLeft"/>
              <w:jc w:val="center"/>
            </w:pPr>
            <w:r>
              <w:t>13</w:t>
            </w:r>
          </w:p>
        </w:tc>
        <w:tc>
          <w:tcPr>
            <w:tcW w:w="6500" w:type="dxa"/>
            <w:tcMar>
              <w:top w:w="40" w:type="dxa"/>
              <w:bottom w:w="40" w:type="dxa"/>
            </w:tcMar>
          </w:tcPr>
          <w:p w14:paraId="2DB19672" w14:textId="77777777" w:rsidR="00EA514B" w:rsidRPr="00EA514B" w:rsidRDefault="00EA514B" w:rsidP="00EA514B">
            <w:pPr>
              <w:pStyle w:val="AnnexTableCellLeft"/>
              <w:ind w:left="200"/>
            </w:pPr>
            <w:r>
              <w:t>Muliggjørende aktiviteter</w:t>
            </w:r>
          </w:p>
        </w:tc>
        <w:tc>
          <w:tcPr>
            <w:tcW w:w="1000" w:type="dxa"/>
            <w:tcMar>
              <w:top w:w="40" w:type="dxa"/>
              <w:bottom w:w="40" w:type="dxa"/>
            </w:tcMar>
          </w:tcPr>
          <w:p w14:paraId="10E55667"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49306FBB" w14:textId="77777777" w:rsidR="00EA514B" w:rsidRDefault="00EA514B" w:rsidP="00EA514B">
            <w:pPr>
              <w:pStyle w:val="AnnexTableCellLeft"/>
              <w:jc w:val="center"/>
            </w:pPr>
          </w:p>
        </w:tc>
      </w:tr>
      <w:tr w:rsidR="00EA514B" w14:paraId="254C2D31" w14:textId="77777777" w:rsidTr="003B1B62">
        <w:tc>
          <w:tcPr>
            <w:tcW w:w="600" w:type="dxa"/>
            <w:tcMar>
              <w:top w:w="40" w:type="dxa"/>
              <w:left w:w="0" w:type="dxa"/>
              <w:bottom w:w="40" w:type="dxa"/>
            </w:tcMar>
          </w:tcPr>
          <w:p w14:paraId="12AA9807" w14:textId="77777777" w:rsidR="00EA514B" w:rsidRDefault="00EA514B" w:rsidP="00EA514B">
            <w:pPr>
              <w:pStyle w:val="AnnexTableCellLeft"/>
              <w:jc w:val="center"/>
            </w:pPr>
            <w:r>
              <w:t>14</w:t>
            </w:r>
          </w:p>
        </w:tc>
        <w:tc>
          <w:tcPr>
            <w:tcW w:w="6500" w:type="dxa"/>
            <w:tcMar>
              <w:top w:w="40" w:type="dxa"/>
              <w:bottom w:w="40" w:type="dxa"/>
            </w:tcMar>
          </w:tcPr>
          <w:p w14:paraId="35971039" w14:textId="77777777" w:rsidR="00EA514B" w:rsidRPr="00EA514B" w:rsidRDefault="00EA514B" w:rsidP="00EA514B">
            <w:pPr>
              <w:pStyle w:val="AnnexTableCellLeft"/>
              <w:ind w:left="200"/>
            </w:pPr>
            <w:r>
              <w:t>Kjernefysiske aktiviteter (1)</w:t>
            </w:r>
          </w:p>
        </w:tc>
        <w:tc>
          <w:tcPr>
            <w:tcW w:w="1000" w:type="dxa"/>
            <w:tcMar>
              <w:top w:w="40" w:type="dxa"/>
              <w:bottom w:w="40" w:type="dxa"/>
            </w:tcMar>
          </w:tcPr>
          <w:p w14:paraId="7F561FB6"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260B947C" w14:textId="77777777" w:rsidR="00EA514B" w:rsidRDefault="00EA514B" w:rsidP="00EA514B">
            <w:pPr>
              <w:pStyle w:val="AnnexTableCellLeft"/>
              <w:jc w:val="center"/>
            </w:pPr>
          </w:p>
        </w:tc>
      </w:tr>
      <w:tr w:rsidR="00EA514B" w14:paraId="037A522A" w14:textId="77777777" w:rsidTr="003B1B62">
        <w:tc>
          <w:tcPr>
            <w:tcW w:w="600" w:type="dxa"/>
            <w:tcMar>
              <w:top w:w="40" w:type="dxa"/>
              <w:left w:w="0" w:type="dxa"/>
              <w:bottom w:w="40" w:type="dxa"/>
            </w:tcMar>
          </w:tcPr>
          <w:p w14:paraId="766E89F6" w14:textId="77777777" w:rsidR="00EA514B" w:rsidRDefault="00EA514B" w:rsidP="00EA514B">
            <w:pPr>
              <w:pStyle w:val="AnnexTableCellLeft"/>
              <w:jc w:val="center"/>
            </w:pPr>
            <w:r>
              <w:t>15</w:t>
            </w:r>
          </w:p>
        </w:tc>
        <w:tc>
          <w:tcPr>
            <w:tcW w:w="6500" w:type="dxa"/>
            <w:tcMar>
              <w:top w:w="40" w:type="dxa"/>
              <w:bottom w:w="40" w:type="dxa"/>
            </w:tcMar>
          </w:tcPr>
          <w:p w14:paraId="09AFA86B" w14:textId="77777777" w:rsidR="00EA514B" w:rsidRPr="00EA514B" w:rsidRDefault="00EA514B" w:rsidP="00EA514B">
            <w:pPr>
              <w:pStyle w:val="AnnexTableCellLeft"/>
              <w:ind w:left="200"/>
            </w:pPr>
            <w:r>
              <w:t>Fossilgassaktiviteter (2)</w:t>
            </w:r>
          </w:p>
        </w:tc>
        <w:tc>
          <w:tcPr>
            <w:tcW w:w="1000" w:type="dxa"/>
            <w:tcMar>
              <w:top w:w="40" w:type="dxa"/>
              <w:bottom w:w="40" w:type="dxa"/>
            </w:tcMar>
          </w:tcPr>
          <w:p w14:paraId="32DCC2B3"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5A261ED9" w14:textId="77777777" w:rsidR="00EA514B" w:rsidRDefault="00EA514B" w:rsidP="00EA514B">
            <w:pPr>
              <w:pStyle w:val="AnnexTableCellLeft"/>
              <w:jc w:val="center"/>
            </w:pPr>
          </w:p>
        </w:tc>
      </w:tr>
      <w:tr w:rsidR="00EA514B" w14:paraId="1CFEA835" w14:textId="77777777" w:rsidTr="003B1B62">
        <w:tc>
          <w:tcPr>
            <w:tcW w:w="600" w:type="dxa"/>
            <w:tcMar>
              <w:top w:w="40" w:type="dxa"/>
              <w:left w:w="0" w:type="dxa"/>
              <w:bottom w:w="40" w:type="dxa"/>
            </w:tcMar>
            <w:vAlign w:val="center"/>
          </w:tcPr>
          <w:p w14:paraId="06AEB4E2" w14:textId="77777777" w:rsidR="00EA514B" w:rsidRDefault="00EA514B" w:rsidP="003B1B62">
            <w:pPr>
              <w:pStyle w:val="AnnexTableCellLeft"/>
              <w:jc w:val="center"/>
            </w:pPr>
          </w:p>
        </w:tc>
        <w:tc>
          <w:tcPr>
            <w:tcW w:w="6500" w:type="dxa"/>
            <w:tcMar>
              <w:top w:w="40" w:type="dxa"/>
              <w:bottom w:w="40" w:type="dxa"/>
            </w:tcMar>
            <w:vAlign w:val="center"/>
          </w:tcPr>
          <w:p w14:paraId="775DE83D" w14:textId="77777777" w:rsidR="00EA514B" w:rsidRPr="00EA514B" w:rsidRDefault="00EA514B" w:rsidP="00EA514B">
            <w:pPr>
              <w:pStyle w:val="AnnexTableCellLeft"/>
              <w:jc w:val="left"/>
              <w:rPr>
                <w:b/>
              </w:rPr>
            </w:pPr>
            <w:r>
              <w:rPr>
                <w:b/>
              </w:rPr>
              <w:t>Taksonomiforenlighet per mål</w:t>
            </w:r>
          </w:p>
        </w:tc>
        <w:tc>
          <w:tcPr>
            <w:tcW w:w="1000" w:type="dxa"/>
            <w:tcMar>
              <w:top w:w="40" w:type="dxa"/>
              <w:bottom w:w="40" w:type="dxa"/>
            </w:tcMar>
            <w:vAlign w:val="center"/>
          </w:tcPr>
          <w:p w14:paraId="68A35775" w14:textId="77777777" w:rsidR="00EA514B" w:rsidRDefault="00EA514B" w:rsidP="003B1B62">
            <w:pPr>
              <w:pStyle w:val="AnnexTableCellLeft"/>
              <w:jc w:val="center"/>
            </w:pPr>
            <w:r>
              <w:t>%</w:t>
            </w:r>
          </w:p>
          <w:p w14:paraId="5D5F018A" w14:textId="77777777" w:rsidR="00EA514B" w:rsidRPr="00EA514B" w:rsidRDefault="00EA514B" w:rsidP="003B1B62">
            <w:pPr>
              <w:pStyle w:val="AnnexTableCellLeft"/>
              <w:jc w:val="center"/>
            </w:pPr>
            <w:r>
              <w:t>Basert på omsetning</w:t>
            </w:r>
          </w:p>
        </w:tc>
        <w:tc>
          <w:tcPr>
            <w:tcW w:w="1160" w:type="dxa"/>
            <w:tcBorders>
              <w:top w:val="single" w:sz="4" w:space="0" w:color="auto"/>
            </w:tcBorders>
            <w:tcMar>
              <w:top w:w="40" w:type="dxa"/>
              <w:bottom w:w="40" w:type="dxa"/>
              <w:right w:w="0" w:type="dxa"/>
            </w:tcMar>
            <w:vAlign w:val="center"/>
          </w:tcPr>
          <w:p w14:paraId="20CAE367" w14:textId="77777777" w:rsidR="00EA514B" w:rsidRDefault="00EA514B" w:rsidP="003B1B62">
            <w:pPr>
              <w:pStyle w:val="AnnexTableCellLeft"/>
              <w:jc w:val="center"/>
            </w:pPr>
            <w:r>
              <w:t>%</w:t>
            </w:r>
          </w:p>
          <w:p w14:paraId="228298D9" w14:textId="77777777" w:rsidR="00EA514B" w:rsidRDefault="00EA514B" w:rsidP="003B1B62">
            <w:pPr>
              <w:pStyle w:val="AnnexTableCellLeft"/>
              <w:jc w:val="center"/>
            </w:pPr>
            <w:r>
              <w:t>Basert på investeringsutgifter</w:t>
            </w:r>
          </w:p>
          <w:p w14:paraId="072E79AD" w14:textId="0F2AB453" w:rsidR="00EA514B" w:rsidRDefault="00EA514B" w:rsidP="003B1B62">
            <w:pPr>
              <w:pStyle w:val="AnnexTableCellLeft"/>
              <w:jc w:val="center"/>
            </w:pPr>
          </w:p>
        </w:tc>
      </w:tr>
      <w:tr w:rsidR="00EA514B" w14:paraId="6F0F6D28" w14:textId="77777777" w:rsidTr="003B1B62">
        <w:tc>
          <w:tcPr>
            <w:tcW w:w="600" w:type="dxa"/>
            <w:tcMar>
              <w:top w:w="40" w:type="dxa"/>
              <w:left w:w="0" w:type="dxa"/>
              <w:bottom w:w="40" w:type="dxa"/>
            </w:tcMar>
          </w:tcPr>
          <w:p w14:paraId="7087C23B" w14:textId="77777777" w:rsidR="00EA514B" w:rsidRDefault="00EA514B" w:rsidP="00EA514B">
            <w:pPr>
              <w:pStyle w:val="AnnexTableCellLeft"/>
              <w:jc w:val="center"/>
            </w:pPr>
            <w:r>
              <w:t>16</w:t>
            </w:r>
          </w:p>
        </w:tc>
        <w:tc>
          <w:tcPr>
            <w:tcW w:w="6500" w:type="dxa"/>
            <w:tcMar>
              <w:top w:w="40" w:type="dxa"/>
              <w:bottom w:w="40" w:type="dxa"/>
            </w:tcMar>
          </w:tcPr>
          <w:p w14:paraId="23334E7E" w14:textId="77777777" w:rsidR="00EA514B" w:rsidRPr="00EA514B" w:rsidRDefault="00EA514B" w:rsidP="00EA514B">
            <w:pPr>
              <w:pStyle w:val="AnnexTableCellLeft"/>
              <w:ind w:left="200"/>
            </w:pPr>
            <w:r>
              <w:t>Begrensning av klimaendringer (CCM)</w:t>
            </w:r>
          </w:p>
        </w:tc>
        <w:tc>
          <w:tcPr>
            <w:tcW w:w="1000" w:type="dxa"/>
            <w:tcMar>
              <w:top w:w="40" w:type="dxa"/>
              <w:bottom w:w="40" w:type="dxa"/>
            </w:tcMar>
          </w:tcPr>
          <w:p w14:paraId="0256F166"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5C777D51" w14:textId="77777777" w:rsidR="00EA514B" w:rsidRDefault="00EA514B" w:rsidP="00EA514B">
            <w:pPr>
              <w:pStyle w:val="AnnexTableCellLeft"/>
              <w:jc w:val="center"/>
            </w:pPr>
          </w:p>
        </w:tc>
      </w:tr>
      <w:tr w:rsidR="00EA514B" w14:paraId="3EDE33E9" w14:textId="77777777" w:rsidTr="003B1B62">
        <w:tc>
          <w:tcPr>
            <w:tcW w:w="600" w:type="dxa"/>
            <w:tcMar>
              <w:top w:w="40" w:type="dxa"/>
              <w:left w:w="0" w:type="dxa"/>
              <w:bottom w:w="40" w:type="dxa"/>
            </w:tcMar>
          </w:tcPr>
          <w:p w14:paraId="3DDB9B7B" w14:textId="77777777" w:rsidR="00EA514B" w:rsidRDefault="00EA514B" w:rsidP="00EA514B">
            <w:pPr>
              <w:pStyle w:val="AnnexTableCellLeft"/>
              <w:jc w:val="center"/>
            </w:pPr>
            <w:r>
              <w:t>17</w:t>
            </w:r>
          </w:p>
        </w:tc>
        <w:tc>
          <w:tcPr>
            <w:tcW w:w="6500" w:type="dxa"/>
            <w:tcMar>
              <w:top w:w="40" w:type="dxa"/>
              <w:bottom w:w="40" w:type="dxa"/>
            </w:tcMar>
          </w:tcPr>
          <w:p w14:paraId="2CE89294" w14:textId="77777777" w:rsidR="00EA514B" w:rsidRPr="00EA514B" w:rsidRDefault="00EA514B" w:rsidP="00EA514B">
            <w:pPr>
              <w:pStyle w:val="AnnexTableCellLeft"/>
              <w:ind w:left="200"/>
            </w:pPr>
            <w:r>
              <w:t>Tilpasning til klimaendringer (CCA)</w:t>
            </w:r>
          </w:p>
        </w:tc>
        <w:tc>
          <w:tcPr>
            <w:tcW w:w="1000" w:type="dxa"/>
            <w:tcMar>
              <w:top w:w="40" w:type="dxa"/>
              <w:bottom w:w="40" w:type="dxa"/>
            </w:tcMar>
          </w:tcPr>
          <w:p w14:paraId="714C09E2"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0D24264E" w14:textId="77777777" w:rsidR="00EA514B" w:rsidRDefault="00EA514B" w:rsidP="00EA514B">
            <w:pPr>
              <w:pStyle w:val="AnnexTableCellLeft"/>
              <w:jc w:val="center"/>
            </w:pPr>
          </w:p>
        </w:tc>
      </w:tr>
      <w:tr w:rsidR="00EA514B" w14:paraId="427A8DD7" w14:textId="77777777" w:rsidTr="003B1B62">
        <w:tc>
          <w:tcPr>
            <w:tcW w:w="600" w:type="dxa"/>
            <w:tcMar>
              <w:top w:w="40" w:type="dxa"/>
              <w:left w:w="0" w:type="dxa"/>
              <w:bottom w:w="40" w:type="dxa"/>
            </w:tcMar>
          </w:tcPr>
          <w:p w14:paraId="6D7A469C" w14:textId="77777777" w:rsidR="00EA514B" w:rsidRDefault="00EA514B" w:rsidP="00EA514B">
            <w:pPr>
              <w:pStyle w:val="AnnexTableCellLeft"/>
              <w:jc w:val="center"/>
            </w:pPr>
            <w:r>
              <w:t>18</w:t>
            </w:r>
          </w:p>
        </w:tc>
        <w:tc>
          <w:tcPr>
            <w:tcW w:w="6500" w:type="dxa"/>
            <w:tcMar>
              <w:top w:w="40" w:type="dxa"/>
              <w:bottom w:w="40" w:type="dxa"/>
            </w:tcMar>
          </w:tcPr>
          <w:p w14:paraId="06F3CE21" w14:textId="77777777" w:rsidR="00EA514B" w:rsidRPr="00EA514B" w:rsidRDefault="00EA514B" w:rsidP="00EA514B">
            <w:pPr>
              <w:pStyle w:val="AnnexTableCellLeft"/>
              <w:ind w:left="200"/>
            </w:pPr>
            <w:r>
              <w:t>Vann- og havressurser (WTR)</w:t>
            </w:r>
          </w:p>
        </w:tc>
        <w:tc>
          <w:tcPr>
            <w:tcW w:w="1000" w:type="dxa"/>
            <w:tcMar>
              <w:top w:w="40" w:type="dxa"/>
              <w:bottom w:w="40" w:type="dxa"/>
            </w:tcMar>
          </w:tcPr>
          <w:p w14:paraId="52377A6A"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356017B7" w14:textId="77777777" w:rsidR="00EA514B" w:rsidRDefault="00EA514B" w:rsidP="00EA514B">
            <w:pPr>
              <w:pStyle w:val="AnnexTableCellLeft"/>
              <w:jc w:val="center"/>
            </w:pPr>
          </w:p>
        </w:tc>
      </w:tr>
      <w:tr w:rsidR="00EA514B" w14:paraId="5581FC22" w14:textId="77777777" w:rsidTr="003B1B62">
        <w:tc>
          <w:tcPr>
            <w:tcW w:w="600" w:type="dxa"/>
            <w:tcMar>
              <w:top w:w="40" w:type="dxa"/>
              <w:left w:w="0" w:type="dxa"/>
              <w:bottom w:w="40" w:type="dxa"/>
            </w:tcMar>
          </w:tcPr>
          <w:p w14:paraId="72A03A15" w14:textId="77777777" w:rsidR="00EA514B" w:rsidRDefault="00EA514B" w:rsidP="00EA514B">
            <w:pPr>
              <w:pStyle w:val="AnnexTableCellLeft"/>
              <w:jc w:val="center"/>
            </w:pPr>
            <w:r>
              <w:t>19</w:t>
            </w:r>
          </w:p>
        </w:tc>
        <w:tc>
          <w:tcPr>
            <w:tcW w:w="6500" w:type="dxa"/>
            <w:tcMar>
              <w:top w:w="40" w:type="dxa"/>
              <w:bottom w:w="40" w:type="dxa"/>
            </w:tcMar>
          </w:tcPr>
          <w:p w14:paraId="07E134B0" w14:textId="77777777" w:rsidR="00EA514B" w:rsidRPr="00EA514B" w:rsidRDefault="00EA514B" w:rsidP="00EA514B">
            <w:pPr>
              <w:pStyle w:val="AnnexTableCellLeft"/>
              <w:ind w:left="200"/>
            </w:pPr>
            <w:r>
              <w:t>Sirkulær økonomi (CE)</w:t>
            </w:r>
          </w:p>
        </w:tc>
        <w:tc>
          <w:tcPr>
            <w:tcW w:w="1000" w:type="dxa"/>
            <w:tcMar>
              <w:top w:w="40" w:type="dxa"/>
              <w:bottom w:w="40" w:type="dxa"/>
            </w:tcMar>
          </w:tcPr>
          <w:p w14:paraId="65AEFD8E"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05422494" w14:textId="77777777" w:rsidR="00EA514B" w:rsidRDefault="00EA514B" w:rsidP="00EA514B">
            <w:pPr>
              <w:pStyle w:val="AnnexTableCellLeft"/>
              <w:jc w:val="center"/>
            </w:pPr>
          </w:p>
        </w:tc>
      </w:tr>
      <w:tr w:rsidR="00EA514B" w14:paraId="57EFFCAF" w14:textId="77777777" w:rsidTr="003B1B62">
        <w:tc>
          <w:tcPr>
            <w:tcW w:w="600" w:type="dxa"/>
            <w:tcMar>
              <w:top w:w="40" w:type="dxa"/>
              <w:left w:w="0" w:type="dxa"/>
              <w:bottom w:w="40" w:type="dxa"/>
            </w:tcMar>
          </w:tcPr>
          <w:p w14:paraId="76B2914B" w14:textId="77777777" w:rsidR="00EA514B" w:rsidRDefault="00EA514B" w:rsidP="003B1B62">
            <w:pPr>
              <w:pStyle w:val="AnnexTableCellLeft"/>
              <w:jc w:val="center"/>
            </w:pPr>
            <w:r>
              <w:t>20</w:t>
            </w:r>
          </w:p>
        </w:tc>
        <w:tc>
          <w:tcPr>
            <w:tcW w:w="6500" w:type="dxa"/>
            <w:tcMar>
              <w:top w:w="40" w:type="dxa"/>
              <w:bottom w:w="40" w:type="dxa"/>
            </w:tcMar>
          </w:tcPr>
          <w:p w14:paraId="3B7CEE7F" w14:textId="77777777" w:rsidR="00EA514B" w:rsidRPr="00EA514B" w:rsidRDefault="00EA514B" w:rsidP="00EA514B">
            <w:pPr>
              <w:pStyle w:val="AnnexTableCellLeft"/>
              <w:ind w:left="200"/>
            </w:pPr>
            <w:r>
              <w:t>Forurensning (PPC)</w:t>
            </w:r>
          </w:p>
        </w:tc>
        <w:tc>
          <w:tcPr>
            <w:tcW w:w="1000" w:type="dxa"/>
            <w:tcMar>
              <w:top w:w="40" w:type="dxa"/>
              <w:bottom w:w="40" w:type="dxa"/>
            </w:tcMar>
          </w:tcPr>
          <w:p w14:paraId="42D6488A"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31A9BE22" w14:textId="77777777" w:rsidR="00EA514B" w:rsidRDefault="00EA514B" w:rsidP="003B1B62">
            <w:pPr>
              <w:pStyle w:val="AnnexTableCellLeft"/>
              <w:jc w:val="center"/>
            </w:pPr>
          </w:p>
        </w:tc>
      </w:tr>
      <w:tr w:rsidR="00EA514B" w14:paraId="1B0E64C2" w14:textId="77777777" w:rsidTr="003B1B62">
        <w:tc>
          <w:tcPr>
            <w:tcW w:w="600" w:type="dxa"/>
            <w:tcMar>
              <w:top w:w="40" w:type="dxa"/>
              <w:left w:w="0" w:type="dxa"/>
              <w:bottom w:w="40" w:type="dxa"/>
            </w:tcMar>
          </w:tcPr>
          <w:p w14:paraId="2CBDB9B7" w14:textId="77777777" w:rsidR="00EA514B" w:rsidRDefault="00EA514B" w:rsidP="003B1B62">
            <w:pPr>
              <w:pStyle w:val="AnnexTableCellLeft"/>
              <w:jc w:val="center"/>
            </w:pPr>
            <w:r>
              <w:t>21</w:t>
            </w:r>
          </w:p>
        </w:tc>
        <w:tc>
          <w:tcPr>
            <w:tcW w:w="6500" w:type="dxa"/>
            <w:tcMar>
              <w:top w:w="40" w:type="dxa"/>
              <w:bottom w:w="40" w:type="dxa"/>
            </w:tcMar>
          </w:tcPr>
          <w:p w14:paraId="058A69CA" w14:textId="77777777" w:rsidR="00EA514B" w:rsidRPr="00EA514B" w:rsidRDefault="00EA514B" w:rsidP="00EA514B">
            <w:pPr>
              <w:pStyle w:val="AnnexTableCellLeft"/>
              <w:ind w:left="200"/>
            </w:pPr>
            <w:r>
              <w:t>Biologisk mangfold og økosystemer (BIO)</w:t>
            </w:r>
          </w:p>
        </w:tc>
        <w:tc>
          <w:tcPr>
            <w:tcW w:w="1000" w:type="dxa"/>
            <w:tcMar>
              <w:top w:w="40" w:type="dxa"/>
              <w:bottom w:w="40" w:type="dxa"/>
            </w:tcMar>
          </w:tcPr>
          <w:p w14:paraId="2A0928BA"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3C6C1FD8" w14:textId="77777777" w:rsidR="00EA514B" w:rsidRDefault="00EA514B" w:rsidP="003B1B62">
            <w:pPr>
              <w:pStyle w:val="AnnexTableCellLeft"/>
              <w:jc w:val="center"/>
            </w:pPr>
          </w:p>
        </w:tc>
      </w:tr>
      <w:tr w:rsidR="00EA514B" w14:paraId="4AC7764D" w14:textId="77777777" w:rsidTr="003B1B62">
        <w:tc>
          <w:tcPr>
            <w:tcW w:w="600" w:type="dxa"/>
            <w:tcMar>
              <w:top w:w="40" w:type="dxa"/>
              <w:left w:w="0" w:type="dxa"/>
              <w:bottom w:w="40" w:type="dxa"/>
            </w:tcMar>
          </w:tcPr>
          <w:p w14:paraId="123C1E4D" w14:textId="77777777" w:rsidR="00EA514B" w:rsidRDefault="00EA514B" w:rsidP="003B1B62">
            <w:pPr>
              <w:pStyle w:val="AnnexTableCellLeft"/>
              <w:jc w:val="center"/>
            </w:pPr>
            <w:r>
              <w:t>22</w:t>
            </w:r>
          </w:p>
        </w:tc>
        <w:tc>
          <w:tcPr>
            <w:tcW w:w="6500" w:type="dxa"/>
            <w:tcMar>
              <w:top w:w="40" w:type="dxa"/>
              <w:bottom w:w="40" w:type="dxa"/>
            </w:tcMar>
          </w:tcPr>
          <w:p w14:paraId="27632FD0" w14:textId="77777777" w:rsidR="00EA514B" w:rsidRPr="00EA514B" w:rsidRDefault="00EA514B" w:rsidP="003B1B62">
            <w:pPr>
              <w:pStyle w:val="AnnexTableCellLeft"/>
              <w:rPr>
                <w:b/>
              </w:rPr>
            </w:pPr>
            <w:r>
              <w:rPr>
                <w:b/>
              </w:rPr>
              <w:t>Ikke-vurderte eksponeringer</w:t>
            </w:r>
          </w:p>
        </w:tc>
        <w:tc>
          <w:tcPr>
            <w:tcW w:w="1000" w:type="dxa"/>
            <w:tcMar>
              <w:top w:w="40" w:type="dxa"/>
              <w:bottom w:w="40" w:type="dxa"/>
            </w:tcMar>
          </w:tcPr>
          <w:p w14:paraId="232E0F1D"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39068921" w14:textId="77777777" w:rsidR="00EA514B" w:rsidRDefault="00EA514B" w:rsidP="003B1B62">
            <w:pPr>
              <w:pStyle w:val="AnnexTableCellLeft"/>
              <w:jc w:val="center"/>
            </w:pPr>
          </w:p>
        </w:tc>
      </w:tr>
      <w:tr w:rsidR="00EA514B" w14:paraId="4D283477" w14:textId="77777777" w:rsidTr="003B1B62">
        <w:tc>
          <w:tcPr>
            <w:tcW w:w="600" w:type="dxa"/>
            <w:tcMar>
              <w:top w:w="40" w:type="dxa"/>
              <w:left w:w="0" w:type="dxa"/>
              <w:bottom w:w="40" w:type="dxa"/>
            </w:tcMar>
          </w:tcPr>
          <w:p w14:paraId="61125478" w14:textId="77777777" w:rsidR="00EA514B" w:rsidRDefault="00EA514B" w:rsidP="003B1B62">
            <w:pPr>
              <w:pStyle w:val="AnnexTableCellLeft"/>
              <w:jc w:val="center"/>
            </w:pPr>
            <w:r>
              <w:t>23</w:t>
            </w:r>
          </w:p>
        </w:tc>
        <w:tc>
          <w:tcPr>
            <w:tcW w:w="6500" w:type="dxa"/>
            <w:tcMar>
              <w:top w:w="40" w:type="dxa"/>
              <w:bottom w:w="40" w:type="dxa"/>
            </w:tcMar>
          </w:tcPr>
          <w:p w14:paraId="173F5A09" w14:textId="77777777" w:rsidR="00EA514B" w:rsidRPr="00EA514B" w:rsidRDefault="00EA514B" w:rsidP="00EA514B">
            <w:pPr>
              <w:pStyle w:val="AnnexTableCellLeft"/>
              <w:ind w:left="200"/>
            </w:pPr>
            <w:r>
              <w:t>Eksponeringer som finansierer motparters ikke-vurderte ikke-vesentlige aktiviteter (4)</w:t>
            </w:r>
          </w:p>
        </w:tc>
        <w:tc>
          <w:tcPr>
            <w:tcW w:w="1000" w:type="dxa"/>
            <w:tcMar>
              <w:top w:w="40" w:type="dxa"/>
              <w:bottom w:w="40" w:type="dxa"/>
            </w:tcMar>
          </w:tcPr>
          <w:p w14:paraId="746DC7F5"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329D0727" w14:textId="77777777" w:rsidR="00EA514B" w:rsidRDefault="00EA514B" w:rsidP="003B1B62">
            <w:pPr>
              <w:pStyle w:val="AnnexTableCellLeft"/>
              <w:jc w:val="center"/>
            </w:pPr>
          </w:p>
        </w:tc>
      </w:tr>
      <w:tr w:rsidR="00EA514B" w14:paraId="143C1C86" w14:textId="77777777" w:rsidTr="003B1B62">
        <w:tc>
          <w:tcPr>
            <w:tcW w:w="600" w:type="dxa"/>
            <w:tcMar>
              <w:top w:w="40" w:type="dxa"/>
              <w:left w:w="0" w:type="dxa"/>
              <w:bottom w:w="40" w:type="dxa"/>
            </w:tcMar>
          </w:tcPr>
          <w:p w14:paraId="1A719625" w14:textId="77777777" w:rsidR="00EA514B" w:rsidRDefault="00EA514B" w:rsidP="003B1B62">
            <w:pPr>
              <w:pStyle w:val="AnnexTableCellLeft"/>
              <w:jc w:val="center"/>
            </w:pPr>
            <w:r>
              <w:t>24</w:t>
            </w:r>
          </w:p>
        </w:tc>
        <w:tc>
          <w:tcPr>
            <w:tcW w:w="6500" w:type="dxa"/>
            <w:tcMar>
              <w:top w:w="40" w:type="dxa"/>
              <w:bottom w:w="40" w:type="dxa"/>
            </w:tcMar>
          </w:tcPr>
          <w:p w14:paraId="1299C5E9" w14:textId="77777777" w:rsidR="00EA514B" w:rsidRPr="00EA514B" w:rsidRDefault="00EA514B" w:rsidP="00EA514B">
            <w:pPr>
              <w:pStyle w:val="AnnexTableCellLeft"/>
              <w:ind w:left="200"/>
            </w:pPr>
            <w:r>
              <w:t>Ikke-vurderte eksponeringer som den rapporterende enheten anser som ikke-vesentlige (5)</w:t>
            </w:r>
          </w:p>
        </w:tc>
        <w:tc>
          <w:tcPr>
            <w:tcW w:w="1000" w:type="dxa"/>
            <w:tcMar>
              <w:top w:w="40" w:type="dxa"/>
              <w:bottom w:w="40" w:type="dxa"/>
            </w:tcMar>
          </w:tcPr>
          <w:p w14:paraId="304A4586"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2C5A0344" w14:textId="77777777" w:rsidR="00EA514B" w:rsidRDefault="00EA514B" w:rsidP="003B1B62">
            <w:pPr>
              <w:pStyle w:val="AnnexTableCellLeft"/>
              <w:jc w:val="center"/>
            </w:pPr>
          </w:p>
        </w:tc>
      </w:tr>
      <w:tr w:rsidR="00EA514B" w14:paraId="666273D4" w14:textId="77777777" w:rsidTr="006D408D">
        <w:tc>
          <w:tcPr>
            <w:tcW w:w="600" w:type="dxa"/>
            <w:tcMar>
              <w:top w:w="40" w:type="dxa"/>
              <w:left w:w="0" w:type="dxa"/>
              <w:bottom w:w="40" w:type="dxa"/>
            </w:tcMar>
            <w:vAlign w:val="bottom"/>
          </w:tcPr>
          <w:p w14:paraId="611F0BD5" w14:textId="77777777" w:rsidR="00EA514B" w:rsidRDefault="00EA514B" w:rsidP="006D408D">
            <w:pPr>
              <w:pStyle w:val="AnnexTableCellLeft"/>
              <w:jc w:val="center"/>
            </w:pPr>
            <w:r>
              <w:t>25</w:t>
            </w:r>
          </w:p>
        </w:tc>
        <w:tc>
          <w:tcPr>
            <w:tcW w:w="6500" w:type="dxa"/>
            <w:tcMar>
              <w:top w:w="40" w:type="dxa"/>
              <w:bottom w:w="40" w:type="dxa"/>
            </w:tcMar>
          </w:tcPr>
          <w:p w14:paraId="7F15CB55" w14:textId="77777777" w:rsidR="00EA514B" w:rsidRPr="00EA514B" w:rsidRDefault="00EA514B" w:rsidP="00EA514B">
            <w:pPr>
              <w:pStyle w:val="AnnexTableCellLeft"/>
              <w:ind w:left="200"/>
            </w:pPr>
            <w:r>
              <w:t>Eksponeringer mot motparter som rapporterer i samsvar med artikkel 7 nr. 9 i denne forordningen (6)</w:t>
            </w:r>
          </w:p>
        </w:tc>
        <w:tc>
          <w:tcPr>
            <w:tcW w:w="1000" w:type="dxa"/>
            <w:tcMar>
              <w:top w:w="40" w:type="dxa"/>
              <w:bottom w:w="40" w:type="dxa"/>
            </w:tcMar>
          </w:tcPr>
          <w:p w14:paraId="02267DBC"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19B24088" w14:textId="77777777" w:rsidR="00EA514B" w:rsidRDefault="00EA514B" w:rsidP="003B1B62">
            <w:pPr>
              <w:pStyle w:val="AnnexTableCellLeft"/>
              <w:jc w:val="center"/>
            </w:pPr>
          </w:p>
        </w:tc>
      </w:tr>
      <w:tr w:rsidR="00EA514B" w14:paraId="24EB2E63" w14:textId="77777777" w:rsidTr="003B1B62">
        <w:tc>
          <w:tcPr>
            <w:tcW w:w="600" w:type="dxa"/>
            <w:tcMar>
              <w:top w:w="40" w:type="dxa"/>
              <w:left w:w="0" w:type="dxa"/>
              <w:bottom w:w="40" w:type="dxa"/>
            </w:tcMar>
            <w:vAlign w:val="center"/>
          </w:tcPr>
          <w:p w14:paraId="6A02755D" w14:textId="77777777" w:rsidR="00EA514B" w:rsidRDefault="00EA514B" w:rsidP="003B1B62">
            <w:pPr>
              <w:pStyle w:val="AnnexTableCellLeft"/>
              <w:jc w:val="center"/>
            </w:pPr>
          </w:p>
        </w:tc>
        <w:tc>
          <w:tcPr>
            <w:tcW w:w="6500" w:type="dxa"/>
            <w:tcMar>
              <w:top w:w="40" w:type="dxa"/>
              <w:bottom w:w="40" w:type="dxa"/>
            </w:tcMar>
            <w:vAlign w:val="center"/>
          </w:tcPr>
          <w:p w14:paraId="7B5D5975" w14:textId="77777777" w:rsidR="00EA514B" w:rsidRPr="00EA514B" w:rsidRDefault="00EA514B" w:rsidP="00EA514B">
            <w:pPr>
              <w:pStyle w:val="AnnexTableCellLeft"/>
              <w:jc w:val="center"/>
              <w:rPr>
                <w:b/>
              </w:rPr>
            </w:pPr>
            <w:r>
              <w:rPr>
                <w:b/>
              </w:rPr>
              <w:t>Spesifisering av dekkede eiendeler</w:t>
            </w:r>
          </w:p>
        </w:tc>
        <w:tc>
          <w:tcPr>
            <w:tcW w:w="1000" w:type="dxa"/>
            <w:tcMar>
              <w:top w:w="40" w:type="dxa"/>
              <w:bottom w:w="40" w:type="dxa"/>
            </w:tcMar>
            <w:vAlign w:val="center"/>
          </w:tcPr>
          <w:p w14:paraId="473DD431" w14:textId="77777777" w:rsidR="00EA514B" w:rsidRPr="00EA514B" w:rsidRDefault="000D64AF" w:rsidP="003B1B62">
            <w:pPr>
              <w:pStyle w:val="AnnexTableCellLeft"/>
              <w:jc w:val="center"/>
            </w:pPr>
            <w:r>
              <w:t>%</w:t>
            </w:r>
          </w:p>
        </w:tc>
        <w:tc>
          <w:tcPr>
            <w:tcW w:w="1160" w:type="dxa"/>
            <w:tcBorders>
              <w:top w:val="single" w:sz="4" w:space="0" w:color="auto"/>
            </w:tcBorders>
            <w:tcMar>
              <w:top w:w="40" w:type="dxa"/>
              <w:bottom w:w="40" w:type="dxa"/>
              <w:right w:w="0" w:type="dxa"/>
            </w:tcMar>
            <w:vAlign w:val="center"/>
          </w:tcPr>
          <w:p w14:paraId="2A022ADA" w14:textId="77777777" w:rsidR="000D64AF" w:rsidRDefault="000D64AF" w:rsidP="000D64AF">
            <w:pPr>
              <w:pStyle w:val="AnnexTableCellLeft"/>
              <w:jc w:val="center"/>
            </w:pPr>
            <w:r>
              <w:t xml:space="preserve">Millioner </w:t>
            </w:r>
          </w:p>
          <w:p w14:paraId="3032B8E0" w14:textId="77777777" w:rsidR="00EA514B" w:rsidRDefault="000D64AF" w:rsidP="000D64AF">
            <w:pPr>
              <w:pStyle w:val="AnnexTableCellLeft"/>
              <w:jc w:val="center"/>
            </w:pPr>
            <w:r>
              <w:t>euro</w:t>
            </w:r>
          </w:p>
        </w:tc>
      </w:tr>
      <w:tr w:rsidR="00EA514B" w14:paraId="462434B2" w14:textId="77777777" w:rsidTr="003B1B62">
        <w:tc>
          <w:tcPr>
            <w:tcW w:w="600" w:type="dxa"/>
            <w:tcMar>
              <w:top w:w="40" w:type="dxa"/>
              <w:left w:w="0" w:type="dxa"/>
              <w:bottom w:w="40" w:type="dxa"/>
            </w:tcMar>
          </w:tcPr>
          <w:p w14:paraId="6D5F4A9A" w14:textId="77777777" w:rsidR="00EA514B" w:rsidRDefault="00EA514B" w:rsidP="000D64AF">
            <w:pPr>
              <w:pStyle w:val="AnnexTableCellLeft"/>
              <w:pageBreakBefore/>
              <w:jc w:val="center"/>
            </w:pPr>
            <w:r>
              <w:lastRenderedPageBreak/>
              <w:t>26</w:t>
            </w:r>
          </w:p>
        </w:tc>
        <w:tc>
          <w:tcPr>
            <w:tcW w:w="6500" w:type="dxa"/>
            <w:tcMar>
              <w:top w:w="40" w:type="dxa"/>
              <w:bottom w:w="40" w:type="dxa"/>
            </w:tcMar>
          </w:tcPr>
          <w:p w14:paraId="7BBDF073" w14:textId="77777777" w:rsidR="00EA514B" w:rsidRPr="000D64AF" w:rsidRDefault="000D64AF" w:rsidP="000D64AF">
            <w:pPr>
              <w:pStyle w:val="AnnexTableCellLeft"/>
              <w:pageBreakBefore/>
              <w:ind w:left="200"/>
            </w:pPr>
            <w:r>
              <w:t>Foretak som er omfattet av artikkel 19a og 29a i direktiv 2013/34/EU</w:t>
            </w:r>
          </w:p>
        </w:tc>
        <w:tc>
          <w:tcPr>
            <w:tcW w:w="1000" w:type="dxa"/>
            <w:tcMar>
              <w:top w:w="40" w:type="dxa"/>
              <w:bottom w:w="40" w:type="dxa"/>
            </w:tcMar>
          </w:tcPr>
          <w:p w14:paraId="40BE6B61" w14:textId="77777777" w:rsidR="00EA514B" w:rsidRPr="00EA514B" w:rsidRDefault="00EA514B" w:rsidP="000D64AF">
            <w:pPr>
              <w:pStyle w:val="AnnexTableCellLeft"/>
              <w:pageBreakBefore/>
              <w:jc w:val="center"/>
            </w:pPr>
          </w:p>
        </w:tc>
        <w:tc>
          <w:tcPr>
            <w:tcW w:w="1160" w:type="dxa"/>
            <w:tcBorders>
              <w:top w:val="single" w:sz="4" w:space="0" w:color="auto"/>
            </w:tcBorders>
            <w:tcMar>
              <w:top w:w="40" w:type="dxa"/>
              <w:bottom w:w="40" w:type="dxa"/>
              <w:right w:w="0" w:type="dxa"/>
            </w:tcMar>
          </w:tcPr>
          <w:p w14:paraId="642A4EF7" w14:textId="77777777" w:rsidR="00EA514B" w:rsidRDefault="00EA514B" w:rsidP="000D64AF">
            <w:pPr>
              <w:pStyle w:val="AnnexTableCellLeft"/>
              <w:pageBreakBefore/>
              <w:jc w:val="center"/>
            </w:pPr>
          </w:p>
        </w:tc>
      </w:tr>
      <w:tr w:rsidR="00EA514B" w14:paraId="3FFBB6A3" w14:textId="77777777" w:rsidTr="003B1B62">
        <w:tc>
          <w:tcPr>
            <w:tcW w:w="600" w:type="dxa"/>
            <w:tcMar>
              <w:top w:w="40" w:type="dxa"/>
              <w:left w:w="0" w:type="dxa"/>
              <w:bottom w:w="40" w:type="dxa"/>
            </w:tcMar>
          </w:tcPr>
          <w:p w14:paraId="760657C5" w14:textId="77777777" w:rsidR="00EA514B" w:rsidRDefault="00EA514B" w:rsidP="003B1B62">
            <w:pPr>
              <w:pStyle w:val="AnnexTableCellLeft"/>
              <w:jc w:val="center"/>
            </w:pPr>
            <w:r>
              <w:t>27</w:t>
            </w:r>
          </w:p>
        </w:tc>
        <w:tc>
          <w:tcPr>
            <w:tcW w:w="6500" w:type="dxa"/>
            <w:tcMar>
              <w:top w:w="40" w:type="dxa"/>
              <w:bottom w:w="40" w:type="dxa"/>
            </w:tcMar>
          </w:tcPr>
          <w:p w14:paraId="6C6208DD" w14:textId="77777777" w:rsidR="00EA514B" w:rsidRPr="000D64AF" w:rsidRDefault="000D64AF" w:rsidP="000D64AF">
            <w:pPr>
              <w:pStyle w:val="AnnexTableCellLeft"/>
              <w:ind w:left="400"/>
            </w:pPr>
            <w:r>
              <w:t>hvorav ikke-finansielle foretak</w:t>
            </w:r>
          </w:p>
        </w:tc>
        <w:tc>
          <w:tcPr>
            <w:tcW w:w="1000" w:type="dxa"/>
            <w:tcMar>
              <w:top w:w="40" w:type="dxa"/>
              <w:bottom w:w="40" w:type="dxa"/>
            </w:tcMar>
          </w:tcPr>
          <w:p w14:paraId="07FB007F"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434EC581" w14:textId="77777777" w:rsidR="00EA514B" w:rsidRDefault="00EA514B" w:rsidP="003B1B62">
            <w:pPr>
              <w:pStyle w:val="AnnexTableCellLeft"/>
              <w:jc w:val="center"/>
            </w:pPr>
          </w:p>
        </w:tc>
      </w:tr>
      <w:tr w:rsidR="00EA514B" w14:paraId="4236FEF7" w14:textId="77777777" w:rsidTr="003B1B62">
        <w:tc>
          <w:tcPr>
            <w:tcW w:w="600" w:type="dxa"/>
            <w:tcMar>
              <w:top w:w="40" w:type="dxa"/>
              <w:left w:w="0" w:type="dxa"/>
              <w:bottom w:w="40" w:type="dxa"/>
            </w:tcMar>
          </w:tcPr>
          <w:p w14:paraId="369A5DB6" w14:textId="77777777" w:rsidR="00EA514B" w:rsidRDefault="00EA514B" w:rsidP="003B1B62">
            <w:pPr>
              <w:pStyle w:val="AnnexTableCellLeft"/>
              <w:jc w:val="center"/>
            </w:pPr>
            <w:r>
              <w:t>28</w:t>
            </w:r>
          </w:p>
        </w:tc>
        <w:tc>
          <w:tcPr>
            <w:tcW w:w="6500" w:type="dxa"/>
            <w:tcMar>
              <w:top w:w="40" w:type="dxa"/>
              <w:bottom w:w="40" w:type="dxa"/>
            </w:tcMar>
          </w:tcPr>
          <w:p w14:paraId="5B09E86E" w14:textId="77777777" w:rsidR="00EA514B" w:rsidRPr="000D64AF" w:rsidRDefault="000D64AF" w:rsidP="000D64AF">
            <w:pPr>
              <w:pStyle w:val="AnnexTableCellLeft"/>
              <w:ind w:left="400"/>
            </w:pPr>
            <w:r>
              <w:t>hvorav finansforetak</w:t>
            </w:r>
          </w:p>
        </w:tc>
        <w:tc>
          <w:tcPr>
            <w:tcW w:w="1000" w:type="dxa"/>
            <w:tcMar>
              <w:top w:w="40" w:type="dxa"/>
              <w:bottom w:w="40" w:type="dxa"/>
            </w:tcMar>
          </w:tcPr>
          <w:p w14:paraId="2626B195"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35777101" w14:textId="77777777" w:rsidR="00EA514B" w:rsidRDefault="00EA514B" w:rsidP="003B1B62">
            <w:pPr>
              <w:pStyle w:val="AnnexTableCellLeft"/>
              <w:jc w:val="center"/>
            </w:pPr>
          </w:p>
        </w:tc>
      </w:tr>
      <w:tr w:rsidR="00EA514B" w14:paraId="097D75AB" w14:textId="77777777" w:rsidTr="003B1B62">
        <w:tc>
          <w:tcPr>
            <w:tcW w:w="600" w:type="dxa"/>
            <w:tcMar>
              <w:top w:w="40" w:type="dxa"/>
              <w:left w:w="0" w:type="dxa"/>
              <w:bottom w:w="40" w:type="dxa"/>
            </w:tcMar>
          </w:tcPr>
          <w:p w14:paraId="52E02E22" w14:textId="77777777" w:rsidR="00EA514B" w:rsidRDefault="00EA514B" w:rsidP="003B1B62">
            <w:pPr>
              <w:pStyle w:val="AnnexTableCellLeft"/>
              <w:jc w:val="center"/>
            </w:pPr>
            <w:r>
              <w:t>29</w:t>
            </w:r>
          </w:p>
        </w:tc>
        <w:tc>
          <w:tcPr>
            <w:tcW w:w="6500" w:type="dxa"/>
            <w:tcMar>
              <w:top w:w="40" w:type="dxa"/>
              <w:bottom w:w="40" w:type="dxa"/>
            </w:tcMar>
          </w:tcPr>
          <w:p w14:paraId="7D56B779" w14:textId="77777777" w:rsidR="00EA514B" w:rsidRPr="000D64AF" w:rsidRDefault="000D64AF" w:rsidP="000D64AF">
            <w:pPr>
              <w:pStyle w:val="AnnexTableCellLeft"/>
              <w:ind w:left="200"/>
            </w:pPr>
            <w:r>
              <w:t>Andre omfattede motparter og annen omfattet fast eiendom</w:t>
            </w:r>
          </w:p>
        </w:tc>
        <w:tc>
          <w:tcPr>
            <w:tcW w:w="1000" w:type="dxa"/>
            <w:tcMar>
              <w:top w:w="40" w:type="dxa"/>
              <w:bottom w:w="40" w:type="dxa"/>
            </w:tcMar>
          </w:tcPr>
          <w:p w14:paraId="02C99718" w14:textId="77777777" w:rsidR="00EA514B" w:rsidRPr="00EA514B" w:rsidRDefault="00EA514B" w:rsidP="003B1B62">
            <w:pPr>
              <w:pStyle w:val="AnnexTableCellLeft"/>
              <w:jc w:val="center"/>
            </w:pPr>
          </w:p>
        </w:tc>
        <w:tc>
          <w:tcPr>
            <w:tcW w:w="1160" w:type="dxa"/>
            <w:tcBorders>
              <w:top w:val="single" w:sz="4" w:space="0" w:color="auto"/>
            </w:tcBorders>
            <w:tcMar>
              <w:top w:w="40" w:type="dxa"/>
              <w:bottom w:w="40" w:type="dxa"/>
              <w:right w:w="0" w:type="dxa"/>
            </w:tcMar>
          </w:tcPr>
          <w:p w14:paraId="0AB62A32" w14:textId="77777777" w:rsidR="00EA514B" w:rsidRDefault="00EA514B" w:rsidP="003B1B62">
            <w:pPr>
              <w:pStyle w:val="AnnexTableCellLeft"/>
              <w:jc w:val="center"/>
            </w:pPr>
          </w:p>
        </w:tc>
      </w:tr>
      <w:tr w:rsidR="00EA514B" w14:paraId="47847AE7" w14:textId="77777777" w:rsidTr="00EA514B">
        <w:tc>
          <w:tcPr>
            <w:tcW w:w="600" w:type="dxa"/>
            <w:tcMar>
              <w:top w:w="40" w:type="dxa"/>
              <w:left w:w="0" w:type="dxa"/>
              <w:bottom w:w="40" w:type="dxa"/>
            </w:tcMar>
          </w:tcPr>
          <w:p w14:paraId="2D17DFC1" w14:textId="77777777" w:rsidR="00EA514B" w:rsidRDefault="00EA514B" w:rsidP="00EA514B">
            <w:pPr>
              <w:pStyle w:val="AnnexTableCellLeft"/>
              <w:jc w:val="center"/>
            </w:pPr>
            <w:r>
              <w:t>30</w:t>
            </w:r>
          </w:p>
        </w:tc>
        <w:tc>
          <w:tcPr>
            <w:tcW w:w="6500" w:type="dxa"/>
            <w:tcMar>
              <w:top w:w="40" w:type="dxa"/>
              <w:bottom w:w="40" w:type="dxa"/>
            </w:tcMar>
          </w:tcPr>
          <w:p w14:paraId="07EFB401" w14:textId="77777777" w:rsidR="00EA514B" w:rsidRPr="000D64AF" w:rsidRDefault="000D64AF" w:rsidP="000D64AF">
            <w:pPr>
              <w:pStyle w:val="AnnexTableCellLeft"/>
              <w:ind w:left="200"/>
            </w:pPr>
            <w:r>
              <w:t>Eksponeringer som tas med på frivillig grunnlag (3)</w:t>
            </w:r>
          </w:p>
        </w:tc>
        <w:tc>
          <w:tcPr>
            <w:tcW w:w="1000" w:type="dxa"/>
            <w:tcMar>
              <w:top w:w="40" w:type="dxa"/>
              <w:bottom w:w="40" w:type="dxa"/>
            </w:tcMar>
          </w:tcPr>
          <w:p w14:paraId="11D9427D" w14:textId="77777777" w:rsidR="00EA514B" w:rsidRPr="00EA514B" w:rsidRDefault="00EA514B" w:rsidP="00EA514B">
            <w:pPr>
              <w:pStyle w:val="AnnexTableCellLeft"/>
              <w:jc w:val="center"/>
            </w:pPr>
          </w:p>
        </w:tc>
        <w:tc>
          <w:tcPr>
            <w:tcW w:w="1160" w:type="dxa"/>
            <w:tcBorders>
              <w:top w:val="single" w:sz="4" w:space="0" w:color="auto"/>
            </w:tcBorders>
            <w:tcMar>
              <w:top w:w="40" w:type="dxa"/>
              <w:bottom w:w="40" w:type="dxa"/>
              <w:right w:w="0" w:type="dxa"/>
            </w:tcMar>
          </w:tcPr>
          <w:p w14:paraId="56D86AC2" w14:textId="77777777" w:rsidR="00EA514B" w:rsidRDefault="00EA514B" w:rsidP="00EA514B">
            <w:pPr>
              <w:pStyle w:val="AnnexTableCellLeft"/>
              <w:jc w:val="center"/>
            </w:pPr>
          </w:p>
        </w:tc>
      </w:tr>
    </w:tbl>
    <w:p w14:paraId="406BD55F" w14:textId="40549194" w:rsidR="000D64AF" w:rsidRPr="000D64AF" w:rsidRDefault="000D64AF" w:rsidP="000D64AF">
      <w:pPr>
        <w:pStyle w:val="AnnexNormal"/>
        <w:spacing w:before="200"/>
      </w:pPr>
      <w:r>
        <w:t xml:space="preserve">1) </w:t>
      </w:r>
      <w:r w:rsidR="00DF7B9C">
        <w:t>N</w:t>
      </w:r>
      <w:r>
        <w:t>evnt i avsnitt 4.26, 4.27 og 4.28 i vedlegg I og II til delegert forordning 2021/2139</w:t>
      </w:r>
    </w:p>
    <w:p w14:paraId="03E5751B" w14:textId="4A26B24F" w:rsidR="000D64AF" w:rsidRPr="000D64AF" w:rsidRDefault="000D64AF" w:rsidP="000D64AF">
      <w:pPr>
        <w:pStyle w:val="AnnexNormal"/>
      </w:pPr>
      <w:r>
        <w:t xml:space="preserve">2) </w:t>
      </w:r>
      <w:r w:rsidR="00DF7B9C">
        <w:t>N</w:t>
      </w:r>
      <w:r>
        <w:t>evnt i avsnitt 4.29, 4.30 og 4.31 i vedlegg I og II til delegert forordning 2021/2139</w:t>
      </w:r>
    </w:p>
    <w:p w14:paraId="14CA4D40" w14:textId="349236FB" w:rsidR="000D64AF" w:rsidRPr="000D64AF" w:rsidRDefault="000D64AF" w:rsidP="000D64AF">
      <w:pPr>
        <w:pStyle w:val="AnnexNormal"/>
      </w:pPr>
      <w:r>
        <w:t xml:space="preserve">3) </w:t>
      </w:r>
      <w:r w:rsidR="00DF7B9C">
        <w:t>I</w:t>
      </w:r>
      <w:r>
        <w:t xml:space="preserve"> samsvar med artikkel 7 nr. 3 i denne forordningen</w:t>
      </w:r>
    </w:p>
    <w:p w14:paraId="30024BD2" w14:textId="789B482F" w:rsidR="000D64AF" w:rsidRPr="000D64AF" w:rsidRDefault="000D64AF" w:rsidP="000D64AF">
      <w:pPr>
        <w:pStyle w:val="AnnexNormal"/>
      </w:pPr>
      <w:r>
        <w:t xml:space="preserve">4) </w:t>
      </w:r>
      <w:r w:rsidR="00DF7B9C">
        <w:t>I</w:t>
      </w:r>
      <w:r>
        <w:t xml:space="preserve"> samsvar med artikkel 7 nr. 8 bokstav a) og b) i denne forordningen</w:t>
      </w:r>
    </w:p>
    <w:p w14:paraId="63237A46" w14:textId="7515AA94" w:rsidR="000D64AF" w:rsidRPr="000D64AF" w:rsidRDefault="000D64AF" w:rsidP="000D64AF">
      <w:pPr>
        <w:pStyle w:val="AnnexNormal"/>
      </w:pPr>
      <w:r>
        <w:t xml:space="preserve">5) </w:t>
      </w:r>
      <w:r w:rsidR="00DF7B9C">
        <w:t>I</w:t>
      </w:r>
      <w:r>
        <w:t xml:space="preserve"> samsvar med artikkel 3 bokstav 1a i denne forordningen. Tallene bør være de samme i begge kolonnene.</w:t>
      </w:r>
    </w:p>
    <w:p w14:paraId="6316B81A" w14:textId="77777777" w:rsidR="00EA514B" w:rsidRPr="000D64AF" w:rsidRDefault="000D64AF" w:rsidP="000D64AF">
      <w:pPr>
        <w:pStyle w:val="AnnexNormal"/>
      </w:pPr>
      <w:r>
        <w:t>6) Tallene bør være de samme i begge kolonnene.»</w:t>
      </w:r>
    </w:p>
    <w:p w14:paraId="79A1B421" w14:textId="77777777" w:rsidR="0097192F" w:rsidRDefault="0097192F" w:rsidP="007A1BD6">
      <w:pPr>
        <w:pStyle w:val="AnnexNormal"/>
        <w:jc w:val="left"/>
        <w:sectPr w:rsidR="0097192F" w:rsidSect="004174D8">
          <w:pgSz w:w="11906" w:h="16838" w:code="9"/>
          <w:pgMar w:top="1680" w:right="1330" w:bottom="840" w:left="1330" w:header="920" w:footer="280" w:gutter="0"/>
          <w:cols w:space="708"/>
          <w:docGrid w:linePitch="360"/>
        </w:sectPr>
      </w:pPr>
    </w:p>
    <w:p w14:paraId="4B884B67" w14:textId="77777777" w:rsidR="00EA514B" w:rsidRPr="0097192F" w:rsidRDefault="0097192F" w:rsidP="0097192F">
      <w:pPr>
        <w:pStyle w:val="AnnexTI"/>
        <w:spacing w:after="360"/>
        <w:rPr>
          <w:b/>
          <w:i w:val="0"/>
          <w:u w:val="single"/>
        </w:rPr>
      </w:pPr>
      <w:r>
        <w:rPr>
          <w:b/>
          <w:i w:val="0"/>
          <w:u w:val="single"/>
        </w:rPr>
        <w:lastRenderedPageBreak/>
        <w:t>VEDLEGG V</w:t>
      </w:r>
    </w:p>
    <w:p w14:paraId="46C17A2C" w14:textId="77777777" w:rsidR="0097192F" w:rsidRDefault="0097192F" w:rsidP="0097192F">
      <w:pPr>
        <w:pStyle w:val="AnnexNormal"/>
        <w:jc w:val="left"/>
      </w:pPr>
      <w:r>
        <w:t xml:space="preserve">I vedlegg V gjøres følgende endringer: </w:t>
      </w:r>
    </w:p>
    <w:p w14:paraId="0778B5F7" w14:textId="77777777" w:rsidR="0097192F" w:rsidRPr="00517B8C" w:rsidRDefault="0097192F" w:rsidP="00517B8C">
      <w:pPr>
        <w:pStyle w:val="AnnexNormal"/>
        <w:spacing w:after="0"/>
      </w:pPr>
      <w:r>
        <w:t xml:space="preserve">1) I avsnitt 1.1.2 skal tredje ledd lyde: </w:t>
      </w:r>
    </w:p>
    <w:p w14:paraId="3CE97F40" w14:textId="77777777" w:rsidR="0097192F" w:rsidRPr="00517B8C" w:rsidRDefault="0097192F" w:rsidP="00517B8C">
      <w:pPr>
        <w:pStyle w:val="AnnexNormal"/>
        <w:spacing w:after="0"/>
      </w:pPr>
      <w:r>
        <w:t>«Følgende eiendeler skal ikke tas med i telleren og nevneren i GAR:</w:t>
      </w:r>
    </w:p>
    <w:p w14:paraId="64C38EC4" w14:textId="77777777" w:rsidR="0097192F" w:rsidRPr="00517B8C" w:rsidRDefault="0097192F" w:rsidP="00517B8C">
      <w:pPr>
        <w:pStyle w:val="AnnexNormal"/>
      </w:pPr>
      <w:r>
        <w:t xml:space="preserve">a) Finansielle eiendeler som innehas for handelsformål. </w:t>
      </w:r>
    </w:p>
    <w:p w14:paraId="3D48F136" w14:textId="77777777" w:rsidR="0097192F" w:rsidRPr="00517B8C" w:rsidRDefault="0097192F" w:rsidP="00517B8C">
      <w:pPr>
        <w:pStyle w:val="AnnexNormal"/>
      </w:pPr>
      <w:r>
        <w:t xml:space="preserve">b) Interbanklån på anfordring. </w:t>
      </w:r>
    </w:p>
    <w:p w14:paraId="325A6FB2" w14:textId="77777777" w:rsidR="0097192F" w:rsidRPr="00517B8C" w:rsidRDefault="0097192F" w:rsidP="00517B8C">
      <w:pPr>
        <w:pStyle w:val="AnnexNormal"/>
      </w:pPr>
      <w:r>
        <w:t xml:space="preserve">c) Eksponeringer mot foretak som ikke har plikt til å offentliggjøre ikke-finansiell informasjon i henhold til artikkel 19a eller 29a i direktiv 2013/34/EU. </w:t>
      </w:r>
    </w:p>
    <w:p w14:paraId="527BD9A7" w14:textId="77777777" w:rsidR="0097192F" w:rsidRPr="00517B8C" w:rsidRDefault="0097192F" w:rsidP="00517B8C">
      <w:pPr>
        <w:pStyle w:val="AnnexNormal"/>
      </w:pPr>
      <w:r>
        <w:t xml:space="preserve">d) Derivater. </w:t>
      </w:r>
    </w:p>
    <w:p w14:paraId="7459BB46" w14:textId="77777777" w:rsidR="0097192F" w:rsidRPr="00517B8C" w:rsidRDefault="0097192F" w:rsidP="00517B8C">
      <w:pPr>
        <w:pStyle w:val="AnnexNormal"/>
      </w:pPr>
      <w:r>
        <w:t xml:space="preserve">e) Kontanter og kontantrelaterte eiendeler. </w:t>
      </w:r>
    </w:p>
    <w:p w14:paraId="317263F1" w14:textId="77777777" w:rsidR="0097192F" w:rsidRPr="00517B8C" w:rsidRDefault="0097192F" w:rsidP="00517B8C">
      <w:pPr>
        <w:pStyle w:val="AnnexNormal"/>
      </w:pPr>
      <w:r>
        <w:t xml:space="preserve">f) Andre kategorier av eiendeler (for eksempel goodwill, varer osv.).» </w:t>
      </w:r>
    </w:p>
    <w:p w14:paraId="0C70E39B" w14:textId="77777777" w:rsidR="0097192F" w:rsidRPr="00517B8C" w:rsidRDefault="0097192F" w:rsidP="00517B8C">
      <w:pPr>
        <w:pStyle w:val="AnnexNormal"/>
      </w:pPr>
      <w:r>
        <w:t xml:space="preserve">2) I avsnitt 1.2.4 skal tredje ledd lyde: </w:t>
      </w:r>
    </w:p>
    <w:p w14:paraId="61D8569F" w14:textId="77777777" w:rsidR="00EA514B" w:rsidRDefault="0097192F" w:rsidP="00517B8C">
      <w:pPr>
        <w:pStyle w:val="AnnexNormal"/>
      </w:pPr>
      <w:r>
        <w:t>«Kredittinstitusjoner skal offentliggjøre kvantitative opplysninger og KPI-er som viser i hvilken utstrekning institusjonen handler med miljømessig bærekraftige eiendeler og i hvilken utstrekning de bidrar til å fremme handelen med denne typen eiendeler.»</w:t>
      </w:r>
    </w:p>
    <w:p w14:paraId="437FFD22" w14:textId="77777777" w:rsidR="00517B8C" w:rsidRDefault="00517B8C" w:rsidP="00517B8C">
      <w:pPr>
        <w:pStyle w:val="AnnexNormal"/>
        <w:sectPr w:rsidR="00517B8C" w:rsidSect="004174D8">
          <w:pgSz w:w="11906" w:h="16838" w:code="9"/>
          <w:pgMar w:top="1680" w:right="1330" w:bottom="840" w:left="1330" w:header="920" w:footer="280" w:gutter="0"/>
          <w:cols w:space="708"/>
          <w:docGrid w:linePitch="360"/>
        </w:sectPr>
      </w:pPr>
    </w:p>
    <w:p w14:paraId="201EE65B" w14:textId="77777777" w:rsidR="00517B8C" w:rsidRPr="00517B8C" w:rsidRDefault="00517B8C" w:rsidP="00517B8C">
      <w:pPr>
        <w:pStyle w:val="AnnexTI"/>
        <w:spacing w:after="360"/>
        <w:rPr>
          <w:b/>
          <w:i w:val="0"/>
          <w:u w:val="single"/>
        </w:rPr>
      </w:pPr>
      <w:r>
        <w:rPr>
          <w:b/>
          <w:i w:val="0"/>
          <w:u w:val="single"/>
        </w:rPr>
        <w:lastRenderedPageBreak/>
        <w:t xml:space="preserve">VEDLEGG VI </w:t>
      </w:r>
    </w:p>
    <w:p w14:paraId="5C780534" w14:textId="77777777" w:rsidR="00517B8C" w:rsidRPr="00517B8C" w:rsidRDefault="00517B8C" w:rsidP="00517B8C">
      <w:pPr>
        <w:pStyle w:val="AnnexTI"/>
        <w:spacing w:after="360"/>
        <w:rPr>
          <w:b/>
          <w:i w:val="0"/>
        </w:rPr>
      </w:pPr>
      <w:r>
        <w:rPr>
          <w:b/>
          <w:i w:val="0"/>
        </w:rPr>
        <w:t>«VEDLEGG VI</w:t>
      </w:r>
    </w:p>
    <w:p w14:paraId="036C750F" w14:textId="77777777" w:rsidR="00517B8C" w:rsidRPr="00517B8C" w:rsidRDefault="00517B8C" w:rsidP="00517B8C">
      <w:pPr>
        <w:pStyle w:val="AnnexNormal"/>
        <w:spacing w:line="200" w:lineRule="exact"/>
        <w:jc w:val="center"/>
        <w:rPr>
          <w:b/>
          <w:sz w:val="16"/>
        </w:rPr>
      </w:pPr>
      <w:r>
        <w:rPr>
          <w:b/>
          <w:sz w:val="16"/>
        </w:rPr>
        <w:t>MAL FOR KPI-ER FOR KREDITTINSTITUSJONER</w:t>
      </w:r>
    </w:p>
    <w:tbl>
      <w:tblPr>
        <w:tblStyle w:val="EFTATable"/>
        <w:tblW w:w="0" w:type="auto"/>
        <w:tblBorders>
          <w:left w:val="single" w:sz="4" w:space="0" w:color="auto"/>
          <w:right w:val="single" w:sz="4" w:space="0" w:color="auto"/>
        </w:tblBorders>
        <w:tblLook w:val="04A0" w:firstRow="1" w:lastRow="0" w:firstColumn="1" w:lastColumn="0" w:noHBand="0" w:noVBand="1"/>
      </w:tblPr>
      <w:tblGrid>
        <w:gridCol w:w="893"/>
        <w:gridCol w:w="8364"/>
      </w:tblGrid>
      <w:tr w:rsidR="00517B8C" w:rsidRPr="00517B8C" w14:paraId="52B7CE6D" w14:textId="77777777" w:rsidTr="00517B8C">
        <w:tc>
          <w:tcPr>
            <w:tcW w:w="893" w:type="dxa"/>
            <w:shd w:val="clear" w:color="auto" w:fill="D9D9D9" w:themeFill="background1" w:themeFillShade="D9"/>
            <w:tcMar>
              <w:top w:w="60" w:type="dxa"/>
              <w:left w:w="0" w:type="dxa"/>
              <w:bottom w:w="60" w:type="dxa"/>
            </w:tcMar>
            <w:vAlign w:val="center"/>
          </w:tcPr>
          <w:p w14:paraId="72D379C4" w14:textId="77777777" w:rsidR="00517B8C" w:rsidRPr="00517B8C" w:rsidRDefault="00517B8C" w:rsidP="00517B8C">
            <w:pPr>
              <w:pStyle w:val="AnnexTableHeader"/>
              <w:rPr>
                <w:b/>
              </w:rPr>
            </w:pPr>
            <w:r>
              <w:rPr>
                <w:b/>
              </w:rPr>
              <w:t>Mal nr.</w:t>
            </w:r>
          </w:p>
        </w:tc>
        <w:tc>
          <w:tcPr>
            <w:tcW w:w="8364" w:type="dxa"/>
            <w:shd w:val="clear" w:color="auto" w:fill="D9D9D9" w:themeFill="background1" w:themeFillShade="D9"/>
            <w:tcMar>
              <w:top w:w="60" w:type="dxa"/>
              <w:bottom w:w="60" w:type="dxa"/>
              <w:right w:w="0" w:type="dxa"/>
            </w:tcMar>
            <w:vAlign w:val="center"/>
          </w:tcPr>
          <w:p w14:paraId="35F352AF" w14:textId="77777777" w:rsidR="00517B8C" w:rsidRPr="00517B8C" w:rsidRDefault="00517B8C" w:rsidP="00517B8C">
            <w:pPr>
              <w:pStyle w:val="AnnexTableHeader"/>
              <w:rPr>
                <w:b/>
              </w:rPr>
            </w:pPr>
            <w:r>
              <w:rPr>
                <w:b/>
              </w:rPr>
              <w:t>Navn</w:t>
            </w:r>
          </w:p>
        </w:tc>
      </w:tr>
      <w:tr w:rsidR="00517B8C" w14:paraId="7B7EB630" w14:textId="77777777" w:rsidTr="00517B8C">
        <w:tc>
          <w:tcPr>
            <w:tcW w:w="893" w:type="dxa"/>
            <w:tcMar>
              <w:top w:w="60" w:type="dxa"/>
              <w:left w:w="0" w:type="dxa"/>
              <w:bottom w:w="60" w:type="dxa"/>
            </w:tcMar>
          </w:tcPr>
          <w:p w14:paraId="7077170B" w14:textId="77777777" w:rsidR="00517B8C" w:rsidRDefault="00517B8C" w:rsidP="00517B8C">
            <w:pPr>
              <w:pStyle w:val="AnnexNormal"/>
              <w:jc w:val="center"/>
            </w:pPr>
            <w:r>
              <w:t>0</w:t>
            </w:r>
          </w:p>
        </w:tc>
        <w:tc>
          <w:tcPr>
            <w:tcW w:w="8364" w:type="dxa"/>
            <w:tcMar>
              <w:top w:w="60" w:type="dxa"/>
              <w:bottom w:w="60" w:type="dxa"/>
              <w:right w:w="0" w:type="dxa"/>
            </w:tcMar>
          </w:tcPr>
          <w:p w14:paraId="23BBECF8" w14:textId="55311608" w:rsidR="00517B8C" w:rsidRDefault="00517B8C" w:rsidP="00517B8C">
            <w:pPr>
              <w:pStyle w:val="AnnexNormal"/>
            </w:pPr>
            <w:r>
              <w:t xml:space="preserve">Sammendrag av KPI-er </w:t>
            </w:r>
          </w:p>
        </w:tc>
      </w:tr>
      <w:tr w:rsidR="00517B8C" w14:paraId="7ED5F8E8" w14:textId="77777777" w:rsidTr="00517B8C">
        <w:tc>
          <w:tcPr>
            <w:tcW w:w="893" w:type="dxa"/>
            <w:tcMar>
              <w:top w:w="60" w:type="dxa"/>
              <w:left w:w="0" w:type="dxa"/>
              <w:bottom w:w="60" w:type="dxa"/>
            </w:tcMar>
          </w:tcPr>
          <w:p w14:paraId="4720564F" w14:textId="77777777" w:rsidR="00517B8C" w:rsidRDefault="00517B8C" w:rsidP="00517B8C">
            <w:pPr>
              <w:pStyle w:val="AnnexNormal"/>
              <w:jc w:val="center"/>
            </w:pPr>
            <w:r>
              <w:t>1</w:t>
            </w:r>
          </w:p>
        </w:tc>
        <w:tc>
          <w:tcPr>
            <w:tcW w:w="8364" w:type="dxa"/>
            <w:tcMar>
              <w:top w:w="60" w:type="dxa"/>
              <w:bottom w:w="60" w:type="dxa"/>
              <w:right w:w="0" w:type="dxa"/>
            </w:tcMar>
          </w:tcPr>
          <w:p w14:paraId="3E9BECBE" w14:textId="1146E261" w:rsidR="00517B8C" w:rsidRDefault="00517B8C" w:rsidP="00517B8C">
            <w:pPr>
              <w:pStyle w:val="AnnexNormal"/>
            </w:pPr>
            <w:r>
              <w:t xml:space="preserve">Eiendeler som inngår i beregningen av GAR </w:t>
            </w:r>
          </w:p>
        </w:tc>
      </w:tr>
      <w:tr w:rsidR="00517B8C" w14:paraId="61CA4273" w14:textId="77777777" w:rsidTr="00517B8C">
        <w:tc>
          <w:tcPr>
            <w:tcW w:w="893" w:type="dxa"/>
            <w:tcMar>
              <w:top w:w="60" w:type="dxa"/>
              <w:left w:w="0" w:type="dxa"/>
              <w:bottom w:w="60" w:type="dxa"/>
            </w:tcMar>
          </w:tcPr>
          <w:p w14:paraId="71BACBD9" w14:textId="77777777" w:rsidR="00517B8C" w:rsidRDefault="00517B8C" w:rsidP="00517B8C">
            <w:pPr>
              <w:pStyle w:val="AnnexNormal"/>
              <w:jc w:val="center"/>
            </w:pPr>
            <w:r>
              <w:t>2</w:t>
            </w:r>
          </w:p>
        </w:tc>
        <w:tc>
          <w:tcPr>
            <w:tcW w:w="8364" w:type="dxa"/>
            <w:tcMar>
              <w:top w:w="60" w:type="dxa"/>
              <w:bottom w:w="60" w:type="dxa"/>
              <w:right w:w="0" w:type="dxa"/>
            </w:tcMar>
          </w:tcPr>
          <w:p w14:paraId="262B2F82" w14:textId="0337137E" w:rsidR="00517B8C" w:rsidRDefault="00517B8C" w:rsidP="00517B8C">
            <w:pPr>
              <w:pStyle w:val="AnnexNormal"/>
            </w:pPr>
            <w:r>
              <w:t xml:space="preserve">GAR – sektoropplysninger </w:t>
            </w:r>
          </w:p>
        </w:tc>
      </w:tr>
      <w:tr w:rsidR="00517B8C" w14:paraId="7ACC4624" w14:textId="77777777" w:rsidTr="00517B8C">
        <w:tc>
          <w:tcPr>
            <w:tcW w:w="893" w:type="dxa"/>
            <w:tcMar>
              <w:top w:w="60" w:type="dxa"/>
              <w:left w:w="0" w:type="dxa"/>
              <w:bottom w:w="60" w:type="dxa"/>
            </w:tcMar>
          </w:tcPr>
          <w:p w14:paraId="276426C5" w14:textId="77777777" w:rsidR="00517B8C" w:rsidRDefault="00517B8C" w:rsidP="00517B8C">
            <w:pPr>
              <w:pStyle w:val="AnnexNormal"/>
              <w:jc w:val="center"/>
            </w:pPr>
            <w:r>
              <w:t>3</w:t>
            </w:r>
          </w:p>
        </w:tc>
        <w:tc>
          <w:tcPr>
            <w:tcW w:w="8364" w:type="dxa"/>
            <w:tcMar>
              <w:top w:w="60" w:type="dxa"/>
              <w:bottom w:w="60" w:type="dxa"/>
              <w:right w:w="0" w:type="dxa"/>
            </w:tcMar>
          </w:tcPr>
          <w:p w14:paraId="48302A1C" w14:textId="00BEE2C4" w:rsidR="00517B8C" w:rsidRDefault="00517B8C" w:rsidP="00517B8C">
            <w:pPr>
              <w:pStyle w:val="AnnexNormal"/>
            </w:pPr>
            <w:r>
              <w:t xml:space="preserve">GAR – KPI for beholdninger </w:t>
            </w:r>
          </w:p>
        </w:tc>
      </w:tr>
      <w:tr w:rsidR="00517B8C" w14:paraId="6F4C143D" w14:textId="77777777" w:rsidTr="00517B8C">
        <w:tc>
          <w:tcPr>
            <w:tcW w:w="893" w:type="dxa"/>
            <w:tcMar>
              <w:top w:w="60" w:type="dxa"/>
              <w:left w:w="0" w:type="dxa"/>
              <w:bottom w:w="60" w:type="dxa"/>
            </w:tcMar>
          </w:tcPr>
          <w:p w14:paraId="09ABC858" w14:textId="77777777" w:rsidR="00517B8C" w:rsidRDefault="00517B8C" w:rsidP="00517B8C">
            <w:pPr>
              <w:pStyle w:val="AnnexNormal"/>
              <w:jc w:val="center"/>
            </w:pPr>
            <w:r>
              <w:t>4</w:t>
            </w:r>
          </w:p>
        </w:tc>
        <w:tc>
          <w:tcPr>
            <w:tcW w:w="8364" w:type="dxa"/>
            <w:tcMar>
              <w:top w:w="60" w:type="dxa"/>
              <w:bottom w:w="60" w:type="dxa"/>
              <w:right w:w="0" w:type="dxa"/>
            </w:tcMar>
          </w:tcPr>
          <w:p w14:paraId="1E3195C9" w14:textId="77777777" w:rsidR="00517B8C" w:rsidRDefault="00517B8C" w:rsidP="00517B8C">
            <w:pPr>
              <w:pStyle w:val="AnnexNormal"/>
            </w:pPr>
            <w:r>
              <w:t>GAR – KPI for strømmer</w:t>
            </w:r>
          </w:p>
        </w:tc>
      </w:tr>
      <w:tr w:rsidR="00517B8C" w14:paraId="1FD8FD90" w14:textId="77777777" w:rsidTr="00517B8C">
        <w:tc>
          <w:tcPr>
            <w:tcW w:w="893" w:type="dxa"/>
            <w:tcMar>
              <w:top w:w="60" w:type="dxa"/>
              <w:left w:w="0" w:type="dxa"/>
              <w:bottom w:w="60" w:type="dxa"/>
            </w:tcMar>
          </w:tcPr>
          <w:p w14:paraId="54B1484B" w14:textId="77777777" w:rsidR="00517B8C" w:rsidRDefault="00517B8C" w:rsidP="00517B8C">
            <w:pPr>
              <w:pStyle w:val="AnnexNormal"/>
              <w:jc w:val="center"/>
            </w:pPr>
            <w:r>
              <w:t>5</w:t>
            </w:r>
          </w:p>
        </w:tc>
        <w:tc>
          <w:tcPr>
            <w:tcW w:w="8364" w:type="dxa"/>
            <w:tcMar>
              <w:top w:w="60" w:type="dxa"/>
              <w:bottom w:w="60" w:type="dxa"/>
              <w:right w:w="0" w:type="dxa"/>
            </w:tcMar>
          </w:tcPr>
          <w:p w14:paraId="302F40E2" w14:textId="77777777" w:rsidR="00517B8C" w:rsidRDefault="00517B8C" w:rsidP="00517B8C">
            <w:pPr>
              <w:pStyle w:val="AnnexNormal"/>
            </w:pPr>
            <w:r>
              <w:t>KPI for eksponeringer utenfor balansen</w:t>
            </w:r>
          </w:p>
        </w:tc>
      </w:tr>
      <w:tr w:rsidR="00517B8C" w14:paraId="161CDA84" w14:textId="77777777" w:rsidTr="00517B8C">
        <w:tc>
          <w:tcPr>
            <w:tcW w:w="893" w:type="dxa"/>
            <w:tcMar>
              <w:top w:w="60" w:type="dxa"/>
              <w:left w:w="0" w:type="dxa"/>
              <w:bottom w:w="60" w:type="dxa"/>
            </w:tcMar>
          </w:tcPr>
          <w:p w14:paraId="62844085" w14:textId="77777777" w:rsidR="00517B8C" w:rsidRDefault="00517B8C" w:rsidP="00517B8C">
            <w:pPr>
              <w:pStyle w:val="AnnexNormal"/>
              <w:jc w:val="center"/>
            </w:pPr>
            <w:r>
              <w:t>6</w:t>
            </w:r>
          </w:p>
        </w:tc>
        <w:tc>
          <w:tcPr>
            <w:tcW w:w="8364" w:type="dxa"/>
            <w:tcMar>
              <w:top w:w="60" w:type="dxa"/>
              <w:bottom w:w="60" w:type="dxa"/>
              <w:right w:w="0" w:type="dxa"/>
            </w:tcMar>
          </w:tcPr>
          <w:p w14:paraId="06AC2BE6" w14:textId="77777777" w:rsidR="00517B8C" w:rsidRDefault="00517B8C" w:rsidP="00517B8C">
            <w:pPr>
              <w:pStyle w:val="AnnexNormal"/>
            </w:pPr>
            <w:r>
              <w:t>KPI for gebyr- og provisjonsinntekter fra andre tjenester enn utlån og kapitalforvaltning</w:t>
            </w:r>
          </w:p>
        </w:tc>
      </w:tr>
      <w:tr w:rsidR="00517B8C" w14:paraId="7CC05A70" w14:textId="77777777" w:rsidTr="00517B8C">
        <w:tc>
          <w:tcPr>
            <w:tcW w:w="893" w:type="dxa"/>
            <w:tcMar>
              <w:top w:w="60" w:type="dxa"/>
              <w:left w:w="0" w:type="dxa"/>
              <w:bottom w:w="60" w:type="dxa"/>
            </w:tcMar>
          </w:tcPr>
          <w:p w14:paraId="6BF7CA20" w14:textId="77777777" w:rsidR="00517B8C" w:rsidRDefault="00517B8C" w:rsidP="00517B8C">
            <w:pPr>
              <w:pStyle w:val="AnnexNormal"/>
              <w:jc w:val="center"/>
            </w:pPr>
            <w:r>
              <w:t>7</w:t>
            </w:r>
          </w:p>
        </w:tc>
        <w:tc>
          <w:tcPr>
            <w:tcW w:w="8364" w:type="dxa"/>
            <w:tcMar>
              <w:top w:w="60" w:type="dxa"/>
              <w:bottom w:w="60" w:type="dxa"/>
              <w:right w:w="0" w:type="dxa"/>
            </w:tcMar>
          </w:tcPr>
          <w:p w14:paraId="1C12151A" w14:textId="77777777" w:rsidR="00517B8C" w:rsidRDefault="00517B8C" w:rsidP="00517B8C">
            <w:pPr>
              <w:pStyle w:val="AnnexNormal"/>
            </w:pPr>
            <w:r>
              <w:t>KPI for handelsporteføljen</w:t>
            </w:r>
          </w:p>
        </w:tc>
      </w:tr>
    </w:tbl>
    <w:p w14:paraId="7A5A6C47" w14:textId="77777777" w:rsidR="00517B8C" w:rsidRDefault="00517B8C" w:rsidP="00517B8C">
      <w:pPr>
        <w:pStyle w:val="AnnexNormal"/>
      </w:pPr>
    </w:p>
    <w:p w14:paraId="79F8C7B7" w14:textId="77777777" w:rsidR="00517B8C" w:rsidRDefault="00517B8C">
      <w:pPr>
        <w:shd w:val="clear" w:color="auto" w:fill="auto"/>
        <w:spacing w:line="0" w:lineRule="auto"/>
        <w:jc w:val="left"/>
        <w:rPr>
          <w:color w:val="auto"/>
          <w14:ligatures w14:val="standard"/>
        </w:rPr>
      </w:pPr>
      <w:r>
        <w:br w:type="page"/>
      </w:r>
    </w:p>
    <w:p w14:paraId="5812B549" w14:textId="77777777" w:rsidR="00517B8C" w:rsidRPr="00517B8C" w:rsidRDefault="00517B8C" w:rsidP="00517B8C">
      <w:pPr>
        <w:pStyle w:val="TableTitle"/>
        <w:rPr>
          <w:i/>
        </w:rPr>
      </w:pPr>
      <w:r>
        <w:rPr>
          <w:i/>
        </w:rPr>
        <w:lastRenderedPageBreak/>
        <w:t>Mal 0: Sammendrag av KPI-er som skal framlegges av kredittinstitusjoner i henhold til artikkel 8 i taksonomiforordningen</w:t>
      </w:r>
    </w:p>
    <w:tbl>
      <w:tblPr>
        <w:tblOverlap w:val="never"/>
        <w:tblW w:w="14311" w:type="dxa"/>
        <w:tblInd w:w="10" w:type="dxa"/>
        <w:tblLayout w:type="fixed"/>
        <w:tblCellMar>
          <w:left w:w="10" w:type="dxa"/>
          <w:right w:w="10" w:type="dxa"/>
        </w:tblCellMar>
        <w:tblLook w:val="0000" w:firstRow="0" w:lastRow="0" w:firstColumn="0" w:lastColumn="0" w:noHBand="0" w:noVBand="0"/>
      </w:tblPr>
      <w:tblGrid>
        <w:gridCol w:w="2707"/>
        <w:gridCol w:w="2707"/>
        <w:gridCol w:w="1205"/>
        <w:gridCol w:w="965"/>
        <w:gridCol w:w="1306"/>
        <w:gridCol w:w="1157"/>
        <w:gridCol w:w="1349"/>
        <w:gridCol w:w="1541"/>
        <w:gridCol w:w="1374"/>
      </w:tblGrid>
      <w:tr w:rsidR="00A9167B" w:rsidRPr="00647D81" w14:paraId="74151209" w14:textId="77777777" w:rsidTr="00A9167B">
        <w:trPr>
          <w:trHeight w:val="226"/>
        </w:trPr>
        <w:tc>
          <w:tcPr>
            <w:tcW w:w="2707" w:type="dxa"/>
            <w:tcBorders>
              <w:top w:val="single" w:sz="4" w:space="0" w:color="auto"/>
              <w:left w:val="single" w:sz="4" w:space="0" w:color="auto"/>
            </w:tcBorders>
            <w:shd w:val="clear" w:color="auto" w:fill="FFFFFF"/>
            <w:tcMar>
              <w:top w:w="20" w:type="dxa"/>
              <w:left w:w="0" w:type="dxa"/>
              <w:bottom w:w="20" w:type="dxa"/>
            </w:tcMar>
            <w:vAlign w:val="bottom"/>
          </w:tcPr>
          <w:p w14:paraId="60C18A75" w14:textId="77777777" w:rsidR="00A9167B" w:rsidRPr="00647D81" w:rsidRDefault="00A9167B" w:rsidP="00A9167B">
            <w:pPr>
              <w:pStyle w:val="AnnexTableHeader"/>
              <w:spacing w:line="200" w:lineRule="exact"/>
              <w:ind w:left="40"/>
              <w:jc w:val="left"/>
              <w:rPr>
                <w:rFonts w:ascii="Helvetica" w:hAnsi="Helvetica"/>
                <w:sz w:val="14"/>
                <w:szCs w:val="14"/>
              </w:rPr>
            </w:pPr>
            <w:r>
              <w:rPr>
                <w:rFonts w:ascii="Helvetica" w:hAnsi="Helvetica"/>
                <w:sz w:val="14"/>
              </w:rPr>
              <w:t>Referansedato/-periode for opplysningene t</w:t>
            </w:r>
          </w:p>
        </w:tc>
        <w:tc>
          <w:tcPr>
            <w:tcW w:w="2707" w:type="dxa"/>
            <w:tcBorders>
              <w:top w:val="single" w:sz="4" w:space="0" w:color="auto"/>
              <w:left w:val="single" w:sz="4" w:space="0" w:color="auto"/>
            </w:tcBorders>
            <w:shd w:val="clear" w:color="auto" w:fill="FFFFFF"/>
            <w:tcMar>
              <w:top w:w="20" w:type="dxa"/>
              <w:bottom w:w="20" w:type="dxa"/>
            </w:tcMar>
            <w:vAlign w:val="bottom"/>
          </w:tcPr>
          <w:p w14:paraId="7BE99BA4" w14:textId="77777777" w:rsidR="00A9167B" w:rsidRPr="00647D81" w:rsidRDefault="00A9167B" w:rsidP="00A9167B">
            <w:pPr>
              <w:pStyle w:val="AnnexTableHeader"/>
              <w:spacing w:line="200" w:lineRule="exact"/>
              <w:rPr>
                <w:rFonts w:ascii="Helvetica" w:hAnsi="Helvetica"/>
                <w:sz w:val="14"/>
                <w:szCs w:val="14"/>
              </w:rPr>
            </w:pPr>
          </w:p>
        </w:tc>
        <w:tc>
          <w:tcPr>
            <w:tcW w:w="8897" w:type="dxa"/>
            <w:gridSpan w:val="7"/>
            <w:tcBorders>
              <w:left w:val="single" w:sz="4" w:space="0" w:color="auto"/>
            </w:tcBorders>
            <w:shd w:val="clear" w:color="auto" w:fill="FFFFFF"/>
            <w:tcMar>
              <w:top w:w="20" w:type="dxa"/>
              <w:bottom w:w="20" w:type="dxa"/>
              <w:right w:w="0" w:type="dxa"/>
            </w:tcMar>
          </w:tcPr>
          <w:p w14:paraId="4C04ED6B" w14:textId="77777777" w:rsidR="00A9167B" w:rsidRPr="00647D81" w:rsidRDefault="00A9167B" w:rsidP="00A9167B">
            <w:pPr>
              <w:pStyle w:val="AnnexTableHeader"/>
              <w:spacing w:line="200" w:lineRule="exact"/>
              <w:rPr>
                <w:rFonts w:ascii="Helvetica" w:hAnsi="Helvetica"/>
                <w:sz w:val="14"/>
                <w:szCs w:val="14"/>
              </w:rPr>
            </w:pPr>
          </w:p>
        </w:tc>
      </w:tr>
      <w:tr w:rsidR="00517B8C" w:rsidRPr="00647D81" w14:paraId="1401E651" w14:textId="77777777" w:rsidTr="00A9167B">
        <w:trPr>
          <w:trHeight w:val="893"/>
        </w:trPr>
        <w:tc>
          <w:tcPr>
            <w:tcW w:w="5414" w:type="dxa"/>
            <w:gridSpan w:val="2"/>
            <w:vMerge w:val="restart"/>
            <w:tcBorders>
              <w:top w:val="single" w:sz="4" w:space="0" w:color="auto"/>
              <w:left w:val="single" w:sz="4" w:space="0" w:color="auto"/>
            </w:tcBorders>
            <w:shd w:val="clear" w:color="auto" w:fill="D9D9D9" w:themeFill="background1" w:themeFillShade="D9"/>
            <w:tcMar>
              <w:top w:w="20" w:type="dxa"/>
              <w:left w:w="0" w:type="dxa"/>
              <w:bottom w:w="20" w:type="dxa"/>
            </w:tcMar>
          </w:tcPr>
          <w:p w14:paraId="6761E03F" w14:textId="77777777" w:rsidR="00517B8C" w:rsidRPr="00AE7F98" w:rsidRDefault="00517B8C" w:rsidP="00A9167B">
            <w:pPr>
              <w:pStyle w:val="AnnexTableHeader"/>
              <w:spacing w:line="200" w:lineRule="exact"/>
              <w:rPr>
                <w:rFonts w:ascii="Helvetica" w:hAnsi="Helvetica"/>
                <w:b/>
                <w:sz w:val="14"/>
                <w:szCs w:val="14"/>
              </w:rPr>
            </w:pPr>
          </w:p>
        </w:tc>
        <w:tc>
          <w:tcPr>
            <w:tcW w:w="2170" w:type="dxa"/>
            <w:gridSpan w:val="2"/>
            <w:tcBorders>
              <w:top w:val="single" w:sz="4" w:space="0" w:color="auto"/>
              <w:left w:val="single" w:sz="4" w:space="0" w:color="auto"/>
            </w:tcBorders>
            <w:shd w:val="clear" w:color="auto" w:fill="D9D9D9" w:themeFill="background1" w:themeFillShade="D9"/>
            <w:tcMar>
              <w:top w:w="20" w:type="dxa"/>
              <w:bottom w:w="20" w:type="dxa"/>
            </w:tcMar>
            <w:vAlign w:val="center"/>
          </w:tcPr>
          <w:p w14:paraId="30E4D031"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Samlet eksponering mot taksonomiforenlige aktiviteter (valuta)</w:t>
            </w:r>
          </w:p>
        </w:tc>
        <w:tc>
          <w:tcPr>
            <w:tcW w:w="1306" w:type="dxa"/>
            <w:tcBorders>
              <w:top w:val="single" w:sz="4" w:space="0" w:color="auto"/>
              <w:left w:val="single" w:sz="4" w:space="0" w:color="auto"/>
            </w:tcBorders>
            <w:shd w:val="clear" w:color="auto" w:fill="D9D9D9" w:themeFill="background1" w:themeFillShade="D9"/>
            <w:tcMar>
              <w:top w:w="20" w:type="dxa"/>
              <w:bottom w:w="20" w:type="dxa"/>
            </w:tcMar>
            <w:vAlign w:val="center"/>
          </w:tcPr>
          <w:p w14:paraId="5513B294"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KPI (2)</w:t>
            </w:r>
          </w:p>
          <w:p w14:paraId="6FB6BC3E"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w:t>
            </w:r>
          </w:p>
        </w:tc>
        <w:tc>
          <w:tcPr>
            <w:tcW w:w="1157" w:type="dxa"/>
            <w:tcBorders>
              <w:top w:val="single" w:sz="4" w:space="0" w:color="auto"/>
              <w:left w:val="single" w:sz="4" w:space="0" w:color="auto"/>
            </w:tcBorders>
            <w:shd w:val="clear" w:color="auto" w:fill="D9D9D9" w:themeFill="background1" w:themeFillShade="D9"/>
            <w:tcMar>
              <w:top w:w="20" w:type="dxa"/>
              <w:bottom w:w="20" w:type="dxa"/>
            </w:tcMar>
            <w:vAlign w:val="center"/>
          </w:tcPr>
          <w:p w14:paraId="5060869E"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KPI (3)</w:t>
            </w:r>
          </w:p>
          <w:p w14:paraId="22192B0D"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w:t>
            </w:r>
          </w:p>
        </w:tc>
        <w:tc>
          <w:tcPr>
            <w:tcW w:w="1349" w:type="dxa"/>
            <w:tcBorders>
              <w:top w:val="single" w:sz="4" w:space="0" w:color="auto"/>
              <w:left w:val="single" w:sz="4" w:space="0" w:color="auto"/>
            </w:tcBorders>
            <w:shd w:val="clear" w:color="auto" w:fill="D9D9D9" w:themeFill="background1" w:themeFillShade="D9"/>
            <w:tcMar>
              <w:top w:w="20" w:type="dxa"/>
              <w:bottom w:w="20" w:type="dxa"/>
            </w:tcMar>
            <w:vAlign w:val="center"/>
          </w:tcPr>
          <w:p w14:paraId="3A95486C" w14:textId="26EE0D09" w:rsidR="00517B8C" w:rsidRPr="00647D81" w:rsidRDefault="00517B8C" w:rsidP="00A9167B">
            <w:pPr>
              <w:pStyle w:val="AnnexTableHeader"/>
              <w:spacing w:line="200" w:lineRule="exact"/>
              <w:rPr>
                <w:rFonts w:ascii="Helvetica" w:hAnsi="Helvetica"/>
                <w:b/>
                <w:sz w:val="14"/>
                <w:szCs w:val="14"/>
              </w:rPr>
            </w:pPr>
            <w:r>
              <w:rPr>
                <w:rFonts w:ascii="Helvetica" w:hAnsi="Helvetica"/>
                <w:b/>
                <w:bCs/>
                <w:sz w:val="14"/>
              </w:rPr>
              <w:t>Dekningsgrad i % (av samlede eiendeler)</w:t>
            </w:r>
            <w:r>
              <w:rPr>
                <w:rFonts w:ascii="Helvetica" w:hAnsi="Helvetica"/>
                <w:b/>
                <w:sz w:val="14"/>
              </w:rPr>
              <w:t xml:space="preserve"> (4) (%)</w:t>
            </w:r>
          </w:p>
        </w:tc>
        <w:tc>
          <w:tcPr>
            <w:tcW w:w="1541" w:type="dxa"/>
            <w:tcBorders>
              <w:top w:val="single" w:sz="4" w:space="0" w:color="auto"/>
              <w:left w:val="single" w:sz="4" w:space="0" w:color="auto"/>
            </w:tcBorders>
            <w:shd w:val="clear" w:color="auto" w:fill="D9D9D9" w:themeFill="background1" w:themeFillShade="D9"/>
            <w:tcMar>
              <w:top w:w="20" w:type="dxa"/>
              <w:bottom w:w="20" w:type="dxa"/>
            </w:tcMar>
            <w:vAlign w:val="bottom"/>
          </w:tcPr>
          <w:p w14:paraId="0C0821A4"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ikke-vurderte eksponeringer (% av dekkede eiendeler) (5) (%)</w:t>
            </w:r>
          </w:p>
        </w:tc>
        <w:tc>
          <w:tcPr>
            <w:tcW w:w="1374" w:type="dxa"/>
            <w:tcBorders>
              <w:top w:val="single" w:sz="4" w:space="0" w:color="auto"/>
              <w:left w:val="single" w:sz="4" w:space="0" w:color="auto"/>
              <w:right w:val="single" w:sz="4" w:space="0" w:color="auto"/>
            </w:tcBorders>
            <w:shd w:val="clear" w:color="auto" w:fill="D9D9D9" w:themeFill="background1" w:themeFillShade="D9"/>
            <w:tcMar>
              <w:top w:w="20" w:type="dxa"/>
              <w:bottom w:w="20" w:type="dxa"/>
              <w:right w:w="0" w:type="dxa"/>
            </w:tcMar>
            <w:vAlign w:val="bottom"/>
          </w:tcPr>
          <w:p w14:paraId="2EFF5237" w14:textId="77777777" w:rsidR="00517B8C" w:rsidRPr="00647D81" w:rsidRDefault="00517B8C" w:rsidP="004A2CAF">
            <w:pPr>
              <w:pStyle w:val="AnnexTableHeader"/>
              <w:spacing w:line="200" w:lineRule="exact"/>
              <w:ind w:right="40"/>
              <w:rPr>
                <w:rFonts w:ascii="Helvetica" w:hAnsi="Helvetica"/>
                <w:b/>
                <w:sz w:val="14"/>
                <w:szCs w:val="14"/>
              </w:rPr>
            </w:pPr>
            <w:r>
              <w:rPr>
                <w:rFonts w:ascii="Helvetica" w:hAnsi="Helvetica"/>
                <w:b/>
                <w:sz w:val="14"/>
              </w:rPr>
              <w:t>ikke-vurderte eksponeringer (% av dekkede eiendeler) (5) (%)</w:t>
            </w:r>
          </w:p>
        </w:tc>
      </w:tr>
      <w:tr w:rsidR="00A9167B" w:rsidRPr="00647D81" w14:paraId="52C90C1C" w14:textId="77777777" w:rsidTr="00A9167B">
        <w:trPr>
          <w:trHeight w:val="221"/>
        </w:trPr>
        <w:tc>
          <w:tcPr>
            <w:tcW w:w="5414" w:type="dxa"/>
            <w:gridSpan w:val="2"/>
            <w:vMerge/>
            <w:tcBorders>
              <w:left w:val="single" w:sz="4" w:space="0" w:color="auto"/>
            </w:tcBorders>
            <w:shd w:val="clear" w:color="auto" w:fill="D9D9D9" w:themeFill="background1" w:themeFillShade="D9"/>
            <w:tcMar>
              <w:top w:w="20" w:type="dxa"/>
              <w:left w:w="0" w:type="dxa"/>
              <w:bottom w:w="20" w:type="dxa"/>
            </w:tcMar>
          </w:tcPr>
          <w:p w14:paraId="27ED7F34" w14:textId="77777777" w:rsidR="00517B8C" w:rsidRPr="00647D81" w:rsidRDefault="00517B8C" w:rsidP="00A9167B">
            <w:pPr>
              <w:pStyle w:val="AnnexTableHeader"/>
              <w:spacing w:line="200" w:lineRule="exact"/>
              <w:rPr>
                <w:rFonts w:ascii="Helvetica" w:hAnsi="Helvetica"/>
                <w:b/>
                <w:sz w:val="14"/>
                <w:szCs w:val="14"/>
              </w:rPr>
            </w:pPr>
          </w:p>
        </w:tc>
        <w:tc>
          <w:tcPr>
            <w:tcW w:w="1205" w:type="dxa"/>
            <w:tcBorders>
              <w:top w:val="single" w:sz="4" w:space="0" w:color="auto"/>
              <w:left w:val="single" w:sz="4" w:space="0" w:color="auto"/>
            </w:tcBorders>
            <w:shd w:val="clear" w:color="auto" w:fill="D9D9D9" w:themeFill="background1" w:themeFillShade="D9"/>
            <w:tcMar>
              <w:top w:w="20" w:type="dxa"/>
              <w:bottom w:w="20" w:type="dxa"/>
            </w:tcMar>
            <w:vAlign w:val="bottom"/>
          </w:tcPr>
          <w:p w14:paraId="5D35B632"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Basert på omsetning</w:t>
            </w:r>
          </w:p>
        </w:tc>
        <w:tc>
          <w:tcPr>
            <w:tcW w:w="965" w:type="dxa"/>
            <w:tcBorders>
              <w:top w:val="single" w:sz="4" w:space="0" w:color="auto"/>
              <w:left w:val="single" w:sz="4" w:space="0" w:color="auto"/>
            </w:tcBorders>
            <w:shd w:val="clear" w:color="auto" w:fill="D9D9D9" w:themeFill="background1" w:themeFillShade="D9"/>
            <w:tcMar>
              <w:top w:w="20" w:type="dxa"/>
              <w:bottom w:w="20" w:type="dxa"/>
            </w:tcMar>
            <w:vAlign w:val="bottom"/>
          </w:tcPr>
          <w:p w14:paraId="709B80DD" w14:textId="43F5FB62"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Basert på investerings</w:t>
            </w:r>
            <w:r w:rsidR="003520FD">
              <w:rPr>
                <w:rFonts w:ascii="Helvetica" w:hAnsi="Helvetica"/>
                <w:b/>
                <w:sz w:val="14"/>
              </w:rPr>
              <w:softHyphen/>
            </w:r>
            <w:r>
              <w:rPr>
                <w:rFonts w:ascii="Helvetica" w:hAnsi="Helvetica"/>
                <w:b/>
                <w:sz w:val="14"/>
              </w:rPr>
              <w:t>utgifter</w:t>
            </w:r>
          </w:p>
        </w:tc>
        <w:tc>
          <w:tcPr>
            <w:tcW w:w="1306" w:type="dxa"/>
            <w:tcBorders>
              <w:top w:val="single" w:sz="4" w:space="0" w:color="auto"/>
              <w:left w:val="single" w:sz="4" w:space="0" w:color="auto"/>
            </w:tcBorders>
            <w:shd w:val="clear" w:color="auto" w:fill="D9D9D9" w:themeFill="background1" w:themeFillShade="D9"/>
            <w:tcMar>
              <w:top w:w="20" w:type="dxa"/>
              <w:bottom w:w="20" w:type="dxa"/>
            </w:tcMar>
            <w:vAlign w:val="bottom"/>
          </w:tcPr>
          <w:p w14:paraId="18ABA349" w14:textId="77777777" w:rsidR="00517B8C" w:rsidRPr="00647D81" w:rsidRDefault="00517B8C" w:rsidP="00B310F8">
            <w:pPr>
              <w:pStyle w:val="AnnexTableHeader"/>
              <w:spacing w:line="200" w:lineRule="exact"/>
              <w:jc w:val="left"/>
              <w:rPr>
                <w:rFonts w:ascii="Helvetica" w:hAnsi="Helvetica"/>
                <w:b/>
                <w:sz w:val="14"/>
                <w:szCs w:val="14"/>
              </w:rPr>
            </w:pPr>
            <w:r>
              <w:rPr>
                <w:rFonts w:ascii="Helvetica" w:hAnsi="Helvetica"/>
                <w:b/>
                <w:sz w:val="14"/>
              </w:rPr>
              <w:t>Basert på omsetning</w:t>
            </w:r>
          </w:p>
        </w:tc>
        <w:tc>
          <w:tcPr>
            <w:tcW w:w="1157" w:type="dxa"/>
            <w:tcBorders>
              <w:top w:val="single" w:sz="4" w:space="0" w:color="auto"/>
              <w:left w:val="single" w:sz="4" w:space="0" w:color="auto"/>
            </w:tcBorders>
            <w:shd w:val="clear" w:color="auto" w:fill="D9D9D9" w:themeFill="background1" w:themeFillShade="D9"/>
            <w:tcMar>
              <w:top w:w="20" w:type="dxa"/>
              <w:bottom w:w="20" w:type="dxa"/>
            </w:tcMar>
            <w:vAlign w:val="bottom"/>
          </w:tcPr>
          <w:p w14:paraId="0BA3EAE2" w14:textId="4EB9A52F" w:rsidR="00517B8C" w:rsidRPr="00647D81" w:rsidRDefault="00517B8C" w:rsidP="00B310F8">
            <w:pPr>
              <w:pStyle w:val="AnnexTableHeader"/>
              <w:spacing w:line="200" w:lineRule="exact"/>
              <w:jc w:val="left"/>
              <w:rPr>
                <w:rFonts w:ascii="Helvetica" w:hAnsi="Helvetica"/>
                <w:b/>
                <w:sz w:val="14"/>
                <w:szCs w:val="14"/>
              </w:rPr>
            </w:pPr>
            <w:r>
              <w:rPr>
                <w:rFonts w:ascii="Helvetica" w:hAnsi="Helvetica"/>
                <w:b/>
                <w:sz w:val="14"/>
              </w:rPr>
              <w:t>Basert på investerings</w:t>
            </w:r>
            <w:r w:rsidR="003520FD">
              <w:rPr>
                <w:rFonts w:ascii="Helvetica" w:hAnsi="Helvetica"/>
                <w:b/>
                <w:sz w:val="14"/>
              </w:rPr>
              <w:softHyphen/>
            </w:r>
            <w:r>
              <w:rPr>
                <w:rFonts w:ascii="Helvetica" w:hAnsi="Helvetica"/>
                <w:b/>
                <w:sz w:val="14"/>
              </w:rPr>
              <w:t>utgifter</w:t>
            </w:r>
          </w:p>
        </w:tc>
        <w:tc>
          <w:tcPr>
            <w:tcW w:w="1349" w:type="dxa"/>
            <w:tcBorders>
              <w:top w:val="single" w:sz="4" w:space="0" w:color="auto"/>
              <w:left w:val="single" w:sz="4" w:space="0" w:color="auto"/>
            </w:tcBorders>
            <w:shd w:val="clear" w:color="auto" w:fill="D9D9D9" w:themeFill="background1" w:themeFillShade="D9"/>
            <w:tcMar>
              <w:top w:w="20" w:type="dxa"/>
              <w:bottom w:w="20" w:type="dxa"/>
            </w:tcMar>
          </w:tcPr>
          <w:p w14:paraId="2A769EE5" w14:textId="77777777" w:rsidR="00517B8C" w:rsidRPr="00647D81" w:rsidRDefault="00517B8C" w:rsidP="00A9167B">
            <w:pPr>
              <w:pStyle w:val="AnnexTableHeader"/>
              <w:spacing w:line="200" w:lineRule="exact"/>
              <w:rPr>
                <w:rFonts w:ascii="Helvetica" w:hAnsi="Helvetica"/>
                <w:b/>
                <w:sz w:val="14"/>
                <w:szCs w:val="14"/>
              </w:rPr>
            </w:pPr>
          </w:p>
        </w:tc>
        <w:tc>
          <w:tcPr>
            <w:tcW w:w="1541" w:type="dxa"/>
            <w:tcBorders>
              <w:top w:val="single" w:sz="4" w:space="0" w:color="auto"/>
              <w:left w:val="single" w:sz="4" w:space="0" w:color="auto"/>
            </w:tcBorders>
            <w:shd w:val="clear" w:color="auto" w:fill="D9D9D9" w:themeFill="background1" w:themeFillShade="D9"/>
            <w:tcMar>
              <w:top w:w="20" w:type="dxa"/>
              <w:bottom w:w="20" w:type="dxa"/>
            </w:tcMar>
            <w:vAlign w:val="bottom"/>
          </w:tcPr>
          <w:p w14:paraId="23BA72E9"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Basert på omsetning</w:t>
            </w:r>
          </w:p>
        </w:tc>
        <w:tc>
          <w:tcPr>
            <w:tcW w:w="1374" w:type="dxa"/>
            <w:tcBorders>
              <w:top w:val="single" w:sz="4" w:space="0" w:color="auto"/>
              <w:left w:val="single" w:sz="4" w:space="0" w:color="auto"/>
              <w:right w:val="single" w:sz="4" w:space="0" w:color="auto"/>
            </w:tcBorders>
            <w:shd w:val="clear" w:color="auto" w:fill="D9D9D9" w:themeFill="background1" w:themeFillShade="D9"/>
            <w:tcMar>
              <w:top w:w="20" w:type="dxa"/>
              <w:bottom w:w="20" w:type="dxa"/>
              <w:right w:w="0" w:type="dxa"/>
            </w:tcMar>
            <w:vAlign w:val="bottom"/>
          </w:tcPr>
          <w:p w14:paraId="42D72591" w14:textId="77777777" w:rsidR="00517B8C" w:rsidRPr="00647D81" w:rsidRDefault="00517B8C" w:rsidP="00A9167B">
            <w:pPr>
              <w:pStyle w:val="AnnexTableHeader"/>
              <w:spacing w:line="200" w:lineRule="exact"/>
              <w:rPr>
                <w:rFonts w:ascii="Helvetica" w:hAnsi="Helvetica"/>
                <w:b/>
                <w:sz w:val="14"/>
                <w:szCs w:val="14"/>
              </w:rPr>
            </w:pPr>
            <w:r>
              <w:rPr>
                <w:rFonts w:ascii="Helvetica" w:hAnsi="Helvetica"/>
                <w:b/>
                <w:sz w:val="14"/>
              </w:rPr>
              <w:t>Basert på investeringsutgifter</w:t>
            </w:r>
          </w:p>
        </w:tc>
      </w:tr>
      <w:tr w:rsidR="00A9167B" w:rsidRPr="00647D81" w14:paraId="3D597285" w14:textId="77777777" w:rsidTr="00A9167B">
        <w:trPr>
          <w:trHeight w:val="230"/>
        </w:trPr>
        <w:tc>
          <w:tcPr>
            <w:tcW w:w="2707" w:type="dxa"/>
            <w:tcBorders>
              <w:top w:val="single" w:sz="4" w:space="0" w:color="auto"/>
              <w:left w:val="single" w:sz="4" w:space="0" w:color="auto"/>
              <w:bottom w:val="single" w:sz="4" w:space="0" w:color="auto"/>
            </w:tcBorders>
            <w:shd w:val="clear" w:color="auto" w:fill="FFFFFF"/>
            <w:tcMar>
              <w:top w:w="20" w:type="dxa"/>
              <w:left w:w="0" w:type="dxa"/>
              <w:bottom w:w="20" w:type="dxa"/>
            </w:tcMar>
          </w:tcPr>
          <w:p w14:paraId="05E25F40" w14:textId="77777777" w:rsidR="00A9167B" w:rsidRPr="00647D81" w:rsidRDefault="00A9167B" w:rsidP="00A9167B">
            <w:pPr>
              <w:pStyle w:val="AnnexTableHeader"/>
              <w:spacing w:line="200" w:lineRule="exact"/>
              <w:ind w:left="40"/>
              <w:jc w:val="left"/>
              <w:rPr>
                <w:rFonts w:ascii="Helvetica" w:hAnsi="Helvetica"/>
                <w:b/>
                <w:sz w:val="14"/>
                <w:szCs w:val="14"/>
              </w:rPr>
            </w:pPr>
            <w:r>
              <w:rPr>
                <w:rFonts w:ascii="Helvetica" w:hAnsi="Helvetica"/>
                <w:b/>
                <w:sz w:val="14"/>
              </w:rPr>
              <w:t>Hoved-KPI</w:t>
            </w:r>
          </w:p>
        </w:tc>
        <w:tc>
          <w:tcPr>
            <w:tcW w:w="2707" w:type="dxa"/>
            <w:tcBorders>
              <w:top w:val="single" w:sz="4" w:space="0" w:color="auto"/>
              <w:left w:val="single" w:sz="4" w:space="0" w:color="auto"/>
              <w:bottom w:val="single" w:sz="4" w:space="0" w:color="auto"/>
            </w:tcBorders>
            <w:shd w:val="clear" w:color="auto" w:fill="FFFFFF"/>
            <w:tcMar>
              <w:top w:w="20" w:type="dxa"/>
              <w:bottom w:w="20" w:type="dxa"/>
            </w:tcMar>
          </w:tcPr>
          <w:p w14:paraId="586CBBE4" w14:textId="77777777" w:rsidR="00A9167B" w:rsidRPr="00647D81" w:rsidRDefault="00A9167B" w:rsidP="00A9167B">
            <w:pPr>
              <w:pStyle w:val="AnnexTableHeader"/>
              <w:spacing w:line="200" w:lineRule="exact"/>
              <w:jc w:val="left"/>
              <w:rPr>
                <w:rFonts w:ascii="Helvetica" w:hAnsi="Helvetica"/>
                <w:b/>
                <w:sz w:val="14"/>
                <w:szCs w:val="14"/>
              </w:rPr>
            </w:pPr>
            <w:r>
              <w:rPr>
                <w:rFonts w:ascii="Helvetica" w:hAnsi="Helvetica"/>
                <w:b/>
                <w:sz w:val="14"/>
              </w:rPr>
              <w:t>Grønn brøk (GAR) for beholdninger</w:t>
            </w:r>
          </w:p>
        </w:tc>
        <w:tc>
          <w:tcPr>
            <w:tcW w:w="1205" w:type="dxa"/>
            <w:tcBorders>
              <w:top w:val="single" w:sz="4" w:space="0" w:color="auto"/>
              <w:left w:val="single" w:sz="4" w:space="0" w:color="auto"/>
              <w:bottom w:val="single" w:sz="4" w:space="0" w:color="auto"/>
            </w:tcBorders>
            <w:shd w:val="clear" w:color="auto" w:fill="FFFFFF"/>
            <w:tcMar>
              <w:top w:w="20" w:type="dxa"/>
              <w:bottom w:w="20" w:type="dxa"/>
            </w:tcMar>
          </w:tcPr>
          <w:p w14:paraId="5E710905" w14:textId="77777777" w:rsidR="00A9167B" w:rsidRPr="00647D81" w:rsidRDefault="00A9167B" w:rsidP="00A9167B">
            <w:pPr>
              <w:pStyle w:val="AnnexTableHeader"/>
              <w:spacing w:line="200" w:lineRule="exact"/>
              <w:rPr>
                <w:rFonts w:ascii="Helvetica" w:hAnsi="Helvetica"/>
                <w:b/>
                <w:sz w:val="14"/>
                <w:szCs w:val="14"/>
              </w:rPr>
            </w:pPr>
          </w:p>
        </w:tc>
        <w:tc>
          <w:tcPr>
            <w:tcW w:w="965" w:type="dxa"/>
            <w:tcBorders>
              <w:top w:val="single" w:sz="4" w:space="0" w:color="auto"/>
              <w:left w:val="single" w:sz="4" w:space="0" w:color="auto"/>
              <w:bottom w:val="single" w:sz="4" w:space="0" w:color="auto"/>
            </w:tcBorders>
            <w:shd w:val="clear" w:color="auto" w:fill="FFFFFF"/>
            <w:tcMar>
              <w:top w:w="20" w:type="dxa"/>
              <w:bottom w:w="20" w:type="dxa"/>
            </w:tcMar>
          </w:tcPr>
          <w:p w14:paraId="3173F3F0" w14:textId="77777777" w:rsidR="00A9167B" w:rsidRPr="00647D81" w:rsidRDefault="00A9167B" w:rsidP="00A9167B">
            <w:pPr>
              <w:pStyle w:val="AnnexTableHeader"/>
              <w:spacing w:line="200" w:lineRule="exact"/>
              <w:rPr>
                <w:rFonts w:ascii="Helvetica" w:hAnsi="Helvetica"/>
                <w:b/>
                <w:sz w:val="14"/>
                <w:szCs w:val="14"/>
              </w:rPr>
            </w:pPr>
          </w:p>
        </w:tc>
        <w:tc>
          <w:tcPr>
            <w:tcW w:w="1306" w:type="dxa"/>
            <w:tcBorders>
              <w:top w:val="single" w:sz="4" w:space="0" w:color="auto"/>
              <w:left w:val="single" w:sz="4" w:space="0" w:color="auto"/>
              <w:bottom w:val="single" w:sz="4" w:space="0" w:color="auto"/>
            </w:tcBorders>
            <w:shd w:val="clear" w:color="auto" w:fill="FFFFFF"/>
            <w:tcMar>
              <w:top w:w="20" w:type="dxa"/>
              <w:bottom w:w="20" w:type="dxa"/>
            </w:tcMar>
          </w:tcPr>
          <w:p w14:paraId="4861FFF9" w14:textId="77777777" w:rsidR="00A9167B" w:rsidRPr="00647D81" w:rsidRDefault="00A9167B" w:rsidP="00A9167B">
            <w:pPr>
              <w:pStyle w:val="AnnexTableHeader"/>
              <w:spacing w:line="200" w:lineRule="exact"/>
              <w:rPr>
                <w:rFonts w:ascii="Helvetica" w:hAnsi="Helvetica"/>
                <w:b/>
                <w:sz w:val="14"/>
                <w:szCs w:val="14"/>
              </w:rPr>
            </w:pPr>
          </w:p>
        </w:tc>
        <w:tc>
          <w:tcPr>
            <w:tcW w:w="1157" w:type="dxa"/>
            <w:tcBorders>
              <w:top w:val="single" w:sz="4" w:space="0" w:color="auto"/>
              <w:left w:val="single" w:sz="4" w:space="0" w:color="auto"/>
              <w:bottom w:val="single" w:sz="4" w:space="0" w:color="auto"/>
            </w:tcBorders>
            <w:shd w:val="clear" w:color="auto" w:fill="FFFFFF"/>
            <w:tcMar>
              <w:top w:w="20" w:type="dxa"/>
              <w:bottom w:w="20" w:type="dxa"/>
            </w:tcMar>
          </w:tcPr>
          <w:p w14:paraId="72A5DFBA" w14:textId="77777777" w:rsidR="00A9167B" w:rsidRPr="00647D81" w:rsidRDefault="00A9167B" w:rsidP="00A9167B">
            <w:pPr>
              <w:pStyle w:val="AnnexTableHeader"/>
              <w:spacing w:line="200" w:lineRule="exact"/>
              <w:rPr>
                <w:rFonts w:ascii="Helvetica" w:hAnsi="Helvetica"/>
                <w:b/>
                <w:sz w:val="14"/>
                <w:szCs w:val="14"/>
              </w:rPr>
            </w:pPr>
          </w:p>
        </w:tc>
        <w:tc>
          <w:tcPr>
            <w:tcW w:w="1349" w:type="dxa"/>
            <w:tcBorders>
              <w:top w:val="single" w:sz="4" w:space="0" w:color="auto"/>
              <w:left w:val="single" w:sz="4" w:space="0" w:color="auto"/>
              <w:bottom w:val="single" w:sz="4" w:space="0" w:color="auto"/>
            </w:tcBorders>
            <w:shd w:val="clear" w:color="auto" w:fill="FFFFFF"/>
            <w:tcMar>
              <w:top w:w="20" w:type="dxa"/>
              <w:bottom w:w="20" w:type="dxa"/>
            </w:tcMar>
          </w:tcPr>
          <w:p w14:paraId="6084CE77" w14:textId="77777777" w:rsidR="00A9167B" w:rsidRPr="00647D81" w:rsidRDefault="00A9167B" w:rsidP="00A9167B">
            <w:pPr>
              <w:pStyle w:val="AnnexTableHeader"/>
              <w:spacing w:line="200" w:lineRule="exact"/>
              <w:rPr>
                <w:rFonts w:ascii="Helvetica" w:hAnsi="Helvetica"/>
                <w:b/>
                <w:sz w:val="14"/>
                <w:szCs w:val="14"/>
              </w:rPr>
            </w:pPr>
          </w:p>
        </w:tc>
        <w:tc>
          <w:tcPr>
            <w:tcW w:w="1541" w:type="dxa"/>
            <w:tcBorders>
              <w:top w:val="single" w:sz="4" w:space="0" w:color="auto"/>
              <w:left w:val="single" w:sz="4" w:space="0" w:color="auto"/>
              <w:bottom w:val="single" w:sz="4" w:space="0" w:color="auto"/>
            </w:tcBorders>
            <w:shd w:val="clear" w:color="auto" w:fill="FFFFFF"/>
            <w:tcMar>
              <w:top w:w="20" w:type="dxa"/>
              <w:bottom w:w="20" w:type="dxa"/>
            </w:tcMar>
          </w:tcPr>
          <w:p w14:paraId="61F19AA6" w14:textId="77777777" w:rsidR="00A9167B" w:rsidRPr="00647D81" w:rsidRDefault="00A9167B" w:rsidP="00A9167B">
            <w:pPr>
              <w:pStyle w:val="AnnexTableHeader"/>
              <w:spacing w:line="200" w:lineRule="exact"/>
              <w:rPr>
                <w:rFonts w:ascii="Helvetica" w:hAnsi="Helvetica"/>
                <w:b/>
                <w:sz w:val="14"/>
                <w:szCs w:val="14"/>
              </w:rPr>
            </w:pPr>
          </w:p>
        </w:tc>
        <w:tc>
          <w:tcPr>
            <w:tcW w:w="137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right w:w="0" w:type="dxa"/>
            </w:tcMar>
          </w:tcPr>
          <w:p w14:paraId="0CC6AFF8" w14:textId="77777777" w:rsidR="00A9167B" w:rsidRPr="00647D81" w:rsidRDefault="00A9167B" w:rsidP="00A9167B">
            <w:pPr>
              <w:pStyle w:val="AnnexTableHeader"/>
              <w:spacing w:line="200" w:lineRule="exact"/>
              <w:rPr>
                <w:rFonts w:ascii="Helvetica" w:hAnsi="Helvetica"/>
                <w:b/>
                <w:sz w:val="14"/>
                <w:szCs w:val="14"/>
              </w:rPr>
            </w:pPr>
          </w:p>
        </w:tc>
      </w:tr>
    </w:tbl>
    <w:p w14:paraId="2B8B1F5A" w14:textId="77777777" w:rsidR="00517B8C" w:rsidRPr="00647D81" w:rsidRDefault="00517B8C" w:rsidP="00A9167B">
      <w:pPr>
        <w:pStyle w:val="AnnexNormal"/>
        <w:spacing w:after="0"/>
        <w:rPr>
          <w:rFonts w:ascii="Helvetica" w:hAnsi="Helvetica"/>
        </w:rPr>
      </w:pPr>
    </w:p>
    <w:tbl>
      <w:tblPr>
        <w:tblOverlap w:val="never"/>
        <w:tblW w:w="143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7"/>
        <w:gridCol w:w="2707"/>
        <w:gridCol w:w="1205"/>
        <w:gridCol w:w="965"/>
        <w:gridCol w:w="1306"/>
        <w:gridCol w:w="1157"/>
        <w:gridCol w:w="1349"/>
        <w:gridCol w:w="1541"/>
        <w:gridCol w:w="1374"/>
      </w:tblGrid>
      <w:tr w:rsidR="00A9167B" w:rsidRPr="00647D81" w14:paraId="49BE90B3" w14:textId="77777777" w:rsidTr="00A9167B">
        <w:trPr>
          <w:trHeight w:val="893"/>
        </w:trPr>
        <w:tc>
          <w:tcPr>
            <w:tcW w:w="5414" w:type="dxa"/>
            <w:gridSpan w:val="2"/>
            <w:vMerge w:val="restart"/>
            <w:shd w:val="clear" w:color="auto" w:fill="D9D9D9" w:themeFill="background1" w:themeFillShade="D9"/>
            <w:tcMar>
              <w:top w:w="20" w:type="dxa"/>
              <w:left w:w="0" w:type="dxa"/>
              <w:bottom w:w="20" w:type="dxa"/>
            </w:tcMar>
          </w:tcPr>
          <w:p w14:paraId="133E7AAB" w14:textId="77777777" w:rsidR="00A9167B" w:rsidRPr="00AE7F98" w:rsidRDefault="00A9167B" w:rsidP="003B1B62">
            <w:pPr>
              <w:pStyle w:val="AnnexTableHeader"/>
              <w:spacing w:line="200" w:lineRule="exact"/>
              <w:rPr>
                <w:rFonts w:ascii="Helvetica" w:hAnsi="Helvetica"/>
                <w:b/>
                <w:sz w:val="14"/>
                <w:szCs w:val="14"/>
              </w:rPr>
            </w:pPr>
          </w:p>
        </w:tc>
        <w:tc>
          <w:tcPr>
            <w:tcW w:w="2170" w:type="dxa"/>
            <w:gridSpan w:val="2"/>
            <w:shd w:val="clear" w:color="auto" w:fill="D9D9D9" w:themeFill="background1" w:themeFillShade="D9"/>
            <w:tcMar>
              <w:top w:w="20" w:type="dxa"/>
              <w:bottom w:w="20" w:type="dxa"/>
            </w:tcMar>
            <w:vAlign w:val="center"/>
          </w:tcPr>
          <w:p w14:paraId="5EF4A3B9"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Samlet eksponering mot taksonomiforenlige aktiviteter (valuta)</w:t>
            </w:r>
          </w:p>
        </w:tc>
        <w:tc>
          <w:tcPr>
            <w:tcW w:w="1306" w:type="dxa"/>
            <w:shd w:val="clear" w:color="auto" w:fill="D9D9D9" w:themeFill="background1" w:themeFillShade="D9"/>
            <w:tcMar>
              <w:top w:w="20" w:type="dxa"/>
              <w:bottom w:w="20" w:type="dxa"/>
            </w:tcMar>
            <w:vAlign w:val="center"/>
          </w:tcPr>
          <w:p w14:paraId="6A39D37C"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KPI (2)</w:t>
            </w:r>
          </w:p>
          <w:p w14:paraId="47732FBC"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w:t>
            </w:r>
          </w:p>
        </w:tc>
        <w:tc>
          <w:tcPr>
            <w:tcW w:w="1157" w:type="dxa"/>
            <w:shd w:val="clear" w:color="auto" w:fill="D9D9D9" w:themeFill="background1" w:themeFillShade="D9"/>
            <w:tcMar>
              <w:top w:w="20" w:type="dxa"/>
              <w:bottom w:w="20" w:type="dxa"/>
            </w:tcMar>
            <w:vAlign w:val="center"/>
          </w:tcPr>
          <w:p w14:paraId="28FB2A85"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KPI (3)</w:t>
            </w:r>
          </w:p>
          <w:p w14:paraId="469B0762"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w:t>
            </w:r>
          </w:p>
        </w:tc>
        <w:tc>
          <w:tcPr>
            <w:tcW w:w="1349" w:type="dxa"/>
            <w:shd w:val="clear" w:color="auto" w:fill="D9D9D9" w:themeFill="background1" w:themeFillShade="D9"/>
            <w:tcMar>
              <w:top w:w="20" w:type="dxa"/>
              <w:bottom w:w="20" w:type="dxa"/>
            </w:tcMar>
            <w:vAlign w:val="center"/>
          </w:tcPr>
          <w:p w14:paraId="447716FD" w14:textId="542B9488" w:rsidR="00A9167B" w:rsidRPr="00647D81" w:rsidRDefault="00A9167B" w:rsidP="003B1B62">
            <w:pPr>
              <w:pStyle w:val="AnnexTableHeader"/>
              <w:spacing w:line="200" w:lineRule="exact"/>
              <w:rPr>
                <w:rFonts w:ascii="Helvetica" w:hAnsi="Helvetica"/>
                <w:b/>
                <w:sz w:val="14"/>
                <w:szCs w:val="14"/>
              </w:rPr>
            </w:pPr>
            <w:r>
              <w:rPr>
                <w:rFonts w:ascii="Helvetica" w:hAnsi="Helvetica"/>
                <w:b/>
                <w:bCs/>
                <w:sz w:val="14"/>
              </w:rPr>
              <w:t>Dekningsgrad i % (av samlede eiendeler)</w:t>
            </w:r>
            <w:r>
              <w:rPr>
                <w:rFonts w:ascii="Helvetica" w:hAnsi="Helvetica"/>
                <w:b/>
                <w:sz w:val="14"/>
              </w:rPr>
              <w:t xml:space="preserve"> (4) (%)</w:t>
            </w:r>
          </w:p>
        </w:tc>
        <w:tc>
          <w:tcPr>
            <w:tcW w:w="1541" w:type="dxa"/>
            <w:shd w:val="clear" w:color="auto" w:fill="D9D9D9" w:themeFill="background1" w:themeFillShade="D9"/>
            <w:tcMar>
              <w:top w:w="20" w:type="dxa"/>
              <w:bottom w:w="20" w:type="dxa"/>
            </w:tcMar>
            <w:vAlign w:val="bottom"/>
          </w:tcPr>
          <w:p w14:paraId="27B9C054"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ikke-vurderte eksponeringer (% av dekkede eiendeler) (5) (%)</w:t>
            </w:r>
          </w:p>
        </w:tc>
        <w:tc>
          <w:tcPr>
            <w:tcW w:w="1374" w:type="dxa"/>
            <w:shd w:val="clear" w:color="auto" w:fill="D9D9D9" w:themeFill="background1" w:themeFillShade="D9"/>
            <w:tcMar>
              <w:top w:w="20" w:type="dxa"/>
              <w:bottom w:w="20" w:type="dxa"/>
              <w:right w:w="0" w:type="dxa"/>
            </w:tcMar>
            <w:vAlign w:val="bottom"/>
          </w:tcPr>
          <w:p w14:paraId="1C1416E2" w14:textId="77777777" w:rsidR="00A9167B" w:rsidRPr="00647D81" w:rsidRDefault="00A9167B" w:rsidP="004A2CAF">
            <w:pPr>
              <w:pStyle w:val="AnnexTableHeader"/>
              <w:spacing w:line="200" w:lineRule="exact"/>
              <w:ind w:right="40"/>
              <w:rPr>
                <w:rFonts w:ascii="Helvetica" w:hAnsi="Helvetica"/>
                <w:b/>
                <w:sz w:val="14"/>
                <w:szCs w:val="14"/>
              </w:rPr>
            </w:pPr>
            <w:r>
              <w:rPr>
                <w:rFonts w:ascii="Helvetica" w:hAnsi="Helvetica"/>
                <w:b/>
                <w:sz w:val="14"/>
              </w:rPr>
              <w:t>ikke-vurderte eksponeringer (% av dekkede eiendeler) (5) (%)</w:t>
            </w:r>
          </w:p>
        </w:tc>
      </w:tr>
      <w:tr w:rsidR="00A9167B" w:rsidRPr="00647D81" w14:paraId="1405DE1C" w14:textId="77777777" w:rsidTr="00A9167B">
        <w:trPr>
          <w:trHeight w:val="221"/>
        </w:trPr>
        <w:tc>
          <w:tcPr>
            <w:tcW w:w="5414" w:type="dxa"/>
            <w:gridSpan w:val="2"/>
            <w:vMerge/>
            <w:shd w:val="clear" w:color="auto" w:fill="D9D9D9" w:themeFill="background1" w:themeFillShade="D9"/>
            <w:tcMar>
              <w:top w:w="20" w:type="dxa"/>
              <w:left w:w="0" w:type="dxa"/>
              <w:bottom w:w="20" w:type="dxa"/>
            </w:tcMar>
          </w:tcPr>
          <w:p w14:paraId="2EC21080" w14:textId="77777777" w:rsidR="00A9167B" w:rsidRPr="00647D81" w:rsidRDefault="00A9167B" w:rsidP="003B1B62">
            <w:pPr>
              <w:pStyle w:val="AnnexTableHeader"/>
              <w:spacing w:line="200" w:lineRule="exact"/>
              <w:rPr>
                <w:rFonts w:ascii="Helvetica" w:hAnsi="Helvetica"/>
                <w:b/>
                <w:sz w:val="14"/>
                <w:szCs w:val="14"/>
              </w:rPr>
            </w:pPr>
          </w:p>
        </w:tc>
        <w:tc>
          <w:tcPr>
            <w:tcW w:w="1205" w:type="dxa"/>
            <w:shd w:val="clear" w:color="auto" w:fill="D9D9D9" w:themeFill="background1" w:themeFillShade="D9"/>
            <w:tcMar>
              <w:top w:w="20" w:type="dxa"/>
              <w:bottom w:w="20" w:type="dxa"/>
            </w:tcMar>
            <w:vAlign w:val="bottom"/>
          </w:tcPr>
          <w:p w14:paraId="65FFC06F"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Basert på omsetning</w:t>
            </w:r>
          </w:p>
        </w:tc>
        <w:tc>
          <w:tcPr>
            <w:tcW w:w="965" w:type="dxa"/>
            <w:shd w:val="clear" w:color="auto" w:fill="D9D9D9" w:themeFill="background1" w:themeFillShade="D9"/>
            <w:tcMar>
              <w:top w:w="20" w:type="dxa"/>
              <w:bottom w:w="20" w:type="dxa"/>
            </w:tcMar>
            <w:vAlign w:val="bottom"/>
          </w:tcPr>
          <w:p w14:paraId="1F865C89" w14:textId="4302D9F6"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Basert på investerings</w:t>
            </w:r>
            <w:r w:rsidR="003520FD">
              <w:rPr>
                <w:rFonts w:ascii="Helvetica" w:hAnsi="Helvetica"/>
                <w:b/>
                <w:sz w:val="14"/>
              </w:rPr>
              <w:softHyphen/>
            </w:r>
            <w:r>
              <w:rPr>
                <w:rFonts w:ascii="Helvetica" w:hAnsi="Helvetica"/>
                <w:b/>
                <w:sz w:val="14"/>
              </w:rPr>
              <w:t>utgifter</w:t>
            </w:r>
          </w:p>
        </w:tc>
        <w:tc>
          <w:tcPr>
            <w:tcW w:w="1306" w:type="dxa"/>
            <w:shd w:val="clear" w:color="auto" w:fill="D9D9D9" w:themeFill="background1" w:themeFillShade="D9"/>
            <w:tcMar>
              <w:top w:w="20" w:type="dxa"/>
              <w:bottom w:w="20" w:type="dxa"/>
            </w:tcMar>
            <w:vAlign w:val="bottom"/>
          </w:tcPr>
          <w:p w14:paraId="0098B111" w14:textId="77777777"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Basert på omsetning</w:t>
            </w:r>
          </w:p>
        </w:tc>
        <w:tc>
          <w:tcPr>
            <w:tcW w:w="1157" w:type="dxa"/>
            <w:shd w:val="clear" w:color="auto" w:fill="D9D9D9" w:themeFill="background1" w:themeFillShade="D9"/>
            <w:tcMar>
              <w:top w:w="20" w:type="dxa"/>
              <w:bottom w:w="20" w:type="dxa"/>
            </w:tcMar>
            <w:vAlign w:val="bottom"/>
          </w:tcPr>
          <w:p w14:paraId="7CCD7C9D" w14:textId="5F707CB2" w:rsidR="00A9167B" w:rsidRPr="00647D81" w:rsidRDefault="00A9167B" w:rsidP="003B1B62">
            <w:pPr>
              <w:pStyle w:val="AnnexTableHeader"/>
              <w:spacing w:line="200" w:lineRule="exact"/>
              <w:rPr>
                <w:rFonts w:ascii="Helvetica" w:hAnsi="Helvetica"/>
                <w:b/>
                <w:sz w:val="14"/>
                <w:szCs w:val="14"/>
              </w:rPr>
            </w:pPr>
            <w:r>
              <w:rPr>
                <w:rFonts w:ascii="Helvetica" w:hAnsi="Helvetica"/>
                <w:b/>
                <w:sz w:val="14"/>
              </w:rPr>
              <w:t>Basert på investerings</w:t>
            </w:r>
            <w:r w:rsidR="003520FD">
              <w:rPr>
                <w:rFonts w:ascii="Helvetica" w:hAnsi="Helvetica"/>
                <w:b/>
                <w:sz w:val="14"/>
              </w:rPr>
              <w:softHyphen/>
            </w:r>
            <w:r>
              <w:rPr>
                <w:rFonts w:ascii="Helvetica" w:hAnsi="Helvetica"/>
                <w:b/>
                <w:sz w:val="14"/>
              </w:rPr>
              <w:t>utgifter</w:t>
            </w:r>
          </w:p>
        </w:tc>
        <w:tc>
          <w:tcPr>
            <w:tcW w:w="1349" w:type="dxa"/>
            <w:shd w:val="clear" w:color="auto" w:fill="D9D9D9" w:themeFill="background1" w:themeFillShade="D9"/>
            <w:tcMar>
              <w:top w:w="20" w:type="dxa"/>
              <w:bottom w:w="20" w:type="dxa"/>
            </w:tcMar>
          </w:tcPr>
          <w:p w14:paraId="72329004" w14:textId="77777777" w:rsidR="00A9167B" w:rsidRPr="00647D81" w:rsidRDefault="00A9167B" w:rsidP="003B1B62">
            <w:pPr>
              <w:pStyle w:val="AnnexTableHeader"/>
              <w:spacing w:line="200" w:lineRule="exact"/>
              <w:rPr>
                <w:rFonts w:ascii="Helvetica" w:hAnsi="Helvetica"/>
                <w:b/>
                <w:sz w:val="14"/>
                <w:szCs w:val="14"/>
              </w:rPr>
            </w:pPr>
          </w:p>
        </w:tc>
        <w:tc>
          <w:tcPr>
            <w:tcW w:w="1541" w:type="dxa"/>
            <w:shd w:val="clear" w:color="auto" w:fill="D9D9D9" w:themeFill="background1" w:themeFillShade="D9"/>
            <w:tcMar>
              <w:top w:w="20" w:type="dxa"/>
              <w:bottom w:w="20" w:type="dxa"/>
            </w:tcMar>
            <w:vAlign w:val="bottom"/>
          </w:tcPr>
          <w:p w14:paraId="18CBCDEF" w14:textId="77777777" w:rsidR="00A9167B" w:rsidRPr="00647D81" w:rsidRDefault="00A9167B" w:rsidP="00B310F8">
            <w:pPr>
              <w:pStyle w:val="AnnexTableHeader"/>
              <w:spacing w:line="200" w:lineRule="exact"/>
              <w:jc w:val="left"/>
              <w:rPr>
                <w:rFonts w:ascii="Helvetica" w:hAnsi="Helvetica"/>
                <w:b/>
                <w:sz w:val="14"/>
                <w:szCs w:val="14"/>
              </w:rPr>
            </w:pPr>
            <w:r>
              <w:rPr>
                <w:rFonts w:ascii="Helvetica" w:hAnsi="Helvetica"/>
                <w:b/>
                <w:sz w:val="14"/>
              </w:rPr>
              <w:t>Basert på omsetning</w:t>
            </w:r>
          </w:p>
        </w:tc>
        <w:tc>
          <w:tcPr>
            <w:tcW w:w="1374" w:type="dxa"/>
            <w:shd w:val="clear" w:color="auto" w:fill="D9D9D9" w:themeFill="background1" w:themeFillShade="D9"/>
            <w:tcMar>
              <w:top w:w="20" w:type="dxa"/>
              <w:bottom w:w="20" w:type="dxa"/>
              <w:right w:w="0" w:type="dxa"/>
            </w:tcMar>
            <w:vAlign w:val="bottom"/>
          </w:tcPr>
          <w:p w14:paraId="5DA813A1" w14:textId="77777777" w:rsidR="00A9167B" w:rsidRPr="00647D81" w:rsidRDefault="00A9167B" w:rsidP="00B310F8">
            <w:pPr>
              <w:pStyle w:val="AnnexTableHeader"/>
              <w:spacing w:line="200" w:lineRule="exact"/>
              <w:jc w:val="left"/>
              <w:rPr>
                <w:rFonts w:ascii="Helvetica" w:hAnsi="Helvetica"/>
                <w:b/>
                <w:sz w:val="14"/>
                <w:szCs w:val="14"/>
              </w:rPr>
            </w:pPr>
            <w:r>
              <w:rPr>
                <w:rFonts w:ascii="Helvetica" w:hAnsi="Helvetica"/>
                <w:b/>
                <w:sz w:val="14"/>
              </w:rPr>
              <w:t>Basert på investeringsutgifter</w:t>
            </w:r>
          </w:p>
        </w:tc>
      </w:tr>
      <w:tr w:rsidR="00A9167B" w:rsidRPr="00647D81" w14:paraId="6ED05664" w14:textId="77777777" w:rsidTr="00A9167B">
        <w:trPr>
          <w:trHeight w:val="230"/>
        </w:trPr>
        <w:tc>
          <w:tcPr>
            <w:tcW w:w="2707" w:type="dxa"/>
            <w:tcMar>
              <w:top w:w="20" w:type="dxa"/>
              <w:left w:w="0" w:type="dxa"/>
              <w:bottom w:w="20" w:type="dxa"/>
            </w:tcMar>
          </w:tcPr>
          <w:p w14:paraId="40268AC0" w14:textId="77777777" w:rsidR="00A9167B" w:rsidRPr="00647D81" w:rsidRDefault="00A9167B" w:rsidP="00A9167B">
            <w:pPr>
              <w:pStyle w:val="AnnexTableCellLeft"/>
              <w:ind w:left="40"/>
              <w:rPr>
                <w:rFonts w:ascii="Helvetica" w:hAnsi="Helvetica"/>
                <w:i/>
                <w:sz w:val="16"/>
                <w:szCs w:val="16"/>
              </w:rPr>
            </w:pPr>
            <w:r>
              <w:rPr>
                <w:rFonts w:ascii="Helvetica" w:hAnsi="Helvetica"/>
                <w:i/>
                <w:sz w:val="16"/>
              </w:rPr>
              <w:t>Andre KPI-er</w:t>
            </w:r>
          </w:p>
        </w:tc>
        <w:tc>
          <w:tcPr>
            <w:tcW w:w="2707" w:type="dxa"/>
            <w:tcMar>
              <w:top w:w="20" w:type="dxa"/>
              <w:bottom w:w="20" w:type="dxa"/>
            </w:tcMar>
          </w:tcPr>
          <w:p w14:paraId="21A5B288" w14:textId="77777777" w:rsidR="00A9167B" w:rsidRPr="00647D81" w:rsidRDefault="00A9167B" w:rsidP="00A9167B">
            <w:pPr>
              <w:pStyle w:val="AnnexTableCellLeft"/>
              <w:ind w:left="40"/>
              <w:rPr>
                <w:rFonts w:ascii="Helvetica" w:hAnsi="Helvetica"/>
                <w:i/>
                <w:sz w:val="16"/>
                <w:szCs w:val="16"/>
              </w:rPr>
            </w:pPr>
            <w:r>
              <w:rPr>
                <w:rFonts w:ascii="Helvetica" w:hAnsi="Helvetica"/>
                <w:i/>
                <w:sz w:val="16"/>
              </w:rPr>
              <w:t>GAR (strøm)</w:t>
            </w:r>
          </w:p>
        </w:tc>
        <w:tc>
          <w:tcPr>
            <w:tcW w:w="1205" w:type="dxa"/>
            <w:tcMar>
              <w:top w:w="20" w:type="dxa"/>
              <w:bottom w:w="20" w:type="dxa"/>
            </w:tcMar>
          </w:tcPr>
          <w:p w14:paraId="6CBEC985" w14:textId="77777777" w:rsidR="00A9167B" w:rsidRPr="00647D81" w:rsidRDefault="00A9167B" w:rsidP="00A9167B">
            <w:pPr>
              <w:pStyle w:val="AnnexTableCellLeft"/>
              <w:rPr>
                <w:rFonts w:ascii="Helvetica" w:hAnsi="Helvetica"/>
                <w:sz w:val="16"/>
                <w:szCs w:val="16"/>
              </w:rPr>
            </w:pPr>
          </w:p>
        </w:tc>
        <w:tc>
          <w:tcPr>
            <w:tcW w:w="965" w:type="dxa"/>
            <w:tcMar>
              <w:top w:w="20" w:type="dxa"/>
              <w:bottom w:w="20" w:type="dxa"/>
            </w:tcMar>
          </w:tcPr>
          <w:p w14:paraId="6E45E368" w14:textId="77777777" w:rsidR="00A9167B" w:rsidRPr="00647D81" w:rsidRDefault="00A9167B" w:rsidP="00A9167B">
            <w:pPr>
              <w:pStyle w:val="AnnexTableCellLeft"/>
              <w:rPr>
                <w:rFonts w:ascii="Helvetica" w:hAnsi="Helvetica"/>
                <w:sz w:val="16"/>
                <w:szCs w:val="16"/>
              </w:rPr>
            </w:pPr>
          </w:p>
        </w:tc>
        <w:tc>
          <w:tcPr>
            <w:tcW w:w="1306" w:type="dxa"/>
            <w:tcMar>
              <w:top w:w="20" w:type="dxa"/>
              <w:bottom w:w="20" w:type="dxa"/>
            </w:tcMar>
          </w:tcPr>
          <w:p w14:paraId="0A3202CC" w14:textId="77777777" w:rsidR="00A9167B" w:rsidRPr="00647D81" w:rsidRDefault="00A9167B" w:rsidP="00A9167B">
            <w:pPr>
              <w:pStyle w:val="AnnexTableCellLeft"/>
              <w:rPr>
                <w:rFonts w:ascii="Helvetica" w:hAnsi="Helvetica"/>
                <w:sz w:val="16"/>
                <w:szCs w:val="16"/>
              </w:rPr>
            </w:pPr>
          </w:p>
        </w:tc>
        <w:tc>
          <w:tcPr>
            <w:tcW w:w="1157" w:type="dxa"/>
            <w:tcMar>
              <w:top w:w="20" w:type="dxa"/>
              <w:bottom w:w="20" w:type="dxa"/>
            </w:tcMar>
          </w:tcPr>
          <w:p w14:paraId="3BA202E2" w14:textId="77777777" w:rsidR="00A9167B" w:rsidRPr="00647D81" w:rsidRDefault="00A9167B" w:rsidP="00A9167B">
            <w:pPr>
              <w:pStyle w:val="AnnexTableCellLeft"/>
              <w:rPr>
                <w:rFonts w:ascii="Helvetica" w:hAnsi="Helvetica"/>
                <w:sz w:val="16"/>
                <w:szCs w:val="16"/>
              </w:rPr>
            </w:pPr>
          </w:p>
        </w:tc>
        <w:tc>
          <w:tcPr>
            <w:tcW w:w="1349" w:type="dxa"/>
            <w:tcMar>
              <w:top w:w="20" w:type="dxa"/>
              <w:bottom w:w="20" w:type="dxa"/>
            </w:tcMar>
          </w:tcPr>
          <w:p w14:paraId="51556979" w14:textId="77777777" w:rsidR="00A9167B" w:rsidRPr="00647D81" w:rsidRDefault="00A9167B" w:rsidP="00A9167B">
            <w:pPr>
              <w:pStyle w:val="AnnexTableCellLeft"/>
              <w:rPr>
                <w:rFonts w:ascii="Helvetica" w:hAnsi="Helvetica"/>
                <w:sz w:val="16"/>
                <w:szCs w:val="16"/>
              </w:rPr>
            </w:pPr>
          </w:p>
        </w:tc>
        <w:tc>
          <w:tcPr>
            <w:tcW w:w="1541" w:type="dxa"/>
            <w:tcMar>
              <w:top w:w="20" w:type="dxa"/>
              <w:bottom w:w="20" w:type="dxa"/>
            </w:tcMar>
          </w:tcPr>
          <w:p w14:paraId="54BC2AD6" w14:textId="77777777" w:rsidR="00A9167B" w:rsidRPr="00647D81" w:rsidRDefault="00A9167B" w:rsidP="00A9167B">
            <w:pPr>
              <w:pStyle w:val="AnnexTableCellLeft"/>
              <w:rPr>
                <w:rFonts w:ascii="Helvetica" w:hAnsi="Helvetica"/>
                <w:sz w:val="16"/>
                <w:szCs w:val="16"/>
              </w:rPr>
            </w:pPr>
          </w:p>
        </w:tc>
        <w:tc>
          <w:tcPr>
            <w:tcW w:w="1374" w:type="dxa"/>
            <w:tcMar>
              <w:top w:w="20" w:type="dxa"/>
              <w:bottom w:w="20" w:type="dxa"/>
              <w:right w:w="0" w:type="dxa"/>
            </w:tcMar>
          </w:tcPr>
          <w:p w14:paraId="51C43273" w14:textId="77777777" w:rsidR="00A9167B" w:rsidRPr="00647D81" w:rsidRDefault="00A9167B" w:rsidP="00A9167B">
            <w:pPr>
              <w:pStyle w:val="AnnexTableCellLeft"/>
              <w:rPr>
                <w:rFonts w:ascii="Helvetica" w:hAnsi="Helvetica"/>
                <w:sz w:val="16"/>
                <w:szCs w:val="16"/>
              </w:rPr>
            </w:pPr>
          </w:p>
        </w:tc>
      </w:tr>
      <w:tr w:rsidR="00A9167B" w:rsidRPr="00647D81" w14:paraId="3A5FDCD4" w14:textId="77777777" w:rsidTr="00A9167B">
        <w:trPr>
          <w:trHeight w:val="230"/>
        </w:trPr>
        <w:tc>
          <w:tcPr>
            <w:tcW w:w="2707" w:type="dxa"/>
            <w:tcMar>
              <w:top w:w="20" w:type="dxa"/>
              <w:left w:w="0" w:type="dxa"/>
              <w:bottom w:w="20" w:type="dxa"/>
            </w:tcMar>
          </w:tcPr>
          <w:p w14:paraId="498F3AC1" w14:textId="77777777" w:rsidR="00A9167B" w:rsidRPr="00647D81" w:rsidRDefault="00A9167B" w:rsidP="00A9167B">
            <w:pPr>
              <w:pStyle w:val="AnnexTableCellLeft"/>
              <w:rPr>
                <w:rFonts w:ascii="Helvetica" w:hAnsi="Helvetica"/>
                <w:i/>
                <w:sz w:val="16"/>
                <w:szCs w:val="16"/>
              </w:rPr>
            </w:pPr>
          </w:p>
        </w:tc>
        <w:tc>
          <w:tcPr>
            <w:tcW w:w="2707" w:type="dxa"/>
            <w:tcMar>
              <w:top w:w="20" w:type="dxa"/>
              <w:bottom w:w="20" w:type="dxa"/>
            </w:tcMar>
          </w:tcPr>
          <w:p w14:paraId="16CDE4D8" w14:textId="77777777" w:rsidR="00A9167B" w:rsidRPr="00647D81" w:rsidRDefault="00A9167B" w:rsidP="00A9167B">
            <w:pPr>
              <w:pStyle w:val="AnnexTableCellLeft"/>
              <w:ind w:left="40"/>
              <w:rPr>
                <w:rFonts w:ascii="Helvetica" w:hAnsi="Helvetica"/>
                <w:i/>
                <w:sz w:val="16"/>
                <w:szCs w:val="16"/>
              </w:rPr>
            </w:pPr>
            <w:r>
              <w:rPr>
                <w:rFonts w:ascii="Helvetica" w:hAnsi="Helvetica"/>
                <w:i/>
                <w:sz w:val="16"/>
              </w:rPr>
              <w:t>Handelsporteføljen</w:t>
            </w:r>
          </w:p>
        </w:tc>
        <w:tc>
          <w:tcPr>
            <w:tcW w:w="1205" w:type="dxa"/>
            <w:tcMar>
              <w:top w:w="20" w:type="dxa"/>
              <w:bottom w:w="20" w:type="dxa"/>
            </w:tcMar>
          </w:tcPr>
          <w:p w14:paraId="73D0E711" w14:textId="77777777" w:rsidR="00A9167B" w:rsidRPr="00647D81" w:rsidRDefault="00A9167B" w:rsidP="00A9167B">
            <w:pPr>
              <w:pStyle w:val="AnnexTableCellLeft"/>
              <w:rPr>
                <w:rFonts w:ascii="Helvetica" w:hAnsi="Helvetica"/>
                <w:sz w:val="16"/>
                <w:szCs w:val="16"/>
              </w:rPr>
            </w:pPr>
          </w:p>
        </w:tc>
        <w:tc>
          <w:tcPr>
            <w:tcW w:w="965" w:type="dxa"/>
            <w:tcMar>
              <w:top w:w="20" w:type="dxa"/>
              <w:bottom w:w="20" w:type="dxa"/>
            </w:tcMar>
          </w:tcPr>
          <w:p w14:paraId="303D64A6" w14:textId="77777777" w:rsidR="00A9167B" w:rsidRPr="00647D81" w:rsidRDefault="00A9167B" w:rsidP="00A9167B">
            <w:pPr>
              <w:pStyle w:val="AnnexTableCellLeft"/>
              <w:rPr>
                <w:rFonts w:ascii="Helvetica" w:hAnsi="Helvetica"/>
                <w:sz w:val="16"/>
                <w:szCs w:val="16"/>
              </w:rPr>
            </w:pPr>
          </w:p>
        </w:tc>
        <w:tc>
          <w:tcPr>
            <w:tcW w:w="1306" w:type="dxa"/>
            <w:tcMar>
              <w:top w:w="20" w:type="dxa"/>
              <w:bottom w:w="20" w:type="dxa"/>
            </w:tcMar>
          </w:tcPr>
          <w:p w14:paraId="3E4AF651" w14:textId="77777777" w:rsidR="00A9167B" w:rsidRPr="00647D81" w:rsidRDefault="00A9167B" w:rsidP="00A9167B">
            <w:pPr>
              <w:pStyle w:val="AnnexTableCellLeft"/>
              <w:rPr>
                <w:rFonts w:ascii="Helvetica" w:hAnsi="Helvetica"/>
                <w:sz w:val="16"/>
                <w:szCs w:val="16"/>
              </w:rPr>
            </w:pPr>
          </w:p>
        </w:tc>
        <w:tc>
          <w:tcPr>
            <w:tcW w:w="1157" w:type="dxa"/>
            <w:tcMar>
              <w:top w:w="20" w:type="dxa"/>
              <w:bottom w:w="20" w:type="dxa"/>
            </w:tcMar>
          </w:tcPr>
          <w:p w14:paraId="5CD85C3D" w14:textId="77777777" w:rsidR="00A9167B" w:rsidRPr="00647D81" w:rsidRDefault="00A9167B" w:rsidP="00A9167B">
            <w:pPr>
              <w:pStyle w:val="AnnexTableCellLeft"/>
              <w:rPr>
                <w:rFonts w:ascii="Helvetica" w:hAnsi="Helvetica"/>
                <w:sz w:val="16"/>
                <w:szCs w:val="16"/>
              </w:rPr>
            </w:pPr>
          </w:p>
        </w:tc>
        <w:tc>
          <w:tcPr>
            <w:tcW w:w="1349" w:type="dxa"/>
            <w:tcMar>
              <w:top w:w="20" w:type="dxa"/>
              <w:bottom w:w="20" w:type="dxa"/>
            </w:tcMar>
          </w:tcPr>
          <w:p w14:paraId="73576FB1" w14:textId="77777777" w:rsidR="00A9167B" w:rsidRPr="00647D81" w:rsidRDefault="00A9167B" w:rsidP="00A9167B">
            <w:pPr>
              <w:pStyle w:val="AnnexTableCellLeft"/>
              <w:rPr>
                <w:rFonts w:ascii="Helvetica" w:hAnsi="Helvetica"/>
                <w:sz w:val="16"/>
                <w:szCs w:val="16"/>
              </w:rPr>
            </w:pPr>
          </w:p>
        </w:tc>
        <w:tc>
          <w:tcPr>
            <w:tcW w:w="1541" w:type="dxa"/>
            <w:tcMar>
              <w:top w:w="20" w:type="dxa"/>
              <w:bottom w:w="20" w:type="dxa"/>
            </w:tcMar>
          </w:tcPr>
          <w:p w14:paraId="7C64C9D7" w14:textId="77777777" w:rsidR="00A9167B" w:rsidRPr="00647D81" w:rsidRDefault="00A9167B" w:rsidP="00A9167B">
            <w:pPr>
              <w:pStyle w:val="AnnexTableCellLeft"/>
              <w:rPr>
                <w:rFonts w:ascii="Helvetica" w:hAnsi="Helvetica"/>
                <w:sz w:val="16"/>
                <w:szCs w:val="16"/>
              </w:rPr>
            </w:pPr>
          </w:p>
        </w:tc>
        <w:tc>
          <w:tcPr>
            <w:tcW w:w="1374" w:type="dxa"/>
            <w:tcMar>
              <w:top w:w="20" w:type="dxa"/>
              <w:bottom w:w="20" w:type="dxa"/>
              <w:right w:w="0" w:type="dxa"/>
            </w:tcMar>
          </w:tcPr>
          <w:p w14:paraId="41A036B7" w14:textId="77777777" w:rsidR="00A9167B" w:rsidRPr="00647D81" w:rsidRDefault="00A9167B" w:rsidP="00A9167B">
            <w:pPr>
              <w:pStyle w:val="AnnexTableCellLeft"/>
              <w:rPr>
                <w:rFonts w:ascii="Helvetica" w:hAnsi="Helvetica"/>
                <w:sz w:val="16"/>
                <w:szCs w:val="16"/>
              </w:rPr>
            </w:pPr>
          </w:p>
        </w:tc>
      </w:tr>
      <w:tr w:rsidR="00A9167B" w:rsidRPr="00647D81" w14:paraId="325301DB" w14:textId="77777777" w:rsidTr="00A9167B">
        <w:trPr>
          <w:trHeight w:val="230"/>
        </w:trPr>
        <w:tc>
          <w:tcPr>
            <w:tcW w:w="2707" w:type="dxa"/>
            <w:tcMar>
              <w:top w:w="20" w:type="dxa"/>
              <w:left w:w="0" w:type="dxa"/>
              <w:bottom w:w="20" w:type="dxa"/>
            </w:tcMar>
          </w:tcPr>
          <w:p w14:paraId="0AA77C66" w14:textId="77777777" w:rsidR="00A9167B" w:rsidRPr="00647D81" w:rsidRDefault="00A9167B" w:rsidP="00A9167B">
            <w:pPr>
              <w:pStyle w:val="AnnexTableCellLeft"/>
              <w:rPr>
                <w:rFonts w:ascii="Helvetica" w:hAnsi="Helvetica"/>
                <w:i/>
                <w:sz w:val="16"/>
                <w:szCs w:val="16"/>
              </w:rPr>
            </w:pPr>
          </w:p>
        </w:tc>
        <w:tc>
          <w:tcPr>
            <w:tcW w:w="2707" w:type="dxa"/>
            <w:tcMar>
              <w:top w:w="20" w:type="dxa"/>
              <w:bottom w:w="20" w:type="dxa"/>
            </w:tcMar>
          </w:tcPr>
          <w:p w14:paraId="565BFE30" w14:textId="77777777" w:rsidR="00A9167B" w:rsidRPr="00647D81" w:rsidRDefault="00A9167B" w:rsidP="00A9167B">
            <w:pPr>
              <w:pStyle w:val="AnnexTableCellLeft"/>
              <w:ind w:left="40"/>
              <w:rPr>
                <w:rFonts w:ascii="Helvetica" w:hAnsi="Helvetica"/>
                <w:i/>
                <w:sz w:val="16"/>
                <w:szCs w:val="16"/>
              </w:rPr>
            </w:pPr>
            <w:r>
              <w:rPr>
                <w:rFonts w:ascii="Helvetica" w:hAnsi="Helvetica"/>
                <w:i/>
                <w:sz w:val="16"/>
              </w:rPr>
              <w:t>Finansielle garantier</w:t>
            </w:r>
          </w:p>
        </w:tc>
        <w:tc>
          <w:tcPr>
            <w:tcW w:w="1205" w:type="dxa"/>
            <w:tcMar>
              <w:top w:w="20" w:type="dxa"/>
              <w:bottom w:w="20" w:type="dxa"/>
            </w:tcMar>
          </w:tcPr>
          <w:p w14:paraId="22336CED" w14:textId="77777777" w:rsidR="00A9167B" w:rsidRPr="00647D81" w:rsidRDefault="00A9167B" w:rsidP="00A9167B">
            <w:pPr>
              <w:pStyle w:val="AnnexTableCellLeft"/>
              <w:rPr>
                <w:rFonts w:ascii="Helvetica" w:hAnsi="Helvetica"/>
                <w:sz w:val="16"/>
                <w:szCs w:val="16"/>
              </w:rPr>
            </w:pPr>
          </w:p>
        </w:tc>
        <w:tc>
          <w:tcPr>
            <w:tcW w:w="965" w:type="dxa"/>
            <w:tcMar>
              <w:top w:w="20" w:type="dxa"/>
              <w:bottom w:w="20" w:type="dxa"/>
            </w:tcMar>
          </w:tcPr>
          <w:p w14:paraId="29E692BF" w14:textId="77777777" w:rsidR="00A9167B" w:rsidRPr="00647D81" w:rsidRDefault="00A9167B" w:rsidP="00A9167B">
            <w:pPr>
              <w:pStyle w:val="AnnexTableCellLeft"/>
              <w:rPr>
                <w:rFonts w:ascii="Helvetica" w:hAnsi="Helvetica"/>
                <w:sz w:val="16"/>
                <w:szCs w:val="16"/>
              </w:rPr>
            </w:pPr>
          </w:p>
        </w:tc>
        <w:tc>
          <w:tcPr>
            <w:tcW w:w="1306" w:type="dxa"/>
            <w:tcMar>
              <w:top w:w="20" w:type="dxa"/>
              <w:bottom w:w="20" w:type="dxa"/>
            </w:tcMar>
          </w:tcPr>
          <w:p w14:paraId="0D986A47" w14:textId="77777777" w:rsidR="00A9167B" w:rsidRPr="00647D81" w:rsidRDefault="00A9167B" w:rsidP="00A9167B">
            <w:pPr>
              <w:pStyle w:val="AnnexTableCellLeft"/>
              <w:rPr>
                <w:rFonts w:ascii="Helvetica" w:hAnsi="Helvetica"/>
                <w:sz w:val="16"/>
                <w:szCs w:val="16"/>
              </w:rPr>
            </w:pPr>
          </w:p>
        </w:tc>
        <w:tc>
          <w:tcPr>
            <w:tcW w:w="1157" w:type="dxa"/>
            <w:tcMar>
              <w:top w:w="20" w:type="dxa"/>
              <w:bottom w:w="20" w:type="dxa"/>
            </w:tcMar>
          </w:tcPr>
          <w:p w14:paraId="2B31E4CF" w14:textId="77777777" w:rsidR="00A9167B" w:rsidRPr="00647D81" w:rsidRDefault="00A9167B" w:rsidP="00A9167B">
            <w:pPr>
              <w:pStyle w:val="AnnexTableCellLeft"/>
              <w:rPr>
                <w:rFonts w:ascii="Helvetica" w:hAnsi="Helvetica"/>
                <w:sz w:val="16"/>
                <w:szCs w:val="16"/>
              </w:rPr>
            </w:pPr>
          </w:p>
        </w:tc>
        <w:tc>
          <w:tcPr>
            <w:tcW w:w="1349" w:type="dxa"/>
            <w:tcMar>
              <w:top w:w="20" w:type="dxa"/>
              <w:bottom w:w="20" w:type="dxa"/>
            </w:tcMar>
          </w:tcPr>
          <w:p w14:paraId="3423A9D3" w14:textId="77777777" w:rsidR="00A9167B" w:rsidRPr="00647D81" w:rsidRDefault="00A9167B" w:rsidP="00A9167B">
            <w:pPr>
              <w:pStyle w:val="AnnexTableCellLeft"/>
              <w:rPr>
                <w:rFonts w:ascii="Helvetica" w:hAnsi="Helvetica"/>
                <w:sz w:val="16"/>
                <w:szCs w:val="16"/>
              </w:rPr>
            </w:pPr>
          </w:p>
        </w:tc>
        <w:tc>
          <w:tcPr>
            <w:tcW w:w="1541" w:type="dxa"/>
            <w:tcMar>
              <w:top w:w="20" w:type="dxa"/>
              <w:bottom w:w="20" w:type="dxa"/>
            </w:tcMar>
          </w:tcPr>
          <w:p w14:paraId="5736C836" w14:textId="77777777" w:rsidR="00A9167B" w:rsidRPr="00647D81" w:rsidRDefault="00A9167B" w:rsidP="00A9167B">
            <w:pPr>
              <w:pStyle w:val="AnnexTableCellLeft"/>
              <w:rPr>
                <w:rFonts w:ascii="Helvetica" w:hAnsi="Helvetica"/>
                <w:sz w:val="16"/>
                <w:szCs w:val="16"/>
              </w:rPr>
            </w:pPr>
          </w:p>
        </w:tc>
        <w:tc>
          <w:tcPr>
            <w:tcW w:w="1374" w:type="dxa"/>
            <w:tcMar>
              <w:top w:w="20" w:type="dxa"/>
              <w:bottom w:w="20" w:type="dxa"/>
              <w:right w:w="0" w:type="dxa"/>
            </w:tcMar>
          </w:tcPr>
          <w:p w14:paraId="6BABA12C" w14:textId="77777777" w:rsidR="00A9167B" w:rsidRPr="00647D81" w:rsidRDefault="00A9167B" w:rsidP="00A9167B">
            <w:pPr>
              <w:pStyle w:val="AnnexTableCellLeft"/>
              <w:rPr>
                <w:rFonts w:ascii="Helvetica" w:hAnsi="Helvetica"/>
                <w:sz w:val="16"/>
                <w:szCs w:val="16"/>
              </w:rPr>
            </w:pPr>
          </w:p>
        </w:tc>
      </w:tr>
      <w:tr w:rsidR="00A9167B" w:rsidRPr="00647D81" w14:paraId="646FA46A" w14:textId="77777777" w:rsidTr="00A9167B">
        <w:trPr>
          <w:trHeight w:val="230"/>
        </w:trPr>
        <w:tc>
          <w:tcPr>
            <w:tcW w:w="2707" w:type="dxa"/>
            <w:tcMar>
              <w:top w:w="20" w:type="dxa"/>
              <w:left w:w="0" w:type="dxa"/>
              <w:bottom w:w="20" w:type="dxa"/>
            </w:tcMar>
          </w:tcPr>
          <w:p w14:paraId="357B058D" w14:textId="77777777" w:rsidR="00A9167B" w:rsidRPr="00647D81" w:rsidRDefault="00A9167B" w:rsidP="00A9167B">
            <w:pPr>
              <w:pStyle w:val="AnnexTableCellLeft"/>
              <w:rPr>
                <w:rFonts w:ascii="Helvetica" w:hAnsi="Helvetica"/>
                <w:i/>
                <w:sz w:val="16"/>
                <w:szCs w:val="16"/>
              </w:rPr>
            </w:pPr>
          </w:p>
        </w:tc>
        <w:tc>
          <w:tcPr>
            <w:tcW w:w="2707" w:type="dxa"/>
            <w:tcMar>
              <w:top w:w="20" w:type="dxa"/>
              <w:bottom w:w="20" w:type="dxa"/>
            </w:tcMar>
          </w:tcPr>
          <w:p w14:paraId="4B90C7A4" w14:textId="77777777" w:rsidR="00A9167B" w:rsidRPr="00647D81" w:rsidRDefault="00A9167B" w:rsidP="00A9167B">
            <w:pPr>
              <w:pStyle w:val="AnnexTableCellLeft"/>
              <w:ind w:left="40"/>
              <w:rPr>
                <w:rFonts w:ascii="Helvetica" w:hAnsi="Helvetica"/>
                <w:i/>
                <w:sz w:val="16"/>
                <w:szCs w:val="16"/>
              </w:rPr>
            </w:pPr>
            <w:r>
              <w:rPr>
                <w:rFonts w:ascii="Helvetica" w:hAnsi="Helvetica"/>
                <w:i/>
                <w:sz w:val="16"/>
              </w:rPr>
              <w:t>Eiendeler under forvaltning</w:t>
            </w:r>
          </w:p>
        </w:tc>
        <w:tc>
          <w:tcPr>
            <w:tcW w:w="1205" w:type="dxa"/>
            <w:tcMar>
              <w:top w:w="20" w:type="dxa"/>
              <w:bottom w:w="20" w:type="dxa"/>
            </w:tcMar>
          </w:tcPr>
          <w:p w14:paraId="0C47BB1E" w14:textId="77777777" w:rsidR="00A9167B" w:rsidRPr="00647D81" w:rsidRDefault="00A9167B" w:rsidP="00A9167B">
            <w:pPr>
              <w:pStyle w:val="AnnexTableCellLeft"/>
              <w:rPr>
                <w:rFonts w:ascii="Helvetica" w:hAnsi="Helvetica"/>
                <w:sz w:val="16"/>
                <w:szCs w:val="16"/>
              </w:rPr>
            </w:pPr>
          </w:p>
        </w:tc>
        <w:tc>
          <w:tcPr>
            <w:tcW w:w="965" w:type="dxa"/>
            <w:tcMar>
              <w:top w:w="20" w:type="dxa"/>
              <w:bottom w:w="20" w:type="dxa"/>
            </w:tcMar>
          </w:tcPr>
          <w:p w14:paraId="36E22DE3" w14:textId="77777777" w:rsidR="00A9167B" w:rsidRPr="00647D81" w:rsidRDefault="00A9167B" w:rsidP="00A9167B">
            <w:pPr>
              <w:pStyle w:val="AnnexTableCellLeft"/>
              <w:rPr>
                <w:rFonts w:ascii="Helvetica" w:hAnsi="Helvetica"/>
                <w:sz w:val="16"/>
                <w:szCs w:val="16"/>
              </w:rPr>
            </w:pPr>
          </w:p>
        </w:tc>
        <w:tc>
          <w:tcPr>
            <w:tcW w:w="1306" w:type="dxa"/>
            <w:tcMar>
              <w:top w:w="20" w:type="dxa"/>
              <w:bottom w:w="20" w:type="dxa"/>
            </w:tcMar>
          </w:tcPr>
          <w:p w14:paraId="1E073BF4" w14:textId="77777777" w:rsidR="00A9167B" w:rsidRPr="00647D81" w:rsidRDefault="00A9167B" w:rsidP="00A9167B">
            <w:pPr>
              <w:pStyle w:val="AnnexTableCellLeft"/>
              <w:rPr>
                <w:rFonts w:ascii="Helvetica" w:hAnsi="Helvetica"/>
                <w:sz w:val="16"/>
                <w:szCs w:val="16"/>
              </w:rPr>
            </w:pPr>
          </w:p>
        </w:tc>
        <w:tc>
          <w:tcPr>
            <w:tcW w:w="1157" w:type="dxa"/>
            <w:tcMar>
              <w:top w:w="20" w:type="dxa"/>
              <w:bottom w:w="20" w:type="dxa"/>
            </w:tcMar>
          </w:tcPr>
          <w:p w14:paraId="1693B4FE" w14:textId="77777777" w:rsidR="00A9167B" w:rsidRPr="00647D81" w:rsidRDefault="00A9167B" w:rsidP="00A9167B">
            <w:pPr>
              <w:pStyle w:val="AnnexTableCellLeft"/>
              <w:rPr>
                <w:rFonts w:ascii="Helvetica" w:hAnsi="Helvetica"/>
                <w:sz w:val="16"/>
                <w:szCs w:val="16"/>
              </w:rPr>
            </w:pPr>
          </w:p>
        </w:tc>
        <w:tc>
          <w:tcPr>
            <w:tcW w:w="1349" w:type="dxa"/>
            <w:tcMar>
              <w:top w:w="20" w:type="dxa"/>
              <w:bottom w:w="20" w:type="dxa"/>
            </w:tcMar>
          </w:tcPr>
          <w:p w14:paraId="3B933456" w14:textId="77777777" w:rsidR="00A9167B" w:rsidRPr="00647D81" w:rsidRDefault="00A9167B" w:rsidP="00A9167B">
            <w:pPr>
              <w:pStyle w:val="AnnexTableCellLeft"/>
              <w:rPr>
                <w:rFonts w:ascii="Helvetica" w:hAnsi="Helvetica"/>
                <w:sz w:val="16"/>
                <w:szCs w:val="16"/>
              </w:rPr>
            </w:pPr>
          </w:p>
        </w:tc>
        <w:tc>
          <w:tcPr>
            <w:tcW w:w="1541" w:type="dxa"/>
            <w:tcMar>
              <w:top w:w="20" w:type="dxa"/>
              <w:bottom w:w="20" w:type="dxa"/>
            </w:tcMar>
          </w:tcPr>
          <w:p w14:paraId="194BACB3" w14:textId="77777777" w:rsidR="00A9167B" w:rsidRPr="00647D81" w:rsidRDefault="00A9167B" w:rsidP="00A9167B">
            <w:pPr>
              <w:pStyle w:val="AnnexTableCellLeft"/>
              <w:rPr>
                <w:rFonts w:ascii="Helvetica" w:hAnsi="Helvetica"/>
                <w:sz w:val="16"/>
                <w:szCs w:val="16"/>
              </w:rPr>
            </w:pPr>
          </w:p>
        </w:tc>
        <w:tc>
          <w:tcPr>
            <w:tcW w:w="1374" w:type="dxa"/>
            <w:tcMar>
              <w:top w:w="20" w:type="dxa"/>
              <w:bottom w:w="20" w:type="dxa"/>
              <w:right w:w="0" w:type="dxa"/>
            </w:tcMar>
          </w:tcPr>
          <w:p w14:paraId="072D0042" w14:textId="77777777" w:rsidR="00A9167B" w:rsidRPr="00647D81" w:rsidRDefault="00A9167B" w:rsidP="00A9167B">
            <w:pPr>
              <w:pStyle w:val="AnnexTableCellLeft"/>
              <w:rPr>
                <w:rFonts w:ascii="Helvetica" w:hAnsi="Helvetica"/>
                <w:sz w:val="16"/>
                <w:szCs w:val="16"/>
              </w:rPr>
            </w:pPr>
          </w:p>
        </w:tc>
      </w:tr>
      <w:tr w:rsidR="00A9167B" w:rsidRPr="00647D81" w14:paraId="4005155E" w14:textId="77777777" w:rsidTr="00A9167B">
        <w:trPr>
          <w:trHeight w:val="230"/>
        </w:trPr>
        <w:tc>
          <w:tcPr>
            <w:tcW w:w="2707" w:type="dxa"/>
            <w:tcMar>
              <w:top w:w="20" w:type="dxa"/>
              <w:left w:w="0" w:type="dxa"/>
              <w:bottom w:w="20" w:type="dxa"/>
            </w:tcMar>
          </w:tcPr>
          <w:p w14:paraId="2A035871" w14:textId="77777777" w:rsidR="00A9167B" w:rsidRPr="00647D81" w:rsidRDefault="00A9167B" w:rsidP="00A9167B">
            <w:pPr>
              <w:pStyle w:val="AnnexTableCellLeft"/>
              <w:rPr>
                <w:rFonts w:ascii="Helvetica" w:hAnsi="Helvetica"/>
                <w:i/>
                <w:sz w:val="16"/>
                <w:szCs w:val="16"/>
              </w:rPr>
            </w:pPr>
          </w:p>
        </w:tc>
        <w:tc>
          <w:tcPr>
            <w:tcW w:w="2707" w:type="dxa"/>
            <w:tcMar>
              <w:top w:w="20" w:type="dxa"/>
              <w:bottom w:w="20" w:type="dxa"/>
            </w:tcMar>
          </w:tcPr>
          <w:p w14:paraId="5D64AA09" w14:textId="77777777" w:rsidR="00A9167B" w:rsidRPr="00647D81" w:rsidRDefault="00A9167B" w:rsidP="00A9167B">
            <w:pPr>
              <w:pStyle w:val="AnnexTableCellLeft"/>
              <w:ind w:left="40"/>
              <w:rPr>
                <w:rFonts w:ascii="Helvetica" w:hAnsi="Helvetica"/>
                <w:i/>
                <w:sz w:val="16"/>
                <w:szCs w:val="16"/>
              </w:rPr>
            </w:pPr>
            <w:r>
              <w:rPr>
                <w:rFonts w:ascii="Helvetica" w:hAnsi="Helvetica"/>
                <w:i/>
                <w:sz w:val="16"/>
              </w:rPr>
              <w:t>Gebyr- og provisjonsinntekter(1)</w:t>
            </w:r>
          </w:p>
        </w:tc>
        <w:tc>
          <w:tcPr>
            <w:tcW w:w="1205" w:type="dxa"/>
            <w:tcMar>
              <w:top w:w="20" w:type="dxa"/>
              <w:bottom w:w="20" w:type="dxa"/>
            </w:tcMar>
          </w:tcPr>
          <w:p w14:paraId="79DC03F1" w14:textId="77777777" w:rsidR="00A9167B" w:rsidRPr="00647D81" w:rsidRDefault="00A9167B" w:rsidP="00A9167B">
            <w:pPr>
              <w:pStyle w:val="AnnexTableCellLeft"/>
              <w:rPr>
                <w:rFonts w:ascii="Helvetica" w:hAnsi="Helvetica"/>
                <w:sz w:val="16"/>
                <w:szCs w:val="16"/>
              </w:rPr>
            </w:pPr>
          </w:p>
        </w:tc>
        <w:tc>
          <w:tcPr>
            <w:tcW w:w="965" w:type="dxa"/>
            <w:tcMar>
              <w:top w:w="20" w:type="dxa"/>
              <w:bottom w:w="20" w:type="dxa"/>
            </w:tcMar>
          </w:tcPr>
          <w:p w14:paraId="08902B3E" w14:textId="77777777" w:rsidR="00A9167B" w:rsidRPr="00647D81" w:rsidRDefault="00A9167B" w:rsidP="00A9167B">
            <w:pPr>
              <w:pStyle w:val="AnnexTableCellLeft"/>
              <w:rPr>
                <w:rFonts w:ascii="Helvetica" w:hAnsi="Helvetica"/>
                <w:sz w:val="16"/>
                <w:szCs w:val="16"/>
              </w:rPr>
            </w:pPr>
          </w:p>
        </w:tc>
        <w:tc>
          <w:tcPr>
            <w:tcW w:w="1306" w:type="dxa"/>
            <w:tcMar>
              <w:top w:w="20" w:type="dxa"/>
              <w:bottom w:w="20" w:type="dxa"/>
            </w:tcMar>
          </w:tcPr>
          <w:p w14:paraId="1DD79236" w14:textId="77777777" w:rsidR="00A9167B" w:rsidRPr="00647D81" w:rsidRDefault="00A9167B" w:rsidP="00A9167B">
            <w:pPr>
              <w:pStyle w:val="AnnexTableCellLeft"/>
              <w:rPr>
                <w:rFonts w:ascii="Helvetica" w:hAnsi="Helvetica"/>
                <w:sz w:val="16"/>
                <w:szCs w:val="16"/>
              </w:rPr>
            </w:pPr>
          </w:p>
        </w:tc>
        <w:tc>
          <w:tcPr>
            <w:tcW w:w="1157" w:type="dxa"/>
            <w:tcMar>
              <w:top w:w="20" w:type="dxa"/>
              <w:bottom w:w="20" w:type="dxa"/>
            </w:tcMar>
          </w:tcPr>
          <w:p w14:paraId="7210ED4B" w14:textId="77777777" w:rsidR="00A9167B" w:rsidRPr="00647D81" w:rsidRDefault="00A9167B" w:rsidP="00A9167B">
            <w:pPr>
              <w:pStyle w:val="AnnexTableCellLeft"/>
              <w:rPr>
                <w:rFonts w:ascii="Helvetica" w:hAnsi="Helvetica"/>
                <w:sz w:val="16"/>
                <w:szCs w:val="16"/>
              </w:rPr>
            </w:pPr>
          </w:p>
        </w:tc>
        <w:tc>
          <w:tcPr>
            <w:tcW w:w="1349" w:type="dxa"/>
            <w:tcMar>
              <w:top w:w="20" w:type="dxa"/>
              <w:bottom w:w="20" w:type="dxa"/>
            </w:tcMar>
          </w:tcPr>
          <w:p w14:paraId="0E6C419F" w14:textId="77777777" w:rsidR="00A9167B" w:rsidRPr="00647D81" w:rsidRDefault="00A9167B" w:rsidP="00A9167B">
            <w:pPr>
              <w:pStyle w:val="AnnexTableCellLeft"/>
              <w:rPr>
                <w:rFonts w:ascii="Helvetica" w:hAnsi="Helvetica"/>
                <w:sz w:val="16"/>
                <w:szCs w:val="16"/>
              </w:rPr>
            </w:pPr>
          </w:p>
        </w:tc>
        <w:tc>
          <w:tcPr>
            <w:tcW w:w="1541" w:type="dxa"/>
            <w:tcMar>
              <w:top w:w="20" w:type="dxa"/>
              <w:bottom w:w="20" w:type="dxa"/>
            </w:tcMar>
          </w:tcPr>
          <w:p w14:paraId="6A1E2F79" w14:textId="77777777" w:rsidR="00A9167B" w:rsidRPr="00647D81" w:rsidRDefault="00A9167B" w:rsidP="00A9167B">
            <w:pPr>
              <w:pStyle w:val="AnnexTableCellLeft"/>
              <w:rPr>
                <w:rFonts w:ascii="Helvetica" w:hAnsi="Helvetica"/>
                <w:sz w:val="16"/>
                <w:szCs w:val="16"/>
              </w:rPr>
            </w:pPr>
          </w:p>
        </w:tc>
        <w:tc>
          <w:tcPr>
            <w:tcW w:w="1374" w:type="dxa"/>
            <w:tcMar>
              <w:top w:w="20" w:type="dxa"/>
              <w:bottom w:w="20" w:type="dxa"/>
              <w:right w:w="0" w:type="dxa"/>
            </w:tcMar>
          </w:tcPr>
          <w:p w14:paraId="2310366F" w14:textId="77777777" w:rsidR="00A9167B" w:rsidRPr="00647D81" w:rsidRDefault="00A9167B" w:rsidP="00A9167B">
            <w:pPr>
              <w:pStyle w:val="AnnexTableCellLeft"/>
              <w:rPr>
                <w:rFonts w:ascii="Helvetica" w:hAnsi="Helvetica"/>
                <w:sz w:val="16"/>
                <w:szCs w:val="16"/>
              </w:rPr>
            </w:pPr>
          </w:p>
        </w:tc>
      </w:tr>
    </w:tbl>
    <w:p w14:paraId="1E119735" w14:textId="79A5EF66" w:rsidR="003B1B62" w:rsidRPr="003B1B62" w:rsidRDefault="003B1B62" w:rsidP="003B1B62">
      <w:pPr>
        <w:pStyle w:val="AnnexNormal"/>
        <w:spacing w:before="200" w:after="0"/>
      </w:pPr>
      <w:r>
        <w:t xml:space="preserve">1) </w:t>
      </w:r>
      <w:r w:rsidR="005605F3">
        <w:t>G</w:t>
      </w:r>
      <w:r>
        <w:t>ebyr- og provisjonsinntekter fra andre tjenester enn utlån og eiendeler under forvaltning</w:t>
      </w:r>
    </w:p>
    <w:p w14:paraId="23E2A0DA" w14:textId="7B28B627" w:rsidR="003B1B62" w:rsidRPr="003B1B62" w:rsidRDefault="003B1B62" w:rsidP="003B1B62">
      <w:pPr>
        <w:pStyle w:val="AnnexNormal"/>
        <w:spacing w:after="0"/>
      </w:pPr>
      <w:r>
        <w:t xml:space="preserve">2) </w:t>
      </w:r>
      <w:r w:rsidR="005605F3">
        <w:t>B</w:t>
      </w:r>
      <w:r>
        <w:t>asert på motpartens KPI for omsetning</w:t>
      </w:r>
    </w:p>
    <w:p w14:paraId="48418171" w14:textId="492D22B0" w:rsidR="003B1B62" w:rsidRPr="003B1B62" w:rsidRDefault="003B1B62" w:rsidP="003B1B62">
      <w:pPr>
        <w:pStyle w:val="AnnexNormal"/>
        <w:spacing w:after="0"/>
      </w:pPr>
      <w:r>
        <w:t xml:space="preserve">3) </w:t>
      </w:r>
      <w:r w:rsidR="005605F3">
        <w:t>B</w:t>
      </w:r>
      <w:r>
        <w:t>asert på motpartens KPI for investeringsutgifter</w:t>
      </w:r>
    </w:p>
    <w:p w14:paraId="140FB960" w14:textId="77777777" w:rsidR="003B1B62" w:rsidRPr="003B1B62" w:rsidRDefault="003B1B62" w:rsidP="003B1B62">
      <w:pPr>
        <w:pStyle w:val="AnnexNormal"/>
        <w:spacing w:after="0"/>
      </w:pPr>
      <w:r>
        <w:t>4) % av eiendelene som dekkes av KPI-en, av bankens samlede eiendeler</w:t>
      </w:r>
    </w:p>
    <w:p w14:paraId="3A474BE0" w14:textId="70AEDC59" w:rsidR="003B1B62" w:rsidRPr="003B1B62" w:rsidRDefault="003B1B62" w:rsidP="003B1B62">
      <w:pPr>
        <w:pStyle w:val="AnnexNormal"/>
        <w:spacing w:after="0"/>
      </w:pPr>
      <w:r>
        <w:t xml:space="preserve">5) </w:t>
      </w:r>
      <w:r w:rsidR="005605F3">
        <w:t>I</w:t>
      </w:r>
      <w:r>
        <w:t xml:space="preserve"> samsvar med artikkel 7 nr. 8 i denne forordningen.</w:t>
      </w:r>
    </w:p>
    <w:p w14:paraId="5C36AC76" w14:textId="77777777" w:rsidR="003B1B62" w:rsidRPr="003B1B62" w:rsidRDefault="003B1B62" w:rsidP="003B1B62">
      <w:pPr>
        <w:pStyle w:val="AnnexNormal"/>
        <w:spacing w:after="0"/>
      </w:pPr>
      <w:r>
        <w:t>Merknad 1: For alle rapporteringsmaler: Svarte felt skal ikke fylles ut.</w:t>
      </w:r>
    </w:p>
    <w:p w14:paraId="38830DC6" w14:textId="77777777" w:rsidR="003B1B62" w:rsidRDefault="003B1B62" w:rsidP="003B1B62">
      <w:pPr>
        <w:pStyle w:val="AnnexNormal"/>
      </w:pPr>
      <w:r>
        <w:t>Merknad 2: KPI for gebyrer og provisjoner (ark 6) og handelsportefølje (ark 7) skal ikke framlegges før i 2028.</w:t>
      </w:r>
      <w:r>
        <w:br w:type="page"/>
      </w:r>
    </w:p>
    <w:p w14:paraId="16B435C8" w14:textId="77777777" w:rsidR="003B1B62" w:rsidRPr="003B1B62" w:rsidRDefault="003B1B62" w:rsidP="003B1B62">
      <w:pPr>
        <w:pStyle w:val="TableTitle"/>
        <w:rPr>
          <w:i/>
        </w:rPr>
      </w:pPr>
      <w:r>
        <w:rPr>
          <w:i/>
        </w:rPr>
        <w:lastRenderedPageBreak/>
        <w:t>Mal 1: Eiendeler som inngår i beregningen av GAR</w:t>
      </w:r>
    </w:p>
    <w:tbl>
      <w:tblPr>
        <w:tblStyle w:val="EFTATable"/>
        <w:tblW w:w="14316" w:type="dxa"/>
        <w:tblLayout w:type="fixed"/>
        <w:tblLook w:val="04A0" w:firstRow="1" w:lastRow="0" w:firstColumn="1" w:lastColumn="0" w:noHBand="0" w:noVBand="1"/>
      </w:tblPr>
      <w:tblGrid>
        <w:gridCol w:w="380"/>
        <w:gridCol w:w="3436"/>
        <w:gridCol w:w="648"/>
        <w:gridCol w:w="636"/>
        <w:gridCol w:w="620"/>
        <w:gridCol w:w="560"/>
        <w:gridCol w:w="560"/>
        <w:gridCol w:w="560"/>
        <w:gridCol w:w="560"/>
        <w:gridCol w:w="560"/>
        <w:gridCol w:w="700"/>
        <w:gridCol w:w="600"/>
        <w:gridCol w:w="600"/>
        <w:gridCol w:w="700"/>
        <w:gridCol w:w="800"/>
        <w:gridCol w:w="800"/>
        <w:gridCol w:w="796"/>
        <w:gridCol w:w="800"/>
      </w:tblGrid>
      <w:tr w:rsidR="007D7541" w:rsidRPr="00647D81" w14:paraId="7F49609B" w14:textId="77777777" w:rsidTr="004A2CAF">
        <w:tc>
          <w:tcPr>
            <w:tcW w:w="380" w:type="dxa"/>
            <w:tcBorders>
              <w:left w:val="single" w:sz="4" w:space="0" w:color="auto"/>
            </w:tcBorders>
            <w:tcMar>
              <w:top w:w="10" w:type="dxa"/>
              <w:left w:w="0" w:type="dxa"/>
              <w:bottom w:w="4" w:type="dxa"/>
            </w:tcMar>
            <w:vAlign w:val="center"/>
          </w:tcPr>
          <w:p w14:paraId="1A7FECC3" w14:textId="77777777" w:rsidR="007D7541" w:rsidRPr="00647D81" w:rsidRDefault="007D7541" w:rsidP="005E75A2">
            <w:pPr>
              <w:pStyle w:val="AnnexTableHeader"/>
              <w:spacing w:line="240" w:lineRule="auto"/>
              <w:rPr>
                <w:rFonts w:ascii="Helvetica" w:hAnsi="Helvetica"/>
                <w:sz w:val="9"/>
                <w:szCs w:val="9"/>
              </w:rPr>
            </w:pPr>
          </w:p>
        </w:tc>
        <w:tc>
          <w:tcPr>
            <w:tcW w:w="3436" w:type="dxa"/>
            <w:tcMar>
              <w:top w:w="10" w:type="dxa"/>
              <w:bottom w:w="4" w:type="dxa"/>
            </w:tcMar>
            <w:vAlign w:val="center"/>
          </w:tcPr>
          <w:p w14:paraId="38AAA3AC" w14:textId="77777777" w:rsidR="007D7541" w:rsidRPr="00647D81" w:rsidRDefault="007D7541" w:rsidP="00B310F8">
            <w:pPr>
              <w:pStyle w:val="AnnexTableHeader"/>
              <w:spacing w:line="240" w:lineRule="auto"/>
              <w:jc w:val="left"/>
              <w:rPr>
                <w:rFonts w:ascii="Helvetica" w:hAnsi="Helvetica"/>
                <w:sz w:val="9"/>
                <w:szCs w:val="9"/>
              </w:rPr>
            </w:pPr>
            <w:r>
              <w:rPr>
                <w:rFonts w:ascii="Helvetica" w:hAnsi="Helvetica"/>
                <w:sz w:val="9"/>
              </w:rPr>
              <w:t>Referansedato/-periode for opplysningene t</w:t>
            </w:r>
          </w:p>
        </w:tc>
        <w:tc>
          <w:tcPr>
            <w:tcW w:w="648" w:type="dxa"/>
            <w:tcMar>
              <w:top w:w="10" w:type="dxa"/>
              <w:bottom w:w="4" w:type="dxa"/>
            </w:tcMar>
            <w:vAlign w:val="center"/>
          </w:tcPr>
          <w:p w14:paraId="0555C51F" w14:textId="77777777" w:rsidR="007D7541" w:rsidRPr="00647D81" w:rsidRDefault="007D7541" w:rsidP="005E75A2">
            <w:pPr>
              <w:pStyle w:val="AnnexTableHeader"/>
              <w:spacing w:line="240" w:lineRule="auto"/>
              <w:rPr>
                <w:rFonts w:ascii="Helvetica" w:hAnsi="Helvetica"/>
                <w:sz w:val="9"/>
                <w:szCs w:val="9"/>
              </w:rPr>
            </w:pPr>
          </w:p>
        </w:tc>
        <w:tc>
          <w:tcPr>
            <w:tcW w:w="9852" w:type="dxa"/>
            <w:gridSpan w:val="15"/>
            <w:tcBorders>
              <w:top w:val="nil"/>
              <w:right w:val="nil"/>
            </w:tcBorders>
            <w:tcMar>
              <w:top w:w="10" w:type="dxa"/>
              <w:bottom w:w="4" w:type="dxa"/>
            </w:tcMar>
            <w:vAlign w:val="center"/>
          </w:tcPr>
          <w:p w14:paraId="4677DC40" w14:textId="77777777" w:rsidR="007D7541" w:rsidRPr="00647D81" w:rsidRDefault="007D7541" w:rsidP="005E75A2">
            <w:pPr>
              <w:pStyle w:val="AnnexTableHeader"/>
              <w:spacing w:line="240" w:lineRule="auto"/>
              <w:rPr>
                <w:rFonts w:ascii="Helvetica" w:hAnsi="Helvetica"/>
                <w:sz w:val="9"/>
                <w:szCs w:val="9"/>
              </w:rPr>
            </w:pPr>
          </w:p>
        </w:tc>
      </w:tr>
      <w:tr w:rsidR="003D3189" w:rsidRPr="00647D81" w14:paraId="0FB9A553" w14:textId="77777777" w:rsidTr="00DF4027">
        <w:tc>
          <w:tcPr>
            <w:tcW w:w="3816" w:type="dxa"/>
            <w:gridSpan w:val="2"/>
            <w:vMerge w:val="restart"/>
            <w:tcBorders>
              <w:left w:val="single" w:sz="4" w:space="0" w:color="auto"/>
            </w:tcBorders>
            <w:tcMar>
              <w:top w:w="10" w:type="dxa"/>
              <w:left w:w="0" w:type="dxa"/>
              <w:bottom w:w="4" w:type="dxa"/>
            </w:tcMar>
            <w:vAlign w:val="center"/>
          </w:tcPr>
          <w:p w14:paraId="3D0C26F3"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Beholdning/Strøm</w:t>
            </w:r>
          </w:p>
          <w:p w14:paraId="163F0FDF"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Millioner euro</w:t>
            </w:r>
          </w:p>
        </w:tc>
        <w:tc>
          <w:tcPr>
            <w:tcW w:w="648" w:type="dxa"/>
            <w:tcMar>
              <w:top w:w="10" w:type="dxa"/>
              <w:bottom w:w="4" w:type="dxa"/>
            </w:tcMar>
            <w:vAlign w:val="center"/>
          </w:tcPr>
          <w:p w14:paraId="0C509E74"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a</w:t>
            </w:r>
          </w:p>
        </w:tc>
        <w:tc>
          <w:tcPr>
            <w:tcW w:w="636" w:type="dxa"/>
            <w:tcMar>
              <w:top w:w="10" w:type="dxa"/>
              <w:bottom w:w="4" w:type="dxa"/>
            </w:tcMar>
            <w:vAlign w:val="center"/>
          </w:tcPr>
          <w:p w14:paraId="0BDB83B6"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b</w:t>
            </w:r>
          </w:p>
        </w:tc>
        <w:tc>
          <w:tcPr>
            <w:tcW w:w="620" w:type="dxa"/>
            <w:tcMar>
              <w:top w:w="10" w:type="dxa"/>
              <w:bottom w:w="4" w:type="dxa"/>
            </w:tcMar>
            <w:vAlign w:val="center"/>
          </w:tcPr>
          <w:p w14:paraId="7F58A019"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c</w:t>
            </w:r>
          </w:p>
        </w:tc>
        <w:tc>
          <w:tcPr>
            <w:tcW w:w="560" w:type="dxa"/>
            <w:tcBorders>
              <w:bottom w:val="single" w:sz="4" w:space="0" w:color="auto"/>
            </w:tcBorders>
            <w:tcMar>
              <w:top w:w="10" w:type="dxa"/>
              <w:bottom w:w="4" w:type="dxa"/>
            </w:tcMar>
            <w:vAlign w:val="center"/>
          </w:tcPr>
          <w:p w14:paraId="0602EE20"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d</w:t>
            </w:r>
          </w:p>
        </w:tc>
        <w:tc>
          <w:tcPr>
            <w:tcW w:w="560" w:type="dxa"/>
            <w:tcBorders>
              <w:bottom w:val="single" w:sz="4" w:space="0" w:color="auto"/>
            </w:tcBorders>
            <w:tcMar>
              <w:top w:w="10" w:type="dxa"/>
              <w:bottom w:w="4" w:type="dxa"/>
            </w:tcMar>
            <w:vAlign w:val="center"/>
          </w:tcPr>
          <w:p w14:paraId="3975EBA9"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e</w:t>
            </w:r>
          </w:p>
        </w:tc>
        <w:tc>
          <w:tcPr>
            <w:tcW w:w="560" w:type="dxa"/>
            <w:tcBorders>
              <w:bottom w:val="single" w:sz="4" w:space="0" w:color="auto"/>
            </w:tcBorders>
            <w:tcMar>
              <w:top w:w="10" w:type="dxa"/>
              <w:bottom w:w="4" w:type="dxa"/>
            </w:tcMar>
            <w:vAlign w:val="center"/>
          </w:tcPr>
          <w:p w14:paraId="7BDE8869"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f</w:t>
            </w:r>
          </w:p>
        </w:tc>
        <w:tc>
          <w:tcPr>
            <w:tcW w:w="560" w:type="dxa"/>
            <w:tcBorders>
              <w:bottom w:val="single" w:sz="4" w:space="0" w:color="auto"/>
            </w:tcBorders>
            <w:tcMar>
              <w:top w:w="10" w:type="dxa"/>
              <w:bottom w:w="4" w:type="dxa"/>
            </w:tcMar>
            <w:vAlign w:val="center"/>
          </w:tcPr>
          <w:p w14:paraId="23241211"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g</w:t>
            </w:r>
          </w:p>
        </w:tc>
        <w:tc>
          <w:tcPr>
            <w:tcW w:w="560" w:type="dxa"/>
            <w:tcBorders>
              <w:bottom w:val="single" w:sz="4" w:space="0" w:color="auto"/>
            </w:tcBorders>
            <w:tcMar>
              <w:top w:w="10" w:type="dxa"/>
              <w:bottom w:w="4" w:type="dxa"/>
            </w:tcMar>
            <w:vAlign w:val="center"/>
          </w:tcPr>
          <w:p w14:paraId="39D5DBA3"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h</w:t>
            </w:r>
          </w:p>
        </w:tc>
        <w:tc>
          <w:tcPr>
            <w:tcW w:w="700" w:type="dxa"/>
            <w:tcBorders>
              <w:bottom w:val="single" w:sz="4" w:space="0" w:color="auto"/>
            </w:tcBorders>
            <w:tcMar>
              <w:top w:w="10" w:type="dxa"/>
              <w:bottom w:w="4" w:type="dxa"/>
            </w:tcMar>
            <w:vAlign w:val="center"/>
          </w:tcPr>
          <w:p w14:paraId="5C57BE4D"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i</w:t>
            </w:r>
          </w:p>
        </w:tc>
        <w:tc>
          <w:tcPr>
            <w:tcW w:w="600" w:type="dxa"/>
            <w:tcBorders>
              <w:bottom w:val="single" w:sz="4" w:space="0" w:color="auto"/>
            </w:tcBorders>
            <w:tcMar>
              <w:top w:w="10" w:type="dxa"/>
              <w:bottom w:w="4" w:type="dxa"/>
            </w:tcMar>
            <w:vAlign w:val="center"/>
          </w:tcPr>
          <w:p w14:paraId="2D2C71C1"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j</w:t>
            </w:r>
          </w:p>
        </w:tc>
        <w:tc>
          <w:tcPr>
            <w:tcW w:w="600" w:type="dxa"/>
            <w:tcBorders>
              <w:bottom w:val="single" w:sz="4" w:space="0" w:color="auto"/>
            </w:tcBorders>
            <w:tcMar>
              <w:top w:w="10" w:type="dxa"/>
              <w:bottom w:w="4" w:type="dxa"/>
            </w:tcMar>
            <w:vAlign w:val="center"/>
          </w:tcPr>
          <w:p w14:paraId="1D14D487"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k</w:t>
            </w:r>
          </w:p>
        </w:tc>
        <w:tc>
          <w:tcPr>
            <w:tcW w:w="700" w:type="dxa"/>
            <w:tcBorders>
              <w:bottom w:val="single" w:sz="4" w:space="0" w:color="auto"/>
            </w:tcBorders>
            <w:tcMar>
              <w:top w:w="10" w:type="dxa"/>
              <w:bottom w:w="4" w:type="dxa"/>
            </w:tcMar>
            <w:vAlign w:val="center"/>
          </w:tcPr>
          <w:p w14:paraId="432A0999"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l</w:t>
            </w:r>
          </w:p>
        </w:tc>
        <w:tc>
          <w:tcPr>
            <w:tcW w:w="800" w:type="dxa"/>
            <w:tcMar>
              <w:top w:w="10" w:type="dxa"/>
              <w:bottom w:w="4" w:type="dxa"/>
            </w:tcMar>
            <w:vAlign w:val="center"/>
          </w:tcPr>
          <w:p w14:paraId="3EBF0228"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m</w:t>
            </w:r>
          </w:p>
        </w:tc>
        <w:tc>
          <w:tcPr>
            <w:tcW w:w="800" w:type="dxa"/>
            <w:tcBorders>
              <w:bottom w:val="single" w:sz="4" w:space="0" w:color="auto"/>
            </w:tcBorders>
            <w:tcMar>
              <w:top w:w="10" w:type="dxa"/>
              <w:bottom w:w="4" w:type="dxa"/>
            </w:tcMar>
            <w:vAlign w:val="center"/>
          </w:tcPr>
          <w:p w14:paraId="40C28EA0"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n</w:t>
            </w:r>
          </w:p>
        </w:tc>
        <w:tc>
          <w:tcPr>
            <w:tcW w:w="796" w:type="dxa"/>
            <w:tcMar>
              <w:top w:w="10" w:type="dxa"/>
              <w:bottom w:w="4" w:type="dxa"/>
            </w:tcMar>
            <w:vAlign w:val="center"/>
          </w:tcPr>
          <w:p w14:paraId="02E65EA7"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o</w:t>
            </w:r>
          </w:p>
        </w:tc>
        <w:tc>
          <w:tcPr>
            <w:tcW w:w="800" w:type="dxa"/>
            <w:tcBorders>
              <w:right w:val="single" w:sz="4" w:space="0" w:color="auto"/>
            </w:tcBorders>
            <w:tcMar>
              <w:top w:w="10" w:type="dxa"/>
              <w:bottom w:w="4" w:type="dxa"/>
              <w:right w:w="0" w:type="dxa"/>
            </w:tcMar>
            <w:vAlign w:val="center"/>
          </w:tcPr>
          <w:p w14:paraId="5AC9EDEE"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p</w:t>
            </w:r>
          </w:p>
        </w:tc>
      </w:tr>
      <w:tr w:rsidR="003D3189" w:rsidRPr="00647D81" w14:paraId="23E5159D" w14:textId="77777777" w:rsidTr="00DF4027">
        <w:tc>
          <w:tcPr>
            <w:tcW w:w="3816" w:type="dxa"/>
            <w:gridSpan w:val="2"/>
            <w:vMerge/>
            <w:tcBorders>
              <w:left w:val="single" w:sz="4" w:space="0" w:color="auto"/>
            </w:tcBorders>
            <w:tcMar>
              <w:top w:w="10" w:type="dxa"/>
              <w:left w:w="0" w:type="dxa"/>
              <w:bottom w:w="4" w:type="dxa"/>
            </w:tcMar>
            <w:vAlign w:val="center"/>
          </w:tcPr>
          <w:p w14:paraId="60080DCF" w14:textId="77777777" w:rsidR="003D3189" w:rsidRPr="00647D81" w:rsidRDefault="003D3189" w:rsidP="005E75A2">
            <w:pPr>
              <w:pStyle w:val="AnnexTableHeader"/>
              <w:spacing w:line="240" w:lineRule="auto"/>
              <w:rPr>
                <w:rFonts w:ascii="Helvetica" w:hAnsi="Helvetica"/>
                <w:sz w:val="9"/>
                <w:szCs w:val="9"/>
              </w:rPr>
            </w:pPr>
          </w:p>
        </w:tc>
        <w:tc>
          <w:tcPr>
            <w:tcW w:w="648" w:type="dxa"/>
            <w:vMerge w:val="restart"/>
            <w:tcMar>
              <w:top w:w="10" w:type="dxa"/>
              <w:bottom w:w="4" w:type="dxa"/>
            </w:tcMar>
            <w:vAlign w:val="center"/>
          </w:tcPr>
          <w:p w14:paraId="3006A1EE"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Samlet [brutto] balanseført verdi</w:t>
            </w:r>
          </w:p>
        </w:tc>
        <w:tc>
          <w:tcPr>
            <w:tcW w:w="636" w:type="dxa"/>
            <w:vMerge w:val="restart"/>
            <w:tcMar>
              <w:top w:w="10" w:type="dxa"/>
              <w:bottom w:w="4" w:type="dxa"/>
            </w:tcMar>
            <w:vAlign w:val="center"/>
          </w:tcPr>
          <w:p w14:paraId="097EF83D"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Hvorav omfattet av taksonomien</w:t>
            </w:r>
          </w:p>
        </w:tc>
        <w:tc>
          <w:tcPr>
            <w:tcW w:w="620" w:type="dxa"/>
            <w:vMerge w:val="restart"/>
            <w:tcBorders>
              <w:right w:val="nil"/>
            </w:tcBorders>
            <w:tcMar>
              <w:top w:w="10" w:type="dxa"/>
              <w:bottom w:w="4" w:type="dxa"/>
            </w:tcMar>
            <w:vAlign w:val="center"/>
          </w:tcPr>
          <w:p w14:paraId="6705E84A" w14:textId="01E386D1" w:rsidR="003D3189" w:rsidRPr="00647D81" w:rsidRDefault="003D3189" w:rsidP="005E75A2">
            <w:pPr>
              <w:pStyle w:val="AnnexTableHeader"/>
              <w:spacing w:line="240" w:lineRule="auto"/>
              <w:rPr>
                <w:rFonts w:ascii="Helvetica" w:hAnsi="Helvetica"/>
                <w:sz w:val="9"/>
                <w:szCs w:val="9"/>
              </w:rPr>
            </w:pPr>
            <w:r>
              <w:rPr>
                <w:rFonts w:ascii="Helvetica" w:hAnsi="Helvetica"/>
                <w:sz w:val="9"/>
              </w:rPr>
              <w:t xml:space="preserve">Hvorav </w:t>
            </w:r>
            <w:proofErr w:type="spellStart"/>
            <w:r>
              <w:rPr>
                <w:rFonts w:ascii="Helvetica" w:hAnsi="Helvetica"/>
                <w:sz w:val="9"/>
              </w:rPr>
              <w:t>taksonomi</w:t>
            </w:r>
            <w:r w:rsidR="003520FD">
              <w:rPr>
                <w:rFonts w:ascii="Helvetica" w:hAnsi="Helvetica"/>
                <w:sz w:val="9"/>
              </w:rPr>
              <w:softHyphen/>
            </w:r>
            <w:r w:rsidR="003520FD">
              <w:rPr>
                <w:rFonts w:ascii="Helvetica" w:hAnsi="Helvetica"/>
                <w:sz w:val="9"/>
              </w:rPr>
              <w:softHyphen/>
            </w:r>
            <w:r w:rsidR="003520FD">
              <w:rPr>
                <w:rFonts w:ascii="Helvetica" w:hAnsi="Helvetica"/>
                <w:sz w:val="9"/>
              </w:rPr>
              <w:softHyphen/>
            </w:r>
            <w:r>
              <w:rPr>
                <w:rFonts w:ascii="Helvetica" w:hAnsi="Helvetica"/>
                <w:sz w:val="9"/>
              </w:rPr>
              <w:t>forenlige</w:t>
            </w:r>
            <w:proofErr w:type="spellEnd"/>
          </w:p>
        </w:tc>
        <w:tc>
          <w:tcPr>
            <w:tcW w:w="5400" w:type="dxa"/>
            <w:gridSpan w:val="9"/>
            <w:tcBorders>
              <w:left w:val="nil"/>
            </w:tcBorders>
            <w:tcMar>
              <w:top w:w="10" w:type="dxa"/>
              <w:bottom w:w="4" w:type="dxa"/>
            </w:tcMar>
            <w:vAlign w:val="center"/>
          </w:tcPr>
          <w:p w14:paraId="68AD5E8F" w14:textId="77777777" w:rsidR="003D3189" w:rsidRPr="00647D81" w:rsidRDefault="003D3189" w:rsidP="005E75A2">
            <w:pPr>
              <w:pStyle w:val="AnnexTableHeader"/>
              <w:spacing w:line="240" w:lineRule="auto"/>
              <w:rPr>
                <w:rFonts w:ascii="Helvetica" w:hAnsi="Helvetica"/>
                <w:sz w:val="9"/>
                <w:szCs w:val="9"/>
              </w:rPr>
            </w:pPr>
          </w:p>
        </w:tc>
        <w:tc>
          <w:tcPr>
            <w:tcW w:w="800" w:type="dxa"/>
            <w:vMerge w:val="restart"/>
            <w:tcBorders>
              <w:right w:val="nil"/>
            </w:tcBorders>
            <w:tcMar>
              <w:top w:w="10" w:type="dxa"/>
              <w:bottom w:w="4" w:type="dxa"/>
            </w:tcMar>
            <w:vAlign w:val="center"/>
          </w:tcPr>
          <w:p w14:paraId="5E118191"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Ikke-vurderte eksponeringer</w:t>
            </w:r>
          </w:p>
        </w:tc>
        <w:tc>
          <w:tcPr>
            <w:tcW w:w="2396" w:type="dxa"/>
            <w:gridSpan w:val="3"/>
            <w:tcBorders>
              <w:left w:val="nil"/>
              <w:right w:val="single" w:sz="4" w:space="0" w:color="auto"/>
            </w:tcBorders>
            <w:tcMar>
              <w:top w:w="10" w:type="dxa"/>
              <w:bottom w:w="4" w:type="dxa"/>
            </w:tcMar>
            <w:vAlign w:val="center"/>
          </w:tcPr>
          <w:p w14:paraId="60A48DE9" w14:textId="77777777" w:rsidR="003D3189" w:rsidRPr="00647D81" w:rsidRDefault="003D3189" w:rsidP="005E75A2">
            <w:pPr>
              <w:pStyle w:val="AnnexTableHeader"/>
              <w:spacing w:line="240" w:lineRule="auto"/>
              <w:rPr>
                <w:rFonts w:ascii="Helvetica" w:hAnsi="Helvetica"/>
                <w:sz w:val="9"/>
                <w:szCs w:val="9"/>
              </w:rPr>
            </w:pPr>
          </w:p>
        </w:tc>
      </w:tr>
      <w:tr w:rsidR="003D3189" w:rsidRPr="00647D81" w14:paraId="6C3C5D1B" w14:textId="77777777" w:rsidTr="00DF4027">
        <w:tc>
          <w:tcPr>
            <w:tcW w:w="3816" w:type="dxa"/>
            <w:gridSpan w:val="2"/>
            <w:vMerge/>
            <w:tcBorders>
              <w:left w:val="single" w:sz="4" w:space="0" w:color="auto"/>
            </w:tcBorders>
            <w:tcMar>
              <w:top w:w="10" w:type="dxa"/>
              <w:left w:w="0" w:type="dxa"/>
              <w:bottom w:w="4" w:type="dxa"/>
            </w:tcMar>
            <w:vAlign w:val="center"/>
          </w:tcPr>
          <w:p w14:paraId="267AE614" w14:textId="77777777" w:rsidR="003D3189" w:rsidRPr="00647D81" w:rsidRDefault="003D3189" w:rsidP="005E75A2">
            <w:pPr>
              <w:pStyle w:val="AnnexTableHeader"/>
              <w:spacing w:line="240" w:lineRule="auto"/>
              <w:rPr>
                <w:rFonts w:ascii="Helvetica" w:hAnsi="Helvetica"/>
                <w:sz w:val="9"/>
                <w:szCs w:val="9"/>
              </w:rPr>
            </w:pPr>
          </w:p>
        </w:tc>
        <w:tc>
          <w:tcPr>
            <w:tcW w:w="648" w:type="dxa"/>
            <w:vMerge/>
            <w:tcMar>
              <w:top w:w="10" w:type="dxa"/>
              <w:bottom w:w="4" w:type="dxa"/>
            </w:tcMar>
            <w:vAlign w:val="center"/>
          </w:tcPr>
          <w:p w14:paraId="53D95007" w14:textId="77777777" w:rsidR="003D3189" w:rsidRPr="00647D81" w:rsidRDefault="003D3189" w:rsidP="005E75A2">
            <w:pPr>
              <w:pStyle w:val="AnnexTableHeader"/>
              <w:spacing w:line="240" w:lineRule="auto"/>
              <w:rPr>
                <w:rFonts w:ascii="Helvetica" w:hAnsi="Helvetica"/>
                <w:sz w:val="9"/>
                <w:szCs w:val="9"/>
              </w:rPr>
            </w:pPr>
          </w:p>
        </w:tc>
        <w:tc>
          <w:tcPr>
            <w:tcW w:w="636" w:type="dxa"/>
            <w:vMerge/>
            <w:tcMar>
              <w:top w:w="10" w:type="dxa"/>
              <w:bottom w:w="4" w:type="dxa"/>
            </w:tcMar>
            <w:vAlign w:val="center"/>
          </w:tcPr>
          <w:p w14:paraId="52DFF050" w14:textId="77777777" w:rsidR="003D3189" w:rsidRPr="00647D81" w:rsidRDefault="003D3189" w:rsidP="005E75A2">
            <w:pPr>
              <w:pStyle w:val="AnnexTableHeader"/>
              <w:spacing w:line="240" w:lineRule="auto"/>
              <w:rPr>
                <w:rFonts w:ascii="Helvetica" w:hAnsi="Helvetica"/>
                <w:sz w:val="9"/>
                <w:szCs w:val="9"/>
              </w:rPr>
            </w:pPr>
          </w:p>
        </w:tc>
        <w:tc>
          <w:tcPr>
            <w:tcW w:w="620" w:type="dxa"/>
            <w:vMerge/>
            <w:tcMar>
              <w:top w:w="10" w:type="dxa"/>
              <w:bottom w:w="4" w:type="dxa"/>
            </w:tcMar>
            <w:vAlign w:val="center"/>
          </w:tcPr>
          <w:p w14:paraId="741309BF" w14:textId="77777777" w:rsidR="003D3189" w:rsidRPr="00647D81" w:rsidRDefault="003D3189" w:rsidP="005E75A2">
            <w:pPr>
              <w:pStyle w:val="AnnexTableHeader"/>
              <w:spacing w:line="240" w:lineRule="auto"/>
              <w:rPr>
                <w:rFonts w:ascii="Helvetica" w:hAnsi="Helvetica"/>
                <w:sz w:val="9"/>
                <w:szCs w:val="9"/>
              </w:rPr>
            </w:pPr>
          </w:p>
        </w:tc>
        <w:tc>
          <w:tcPr>
            <w:tcW w:w="3500" w:type="dxa"/>
            <w:gridSpan w:val="6"/>
            <w:tcMar>
              <w:top w:w="10" w:type="dxa"/>
              <w:bottom w:w="4" w:type="dxa"/>
            </w:tcMar>
            <w:vAlign w:val="center"/>
          </w:tcPr>
          <w:p w14:paraId="1969D8AE"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Spesifisering etter miljømål</w:t>
            </w:r>
          </w:p>
        </w:tc>
        <w:tc>
          <w:tcPr>
            <w:tcW w:w="600" w:type="dxa"/>
            <w:vMerge w:val="restart"/>
            <w:tcMar>
              <w:top w:w="10" w:type="dxa"/>
              <w:bottom w:w="4" w:type="dxa"/>
            </w:tcMar>
            <w:vAlign w:val="center"/>
          </w:tcPr>
          <w:p w14:paraId="0CAA3B18"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Hvorav bruk av proveny</w:t>
            </w:r>
          </w:p>
        </w:tc>
        <w:tc>
          <w:tcPr>
            <w:tcW w:w="600" w:type="dxa"/>
            <w:vMerge w:val="restart"/>
            <w:tcMar>
              <w:top w:w="10" w:type="dxa"/>
              <w:bottom w:w="4" w:type="dxa"/>
            </w:tcMar>
            <w:vAlign w:val="center"/>
          </w:tcPr>
          <w:p w14:paraId="79A9BDD0"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Hvorav omstilling</w:t>
            </w:r>
          </w:p>
        </w:tc>
        <w:tc>
          <w:tcPr>
            <w:tcW w:w="700" w:type="dxa"/>
            <w:vMerge w:val="restart"/>
            <w:tcMar>
              <w:top w:w="10" w:type="dxa"/>
              <w:bottom w:w="4" w:type="dxa"/>
            </w:tcMar>
            <w:vAlign w:val="center"/>
          </w:tcPr>
          <w:p w14:paraId="7FE3DA4E"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Hvorav muliggjørende</w:t>
            </w:r>
          </w:p>
        </w:tc>
        <w:tc>
          <w:tcPr>
            <w:tcW w:w="800" w:type="dxa"/>
            <w:vMerge/>
            <w:tcMar>
              <w:top w:w="10" w:type="dxa"/>
              <w:bottom w:w="4" w:type="dxa"/>
            </w:tcMar>
            <w:vAlign w:val="center"/>
          </w:tcPr>
          <w:p w14:paraId="633AEB61" w14:textId="77777777" w:rsidR="003D3189" w:rsidRPr="00647D81" w:rsidRDefault="003D3189" w:rsidP="005E75A2">
            <w:pPr>
              <w:pStyle w:val="AnnexTableHeader"/>
              <w:spacing w:line="240" w:lineRule="auto"/>
              <w:rPr>
                <w:rFonts w:ascii="Helvetica" w:hAnsi="Helvetica"/>
                <w:sz w:val="9"/>
                <w:szCs w:val="9"/>
              </w:rPr>
            </w:pPr>
          </w:p>
        </w:tc>
        <w:tc>
          <w:tcPr>
            <w:tcW w:w="800" w:type="dxa"/>
            <w:vMerge w:val="restart"/>
            <w:tcMar>
              <w:top w:w="10" w:type="dxa"/>
              <w:bottom w:w="4" w:type="dxa"/>
            </w:tcMar>
            <w:vAlign w:val="center"/>
          </w:tcPr>
          <w:p w14:paraId="6664CA9E" w14:textId="6CAE43F5" w:rsidR="003D3189" w:rsidRPr="00647D81" w:rsidRDefault="003D3189" w:rsidP="005E75A2">
            <w:pPr>
              <w:pStyle w:val="AnnexTableHeader"/>
              <w:spacing w:line="240" w:lineRule="auto"/>
              <w:rPr>
                <w:rFonts w:ascii="Helvetica" w:hAnsi="Helvetica"/>
                <w:sz w:val="9"/>
                <w:szCs w:val="9"/>
              </w:rPr>
            </w:pPr>
            <w:r>
              <w:rPr>
                <w:rFonts w:ascii="Helvetica" w:hAnsi="Helvetica"/>
                <w:sz w:val="9"/>
              </w:rPr>
              <w:t>Hvorav finansiering av motparters ikke-vesentlige aktiviteter (4)</w:t>
            </w:r>
          </w:p>
        </w:tc>
        <w:tc>
          <w:tcPr>
            <w:tcW w:w="796" w:type="dxa"/>
            <w:vMerge w:val="restart"/>
            <w:tcMar>
              <w:top w:w="10" w:type="dxa"/>
              <w:bottom w:w="4" w:type="dxa"/>
            </w:tcMar>
            <w:vAlign w:val="center"/>
          </w:tcPr>
          <w:p w14:paraId="43BDFC32"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Hvorav eksponeringer som finansierer motparter som rapporterer i samsvar med artikkel 7 nr. 9</w:t>
            </w:r>
          </w:p>
        </w:tc>
        <w:tc>
          <w:tcPr>
            <w:tcW w:w="800" w:type="dxa"/>
            <w:vMerge w:val="restart"/>
            <w:tcBorders>
              <w:right w:val="single" w:sz="4" w:space="0" w:color="auto"/>
            </w:tcBorders>
            <w:tcMar>
              <w:top w:w="10" w:type="dxa"/>
              <w:bottom w:w="4" w:type="dxa"/>
              <w:right w:w="0" w:type="dxa"/>
            </w:tcMar>
            <w:vAlign w:val="center"/>
          </w:tcPr>
          <w:p w14:paraId="6A80DA1C"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Hvorav ikke-vurderte som anses som ikke-vesentlige av kredittinstitusjonen (5)</w:t>
            </w:r>
          </w:p>
        </w:tc>
      </w:tr>
      <w:tr w:rsidR="003D3189" w:rsidRPr="00647D81" w14:paraId="0C21AB20" w14:textId="77777777" w:rsidTr="00DF4027">
        <w:tc>
          <w:tcPr>
            <w:tcW w:w="3816" w:type="dxa"/>
            <w:gridSpan w:val="2"/>
            <w:vMerge/>
            <w:tcBorders>
              <w:left w:val="single" w:sz="4" w:space="0" w:color="auto"/>
            </w:tcBorders>
            <w:tcMar>
              <w:top w:w="10" w:type="dxa"/>
              <w:left w:w="0" w:type="dxa"/>
              <w:bottom w:w="4" w:type="dxa"/>
            </w:tcMar>
            <w:vAlign w:val="center"/>
          </w:tcPr>
          <w:p w14:paraId="62CCB517" w14:textId="77777777" w:rsidR="003D3189" w:rsidRPr="00647D81" w:rsidRDefault="003D3189" w:rsidP="005E75A2">
            <w:pPr>
              <w:pStyle w:val="AnnexTableHeader"/>
              <w:spacing w:line="240" w:lineRule="auto"/>
              <w:rPr>
                <w:sz w:val="9"/>
                <w:szCs w:val="9"/>
              </w:rPr>
            </w:pPr>
          </w:p>
        </w:tc>
        <w:tc>
          <w:tcPr>
            <w:tcW w:w="648" w:type="dxa"/>
            <w:vMerge/>
            <w:tcMar>
              <w:top w:w="10" w:type="dxa"/>
              <w:bottom w:w="4" w:type="dxa"/>
            </w:tcMar>
            <w:vAlign w:val="center"/>
          </w:tcPr>
          <w:p w14:paraId="624C1CED" w14:textId="77777777" w:rsidR="003D3189" w:rsidRPr="00647D81" w:rsidRDefault="003D3189" w:rsidP="005E75A2">
            <w:pPr>
              <w:pStyle w:val="AnnexTableHeader"/>
              <w:spacing w:line="240" w:lineRule="auto"/>
              <w:rPr>
                <w:sz w:val="9"/>
                <w:szCs w:val="9"/>
              </w:rPr>
            </w:pPr>
          </w:p>
        </w:tc>
        <w:tc>
          <w:tcPr>
            <w:tcW w:w="636" w:type="dxa"/>
            <w:vMerge/>
            <w:tcMar>
              <w:top w:w="10" w:type="dxa"/>
              <w:bottom w:w="4" w:type="dxa"/>
            </w:tcMar>
            <w:vAlign w:val="center"/>
          </w:tcPr>
          <w:p w14:paraId="1CFEADAE" w14:textId="77777777" w:rsidR="003D3189" w:rsidRPr="00647D81" w:rsidRDefault="003D3189" w:rsidP="005E75A2">
            <w:pPr>
              <w:pStyle w:val="AnnexTableHeader"/>
              <w:spacing w:line="240" w:lineRule="auto"/>
              <w:rPr>
                <w:sz w:val="9"/>
                <w:szCs w:val="9"/>
              </w:rPr>
            </w:pPr>
          </w:p>
        </w:tc>
        <w:tc>
          <w:tcPr>
            <w:tcW w:w="620" w:type="dxa"/>
            <w:vMerge/>
            <w:tcMar>
              <w:top w:w="10" w:type="dxa"/>
              <w:bottom w:w="4" w:type="dxa"/>
            </w:tcMar>
            <w:vAlign w:val="center"/>
          </w:tcPr>
          <w:p w14:paraId="7159B02B" w14:textId="77777777" w:rsidR="003D3189" w:rsidRPr="00647D81" w:rsidRDefault="003D3189" w:rsidP="005E75A2">
            <w:pPr>
              <w:pStyle w:val="AnnexTableHeader"/>
              <w:spacing w:line="240" w:lineRule="auto"/>
              <w:rPr>
                <w:sz w:val="9"/>
                <w:szCs w:val="9"/>
              </w:rPr>
            </w:pPr>
          </w:p>
        </w:tc>
        <w:tc>
          <w:tcPr>
            <w:tcW w:w="560" w:type="dxa"/>
            <w:tcMar>
              <w:top w:w="10" w:type="dxa"/>
              <w:bottom w:w="4" w:type="dxa"/>
            </w:tcMar>
            <w:vAlign w:val="center"/>
          </w:tcPr>
          <w:p w14:paraId="18C85829" w14:textId="5FF75CC8" w:rsidR="003D3189" w:rsidRPr="00647D81" w:rsidRDefault="003D3189" w:rsidP="005E75A2">
            <w:pPr>
              <w:pStyle w:val="AnnexTableHeader"/>
              <w:spacing w:line="240" w:lineRule="auto"/>
              <w:rPr>
                <w:rFonts w:ascii="Helvetica" w:hAnsi="Helvetica"/>
                <w:sz w:val="9"/>
                <w:szCs w:val="9"/>
              </w:rPr>
            </w:pPr>
            <w:r>
              <w:rPr>
                <w:rFonts w:ascii="Helvetica" w:hAnsi="Helvetica"/>
                <w:sz w:val="9"/>
              </w:rPr>
              <w:t>Begrens</w:t>
            </w:r>
            <w:r w:rsidR="003520FD">
              <w:rPr>
                <w:rFonts w:ascii="Helvetica" w:hAnsi="Helvetica"/>
                <w:sz w:val="9"/>
              </w:rPr>
              <w:softHyphen/>
            </w:r>
            <w:r w:rsidR="003520FD">
              <w:rPr>
                <w:rFonts w:ascii="Helvetica" w:hAnsi="Helvetica"/>
                <w:sz w:val="9"/>
              </w:rPr>
              <w:softHyphen/>
            </w:r>
            <w:r w:rsidR="003520FD">
              <w:rPr>
                <w:rFonts w:ascii="Helvetica" w:hAnsi="Helvetica"/>
                <w:sz w:val="9"/>
              </w:rPr>
              <w:softHyphen/>
            </w:r>
            <w:r>
              <w:rPr>
                <w:rFonts w:ascii="Helvetica" w:hAnsi="Helvetica"/>
                <w:sz w:val="9"/>
              </w:rPr>
              <w:t>ning av klima</w:t>
            </w:r>
            <w:r w:rsidR="003520FD">
              <w:rPr>
                <w:rFonts w:ascii="Helvetica" w:hAnsi="Helvetica"/>
                <w:sz w:val="9"/>
              </w:rPr>
              <w:softHyphen/>
            </w:r>
            <w:r>
              <w:rPr>
                <w:rFonts w:ascii="Helvetica" w:hAnsi="Helvetica"/>
                <w:sz w:val="9"/>
              </w:rPr>
              <w:t>endringer (CCM)</w:t>
            </w:r>
          </w:p>
        </w:tc>
        <w:tc>
          <w:tcPr>
            <w:tcW w:w="560" w:type="dxa"/>
            <w:tcMar>
              <w:top w:w="10" w:type="dxa"/>
              <w:bottom w:w="4" w:type="dxa"/>
            </w:tcMar>
            <w:vAlign w:val="center"/>
          </w:tcPr>
          <w:p w14:paraId="58EADE28" w14:textId="2FAF3BB9" w:rsidR="003D3189" w:rsidRPr="00647D81" w:rsidRDefault="003D3189" w:rsidP="005E75A2">
            <w:pPr>
              <w:pStyle w:val="AnnexTableHeader"/>
              <w:spacing w:line="240" w:lineRule="auto"/>
              <w:rPr>
                <w:rFonts w:ascii="Helvetica" w:hAnsi="Helvetica"/>
                <w:sz w:val="9"/>
                <w:szCs w:val="9"/>
              </w:rPr>
            </w:pPr>
            <w:r>
              <w:rPr>
                <w:rFonts w:ascii="Helvetica" w:hAnsi="Helvetica"/>
                <w:sz w:val="9"/>
              </w:rPr>
              <w:t>Tilpasning til klima</w:t>
            </w:r>
            <w:r w:rsidR="003520FD">
              <w:rPr>
                <w:rFonts w:ascii="Helvetica" w:hAnsi="Helvetica"/>
                <w:sz w:val="9"/>
              </w:rPr>
              <w:softHyphen/>
            </w:r>
            <w:r>
              <w:rPr>
                <w:rFonts w:ascii="Helvetica" w:hAnsi="Helvetica"/>
                <w:sz w:val="9"/>
              </w:rPr>
              <w:t>endringer (CCA)</w:t>
            </w:r>
          </w:p>
        </w:tc>
        <w:tc>
          <w:tcPr>
            <w:tcW w:w="560" w:type="dxa"/>
            <w:tcMar>
              <w:top w:w="10" w:type="dxa"/>
              <w:bottom w:w="4" w:type="dxa"/>
            </w:tcMar>
            <w:vAlign w:val="center"/>
          </w:tcPr>
          <w:p w14:paraId="45598663" w14:textId="70930497" w:rsidR="003D3189" w:rsidRPr="00647D81" w:rsidRDefault="003D3189" w:rsidP="005E75A2">
            <w:pPr>
              <w:pStyle w:val="AnnexTableHeader"/>
              <w:spacing w:line="240" w:lineRule="auto"/>
              <w:rPr>
                <w:rFonts w:ascii="Helvetica" w:hAnsi="Helvetica"/>
                <w:sz w:val="9"/>
                <w:szCs w:val="9"/>
              </w:rPr>
            </w:pPr>
            <w:r>
              <w:rPr>
                <w:rFonts w:ascii="Helvetica" w:hAnsi="Helvetica"/>
                <w:sz w:val="9"/>
              </w:rPr>
              <w:t>Vann- og hav</w:t>
            </w:r>
            <w:r w:rsidR="003520FD">
              <w:rPr>
                <w:rFonts w:ascii="Helvetica" w:hAnsi="Helvetica"/>
                <w:sz w:val="9"/>
              </w:rPr>
              <w:softHyphen/>
            </w:r>
            <w:r>
              <w:rPr>
                <w:rFonts w:ascii="Helvetica" w:hAnsi="Helvetica"/>
                <w:sz w:val="9"/>
              </w:rPr>
              <w:t>ressurser (WTR)</w:t>
            </w:r>
          </w:p>
        </w:tc>
        <w:tc>
          <w:tcPr>
            <w:tcW w:w="560" w:type="dxa"/>
            <w:tcMar>
              <w:top w:w="10" w:type="dxa"/>
              <w:bottom w:w="4" w:type="dxa"/>
            </w:tcMar>
            <w:vAlign w:val="center"/>
          </w:tcPr>
          <w:p w14:paraId="16856659"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Sirkulær økonomi (CE)</w:t>
            </w:r>
          </w:p>
        </w:tc>
        <w:tc>
          <w:tcPr>
            <w:tcW w:w="560" w:type="dxa"/>
            <w:tcMar>
              <w:top w:w="10" w:type="dxa"/>
              <w:bottom w:w="4" w:type="dxa"/>
            </w:tcMar>
            <w:vAlign w:val="center"/>
          </w:tcPr>
          <w:p w14:paraId="16B42AC4" w14:textId="532413A2" w:rsidR="003D3189" w:rsidRPr="00647D81" w:rsidRDefault="003D3189" w:rsidP="005E75A2">
            <w:pPr>
              <w:pStyle w:val="AnnexTableHeader"/>
              <w:spacing w:line="240" w:lineRule="auto"/>
              <w:rPr>
                <w:rFonts w:ascii="Helvetica" w:hAnsi="Helvetica"/>
                <w:sz w:val="9"/>
                <w:szCs w:val="9"/>
              </w:rPr>
            </w:pPr>
            <w:r>
              <w:rPr>
                <w:rFonts w:ascii="Helvetica" w:hAnsi="Helvetica"/>
                <w:sz w:val="9"/>
              </w:rPr>
              <w:t>Forurens</w:t>
            </w:r>
            <w:r w:rsidR="003520FD">
              <w:rPr>
                <w:rFonts w:ascii="Helvetica" w:hAnsi="Helvetica"/>
                <w:sz w:val="9"/>
              </w:rPr>
              <w:softHyphen/>
            </w:r>
            <w:r>
              <w:rPr>
                <w:rFonts w:ascii="Helvetica" w:hAnsi="Helvetica"/>
                <w:sz w:val="9"/>
              </w:rPr>
              <w:t>ning (PPC)</w:t>
            </w:r>
          </w:p>
        </w:tc>
        <w:tc>
          <w:tcPr>
            <w:tcW w:w="700" w:type="dxa"/>
            <w:tcMar>
              <w:top w:w="10" w:type="dxa"/>
              <w:bottom w:w="4" w:type="dxa"/>
            </w:tcMar>
            <w:vAlign w:val="center"/>
          </w:tcPr>
          <w:p w14:paraId="18D97128" w14:textId="77777777" w:rsidR="003D3189" w:rsidRPr="00647D81" w:rsidRDefault="003D3189" w:rsidP="005E75A2">
            <w:pPr>
              <w:pStyle w:val="AnnexTableHeader"/>
              <w:spacing w:line="240" w:lineRule="auto"/>
              <w:rPr>
                <w:rFonts w:ascii="Helvetica" w:hAnsi="Helvetica"/>
                <w:sz w:val="9"/>
                <w:szCs w:val="9"/>
              </w:rPr>
            </w:pPr>
            <w:r>
              <w:rPr>
                <w:rFonts w:ascii="Helvetica" w:hAnsi="Helvetica"/>
                <w:sz w:val="9"/>
              </w:rPr>
              <w:t>Biologisk mangfold og økosystemer (BIO)</w:t>
            </w:r>
          </w:p>
        </w:tc>
        <w:tc>
          <w:tcPr>
            <w:tcW w:w="600" w:type="dxa"/>
            <w:vMerge/>
            <w:tcMar>
              <w:top w:w="10" w:type="dxa"/>
              <w:bottom w:w="4" w:type="dxa"/>
            </w:tcMar>
            <w:vAlign w:val="center"/>
          </w:tcPr>
          <w:p w14:paraId="68D6B7BD" w14:textId="77777777" w:rsidR="003D3189" w:rsidRPr="00647D81" w:rsidRDefault="003D3189" w:rsidP="005E75A2">
            <w:pPr>
              <w:pStyle w:val="AnnexTableHeader"/>
              <w:spacing w:line="240" w:lineRule="auto"/>
              <w:rPr>
                <w:sz w:val="9"/>
                <w:szCs w:val="9"/>
              </w:rPr>
            </w:pPr>
          </w:p>
        </w:tc>
        <w:tc>
          <w:tcPr>
            <w:tcW w:w="600" w:type="dxa"/>
            <w:vMerge/>
            <w:tcMar>
              <w:top w:w="10" w:type="dxa"/>
              <w:bottom w:w="4" w:type="dxa"/>
            </w:tcMar>
            <w:vAlign w:val="center"/>
          </w:tcPr>
          <w:p w14:paraId="1053ADF2" w14:textId="77777777" w:rsidR="003D3189" w:rsidRPr="00647D81" w:rsidRDefault="003D3189" w:rsidP="005E75A2">
            <w:pPr>
              <w:pStyle w:val="AnnexTableHeader"/>
              <w:spacing w:line="240" w:lineRule="auto"/>
              <w:rPr>
                <w:sz w:val="9"/>
                <w:szCs w:val="9"/>
              </w:rPr>
            </w:pPr>
          </w:p>
        </w:tc>
        <w:tc>
          <w:tcPr>
            <w:tcW w:w="700" w:type="dxa"/>
            <w:vMerge/>
            <w:tcMar>
              <w:top w:w="10" w:type="dxa"/>
              <w:bottom w:w="4" w:type="dxa"/>
            </w:tcMar>
            <w:vAlign w:val="center"/>
          </w:tcPr>
          <w:p w14:paraId="7544E00C" w14:textId="77777777" w:rsidR="003D3189" w:rsidRPr="00647D81" w:rsidRDefault="003D3189" w:rsidP="005E75A2">
            <w:pPr>
              <w:pStyle w:val="AnnexTableHeader"/>
              <w:spacing w:line="240" w:lineRule="auto"/>
              <w:rPr>
                <w:sz w:val="9"/>
                <w:szCs w:val="9"/>
              </w:rPr>
            </w:pPr>
          </w:p>
        </w:tc>
        <w:tc>
          <w:tcPr>
            <w:tcW w:w="800" w:type="dxa"/>
            <w:vMerge/>
            <w:tcMar>
              <w:top w:w="10" w:type="dxa"/>
              <w:bottom w:w="4" w:type="dxa"/>
            </w:tcMar>
            <w:vAlign w:val="center"/>
          </w:tcPr>
          <w:p w14:paraId="6E5422F8" w14:textId="77777777" w:rsidR="003D3189" w:rsidRPr="00647D81" w:rsidRDefault="003D3189" w:rsidP="005E75A2">
            <w:pPr>
              <w:pStyle w:val="AnnexTableHeader"/>
              <w:spacing w:line="240" w:lineRule="auto"/>
              <w:rPr>
                <w:sz w:val="9"/>
                <w:szCs w:val="9"/>
              </w:rPr>
            </w:pPr>
          </w:p>
        </w:tc>
        <w:tc>
          <w:tcPr>
            <w:tcW w:w="800" w:type="dxa"/>
            <w:vMerge/>
            <w:tcMar>
              <w:top w:w="10" w:type="dxa"/>
              <w:bottom w:w="4" w:type="dxa"/>
            </w:tcMar>
            <w:vAlign w:val="center"/>
          </w:tcPr>
          <w:p w14:paraId="2CCE729D" w14:textId="77777777" w:rsidR="003D3189" w:rsidRPr="00647D81" w:rsidRDefault="003D3189" w:rsidP="005E75A2">
            <w:pPr>
              <w:pStyle w:val="AnnexTableHeader"/>
              <w:spacing w:line="240" w:lineRule="auto"/>
              <w:rPr>
                <w:sz w:val="9"/>
                <w:szCs w:val="9"/>
              </w:rPr>
            </w:pPr>
          </w:p>
        </w:tc>
        <w:tc>
          <w:tcPr>
            <w:tcW w:w="796" w:type="dxa"/>
            <w:vMerge/>
            <w:tcMar>
              <w:top w:w="10" w:type="dxa"/>
              <w:bottom w:w="4" w:type="dxa"/>
            </w:tcMar>
            <w:vAlign w:val="center"/>
          </w:tcPr>
          <w:p w14:paraId="070FC7E1" w14:textId="77777777" w:rsidR="003D3189" w:rsidRPr="00647D81" w:rsidRDefault="003D3189" w:rsidP="005E75A2">
            <w:pPr>
              <w:pStyle w:val="AnnexTableHeader"/>
              <w:spacing w:line="240" w:lineRule="auto"/>
              <w:rPr>
                <w:sz w:val="9"/>
                <w:szCs w:val="9"/>
              </w:rPr>
            </w:pPr>
          </w:p>
        </w:tc>
        <w:tc>
          <w:tcPr>
            <w:tcW w:w="800" w:type="dxa"/>
            <w:vMerge/>
            <w:tcBorders>
              <w:right w:val="single" w:sz="4" w:space="0" w:color="auto"/>
            </w:tcBorders>
            <w:tcMar>
              <w:top w:w="10" w:type="dxa"/>
              <w:bottom w:w="4" w:type="dxa"/>
              <w:right w:w="0" w:type="dxa"/>
            </w:tcMar>
            <w:vAlign w:val="center"/>
          </w:tcPr>
          <w:p w14:paraId="0373CA39" w14:textId="77777777" w:rsidR="003D3189" w:rsidRPr="00647D81" w:rsidRDefault="003D3189" w:rsidP="005E75A2">
            <w:pPr>
              <w:pStyle w:val="AnnexTableHeader"/>
              <w:spacing w:line="240" w:lineRule="auto"/>
              <w:rPr>
                <w:sz w:val="9"/>
                <w:szCs w:val="9"/>
              </w:rPr>
            </w:pPr>
          </w:p>
        </w:tc>
      </w:tr>
      <w:tr w:rsidR="005E75A2" w:rsidRPr="00647D81" w14:paraId="3558B8B0" w14:textId="77777777" w:rsidTr="00647D81">
        <w:tc>
          <w:tcPr>
            <w:tcW w:w="380" w:type="dxa"/>
            <w:tcBorders>
              <w:left w:val="single" w:sz="4" w:space="0" w:color="auto"/>
            </w:tcBorders>
            <w:tcMar>
              <w:top w:w="10" w:type="dxa"/>
              <w:left w:w="0" w:type="dxa"/>
              <w:bottom w:w="4" w:type="dxa"/>
            </w:tcMar>
            <w:vAlign w:val="bottom"/>
          </w:tcPr>
          <w:p w14:paraId="02AEA9DE"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w:t>
            </w:r>
          </w:p>
        </w:tc>
        <w:tc>
          <w:tcPr>
            <w:tcW w:w="3436" w:type="dxa"/>
            <w:tcMar>
              <w:top w:w="10" w:type="dxa"/>
              <w:bottom w:w="4" w:type="dxa"/>
            </w:tcMar>
          </w:tcPr>
          <w:p w14:paraId="01B768D1" w14:textId="77777777" w:rsidR="003B1B62" w:rsidRPr="00647D81" w:rsidRDefault="005E75A2" w:rsidP="003B1B62">
            <w:pPr>
              <w:pStyle w:val="AnnexNormal"/>
              <w:spacing w:line="240" w:lineRule="auto"/>
              <w:rPr>
                <w:rFonts w:ascii="Helvetica" w:hAnsi="Helvetica"/>
                <w:b/>
                <w:sz w:val="11"/>
                <w:szCs w:val="11"/>
                <w:u w:val="single"/>
              </w:rPr>
            </w:pPr>
            <w:r>
              <w:rPr>
                <w:rFonts w:ascii="Helvetica" w:hAnsi="Helvetica"/>
                <w:b/>
                <w:sz w:val="11"/>
                <w:u w:val="single"/>
              </w:rPr>
              <w:t>GAR – dekkede eiendeler i både teller og nevner</w:t>
            </w:r>
          </w:p>
        </w:tc>
        <w:tc>
          <w:tcPr>
            <w:tcW w:w="648" w:type="dxa"/>
            <w:tcMar>
              <w:top w:w="10" w:type="dxa"/>
              <w:bottom w:w="4" w:type="dxa"/>
            </w:tcMar>
          </w:tcPr>
          <w:p w14:paraId="743CD21F"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5C55E8F0"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66D6374C"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3143EF8"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AC07A32"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51CC2A8"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B646F7C"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715DAB0"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7C73687A"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727C08A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1B64E415"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088EC563"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68370C94"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2EA6AA6"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160A36D4"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20E6124C" w14:textId="77777777" w:rsidR="003B1B62" w:rsidRPr="00647D81" w:rsidRDefault="003B1B62" w:rsidP="003B1B62">
            <w:pPr>
              <w:pStyle w:val="AnnexNormal"/>
              <w:spacing w:line="240" w:lineRule="auto"/>
              <w:rPr>
                <w:sz w:val="11"/>
                <w:szCs w:val="11"/>
              </w:rPr>
            </w:pPr>
          </w:p>
        </w:tc>
      </w:tr>
      <w:tr w:rsidR="005E75A2" w:rsidRPr="00647D81" w14:paraId="7C4D2228" w14:textId="77777777" w:rsidTr="00647D81">
        <w:tc>
          <w:tcPr>
            <w:tcW w:w="380" w:type="dxa"/>
            <w:tcBorders>
              <w:left w:val="single" w:sz="4" w:space="0" w:color="auto"/>
            </w:tcBorders>
            <w:tcMar>
              <w:top w:w="10" w:type="dxa"/>
              <w:left w:w="0" w:type="dxa"/>
              <w:bottom w:w="4" w:type="dxa"/>
            </w:tcMar>
            <w:vAlign w:val="bottom"/>
          </w:tcPr>
          <w:p w14:paraId="27B211EE"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w:t>
            </w:r>
          </w:p>
        </w:tc>
        <w:tc>
          <w:tcPr>
            <w:tcW w:w="3436" w:type="dxa"/>
            <w:tcMar>
              <w:top w:w="10" w:type="dxa"/>
              <w:bottom w:w="4" w:type="dxa"/>
            </w:tcMar>
          </w:tcPr>
          <w:p w14:paraId="756690B4" w14:textId="77777777" w:rsidR="003B1B62" w:rsidRPr="00647D81" w:rsidRDefault="005E75A2" w:rsidP="003D3189">
            <w:pPr>
              <w:pStyle w:val="AnnexNormal"/>
              <w:spacing w:line="240" w:lineRule="auto"/>
              <w:ind w:left="80"/>
              <w:rPr>
                <w:rFonts w:ascii="Helvetica" w:hAnsi="Helvetica"/>
                <w:b/>
                <w:sz w:val="11"/>
                <w:szCs w:val="11"/>
              </w:rPr>
            </w:pPr>
            <w:r>
              <w:rPr>
                <w:rFonts w:ascii="Helvetica" w:hAnsi="Helvetica"/>
                <w:b/>
                <w:sz w:val="11"/>
              </w:rPr>
              <w:t>Lån og forskudd, gjeldsinstrumenter og egenkapitalinstrumenter som ikke innehas for handelsformål, og som inngår i beregningen av GAR</w:t>
            </w:r>
          </w:p>
        </w:tc>
        <w:tc>
          <w:tcPr>
            <w:tcW w:w="648" w:type="dxa"/>
            <w:tcMar>
              <w:top w:w="10" w:type="dxa"/>
              <w:bottom w:w="4" w:type="dxa"/>
            </w:tcMar>
          </w:tcPr>
          <w:p w14:paraId="7ACA40E6"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3C28ACF8"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7F8071D8"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D9C5DCE"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2C7AF3B"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19A4CF6"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787742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280B119"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0E16E241"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1EF286BF"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59280A87"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7028BF45"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663EBF49"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103D523A"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1B883478"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53519850" w14:textId="77777777" w:rsidR="003B1B62" w:rsidRPr="00647D81" w:rsidRDefault="003B1B62" w:rsidP="003B1B62">
            <w:pPr>
              <w:pStyle w:val="AnnexNormal"/>
              <w:spacing w:line="240" w:lineRule="auto"/>
              <w:rPr>
                <w:sz w:val="11"/>
                <w:szCs w:val="11"/>
              </w:rPr>
            </w:pPr>
          </w:p>
        </w:tc>
      </w:tr>
      <w:tr w:rsidR="005E75A2" w:rsidRPr="00647D81" w14:paraId="046F8F47" w14:textId="77777777" w:rsidTr="00647D81">
        <w:tc>
          <w:tcPr>
            <w:tcW w:w="380" w:type="dxa"/>
            <w:tcBorders>
              <w:left w:val="single" w:sz="4" w:space="0" w:color="auto"/>
            </w:tcBorders>
            <w:tcMar>
              <w:top w:w="10" w:type="dxa"/>
              <w:left w:w="0" w:type="dxa"/>
              <w:bottom w:w="4" w:type="dxa"/>
            </w:tcMar>
            <w:vAlign w:val="bottom"/>
          </w:tcPr>
          <w:p w14:paraId="3624445B"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w:t>
            </w:r>
          </w:p>
        </w:tc>
        <w:tc>
          <w:tcPr>
            <w:tcW w:w="3436" w:type="dxa"/>
            <w:tcMar>
              <w:top w:w="10" w:type="dxa"/>
              <w:bottom w:w="4" w:type="dxa"/>
            </w:tcMar>
          </w:tcPr>
          <w:p w14:paraId="285F1939"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Finansforetak</w:t>
            </w:r>
          </w:p>
        </w:tc>
        <w:tc>
          <w:tcPr>
            <w:tcW w:w="648" w:type="dxa"/>
            <w:tcMar>
              <w:top w:w="10" w:type="dxa"/>
              <w:bottom w:w="4" w:type="dxa"/>
            </w:tcMar>
          </w:tcPr>
          <w:p w14:paraId="63576217"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2A5B0A03"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019BE006"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3EDEBDE"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97E8B7F"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6BA895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D3482C9"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28A363B"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1B4F4DC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4C6784B0"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3A5A3306"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16433EA"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6C285D77"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639686AE"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20B9A325"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0CB4856E" w14:textId="77777777" w:rsidR="003B1B62" w:rsidRPr="00647D81" w:rsidRDefault="003B1B62" w:rsidP="003B1B62">
            <w:pPr>
              <w:pStyle w:val="AnnexNormal"/>
              <w:spacing w:line="240" w:lineRule="auto"/>
              <w:rPr>
                <w:sz w:val="11"/>
                <w:szCs w:val="11"/>
              </w:rPr>
            </w:pPr>
          </w:p>
        </w:tc>
      </w:tr>
      <w:tr w:rsidR="005E75A2" w:rsidRPr="00647D81" w14:paraId="2498882B" w14:textId="77777777" w:rsidTr="00647D81">
        <w:tc>
          <w:tcPr>
            <w:tcW w:w="380" w:type="dxa"/>
            <w:tcBorders>
              <w:left w:val="single" w:sz="4" w:space="0" w:color="auto"/>
            </w:tcBorders>
            <w:tcMar>
              <w:top w:w="10" w:type="dxa"/>
              <w:left w:w="0" w:type="dxa"/>
              <w:bottom w:w="4" w:type="dxa"/>
            </w:tcMar>
            <w:vAlign w:val="bottom"/>
          </w:tcPr>
          <w:p w14:paraId="46D840C1"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4</w:t>
            </w:r>
          </w:p>
        </w:tc>
        <w:tc>
          <w:tcPr>
            <w:tcW w:w="3436" w:type="dxa"/>
            <w:tcMar>
              <w:top w:w="10" w:type="dxa"/>
              <w:bottom w:w="4" w:type="dxa"/>
            </w:tcMar>
          </w:tcPr>
          <w:p w14:paraId="7138FB29"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Lån og forskudd</w:t>
            </w:r>
          </w:p>
        </w:tc>
        <w:tc>
          <w:tcPr>
            <w:tcW w:w="648" w:type="dxa"/>
            <w:tcMar>
              <w:top w:w="10" w:type="dxa"/>
              <w:bottom w:w="4" w:type="dxa"/>
            </w:tcMar>
          </w:tcPr>
          <w:p w14:paraId="320845F0"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026FCD5A"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16259BE9"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BDB058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C70BCC6"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C06EDD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0E033B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42DCEA0"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C5C985B"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474DB8CB"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0BB72681"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0C4CE5C7"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7D17BEA2"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12F947AA"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003EED26"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091C7A9D" w14:textId="77777777" w:rsidR="003B1B62" w:rsidRPr="00647D81" w:rsidRDefault="003B1B62" w:rsidP="003B1B62">
            <w:pPr>
              <w:pStyle w:val="AnnexNormal"/>
              <w:spacing w:line="240" w:lineRule="auto"/>
              <w:rPr>
                <w:sz w:val="11"/>
                <w:szCs w:val="11"/>
              </w:rPr>
            </w:pPr>
          </w:p>
        </w:tc>
      </w:tr>
      <w:tr w:rsidR="005E75A2" w:rsidRPr="00647D81" w14:paraId="4BC9B7C8" w14:textId="77777777" w:rsidTr="00647D81">
        <w:tc>
          <w:tcPr>
            <w:tcW w:w="380" w:type="dxa"/>
            <w:tcBorders>
              <w:left w:val="single" w:sz="4" w:space="0" w:color="auto"/>
            </w:tcBorders>
            <w:tcMar>
              <w:top w:w="10" w:type="dxa"/>
              <w:left w:w="0" w:type="dxa"/>
              <w:bottom w:w="4" w:type="dxa"/>
            </w:tcMar>
            <w:vAlign w:val="bottom"/>
          </w:tcPr>
          <w:p w14:paraId="0AACA525"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5</w:t>
            </w:r>
          </w:p>
        </w:tc>
        <w:tc>
          <w:tcPr>
            <w:tcW w:w="3436" w:type="dxa"/>
            <w:tcMar>
              <w:top w:w="10" w:type="dxa"/>
              <w:bottom w:w="4" w:type="dxa"/>
            </w:tcMar>
          </w:tcPr>
          <w:p w14:paraId="1C482445"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Gjeldsinstrumenter, herunder bruk av proveny</w:t>
            </w:r>
          </w:p>
        </w:tc>
        <w:tc>
          <w:tcPr>
            <w:tcW w:w="648" w:type="dxa"/>
            <w:tcMar>
              <w:top w:w="10" w:type="dxa"/>
              <w:bottom w:w="4" w:type="dxa"/>
            </w:tcMar>
          </w:tcPr>
          <w:p w14:paraId="16A42028"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31725963"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0ADC0BAA"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6B828A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1FD419C"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BCAEE36"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321871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847CEAD"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65D0967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0E294859"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0C92E22"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20FBCA36"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768936C1"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090692B6"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5C3708B0"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46552719" w14:textId="77777777" w:rsidR="003B1B62" w:rsidRPr="00647D81" w:rsidRDefault="003B1B62" w:rsidP="003B1B62">
            <w:pPr>
              <w:pStyle w:val="AnnexNormal"/>
              <w:spacing w:line="240" w:lineRule="auto"/>
              <w:rPr>
                <w:sz w:val="11"/>
                <w:szCs w:val="11"/>
              </w:rPr>
            </w:pPr>
          </w:p>
        </w:tc>
      </w:tr>
      <w:tr w:rsidR="005E75A2" w:rsidRPr="00647D81" w14:paraId="76F0ED9E" w14:textId="77777777" w:rsidTr="00647D81">
        <w:tc>
          <w:tcPr>
            <w:tcW w:w="380" w:type="dxa"/>
            <w:tcBorders>
              <w:left w:val="single" w:sz="4" w:space="0" w:color="auto"/>
            </w:tcBorders>
            <w:tcMar>
              <w:top w:w="10" w:type="dxa"/>
              <w:left w:w="0" w:type="dxa"/>
              <w:bottom w:w="4" w:type="dxa"/>
            </w:tcMar>
            <w:vAlign w:val="bottom"/>
          </w:tcPr>
          <w:p w14:paraId="149C5B5C"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6</w:t>
            </w:r>
          </w:p>
        </w:tc>
        <w:tc>
          <w:tcPr>
            <w:tcW w:w="3436" w:type="dxa"/>
            <w:tcMar>
              <w:top w:w="10" w:type="dxa"/>
              <w:bottom w:w="4" w:type="dxa"/>
            </w:tcMar>
          </w:tcPr>
          <w:p w14:paraId="4D699AE2"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Egenkapitalinstrumenter</w:t>
            </w:r>
          </w:p>
        </w:tc>
        <w:tc>
          <w:tcPr>
            <w:tcW w:w="648" w:type="dxa"/>
            <w:tcMar>
              <w:top w:w="10" w:type="dxa"/>
              <w:bottom w:w="4" w:type="dxa"/>
            </w:tcMar>
          </w:tcPr>
          <w:p w14:paraId="6767AE5C"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0F98EC98"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78B94FA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831514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707A64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B83908C"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14D03A8"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29211BC"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58BF1AA2"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366DA1AD"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26E0481C"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053B20FC"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486D099C"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1A168A01"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6DB90427"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6DE14A6B" w14:textId="77777777" w:rsidR="003B1B62" w:rsidRPr="00647D81" w:rsidRDefault="003B1B62" w:rsidP="003B1B62">
            <w:pPr>
              <w:pStyle w:val="AnnexNormal"/>
              <w:spacing w:line="240" w:lineRule="auto"/>
              <w:rPr>
                <w:sz w:val="11"/>
                <w:szCs w:val="11"/>
              </w:rPr>
            </w:pPr>
          </w:p>
        </w:tc>
      </w:tr>
      <w:tr w:rsidR="005E75A2" w:rsidRPr="00647D81" w14:paraId="5BD6EB81" w14:textId="77777777" w:rsidTr="00647D81">
        <w:tc>
          <w:tcPr>
            <w:tcW w:w="380" w:type="dxa"/>
            <w:tcBorders>
              <w:left w:val="single" w:sz="4" w:space="0" w:color="auto"/>
            </w:tcBorders>
            <w:tcMar>
              <w:top w:w="10" w:type="dxa"/>
              <w:left w:w="0" w:type="dxa"/>
              <w:bottom w:w="4" w:type="dxa"/>
            </w:tcMar>
            <w:vAlign w:val="bottom"/>
          </w:tcPr>
          <w:p w14:paraId="13D8C541"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7</w:t>
            </w:r>
          </w:p>
        </w:tc>
        <w:tc>
          <w:tcPr>
            <w:tcW w:w="3436" w:type="dxa"/>
            <w:tcMar>
              <w:top w:w="10" w:type="dxa"/>
              <w:bottom w:w="4" w:type="dxa"/>
            </w:tcMar>
          </w:tcPr>
          <w:p w14:paraId="7E141604"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Ikke-finansielle foretak</w:t>
            </w:r>
          </w:p>
        </w:tc>
        <w:tc>
          <w:tcPr>
            <w:tcW w:w="648" w:type="dxa"/>
            <w:tcMar>
              <w:top w:w="10" w:type="dxa"/>
              <w:bottom w:w="4" w:type="dxa"/>
            </w:tcMar>
          </w:tcPr>
          <w:p w14:paraId="639D9BA0"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306832DA"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287393F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5010CA0"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44E4D69"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0AFC9595"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7031FD7"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DE9431C"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28C0785E"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7AD676E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109C6412"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5AB7CC99"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5830DD0D"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659D22E6"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5850AFF7"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2A7B6B7A" w14:textId="77777777" w:rsidR="003B1B62" w:rsidRPr="00647D81" w:rsidRDefault="003B1B62" w:rsidP="003B1B62">
            <w:pPr>
              <w:pStyle w:val="AnnexNormal"/>
              <w:spacing w:line="240" w:lineRule="auto"/>
              <w:rPr>
                <w:sz w:val="11"/>
                <w:szCs w:val="11"/>
              </w:rPr>
            </w:pPr>
          </w:p>
        </w:tc>
      </w:tr>
      <w:tr w:rsidR="005E75A2" w:rsidRPr="00647D81" w14:paraId="367FAB3D" w14:textId="77777777" w:rsidTr="00647D81">
        <w:tc>
          <w:tcPr>
            <w:tcW w:w="380" w:type="dxa"/>
            <w:tcBorders>
              <w:left w:val="single" w:sz="4" w:space="0" w:color="auto"/>
            </w:tcBorders>
            <w:tcMar>
              <w:top w:w="10" w:type="dxa"/>
              <w:left w:w="0" w:type="dxa"/>
              <w:bottom w:w="4" w:type="dxa"/>
            </w:tcMar>
            <w:vAlign w:val="bottom"/>
          </w:tcPr>
          <w:p w14:paraId="5F1598F1"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8</w:t>
            </w:r>
          </w:p>
        </w:tc>
        <w:tc>
          <w:tcPr>
            <w:tcW w:w="3436" w:type="dxa"/>
            <w:tcMar>
              <w:top w:w="10" w:type="dxa"/>
              <w:bottom w:w="4" w:type="dxa"/>
            </w:tcMar>
          </w:tcPr>
          <w:p w14:paraId="5A9930AA"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Lån og forskudd</w:t>
            </w:r>
          </w:p>
        </w:tc>
        <w:tc>
          <w:tcPr>
            <w:tcW w:w="648" w:type="dxa"/>
            <w:tcMar>
              <w:top w:w="10" w:type="dxa"/>
              <w:bottom w:w="4" w:type="dxa"/>
            </w:tcMar>
          </w:tcPr>
          <w:p w14:paraId="41ECBECD"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32609E88"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3FAE9C00"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8A3889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4BCB5FF"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69EABA2"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02B684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C4D34F4"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18F54C76"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1582F9DA"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5CB7CF66"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129C6688"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15162728"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0DE8E268"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3A425E16"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1F205593" w14:textId="77777777" w:rsidR="003B1B62" w:rsidRPr="00647D81" w:rsidRDefault="003B1B62" w:rsidP="003B1B62">
            <w:pPr>
              <w:pStyle w:val="AnnexNormal"/>
              <w:spacing w:line="240" w:lineRule="auto"/>
              <w:rPr>
                <w:sz w:val="11"/>
                <w:szCs w:val="11"/>
              </w:rPr>
            </w:pPr>
          </w:p>
        </w:tc>
      </w:tr>
      <w:tr w:rsidR="005E75A2" w:rsidRPr="00647D81" w14:paraId="00C4AA7C" w14:textId="77777777" w:rsidTr="00647D81">
        <w:tc>
          <w:tcPr>
            <w:tcW w:w="380" w:type="dxa"/>
            <w:tcBorders>
              <w:left w:val="single" w:sz="4" w:space="0" w:color="auto"/>
            </w:tcBorders>
            <w:tcMar>
              <w:top w:w="10" w:type="dxa"/>
              <w:left w:w="0" w:type="dxa"/>
              <w:bottom w:w="4" w:type="dxa"/>
            </w:tcMar>
            <w:vAlign w:val="bottom"/>
          </w:tcPr>
          <w:p w14:paraId="5AD91DE6"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9</w:t>
            </w:r>
          </w:p>
        </w:tc>
        <w:tc>
          <w:tcPr>
            <w:tcW w:w="3436" w:type="dxa"/>
            <w:tcMar>
              <w:top w:w="10" w:type="dxa"/>
              <w:bottom w:w="4" w:type="dxa"/>
            </w:tcMar>
          </w:tcPr>
          <w:p w14:paraId="565CD91E"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Gjeldsinstrumenter, herunder bruk av proveny</w:t>
            </w:r>
          </w:p>
        </w:tc>
        <w:tc>
          <w:tcPr>
            <w:tcW w:w="648" w:type="dxa"/>
            <w:tcMar>
              <w:top w:w="10" w:type="dxa"/>
              <w:bottom w:w="4" w:type="dxa"/>
            </w:tcMar>
          </w:tcPr>
          <w:p w14:paraId="43024890"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49A68F08"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15CA1421"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0472F0E3"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88FDF19"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26EA97B"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A68C6FF"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0A71362"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449F5C0F"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309B93E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5B85C056"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5307EA8"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077BD96"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CB0F311"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1B69A945"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3F8F8A97" w14:textId="77777777" w:rsidR="003B1B62" w:rsidRPr="00647D81" w:rsidRDefault="003B1B62" w:rsidP="003B1B62">
            <w:pPr>
              <w:pStyle w:val="AnnexNormal"/>
              <w:spacing w:line="240" w:lineRule="auto"/>
              <w:rPr>
                <w:sz w:val="11"/>
                <w:szCs w:val="11"/>
              </w:rPr>
            </w:pPr>
          </w:p>
        </w:tc>
      </w:tr>
      <w:tr w:rsidR="005E75A2" w:rsidRPr="00647D81" w14:paraId="60DE1BAC" w14:textId="77777777" w:rsidTr="00647D81">
        <w:tc>
          <w:tcPr>
            <w:tcW w:w="380" w:type="dxa"/>
            <w:tcBorders>
              <w:left w:val="single" w:sz="4" w:space="0" w:color="auto"/>
            </w:tcBorders>
            <w:tcMar>
              <w:top w:w="10" w:type="dxa"/>
              <w:left w:w="0" w:type="dxa"/>
              <w:bottom w:w="4" w:type="dxa"/>
            </w:tcMar>
            <w:vAlign w:val="bottom"/>
          </w:tcPr>
          <w:p w14:paraId="13CD128B"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10</w:t>
            </w:r>
          </w:p>
        </w:tc>
        <w:tc>
          <w:tcPr>
            <w:tcW w:w="3436" w:type="dxa"/>
            <w:tcMar>
              <w:top w:w="10" w:type="dxa"/>
              <w:bottom w:w="4" w:type="dxa"/>
            </w:tcMar>
          </w:tcPr>
          <w:p w14:paraId="3D4D1A84"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Egenkapitalinstrumenter</w:t>
            </w:r>
          </w:p>
        </w:tc>
        <w:tc>
          <w:tcPr>
            <w:tcW w:w="648" w:type="dxa"/>
            <w:tcMar>
              <w:top w:w="10" w:type="dxa"/>
              <w:bottom w:w="4" w:type="dxa"/>
            </w:tcMar>
          </w:tcPr>
          <w:p w14:paraId="51FF0BE3"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4077E206"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5226E2DC"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8D9F43B"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C7B3AE6"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E8F5DA0"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D079553"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6F84E98"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EEBF4F6"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7D214FBD"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01FD05B7"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62D1014A"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072B5C7D"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587E168"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8DF1CE2"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5263FC97" w14:textId="77777777" w:rsidR="003B1B62" w:rsidRPr="00647D81" w:rsidRDefault="003B1B62" w:rsidP="003B1B62">
            <w:pPr>
              <w:pStyle w:val="AnnexNormal"/>
              <w:spacing w:line="240" w:lineRule="auto"/>
              <w:rPr>
                <w:sz w:val="11"/>
                <w:szCs w:val="11"/>
              </w:rPr>
            </w:pPr>
          </w:p>
        </w:tc>
      </w:tr>
      <w:tr w:rsidR="005E75A2" w:rsidRPr="00647D81" w14:paraId="4DAD3ABC" w14:textId="77777777" w:rsidTr="00647D81">
        <w:tc>
          <w:tcPr>
            <w:tcW w:w="380" w:type="dxa"/>
            <w:tcBorders>
              <w:left w:val="single" w:sz="4" w:space="0" w:color="auto"/>
            </w:tcBorders>
            <w:tcMar>
              <w:top w:w="10" w:type="dxa"/>
              <w:left w:w="0" w:type="dxa"/>
              <w:bottom w:w="4" w:type="dxa"/>
            </w:tcMar>
            <w:vAlign w:val="bottom"/>
          </w:tcPr>
          <w:p w14:paraId="43D88820"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11</w:t>
            </w:r>
          </w:p>
        </w:tc>
        <w:tc>
          <w:tcPr>
            <w:tcW w:w="3436" w:type="dxa"/>
            <w:tcMar>
              <w:top w:w="10" w:type="dxa"/>
              <w:bottom w:w="4" w:type="dxa"/>
            </w:tcMar>
          </w:tcPr>
          <w:p w14:paraId="64EB0A04"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Husholdninger</w:t>
            </w:r>
          </w:p>
        </w:tc>
        <w:tc>
          <w:tcPr>
            <w:tcW w:w="648" w:type="dxa"/>
            <w:tcMar>
              <w:top w:w="10" w:type="dxa"/>
              <w:bottom w:w="4" w:type="dxa"/>
            </w:tcMar>
          </w:tcPr>
          <w:p w14:paraId="27EC25DA"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2974F357"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06A80D9A"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81E7AE0"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45CCA7A"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6D081C3"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80EEEB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FE85990"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3FC0D1FD"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344A74E"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5BD357B7"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55D8F566"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7F4B35CC"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035BDAF5"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75EBA89D"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6CB09767" w14:textId="77777777" w:rsidR="003B1B62" w:rsidRPr="00647D81" w:rsidRDefault="003B1B62" w:rsidP="003B1B62">
            <w:pPr>
              <w:pStyle w:val="AnnexNormal"/>
              <w:spacing w:line="240" w:lineRule="auto"/>
              <w:rPr>
                <w:sz w:val="11"/>
                <w:szCs w:val="11"/>
              </w:rPr>
            </w:pPr>
          </w:p>
        </w:tc>
      </w:tr>
      <w:tr w:rsidR="005E75A2" w:rsidRPr="00647D81" w14:paraId="03373D1A" w14:textId="77777777" w:rsidTr="00647D81">
        <w:tc>
          <w:tcPr>
            <w:tcW w:w="380" w:type="dxa"/>
            <w:tcBorders>
              <w:left w:val="single" w:sz="4" w:space="0" w:color="auto"/>
            </w:tcBorders>
            <w:tcMar>
              <w:top w:w="10" w:type="dxa"/>
              <w:left w:w="0" w:type="dxa"/>
              <w:bottom w:w="4" w:type="dxa"/>
            </w:tcMar>
            <w:vAlign w:val="bottom"/>
          </w:tcPr>
          <w:p w14:paraId="09B322EE"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12</w:t>
            </w:r>
          </w:p>
        </w:tc>
        <w:tc>
          <w:tcPr>
            <w:tcW w:w="3436" w:type="dxa"/>
            <w:tcMar>
              <w:top w:w="10" w:type="dxa"/>
              <w:bottom w:w="4" w:type="dxa"/>
            </w:tcMar>
          </w:tcPr>
          <w:p w14:paraId="384FB5C4" w14:textId="77777777" w:rsidR="003B1B62" w:rsidRPr="00647D81" w:rsidRDefault="005E75A2" w:rsidP="003D3189">
            <w:pPr>
              <w:pStyle w:val="AnnexNormal"/>
              <w:spacing w:line="240" w:lineRule="auto"/>
              <w:ind w:left="300"/>
              <w:rPr>
                <w:rFonts w:ascii="Helvetica" w:hAnsi="Helvetica"/>
                <w:spacing w:val="-1"/>
                <w:sz w:val="11"/>
                <w:szCs w:val="11"/>
              </w:rPr>
            </w:pPr>
            <w:r>
              <w:rPr>
                <w:rFonts w:ascii="Helvetica" w:hAnsi="Helvetica"/>
                <w:sz w:val="11"/>
              </w:rPr>
              <w:t>hvorav lån med sikkerhet i boligeiendommer</w:t>
            </w:r>
          </w:p>
        </w:tc>
        <w:tc>
          <w:tcPr>
            <w:tcW w:w="648" w:type="dxa"/>
            <w:tcMar>
              <w:top w:w="10" w:type="dxa"/>
              <w:bottom w:w="4" w:type="dxa"/>
            </w:tcMar>
          </w:tcPr>
          <w:p w14:paraId="64FCE79C"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554E297B"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329A3D69"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232A3EF"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BC7E9E8"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F653A3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976BD52"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B49EA39"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3DAB7B3A"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76A336D6"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E7B969E"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164E1460"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4C706CC8"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100A208E"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F8FB0A3"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7678613C" w14:textId="77777777" w:rsidR="003B1B62" w:rsidRPr="00647D81" w:rsidRDefault="003B1B62" w:rsidP="003B1B62">
            <w:pPr>
              <w:pStyle w:val="AnnexNormal"/>
              <w:spacing w:line="240" w:lineRule="auto"/>
              <w:rPr>
                <w:sz w:val="11"/>
                <w:szCs w:val="11"/>
              </w:rPr>
            </w:pPr>
          </w:p>
        </w:tc>
      </w:tr>
      <w:tr w:rsidR="005E75A2" w:rsidRPr="00647D81" w14:paraId="7EB0FE3B" w14:textId="77777777" w:rsidTr="00647D81">
        <w:tc>
          <w:tcPr>
            <w:tcW w:w="380" w:type="dxa"/>
            <w:tcBorders>
              <w:left w:val="single" w:sz="4" w:space="0" w:color="auto"/>
            </w:tcBorders>
            <w:tcMar>
              <w:top w:w="10" w:type="dxa"/>
              <w:left w:w="0" w:type="dxa"/>
              <w:bottom w:w="4" w:type="dxa"/>
            </w:tcMar>
            <w:vAlign w:val="bottom"/>
          </w:tcPr>
          <w:p w14:paraId="792FBD1F"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13</w:t>
            </w:r>
          </w:p>
        </w:tc>
        <w:tc>
          <w:tcPr>
            <w:tcW w:w="3436" w:type="dxa"/>
            <w:tcMar>
              <w:top w:w="10" w:type="dxa"/>
              <w:bottom w:w="4" w:type="dxa"/>
            </w:tcMar>
          </w:tcPr>
          <w:p w14:paraId="377754B0"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hvorav lån til byggrenovering</w:t>
            </w:r>
          </w:p>
        </w:tc>
        <w:tc>
          <w:tcPr>
            <w:tcW w:w="648" w:type="dxa"/>
            <w:tcMar>
              <w:top w:w="10" w:type="dxa"/>
              <w:bottom w:w="4" w:type="dxa"/>
            </w:tcMar>
          </w:tcPr>
          <w:p w14:paraId="77F8A93E"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1981B067"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1F592315"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9A390EE"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2FBCC0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0D02DDF"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D7C965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FA112CC"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15B121F"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5DD30C52"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048C968F"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2078AD97"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50A831D4"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5F8C5FCA"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2743B70E"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6BD2526D" w14:textId="77777777" w:rsidR="003B1B62" w:rsidRPr="00647D81" w:rsidRDefault="003B1B62" w:rsidP="003B1B62">
            <w:pPr>
              <w:pStyle w:val="AnnexNormal"/>
              <w:spacing w:line="240" w:lineRule="auto"/>
              <w:rPr>
                <w:sz w:val="11"/>
                <w:szCs w:val="11"/>
              </w:rPr>
            </w:pPr>
          </w:p>
        </w:tc>
      </w:tr>
      <w:tr w:rsidR="005E75A2" w:rsidRPr="00647D81" w14:paraId="67E5EA41" w14:textId="77777777" w:rsidTr="00647D81">
        <w:tc>
          <w:tcPr>
            <w:tcW w:w="380" w:type="dxa"/>
            <w:tcBorders>
              <w:left w:val="single" w:sz="4" w:space="0" w:color="auto"/>
            </w:tcBorders>
            <w:tcMar>
              <w:top w:w="10" w:type="dxa"/>
              <w:left w:w="0" w:type="dxa"/>
              <w:bottom w:w="4" w:type="dxa"/>
            </w:tcMar>
            <w:vAlign w:val="bottom"/>
          </w:tcPr>
          <w:p w14:paraId="67160728"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14</w:t>
            </w:r>
          </w:p>
        </w:tc>
        <w:tc>
          <w:tcPr>
            <w:tcW w:w="3436" w:type="dxa"/>
            <w:tcMar>
              <w:top w:w="10" w:type="dxa"/>
              <w:bottom w:w="4" w:type="dxa"/>
            </w:tcMar>
          </w:tcPr>
          <w:p w14:paraId="531D6EC2"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hvorav billån</w:t>
            </w:r>
          </w:p>
        </w:tc>
        <w:tc>
          <w:tcPr>
            <w:tcW w:w="648" w:type="dxa"/>
            <w:tcMar>
              <w:top w:w="10" w:type="dxa"/>
              <w:bottom w:w="4" w:type="dxa"/>
            </w:tcMar>
          </w:tcPr>
          <w:p w14:paraId="2B2EF187"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42F494D8"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3BFF0347"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12D8858"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AD471B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31C040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4D2518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38DDC72"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744EAA52"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08E912BD"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70809561"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0FEF9756"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758D83B3"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5102527A"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122F440"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1501249A" w14:textId="77777777" w:rsidR="003B1B62" w:rsidRPr="00647D81" w:rsidRDefault="003B1B62" w:rsidP="003B1B62">
            <w:pPr>
              <w:pStyle w:val="AnnexNormal"/>
              <w:spacing w:line="240" w:lineRule="auto"/>
              <w:rPr>
                <w:sz w:val="11"/>
                <w:szCs w:val="11"/>
              </w:rPr>
            </w:pPr>
          </w:p>
        </w:tc>
      </w:tr>
      <w:tr w:rsidR="005E75A2" w:rsidRPr="00647D81" w14:paraId="447C7511" w14:textId="77777777" w:rsidTr="00647D81">
        <w:tc>
          <w:tcPr>
            <w:tcW w:w="380" w:type="dxa"/>
            <w:tcBorders>
              <w:left w:val="single" w:sz="4" w:space="0" w:color="auto"/>
            </w:tcBorders>
            <w:tcMar>
              <w:top w:w="10" w:type="dxa"/>
              <w:left w:w="0" w:type="dxa"/>
              <w:bottom w:w="4" w:type="dxa"/>
            </w:tcMar>
            <w:vAlign w:val="bottom"/>
          </w:tcPr>
          <w:p w14:paraId="7A58B64C"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15</w:t>
            </w:r>
          </w:p>
        </w:tc>
        <w:tc>
          <w:tcPr>
            <w:tcW w:w="3436" w:type="dxa"/>
            <w:tcMar>
              <w:top w:w="10" w:type="dxa"/>
              <w:bottom w:w="4" w:type="dxa"/>
            </w:tcMar>
          </w:tcPr>
          <w:p w14:paraId="38567706"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Finansiering til lokale myndigheter</w:t>
            </w:r>
          </w:p>
        </w:tc>
        <w:tc>
          <w:tcPr>
            <w:tcW w:w="648" w:type="dxa"/>
            <w:tcMar>
              <w:top w:w="10" w:type="dxa"/>
              <w:bottom w:w="4" w:type="dxa"/>
            </w:tcMar>
          </w:tcPr>
          <w:p w14:paraId="6820ECEE"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522E58CD"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5711915B"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802249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5421768"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388E239"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55B7EB3"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2185246"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A191894"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FD0B4BD"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34B2A1BC"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43F37280"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6D7C8418"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5CE486A0"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460D9658"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124D8F3B" w14:textId="77777777" w:rsidR="003B1B62" w:rsidRPr="00647D81" w:rsidRDefault="003B1B62" w:rsidP="003B1B62">
            <w:pPr>
              <w:pStyle w:val="AnnexNormal"/>
              <w:spacing w:line="240" w:lineRule="auto"/>
              <w:rPr>
                <w:sz w:val="11"/>
                <w:szCs w:val="11"/>
              </w:rPr>
            </w:pPr>
          </w:p>
        </w:tc>
      </w:tr>
      <w:tr w:rsidR="005E75A2" w:rsidRPr="00647D81" w14:paraId="04F43137" w14:textId="77777777" w:rsidTr="00647D81">
        <w:tc>
          <w:tcPr>
            <w:tcW w:w="380" w:type="dxa"/>
            <w:tcBorders>
              <w:left w:val="single" w:sz="4" w:space="0" w:color="auto"/>
            </w:tcBorders>
            <w:tcMar>
              <w:top w:w="10" w:type="dxa"/>
              <w:left w:w="0" w:type="dxa"/>
              <w:bottom w:w="4" w:type="dxa"/>
            </w:tcMar>
            <w:vAlign w:val="bottom"/>
          </w:tcPr>
          <w:p w14:paraId="75A3F493"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16</w:t>
            </w:r>
          </w:p>
        </w:tc>
        <w:tc>
          <w:tcPr>
            <w:tcW w:w="3436" w:type="dxa"/>
            <w:tcMar>
              <w:top w:w="10" w:type="dxa"/>
              <w:bottom w:w="4" w:type="dxa"/>
            </w:tcMar>
          </w:tcPr>
          <w:p w14:paraId="2DEA9EB8"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Boligfinansiering</w:t>
            </w:r>
          </w:p>
        </w:tc>
        <w:tc>
          <w:tcPr>
            <w:tcW w:w="648" w:type="dxa"/>
            <w:tcMar>
              <w:top w:w="10" w:type="dxa"/>
              <w:bottom w:w="4" w:type="dxa"/>
            </w:tcMar>
          </w:tcPr>
          <w:p w14:paraId="1CD7C14D"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1C1F7341"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7D9534A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01161FA"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5E88AF7"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527E2BA"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631A78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9F3C09A"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0730AB64"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712BCDD4"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38842831"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4106A21D"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368602DC"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4E2880F8"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02E89C23"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30BAAFBA" w14:textId="77777777" w:rsidR="003B1B62" w:rsidRPr="00647D81" w:rsidRDefault="003B1B62" w:rsidP="003B1B62">
            <w:pPr>
              <w:pStyle w:val="AnnexNormal"/>
              <w:spacing w:line="240" w:lineRule="auto"/>
              <w:rPr>
                <w:sz w:val="11"/>
                <w:szCs w:val="11"/>
              </w:rPr>
            </w:pPr>
          </w:p>
        </w:tc>
      </w:tr>
      <w:tr w:rsidR="005E75A2" w:rsidRPr="00647D81" w14:paraId="5D0A0540" w14:textId="77777777" w:rsidTr="00647D81">
        <w:tc>
          <w:tcPr>
            <w:tcW w:w="380" w:type="dxa"/>
            <w:tcBorders>
              <w:left w:val="single" w:sz="4" w:space="0" w:color="auto"/>
            </w:tcBorders>
            <w:tcMar>
              <w:top w:w="10" w:type="dxa"/>
              <w:left w:w="0" w:type="dxa"/>
              <w:bottom w:w="4" w:type="dxa"/>
            </w:tcMar>
            <w:vAlign w:val="bottom"/>
          </w:tcPr>
          <w:p w14:paraId="2710CFC4"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17</w:t>
            </w:r>
          </w:p>
        </w:tc>
        <w:tc>
          <w:tcPr>
            <w:tcW w:w="3436" w:type="dxa"/>
            <w:tcMar>
              <w:top w:w="10" w:type="dxa"/>
              <w:bottom w:w="4" w:type="dxa"/>
            </w:tcMar>
          </w:tcPr>
          <w:p w14:paraId="4AFF624D"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Annen finansiering av lokale myndigheter</w:t>
            </w:r>
          </w:p>
        </w:tc>
        <w:tc>
          <w:tcPr>
            <w:tcW w:w="648" w:type="dxa"/>
            <w:tcMar>
              <w:top w:w="10" w:type="dxa"/>
              <w:bottom w:w="4" w:type="dxa"/>
            </w:tcMar>
          </w:tcPr>
          <w:p w14:paraId="426B047B"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1E97BABA"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3DE33575"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08692B5"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5B7155A"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BBAF13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DC59F4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17D4DC7"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5F1D880F"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0AF98D35"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22AAD0FE"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0E207698"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0E72624A"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553165C8"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31A8CA2"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0C922109" w14:textId="77777777" w:rsidR="003B1B62" w:rsidRPr="00647D81" w:rsidRDefault="003B1B62" w:rsidP="003B1B62">
            <w:pPr>
              <w:pStyle w:val="AnnexNormal"/>
              <w:spacing w:line="240" w:lineRule="auto"/>
              <w:rPr>
                <w:sz w:val="11"/>
                <w:szCs w:val="11"/>
              </w:rPr>
            </w:pPr>
          </w:p>
        </w:tc>
      </w:tr>
      <w:tr w:rsidR="005E75A2" w:rsidRPr="00647D81" w14:paraId="256B2986" w14:textId="77777777" w:rsidTr="00647D81">
        <w:tc>
          <w:tcPr>
            <w:tcW w:w="380" w:type="dxa"/>
            <w:tcBorders>
              <w:left w:val="single" w:sz="4" w:space="0" w:color="auto"/>
            </w:tcBorders>
            <w:tcMar>
              <w:top w:w="10" w:type="dxa"/>
              <w:left w:w="0" w:type="dxa"/>
              <w:bottom w:w="4" w:type="dxa"/>
            </w:tcMar>
            <w:vAlign w:val="bottom"/>
          </w:tcPr>
          <w:p w14:paraId="64783DD1"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18</w:t>
            </w:r>
          </w:p>
        </w:tc>
        <w:tc>
          <w:tcPr>
            <w:tcW w:w="3436" w:type="dxa"/>
            <w:tcMar>
              <w:top w:w="10" w:type="dxa"/>
              <w:bottom w:w="4" w:type="dxa"/>
            </w:tcMar>
          </w:tcPr>
          <w:p w14:paraId="73E86565" w14:textId="77777777" w:rsidR="003B1B62" w:rsidRPr="00647D81" w:rsidRDefault="005E75A2" w:rsidP="003D3189">
            <w:pPr>
              <w:pStyle w:val="AnnexNormal"/>
              <w:spacing w:line="240" w:lineRule="auto"/>
              <w:ind w:left="80"/>
              <w:rPr>
                <w:rFonts w:ascii="Helvetica" w:hAnsi="Helvetica"/>
                <w:b/>
                <w:sz w:val="11"/>
                <w:szCs w:val="11"/>
              </w:rPr>
            </w:pPr>
            <w:r>
              <w:rPr>
                <w:rFonts w:ascii="Helvetica" w:hAnsi="Helvetica"/>
                <w:b/>
                <w:sz w:val="11"/>
              </w:rPr>
              <w:t>Overtatte sikkerheter: Bolig- og næringseiendommer</w:t>
            </w:r>
          </w:p>
        </w:tc>
        <w:tc>
          <w:tcPr>
            <w:tcW w:w="648" w:type="dxa"/>
            <w:tcMar>
              <w:top w:w="10" w:type="dxa"/>
              <w:bottom w:w="4" w:type="dxa"/>
            </w:tcMar>
          </w:tcPr>
          <w:p w14:paraId="3586D82A"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111FA27F"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05A99072"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51722A1"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39863A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83531A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BBF927C"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F639AAE"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1B31D3F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19D5A88"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CA70F43"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600160D8"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FED20B3"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370C51E3"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EAE49A7"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2F4C83DB" w14:textId="77777777" w:rsidR="003B1B62" w:rsidRPr="00647D81" w:rsidRDefault="003B1B62" w:rsidP="003B1B62">
            <w:pPr>
              <w:pStyle w:val="AnnexNormal"/>
              <w:spacing w:line="240" w:lineRule="auto"/>
              <w:rPr>
                <w:sz w:val="11"/>
                <w:szCs w:val="11"/>
              </w:rPr>
            </w:pPr>
          </w:p>
        </w:tc>
      </w:tr>
      <w:tr w:rsidR="005E75A2" w:rsidRPr="00647D81" w14:paraId="540B17D8" w14:textId="77777777" w:rsidTr="00647D81">
        <w:tc>
          <w:tcPr>
            <w:tcW w:w="380" w:type="dxa"/>
            <w:tcBorders>
              <w:left w:val="single" w:sz="4" w:space="0" w:color="auto"/>
            </w:tcBorders>
            <w:tcMar>
              <w:top w:w="10" w:type="dxa"/>
              <w:left w:w="0" w:type="dxa"/>
              <w:bottom w:w="4" w:type="dxa"/>
            </w:tcMar>
            <w:vAlign w:val="bottom"/>
          </w:tcPr>
          <w:p w14:paraId="1B24BFAA"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19</w:t>
            </w:r>
          </w:p>
        </w:tc>
        <w:tc>
          <w:tcPr>
            <w:tcW w:w="3436" w:type="dxa"/>
            <w:tcMar>
              <w:top w:w="10" w:type="dxa"/>
              <w:bottom w:w="4" w:type="dxa"/>
            </w:tcMar>
          </w:tcPr>
          <w:p w14:paraId="6BD9A942" w14:textId="77777777" w:rsidR="003B1B62" w:rsidRPr="00647D81" w:rsidRDefault="005E75A2" w:rsidP="003D3189">
            <w:pPr>
              <w:pStyle w:val="AnnexNormal"/>
              <w:spacing w:line="240" w:lineRule="auto"/>
              <w:ind w:left="80"/>
              <w:rPr>
                <w:rFonts w:ascii="Helvetica" w:hAnsi="Helvetica"/>
                <w:b/>
                <w:sz w:val="11"/>
                <w:szCs w:val="11"/>
              </w:rPr>
            </w:pPr>
            <w:r>
              <w:rPr>
                <w:rFonts w:ascii="Helvetica" w:hAnsi="Helvetica"/>
                <w:b/>
                <w:sz w:val="11"/>
              </w:rPr>
              <w:t>Eksponeringer som tas med på frivillig grunnlag (6)</w:t>
            </w:r>
          </w:p>
        </w:tc>
        <w:tc>
          <w:tcPr>
            <w:tcW w:w="648" w:type="dxa"/>
            <w:tcMar>
              <w:top w:w="10" w:type="dxa"/>
              <w:bottom w:w="4" w:type="dxa"/>
            </w:tcMar>
          </w:tcPr>
          <w:p w14:paraId="183F3447"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4BC53F77"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6920907E"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15430EE"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5E5D74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D8191B1"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EBF22A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5A0EAA3"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095628D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4969675E"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BAF61E1"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424AE1AF"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4DC0D49C"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79A93CEF"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C939BFA"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75D3A919" w14:textId="77777777" w:rsidR="003B1B62" w:rsidRPr="00647D81" w:rsidRDefault="003B1B62" w:rsidP="003B1B62">
            <w:pPr>
              <w:pStyle w:val="AnnexNormal"/>
              <w:spacing w:line="240" w:lineRule="auto"/>
              <w:rPr>
                <w:sz w:val="11"/>
                <w:szCs w:val="11"/>
              </w:rPr>
            </w:pPr>
          </w:p>
        </w:tc>
      </w:tr>
      <w:tr w:rsidR="005E75A2" w:rsidRPr="00647D81" w14:paraId="7DF735A8" w14:textId="77777777" w:rsidTr="00647D81">
        <w:tc>
          <w:tcPr>
            <w:tcW w:w="380" w:type="dxa"/>
            <w:tcBorders>
              <w:left w:val="single" w:sz="4" w:space="0" w:color="auto"/>
            </w:tcBorders>
            <w:shd w:val="clear" w:color="auto" w:fill="E2EFDA"/>
            <w:tcMar>
              <w:top w:w="10" w:type="dxa"/>
              <w:left w:w="0" w:type="dxa"/>
              <w:bottom w:w="4" w:type="dxa"/>
            </w:tcMar>
            <w:vAlign w:val="bottom"/>
          </w:tcPr>
          <w:p w14:paraId="489EABBC"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20</w:t>
            </w:r>
          </w:p>
        </w:tc>
        <w:tc>
          <w:tcPr>
            <w:tcW w:w="3436" w:type="dxa"/>
            <w:shd w:val="clear" w:color="auto" w:fill="E2EFDA"/>
            <w:tcMar>
              <w:top w:w="10" w:type="dxa"/>
              <w:bottom w:w="4" w:type="dxa"/>
            </w:tcMar>
          </w:tcPr>
          <w:p w14:paraId="0A2F2537" w14:textId="77777777" w:rsidR="003B1B62" w:rsidRPr="00647D81" w:rsidRDefault="005E75A2" w:rsidP="003B1B62">
            <w:pPr>
              <w:pStyle w:val="AnnexNormal"/>
              <w:spacing w:line="240" w:lineRule="auto"/>
              <w:rPr>
                <w:rFonts w:ascii="Helvetica" w:hAnsi="Helvetica"/>
                <w:b/>
                <w:sz w:val="11"/>
                <w:szCs w:val="11"/>
              </w:rPr>
            </w:pPr>
            <w:r>
              <w:rPr>
                <w:rFonts w:ascii="Helvetica" w:hAnsi="Helvetica"/>
                <w:b/>
                <w:sz w:val="11"/>
              </w:rPr>
              <w:t>Samlet GAR for eiendeler</w:t>
            </w:r>
          </w:p>
        </w:tc>
        <w:tc>
          <w:tcPr>
            <w:tcW w:w="648" w:type="dxa"/>
            <w:shd w:val="clear" w:color="auto" w:fill="E2EFDA"/>
            <w:tcMar>
              <w:top w:w="10" w:type="dxa"/>
              <w:bottom w:w="4" w:type="dxa"/>
            </w:tcMar>
          </w:tcPr>
          <w:p w14:paraId="4DB36142"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75A6F63E"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21419D7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D438CB7"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37A2D2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12442B6"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7200367"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22F649A"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F334E26"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7E49D859"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71FDD8A6"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326D3E22" w14:textId="77777777" w:rsidR="003B1B62" w:rsidRPr="00647D81" w:rsidRDefault="003B1B62" w:rsidP="003B1B62">
            <w:pPr>
              <w:pStyle w:val="AnnexNormal"/>
              <w:spacing w:line="240" w:lineRule="auto"/>
              <w:rPr>
                <w:sz w:val="11"/>
                <w:szCs w:val="11"/>
              </w:rPr>
            </w:pPr>
          </w:p>
        </w:tc>
        <w:tc>
          <w:tcPr>
            <w:tcW w:w="800" w:type="dxa"/>
            <w:shd w:val="clear" w:color="auto" w:fill="E2EFDA"/>
            <w:tcMar>
              <w:top w:w="10" w:type="dxa"/>
              <w:bottom w:w="4" w:type="dxa"/>
            </w:tcMar>
          </w:tcPr>
          <w:p w14:paraId="23F57280" w14:textId="77777777" w:rsidR="003B1B62" w:rsidRPr="00647D81" w:rsidRDefault="003B1B62" w:rsidP="003B1B62">
            <w:pPr>
              <w:pStyle w:val="AnnexNormal"/>
              <w:spacing w:line="240" w:lineRule="auto"/>
              <w:rPr>
                <w:sz w:val="11"/>
                <w:szCs w:val="11"/>
              </w:rPr>
            </w:pPr>
          </w:p>
        </w:tc>
        <w:tc>
          <w:tcPr>
            <w:tcW w:w="800" w:type="dxa"/>
            <w:shd w:val="clear" w:color="auto" w:fill="E2EFDA"/>
            <w:tcMar>
              <w:top w:w="10" w:type="dxa"/>
              <w:bottom w:w="4" w:type="dxa"/>
            </w:tcMar>
          </w:tcPr>
          <w:p w14:paraId="1A364B4E" w14:textId="77777777" w:rsidR="003B1B62" w:rsidRPr="00647D81" w:rsidRDefault="003B1B62" w:rsidP="003B1B62">
            <w:pPr>
              <w:pStyle w:val="AnnexNormal"/>
              <w:spacing w:line="240" w:lineRule="auto"/>
              <w:rPr>
                <w:sz w:val="11"/>
                <w:szCs w:val="11"/>
              </w:rPr>
            </w:pPr>
          </w:p>
        </w:tc>
        <w:tc>
          <w:tcPr>
            <w:tcW w:w="796" w:type="dxa"/>
            <w:shd w:val="clear" w:color="auto" w:fill="E2EFDA"/>
            <w:tcMar>
              <w:top w:w="10" w:type="dxa"/>
              <w:bottom w:w="4" w:type="dxa"/>
            </w:tcMar>
          </w:tcPr>
          <w:p w14:paraId="2FF3A8A8"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E2EFDA"/>
            <w:tcMar>
              <w:top w:w="10" w:type="dxa"/>
              <w:bottom w:w="4" w:type="dxa"/>
              <w:right w:w="0" w:type="dxa"/>
            </w:tcMar>
          </w:tcPr>
          <w:p w14:paraId="319A0D26" w14:textId="77777777" w:rsidR="003B1B62" w:rsidRPr="00647D81" w:rsidRDefault="003B1B62" w:rsidP="003B1B62">
            <w:pPr>
              <w:pStyle w:val="AnnexNormal"/>
              <w:spacing w:line="240" w:lineRule="auto"/>
              <w:rPr>
                <w:sz w:val="11"/>
                <w:szCs w:val="11"/>
              </w:rPr>
            </w:pPr>
          </w:p>
        </w:tc>
      </w:tr>
      <w:tr w:rsidR="005E75A2" w:rsidRPr="00647D81" w14:paraId="7C47D45E" w14:textId="77777777" w:rsidTr="00647D81">
        <w:tc>
          <w:tcPr>
            <w:tcW w:w="380" w:type="dxa"/>
            <w:tcBorders>
              <w:left w:val="single" w:sz="4" w:space="0" w:color="auto"/>
            </w:tcBorders>
            <w:tcMar>
              <w:top w:w="10" w:type="dxa"/>
              <w:left w:w="0" w:type="dxa"/>
              <w:bottom w:w="4" w:type="dxa"/>
            </w:tcMar>
            <w:vAlign w:val="bottom"/>
          </w:tcPr>
          <w:p w14:paraId="0FD2597B"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21</w:t>
            </w:r>
          </w:p>
        </w:tc>
        <w:tc>
          <w:tcPr>
            <w:tcW w:w="3436" w:type="dxa"/>
            <w:tcMar>
              <w:top w:w="10" w:type="dxa"/>
              <w:bottom w:w="4" w:type="dxa"/>
            </w:tcMar>
          </w:tcPr>
          <w:p w14:paraId="13BF8972" w14:textId="77777777" w:rsidR="003B1B62" w:rsidRPr="00647D81" w:rsidRDefault="005E75A2" w:rsidP="003B1B62">
            <w:pPr>
              <w:pStyle w:val="AnnexNormal"/>
              <w:spacing w:line="240" w:lineRule="auto"/>
              <w:rPr>
                <w:rFonts w:ascii="Helvetica" w:hAnsi="Helvetica"/>
                <w:b/>
                <w:sz w:val="11"/>
                <w:szCs w:val="11"/>
              </w:rPr>
            </w:pPr>
            <w:r>
              <w:rPr>
                <w:rFonts w:ascii="Helvetica" w:hAnsi="Helvetica"/>
                <w:b/>
                <w:sz w:val="11"/>
                <w:u w:val="single"/>
              </w:rPr>
              <w:t>Eiendeler som ikke inngår i beregningen av GAR</w:t>
            </w:r>
          </w:p>
        </w:tc>
        <w:tc>
          <w:tcPr>
            <w:tcW w:w="648" w:type="dxa"/>
            <w:tcMar>
              <w:top w:w="10" w:type="dxa"/>
              <w:bottom w:w="4" w:type="dxa"/>
            </w:tcMar>
          </w:tcPr>
          <w:p w14:paraId="36089203"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01D64E64"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158A08E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B835C3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9753E2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1DD9950"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D4F484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595EC05"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38C5641"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79D5DEAA"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1CCC24E8"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5EB0A994"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3A666FAD"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6D722AF"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065A3718"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4E004AF1" w14:textId="77777777" w:rsidR="003B1B62" w:rsidRPr="00647D81" w:rsidRDefault="003B1B62" w:rsidP="003B1B62">
            <w:pPr>
              <w:pStyle w:val="AnnexNormal"/>
              <w:spacing w:line="240" w:lineRule="auto"/>
              <w:rPr>
                <w:sz w:val="11"/>
                <w:szCs w:val="11"/>
              </w:rPr>
            </w:pPr>
          </w:p>
        </w:tc>
      </w:tr>
      <w:tr w:rsidR="005E75A2" w:rsidRPr="00647D81" w14:paraId="30F6EE65" w14:textId="77777777" w:rsidTr="00647D81">
        <w:tc>
          <w:tcPr>
            <w:tcW w:w="380" w:type="dxa"/>
            <w:tcBorders>
              <w:left w:val="single" w:sz="4" w:space="0" w:color="auto"/>
            </w:tcBorders>
            <w:tcMar>
              <w:top w:w="10" w:type="dxa"/>
              <w:left w:w="0" w:type="dxa"/>
              <w:bottom w:w="4" w:type="dxa"/>
            </w:tcMar>
            <w:vAlign w:val="bottom"/>
          </w:tcPr>
          <w:p w14:paraId="6AAB0BAA"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22</w:t>
            </w:r>
          </w:p>
        </w:tc>
        <w:tc>
          <w:tcPr>
            <w:tcW w:w="3436" w:type="dxa"/>
            <w:tcMar>
              <w:top w:w="10" w:type="dxa"/>
              <w:bottom w:w="4" w:type="dxa"/>
            </w:tcMar>
          </w:tcPr>
          <w:p w14:paraId="3EEB59CA"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Sentralmyndigheter og overnasjonale utstedere</w:t>
            </w:r>
          </w:p>
        </w:tc>
        <w:tc>
          <w:tcPr>
            <w:tcW w:w="648" w:type="dxa"/>
            <w:tcMar>
              <w:top w:w="10" w:type="dxa"/>
              <w:bottom w:w="4" w:type="dxa"/>
            </w:tcMar>
          </w:tcPr>
          <w:p w14:paraId="65E07CD6"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70221181"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6606740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09F1009"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136DFAC"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12F780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51C039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EC1FB3D"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22D03A87"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2962035E"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3027FB13"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08D7DE26"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5C720DE7"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1E8C364E"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040C0A95"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5CFEAB1A" w14:textId="77777777" w:rsidR="003B1B62" w:rsidRPr="00647D81" w:rsidRDefault="003B1B62" w:rsidP="003B1B62">
            <w:pPr>
              <w:pStyle w:val="AnnexNormal"/>
              <w:spacing w:line="240" w:lineRule="auto"/>
              <w:rPr>
                <w:sz w:val="11"/>
                <w:szCs w:val="11"/>
              </w:rPr>
            </w:pPr>
          </w:p>
        </w:tc>
      </w:tr>
      <w:tr w:rsidR="005E75A2" w:rsidRPr="00647D81" w14:paraId="5320B1A2" w14:textId="77777777" w:rsidTr="00647D81">
        <w:tc>
          <w:tcPr>
            <w:tcW w:w="380" w:type="dxa"/>
            <w:tcBorders>
              <w:left w:val="single" w:sz="4" w:space="0" w:color="auto"/>
            </w:tcBorders>
            <w:tcMar>
              <w:top w:w="10" w:type="dxa"/>
              <w:left w:w="0" w:type="dxa"/>
              <w:bottom w:w="4" w:type="dxa"/>
            </w:tcMar>
            <w:vAlign w:val="bottom"/>
          </w:tcPr>
          <w:p w14:paraId="0C246C64"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23</w:t>
            </w:r>
          </w:p>
        </w:tc>
        <w:tc>
          <w:tcPr>
            <w:tcW w:w="3436" w:type="dxa"/>
            <w:tcMar>
              <w:top w:w="10" w:type="dxa"/>
              <w:bottom w:w="4" w:type="dxa"/>
            </w:tcMar>
          </w:tcPr>
          <w:p w14:paraId="6C5EE7AE"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Eksponeringer mot sentralbanker</w:t>
            </w:r>
          </w:p>
        </w:tc>
        <w:tc>
          <w:tcPr>
            <w:tcW w:w="648" w:type="dxa"/>
            <w:tcMar>
              <w:top w:w="10" w:type="dxa"/>
              <w:bottom w:w="4" w:type="dxa"/>
            </w:tcMar>
          </w:tcPr>
          <w:p w14:paraId="0FEAF6A0"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440407B4"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69A86B57"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D2AD878"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FBF7B10"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FE0FE3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586338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873221F"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53F0F0ED"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5D57A2FD"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0614BD86"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64B76996"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6B5A8A43"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B772654"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75060CE6"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0429D017" w14:textId="77777777" w:rsidR="003B1B62" w:rsidRPr="00647D81" w:rsidRDefault="003B1B62" w:rsidP="003B1B62">
            <w:pPr>
              <w:pStyle w:val="AnnexNormal"/>
              <w:spacing w:line="240" w:lineRule="auto"/>
              <w:rPr>
                <w:sz w:val="11"/>
                <w:szCs w:val="11"/>
              </w:rPr>
            </w:pPr>
          </w:p>
        </w:tc>
      </w:tr>
      <w:tr w:rsidR="005E75A2" w:rsidRPr="00647D81" w14:paraId="2BBF729C" w14:textId="77777777" w:rsidTr="00647D81">
        <w:tc>
          <w:tcPr>
            <w:tcW w:w="380" w:type="dxa"/>
            <w:tcBorders>
              <w:left w:val="single" w:sz="4" w:space="0" w:color="auto"/>
            </w:tcBorders>
            <w:tcMar>
              <w:top w:w="10" w:type="dxa"/>
              <w:left w:w="0" w:type="dxa"/>
              <w:bottom w:w="4" w:type="dxa"/>
            </w:tcMar>
            <w:vAlign w:val="bottom"/>
          </w:tcPr>
          <w:p w14:paraId="284B854B"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24</w:t>
            </w:r>
          </w:p>
        </w:tc>
        <w:tc>
          <w:tcPr>
            <w:tcW w:w="3436" w:type="dxa"/>
            <w:tcMar>
              <w:top w:w="10" w:type="dxa"/>
              <w:bottom w:w="4" w:type="dxa"/>
            </w:tcMar>
          </w:tcPr>
          <w:p w14:paraId="7445683B"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Handelsporteføljen</w:t>
            </w:r>
          </w:p>
        </w:tc>
        <w:tc>
          <w:tcPr>
            <w:tcW w:w="648" w:type="dxa"/>
            <w:tcMar>
              <w:top w:w="10" w:type="dxa"/>
              <w:bottom w:w="4" w:type="dxa"/>
            </w:tcMar>
          </w:tcPr>
          <w:p w14:paraId="25BCA568"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512257EE"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2D941470"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4E0D166"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FCDFF2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CC392B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5DFDB0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7E39602"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60FE902F"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20EE4387"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6FA14D75"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1A258348"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2C2A2BB6"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68DBB4B0"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4FAFC065"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2474B138" w14:textId="77777777" w:rsidR="003B1B62" w:rsidRPr="00647D81" w:rsidRDefault="003B1B62" w:rsidP="003B1B62">
            <w:pPr>
              <w:pStyle w:val="AnnexNormal"/>
              <w:spacing w:line="240" w:lineRule="auto"/>
              <w:rPr>
                <w:sz w:val="11"/>
                <w:szCs w:val="11"/>
              </w:rPr>
            </w:pPr>
          </w:p>
        </w:tc>
      </w:tr>
      <w:tr w:rsidR="005E75A2" w:rsidRPr="00647D81" w14:paraId="6AA2F453" w14:textId="77777777" w:rsidTr="00647D81">
        <w:tc>
          <w:tcPr>
            <w:tcW w:w="380" w:type="dxa"/>
            <w:tcBorders>
              <w:left w:val="single" w:sz="4" w:space="0" w:color="auto"/>
            </w:tcBorders>
            <w:tcMar>
              <w:top w:w="10" w:type="dxa"/>
              <w:left w:w="0" w:type="dxa"/>
              <w:bottom w:w="4" w:type="dxa"/>
            </w:tcMar>
            <w:vAlign w:val="bottom"/>
          </w:tcPr>
          <w:p w14:paraId="6A9C862A"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25</w:t>
            </w:r>
          </w:p>
        </w:tc>
        <w:tc>
          <w:tcPr>
            <w:tcW w:w="3436" w:type="dxa"/>
            <w:tcMar>
              <w:top w:w="10" w:type="dxa"/>
              <w:bottom w:w="4" w:type="dxa"/>
            </w:tcMar>
          </w:tcPr>
          <w:p w14:paraId="11D3DBA4" w14:textId="77777777" w:rsidR="003B1B62" w:rsidRPr="00647D81" w:rsidRDefault="005E75A2" w:rsidP="003D3189">
            <w:pPr>
              <w:pStyle w:val="AnnexNormal"/>
              <w:spacing w:line="240" w:lineRule="auto"/>
              <w:ind w:left="200"/>
              <w:rPr>
                <w:rFonts w:ascii="Helvetica" w:hAnsi="Helvetica"/>
                <w:b/>
                <w:sz w:val="11"/>
                <w:szCs w:val="11"/>
              </w:rPr>
            </w:pPr>
            <w:r>
              <w:rPr>
                <w:rFonts w:ascii="Helvetica" w:hAnsi="Helvetica"/>
                <w:b/>
                <w:sz w:val="11"/>
              </w:rPr>
              <w:t>Foretak og enheter som ikke er omfattet av direktivet om virksomheters bærekraftsrapportering</w:t>
            </w:r>
          </w:p>
        </w:tc>
        <w:tc>
          <w:tcPr>
            <w:tcW w:w="648" w:type="dxa"/>
            <w:tcMar>
              <w:top w:w="10" w:type="dxa"/>
              <w:bottom w:w="4" w:type="dxa"/>
            </w:tcMar>
          </w:tcPr>
          <w:p w14:paraId="079DE904"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5000E80A"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4DD29A3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3729D2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F048A7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C41874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8F036C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271D40C"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03E097D8"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5A2DF7E2"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308B7EB5"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7288A4EA"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7F2BA9ED"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4922F24B"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5CB5F133"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4AF31615" w14:textId="77777777" w:rsidR="003B1B62" w:rsidRPr="00647D81" w:rsidRDefault="003B1B62" w:rsidP="003B1B62">
            <w:pPr>
              <w:pStyle w:val="AnnexNormal"/>
              <w:spacing w:line="240" w:lineRule="auto"/>
              <w:rPr>
                <w:sz w:val="11"/>
                <w:szCs w:val="11"/>
              </w:rPr>
            </w:pPr>
          </w:p>
        </w:tc>
      </w:tr>
      <w:tr w:rsidR="005E75A2" w:rsidRPr="00647D81" w14:paraId="76D7E827" w14:textId="77777777" w:rsidTr="00647D81">
        <w:tc>
          <w:tcPr>
            <w:tcW w:w="380" w:type="dxa"/>
            <w:tcBorders>
              <w:left w:val="single" w:sz="4" w:space="0" w:color="auto"/>
            </w:tcBorders>
            <w:tcMar>
              <w:top w:w="10" w:type="dxa"/>
              <w:left w:w="0" w:type="dxa"/>
              <w:bottom w:w="4" w:type="dxa"/>
            </w:tcMar>
            <w:vAlign w:val="bottom"/>
          </w:tcPr>
          <w:p w14:paraId="0884060C"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26</w:t>
            </w:r>
          </w:p>
        </w:tc>
        <w:tc>
          <w:tcPr>
            <w:tcW w:w="3436" w:type="dxa"/>
            <w:tcMar>
              <w:top w:w="10" w:type="dxa"/>
              <w:bottom w:w="4" w:type="dxa"/>
            </w:tcMar>
          </w:tcPr>
          <w:p w14:paraId="4BE8B16E"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SMB-er og foretak (som ikke er SMB-er) som ikke er omfattet av opplysningsplikten i direktivet om virksomheters bærekraftsrapportering</w:t>
            </w:r>
          </w:p>
        </w:tc>
        <w:tc>
          <w:tcPr>
            <w:tcW w:w="648" w:type="dxa"/>
            <w:tcMar>
              <w:top w:w="10" w:type="dxa"/>
              <w:bottom w:w="4" w:type="dxa"/>
            </w:tcMar>
          </w:tcPr>
          <w:p w14:paraId="38EBB635"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45B9E2A6"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0738DA8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B23B61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40E97A2"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EDBE990"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59BE64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8DDBE4E"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1DDA9CFD"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66C569E7"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3E7CB482"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5125C727"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3155FA89"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4A792BAA"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258D070E"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2E5465F3" w14:textId="77777777" w:rsidR="003B1B62" w:rsidRPr="00647D81" w:rsidRDefault="003B1B62" w:rsidP="003B1B62">
            <w:pPr>
              <w:pStyle w:val="AnnexNormal"/>
              <w:spacing w:line="240" w:lineRule="auto"/>
              <w:rPr>
                <w:sz w:val="11"/>
                <w:szCs w:val="11"/>
              </w:rPr>
            </w:pPr>
          </w:p>
        </w:tc>
      </w:tr>
      <w:tr w:rsidR="005E75A2" w:rsidRPr="00647D81" w14:paraId="702E8FD7" w14:textId="77777777" w:rsidTr="00647D81">
        <w:tc>
          <w:tcPr>
            <w:tcW w:w="380" w:type="dxa"/>
            <w:tcBorders>
              <w:left w:val="single" w:sz="4" w:space="0" w:color="auto"/>
            </w:tcBorders>
            <w:tcMar>
              <w:top w:w="10" w:type="dxa"/>
              <w:left w:w="0" w:type="dxa"/>
              <w:bottom w:w="4" w:type="dxa"/>
            </w:tcMar>
            <w:vAlign w:val="bottom"/>
          </w:tcPr>
          <w:p w14:paraId="53F207F1"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27</w:t>
            </w:r>
          </w:p>
        </w:tc>
        <w:tc>
          <w:tcPr>
            <w:tcW w:w="3436" w:type="dxa"/>
            <w:tcMar>
              <w:top w:w="10" w:type="dxa"/>
              <w:bottom w:w="4" w:type="dxa"/>
            </w:tcMar>
          </w:tcPr>
          <w:p w14:paraId="0727986C" w14:textId="77777777" w:rsidR="003B1B62" w:rsidRPr="00647D81" w:rsidRDefault="005E75A2" w:rsidP="003D3189">
            <w:pPr>
              <w:pStyle w:val="AnnexNormal"/>
              <w:spacing w:line="240" w:lineRule="auto"/>
              <w:ind w:left="400"/>
              <w:rPr>
                <w:rFonts w:ascii="Helvetica" w:hAnsi="Helvetica"/>
                <w:sz w:val="11"/>
                <w:szCs w:val="11"/>
              </w:rPr>
            </w:pPr>
            <w:r>
              <w:rPr>
                <w:rFonts w:ascii="Helvetica" w:hAnsi="Helvetica"/>
                <w:sz w:val="11"/>
              </w:rPr>
              <w:t>Lån og forskudd</w:t>
            </w:r>
          </w:p>
        </w:tc>
        <w:tc>
          <w:tcPr>
            <w:tcW w:w="648" w:type="dxa"/>
            <w:tcMar>
              <w:top w:w="10" w:type="dxa"/>
              <w:bottom w:w="4" w:type="dxa"/>
            </w:tcMar>
          </w:tcPr>
          <w:p w14:paraId="150F21FB"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00975D40"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49E1032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84354D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A19FD8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2207DA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3809C4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7F7FCE7"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6FADEAE1"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7E18A615"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12A866A6"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61769AE3"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1E20D33A"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6C542CF6"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744DD1D9"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68787508" w14:textId="77777777" w:rsidR="003B1B62" w:rsidRPr="00647D81" w:rsidRDefault="003B1B62" w:rsidP="003B1B62">
            <w:pPr>
              <w:pStyle w:val="AnnexNormal"/>
              <w:spacing w:line="240" w:lineRule="auto"/>
              <w:rPr>
                <w:sz w:val="11"/>
                <w:szCs w:val="11"/>
              </w:rPr>
            </w:pPr>
          </w:p>
        </w:tc>
      </w:tr>
      <w:tr w:rsidR="005E75A2" w:rsidRPr="00647D81" w14:paraId="195CABAC" w14:textId="77777777" w:rsidTr="00647D81">
        <w:tc>
          <w:tcPr>
            <w:tcW w:w="380" w:type="dxa"/>
            <w:tcBorders>
              <w:left w:val="single" w:sz="4" w:space="0" w:color="auto"/>
            </w:tcBorders>
            <w:tcMar>
              <w:top w:w="10" w:type="dxa"/>
              <w:left w:w="0" w:type="dxa"/>
              <w:bottom w:w="4" w:type="dxa"/>
            </w:tcMar>
            <w:vAlign w:val="bottom"/>
          </w:tcPr>
          <w:p w14:paraId="45512670"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28</w:t>
            </w:r>
          </w:p>
        </w:tc>
        <w:tc>
          <w:tcPr>
            <w:tcW w:w="3436" w:type="dxa"/>
            <w:tcMar>
              <w:top w:w="10" w:type="dxa"/>
              <w:bottom w:w="4" w:type="dxa"/>
            </w:tcMar>
          </w:tcPr>
          <w:p w14:paraId="553C6FED" w14:textId="77777777" w:rsidR="003B1B62" w:rsidRPr="00647D81" w:rsidRDefault="005E75A2" w:rsidP="003D3189">
            <w:pPr>
              <w:pStyle w:val="AnnexNormal"/>
              <w:spacing w:line="240" w:lineRule="auto"/>
              <w:ind w:left="460"/>
              <w:rPr>
                <w:rFonts w:ascii="Helvetica" w:hAnsi="Helvetica"/>
                <w:spacing w:val="-4"/>
                <w:sz w:val="11"/>
                <w:szCs w:val="11"/>
              </w:rPr>
            </w:pPr>
            <w:r>
              <w:rPr>
                <w:rFonts w:ascii="Helvetica" w:hAnsi="Helvetica"/>
                <w:sz w:val="11"/>
              </w:rPr>
              <w:t>hvorav lån med sikkerhet i næringseiendommer</w:t>
            </w:r>
          </w:p>
        </w:tc>
        <w:tc>
          <w:tcPr>
            <w:tcW w:w="648" w:type="dxa"/>
            <w:tcMar>
              <w:top w:w="10" w:type="dxa"/>
              <w:bottom w:w="4" w:type="dxa"/>
            </w:tcMar>
          </w:tcPr>
          <w:p w14:paraId="0A9EBDC1"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06E242C0"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3127649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F4BC2F6"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8832EBC"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BA4B43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8A1AA19"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D0742F2"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5AA00ACA"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48CACF29"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277A2153"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135D474B"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7C84CF6D"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E1677DF"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0F014F73"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4051B369" w14:textId="77777777" w:rsidR="003B1B62" w:rsidRPr="00647D81" w:rsidRDefault="003B1B62" w:rsidP="003B1B62">
            <w:pPr>
              <w:pStyle w:val="AnnexNormal"/>
              <w:spacing w:line="240" w:lineRule="auto"/>
              <w:rPr>
                <w:sz w:val="11"/>
                <w:szCs w:val="11"/>
              </w:rPr>
            </w:pPr>
          </w:p>
        </w:tc>
      </w:tr>
      <w:tr w:rsidR="005E75A2" w:rsidRPr="00647D81" w14:paraId="73BF58D5" w14:textId="77777777" w:rsidTr="00647D81">
        <w:tc>
          <w:tcPr>
            <w:tcW w:w="380" w:type="dxa"/>
            <w:tcBorders>
              <w:left w:val="single" w:sz="4" w:space="0" w:color="auto"/>
            </w:tcBorders>
            <w:tcMar>
              <w:top w:w="10" w:type="dxa"/>
              <w:left w:w="0" w:type="dxa"/>
              <w:bottom w:w="4" w:type="dxa"/>
            </w:tcMar>
            <w:vAlign w:val="bottom"/>
          </w:tcPr>
          <w:p w14:paraId="1332A7E0"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29</w:t>
            </w:r>
          </w:p>
        </w:tc>
        <w:tc>
          <w:tcPr>
            <w:tcW w:w="3436" w:type="dxa"/>
            <w:tcMar>
              <w:top w:w="10" w:type="dxa"/>
              <w:bottom w:w="4" w:type="dxa"/>
            </w:tcMar>
          </w:tcPr>
          <w:p w14:paraId="195EED4E" w14:textId="77777777" w:rsidR="003B1B62" w:rsidRPr="00647D81" w:rsidRDefault="005E75A2" w:rsidP="003D3189">
            <w:pPr>
              <w:pStyle w:val="AnnexNormal"/>
              <w:spacing w:line="240" w:lineRule="auto"/>
              <w:ind w:left="460"/>
              <w:rPr>
                <w:rFonts w:ascii="Helvetica" w:hAnsi="Helvetica"/>
                <w:sz w:val="11"/>
                <w:szCs w:val="11"/>
              </w:rPr>
            </w:pPr>
            <w:r>
              <w:rPr>
                <w:rFonts w:ascii="Helvetica" w:hAnsi="Helvetica"/>
                <w:sz w:val="11"/>
              </w:rPr>
              <w:t>hvorav lån til byggrenovering</w:t>
            </w:r>
          </w:p>
        </w:tc>
        <w:tc>
          <w:tcPr>
            <w:tcW w:w="648" w:type="dxa"/>
            <w:tcMar>
              <w:top w:w="10" w:type="dxa"/>
              <w:bottom w:w="4" w:type="dxa"/>
            </w:tcMar>
          </w:tcPr>
          <w:p w14:paraId="69C29443"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68BEC0C1"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78F593F6"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03A3B22"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4FB371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47CEF28"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7EFA12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F073EC6"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23FFFC56"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2E8030E1"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06E00614"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5B55D4AD"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6CCDF85"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7CA7AFA7"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480A9EAA"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5A75C97B" w14:textId="77777777" w:rsidR="003B1B62" w:rsidRPr="00647D81" w:rsidRDefault="003B1B62" w:rsidP="003B1B62">
            <w:pPr>
              <w:pStyle w:val="AnnexNormal"/>
              <w:spacing w:line="240" w:lineRule="auto"/>
              <w:rPr>
                <w:sz w:val="11"/>
                <w:szCs w:val="11"/>
              </w:rPr>
            </w:pPr>
          </w:p>
        </w:tc>
      </w:tr>
      <w:tr w:rsidR="005E75A2" w:rsidRPr="00647D81" w14:paraId="0887AD27" w14:textId="77777777" w:rsidTr="00647D81">
        <w:tc>
          <w:tcPr>
            <w:tcW w:w="380" w:type="dxa"/>
            <w:tcBorders>
              <w:left w:val="single" w:sz="4" w:space="0" w:color="auto"/>
            </w:tcBorders>
            <w:tcMar>
              <w:top w:w="10" w:type="dxa"/>
              <w:left w:w="0" w:type="dxa"/>
              <w:bottom w:w="4" w:type="dxa"/>
            </w:tcMar>
            <w:vAlign w:val="bottom"/>
          </w:tcPr>
          <w:p w14:paraId="0EBFEBD4"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30</w:t>
            </w:r>
          </w:p>
        </w:tc>
        <w:tc>
          <w:tcPr>
            <w:tcW w:w="3436" w:type="dxa"/>
            <w:tcMar>
              <w:top w:w="10" w:type="dxa"/>
              <w:bottom w:w="4" w:type="dxa"/>
            </w:tcMar>
          </w:tcPr>
          <w:p w14:paraId="73C6CEA6" w14:textId="77777777" w:rsidR="003B1B62" w:rsidRPr="00647D81" w:rsidRDefault="005E75A2" w:rsidP="003D3189">
            <w:pPr>
              <w:pStyle w:val="AnnexNormal"/>
              <w:spacing w:line="240" w:lineRule="auto"/>
              <w:ind w:left="400"/>
              <w:rPr>
                <w:rFonts w:ascii="Helvetica" w:hAnsi="Helvetica"/>
                <w:sz w:val="11"/>
                <w:szCs w:val="11"/>
              </w:rPr>
            </w:pPr>
            <w:r>
              <w:rPr>
                <w:rFonts w:ascii="Helvetica" w:hAnsi="Helvetica"/>
                <w:sz w:val="11"/>
              </w:rPr>
              <w:t>Gjeldsinstrumenter</w:t>
            </w:r>
          </w:p>
        </w:tc>
        <w:tc>
          <w:tcPr>
            <w:tcW w:w="648" w:type="dxa"/>
            <w:tcMar>
              <w:top w:w="10" w:type="dxa"/>
              <w:bottom w:w="4" w:type="dxa"/>
            </w:tcMar>
          </w:tcPr>
          <w:p w14:paraId="2CF29DB5"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7298F5B4"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7116E922"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6FAA92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938E58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6C994F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E65121C"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674AD78"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52F7A48"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49730402"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5C6D9120"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72654EA4"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3386D780"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57060EF5"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1E78B575"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17D604ED" w14:textId="77777777" w:rsidR="003B1B62" w:rsidRPr="00647D81" w:rsidRDefault="003B1B62" w:rsidP="003B1B62">
            <w:pPr>
              <w:pStyle w:val="AnnexNormal"/>
              <w:spacing w:line="240" w:lineRule="auto"/>
              <w:rPr>
                <w:sz w:val="11"/>
                <w:szCs w:val="11"/>
              </w:rPr>
            </w:pPr>
          </w:p>
        </w:tc>
      </w:tr>
      <w:tr w:rsidR="005E75A2" w:rsidRPr="00647D81" w14:paraId="2775DE38" w14:textId="77777777" w:rsidTr="00647D81">
        <w:tc>
          <w:tcPr>
            <w:tcW w:w="380" w:type="dxa"/>
            <w:tcBorders>
              <w:left w:val="single" w:sz="4" w:space="0" w:color="auto"/>
            </w:tcBorders>
            <w:tcMar>
              <w:top w:w="10" w:type="dxa"/>
              <w:left w:w="0" w:type="dxa"/>
              <w:bottom w:w="4" w:type="dxa"/>
            </w:tcMar>
            <w:vAlign w:val="bottom"/>
          </w:tcPr>
          <w:p w14:paraId="580A555B"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31</w:t>
            </w:r>
          </w:p>
        </w:tc>
        <w:tc>
          <w:tcPr>
            <w:tcW w:w="3436" w:type="dxa"/>
            <w:tcMar>
              <w:top w:w="10" w:type="dxa"/>
              <w:bottom w:w="4" w:type="dxa"/>
            </w:tcMar>
          </w:tcPr>
          <w:p w14:paraId="1F7979FF" w14:textId="77777777" w:rsidR="003B1B62" w:rsidRPr="00647D81" w:rsidRDefault="005E75A2" w:rsidP="003D3189">
            <w:pPr>
              <w:pStyle w:val="AnnexNormal"/>
              <w:spacing w:line="240" w:lineRule="auto"/>
              <w:ind w:left="400"/>
              <w:rPr>
                <w:rFonts w:ascii="Helvetica" w:hAnsi="Helvetica"/>
                <w:sz w:val="11"/>
                <w:szCs w:val="11"/>
              </w:rPr>
            </w:pPr>
            <w:r>
              <w:rPr>
                <w:rFonts w:ascii="Helvetica" w:hAnsi="Helvetica"/>
                <w:sz w:val="11"/>
              </w:rPr>
              <w:t>Egenkapitalinstrumenter</w:t>
            </w:r>
          </w:p>
        </w:tc>
        <w:tc>
          <w:tcPr>
            <w:tcW w:w="648" w:type="dxa"/>
            <w:tcMar>
              <w:top w:w="10" w:type="dxa"/>
              <w:bottom w:w="4" w:type="dxa"/>
            </w:tcMar>
          </w:tcPr>
          <w:p w14:paraId="124A01BC"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3C313176"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46433D2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C8CFCD9"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7CCCCD9"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6DB8DA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FD52970"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FA38042"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E7C4442"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1053817B"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6E9AF591"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9CBAA1F"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254A3736"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2B34E531"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274942B9"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40917658" w14:textId="77777777" w:rsidR="003B1B62" w:rsidRPr="00647D81" w:rsidRDefault="003B1B62" w:rsidP="003B1B62">
            <w:pPr>
              <w:pStyle w:val="AnnexNormal"/>
              <w:spacing w:line="240" w:lineRule="auto"/>
              <w:rPr>
                <w:sz w:val="11"/>
                <w:szCs w:val="11"/>
              </w:rPr>
            </w:pPr>
          </w:p>
        </w:tc>
      </w:tr>
      <w:tr w:rsidR="005E75A2" w:rsidRPr="00647D81" w14:paraId="13D2A7F5" w14:textId="77777777" w:rsidTr="00647D81">
        <w:tc>
          <w:tcPr>
            <w:tcW w:w="380" w:type="dxa"/>
            <w:tcBorders>
              <w:left w:val="single" w:sz="4" w:space="0" w:color="auto"/>
            </w:tcBorders>
            <w:tcMar>
              <w:top w:w="10" w:type="dxa"/>
              <w:left w:w="0" w:type="dxa"/>
              <w:bottom w:w="4" w:type="dxa"/>
            </w:tcMar>
            <w:vAlign w:val="bottom"/>
          </w:tcPr>
          <w:p w14:paraId="6FDAD26C"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32</w:t>
            </w:r>
          </w:p>
        </w:tc>
        <w:tc>
          <w:tcPr>
            <w:tcW w:w="3436" w:type="dxa"/>
            <w:tcMar>
              <w:top w:w="10" w:type="dxa"/>
              <w:bottom w:w="4" w:type="dxa"/>
            </w:tcMar>
          </w:tcPr>
          <w:p w14:paraId="38C76F66" w14:textId="77777777" w:rsidR="003B1B62" w:rsidRPr="00647D81" w:rsidRDefault="005E75A2" w:rsidP="003D3189">
            <w:pPr>
              <w:pStyle w:val="AnnexNormal"/>
              <w:spacing w:line="240" w:lineRule="auto"/>
              <w:ind w:left="300"/>
              <w:rPr>
                <w:rFonts w:ascii="Helvetica" w:hAnsi="Helvetica"/>
                <w:sz w:val="11"/>
                <w:szCs w:val="11"/>
              </w:rPr>
            </w:pPr>
            <w:r>
              <w:rPr>
                <w:rFonts w:ascii="Helvetica" w:hAnsi="Helvetica"/>
                <w:sz w:val="11"/>
              </w:rPr>
              <w:t>Motparter fra land utenfor EU som ikke er omfattet av opplysningsplikten i direktivet om virksomheters bærekraftsrapportering</w:t>
            </w:r>
          </w:p>
        </w:tc>
        <w:tc>
          <w:tcPr>
            <w:tcW w:w="648" w:type="dxa"/>
            <w:tcMar>
              <w:top w:w="10" w:type="dxa"/>
              <w:bottom w:w="4" w:type="dxa"/>
            </w:tcMar>
          </w:tcPr>
          <w:p w14:paraId="560960C3"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40D20855"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54968982"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E2617E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66F739A"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CB2926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9A6F00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45407F3"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66C1DE53"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367B0951"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2921493C"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7D035058"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32E401A"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205DC9F0"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4918C146"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55BB770A" w14:textId="77777777" w:rsidR="003B1B62" w:rsidRPr="00647D81" w:rsidRDefault="003B1B62" w:rsidP="003B1B62">
            <w:pPr>
              <w:pStyle w:val="AnnexNormal"/>
              <w:spacing w:line="240" w:lineRule="auto"/>
              <w:rPr>
                <w:sz w:val="11"/>
                <w:szCs w:val="11"/>
              </w:rPr>
            </w:pPr>
          </w:p>
        </w:tc>
      </w:tr>
      <w:tr w:rsidR="005E75A2" w:rsidRPr="00647D81" w14:paraId="30159FD1" w14:textId="77777777" w:rsidTr="00647D81">
        <w:tc>
          <w:tcPr>
            <w:tcW w:w="380" w:type="dxa"/>
            <w:tcBorders>
              <w:left w:val="single" w:sz="4" w:space="0" w:color="auto"/>
            </w:tcBorders>
            <w:tcMar>
              <w:top w:w="10" w:type="dxa"/>
              <w:left w:w="0" w:type="dxa"/>
              <w:bottom w:w="4" w:type="dxa"/>
            </w:tcMar>
            <w:vAlign w:val="bottom"/>
          </w:tcPr>
          <w:p w14:paraId="13821602"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33</w:t>
            </w:r>
          </w:p>
        </w:tc>
        <w:tc>
          <w:tcPr>
            <w:tcW w:w="3436" w:type="dxa"/>
            <w:tcMar>
              <w:top w:w="10" w:type="dxa"/>
              <w:bottom w:w="4" w:type="dxa"/>
            </w:tcMar>
          </w:tcPr>
          <w:p w14:paraId="00930074" w14:textId="77777777" w:rsidR="003B1B62" w:rsidRPr="00647D81" w:rsidRDefault="005E75A2" w:rsidP="003D3189">
            <w:pPr>
              <w:pStyle w:val="AnnexNormal"/>
              <w:spacing w:line="240" w:lineRule="auto"/>
              <w:ind w:left="400"/>
              <w:rPr>
                <w:rFonts w:ascii="Helvetica" w:hAnsi="Helvetica"/>
                <w:sz w:val="11"/>
                <w:szCs w:val="11"/>
              </w:rPr>
            </w:pPr>
            <w:r>
              <w:rPr>
                <w:rFonts w:ascii="Helvetica" w:hAnsi="Helvetica"/>
                <w:sz w:val="11"/>
              </w:rPr>
              <w:t>Lån og forskudd</w:t>
            </w:r>
          </w:p>
        </w:tc>
        <w:tc>
          <w:tcPr>
            <w:tcW w:w="648" w:type="dxa"/>
            <w:tcMar>
              <w:top w:w="10" w:type="dxa"/>
              <w:bottom w:w="4" w:type="dxa"/>
            </w:tcMar>
          </w:tcPr>
          <w:p w14:paraId="22851EAF"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67F6F06C"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0772443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5AF3C5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EAA609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949822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412528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DF5E342"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1D1C345E"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5E11C85F"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6B40D6A0"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3176AA78"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30767844"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4BF084CC"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5235382"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1747946C" w14:textId="77777777" w:rsidR="003B1B62" w:rsidRPr="00647D81" w:rsidRDefault="003B1B62" w:rsidP="003B1B62">
            <w:pPr>
              <w:pStyle w:val="AnnexNormal"/>
              <w:spacing w:line="240" w:lineRule="auto"/>
              <w:rPr>
                <w:sz w:val="11"/>
                <w:szCs w:val="11"/>
              </w:rPr>
            </w:pPr>
          </w:p>
        </w:tc>
      </w:tr>
      <w:tr w:rsidR="005E75A2" w:rsidRPr="00647D81" w14:paraId="325225A1" w14:textId="77777777" w:rsidTr="00647D81">
        <w:tc>
          <w:tcPr>
            <w:tcW w:w="380" w:type="dxa"/>
            <w:tcBorders>
              <w:left w:val="single" w:sz="4" w:space="0" w:color="auto"/>
            </w:tcBorders>
            <w:tcMar>
              <w:top w:w="10" w:type="dxa"/>
              <w:left w:w="0" w:type="dxa"/>
              <w:bottom w:w="4" w:type="dxa"/>
            </w:tcMar>
            <w:vAlign w:val="bottom"/>
          </w:tcPr>
          <w:p w14:paraId="48A0F1B0"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34</w:t>
            </w:r>
          </w:p>
        </w:tc>
        <w:tc>
          <w:tcPr>
            <w:tcW w:w="3436" w:type="dxa"/>
            <w:tcMar>
              <w:top w:w="10" w:type="dxa"/>
              <w:bottom w:w="4" w:type="dxa"/>
            </w:tcMar>
          </w:tcPr>
          <w:p w14:paraId="6164C1D4" w14:textId="77777777" w:rsidR="003B1B62" w:rsidRPr="00647D81" w:rsidRDefault="005E75A2" w:rsidP="003D3189">
            <w:pPr>
              <w:pStyle w:val="AnnexNormal"/>
              <w:spacing w:line="240" w:lineRule="auto"/>
              <w:ind w:left="400"/>
              <w:rPr>
                <w:rFonts w:ascii="Helvetica" w:hAnsi="Helvetica"/>
                <w:sz w:val="11"/>
                <w:szCs w:val="11"/>
              </w:rPr>
            </w:pPr>
            <w:r>
              <w:rPr>
                <w:rFonts w:ascii="Helvetica" w:hAnsi="Helvetica"/>
                <w:sz w:val="11"/>
              </w:rPr>
              <w:t>Gjeldsinstrumenter</w:t>
            </w:r>
          </w:p>
        </w:tc>
        <w:tc>
          <w:tcPr>
            <w:tcW w:w="648" w:type="dxa"/>
            <w:tcMar>
              <w:top w:w="10" w:type="dxa"/>
              <w:bottom w:w="4" w:type="dxa"/>
            </w:tcMar>
          </w:tcPr>
          <w:p w14:paraId="716CDA7F"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78073D55"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48C8E82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E8001C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FD0292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FC8519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2EE777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1696B10"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743D416A"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6D038268"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3AAEB635"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5B90F4C8"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630B7B37"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4A82CFA9"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176568B4"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286E80DB" w14:textId="77777777" w:rsidR="003B1B62" w:rsidRPr="00647D81" w:rsidRDefault="003B1B62" w:rsidP="003B1B62">
            <w:pPr>
              <w:pStyle w:val="AnnexNormal"/>
              <w:spacing w:line="240" w:lineRule="auto"/>
              <w:rPr>
                <w:sz w:val="11"/>
                <w:szCs w:val="11"/>
              </w:rPr>
            </w:pPr>
          </w:p>
        </w:tc>
      </w:tr>
      <w:tr w:rsidR="005E75A2" w:rsidRPr="00647D81" w14:paraId="7ADAF094" w14:textId="77777777" w:rsidTr="00647D81">
        <w:tc>
          <w:tcPr>
            <w:tcW w:w="380" w:type="dxa"/>
            <w:tcBorders>
              <w:left w:val="single" w:sz="4" w:space="0" w:color="auto"/>
            </w:tcBorders>
            <w:tcMar>
              <w:top w:w="10" w:type="dxa"/>
              <w:left w:w="0" w:type="dxa"/>
              <w:bottom w:w="4" w:type="dxa"/>
            </w:tcMar>
            <w:vAlign w:val="bottom"/>
          </w:tcPr>
          <w:p w14:paraId="147A63B0"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35</w:t>
            </w:r>
          </w:p>
        </w:tc>
        <w:tc>
          <w:tcPr>
            <w:tcW w:w="3436" w:type="dxa"/>
            <w:tcMar>
              <w:top w:w="10" w:type="dxa"/>
              <w:bottom w:w="4" w:type="dxa"/>
            </w:tcMar>
          </w:tcPr>
          <w:p w14:paraId="364F1461" w14:textId="77777777" w:rsidR="003B1B62" w:rsidRPr="00647D81" w:rsidRDefault="005E75A2" w:rsidP="003D3189">
            <w:pPr>
              <w:pStyle w:val="AnnexNormal"/>
              <w:spacing w:line="240" w:lineRule="auto"/>
              <w:ind w:left="400"/>
              <w:rPr>
                <w:rFonts w:ascii="Helvetica" w:hAnsi="Helvetica"/>
                <w:sz w:val="11"/>
                <w:szCs w:val="11"/>
              </w:rPr>
            </w:pPr>
            <w:r>
              <w:rPr>
                <w:rFonts w:ascii="Helvetica" w:hAnsi="Helvetica"/>
                <w:sz w:val="11"/>
              </w:rPr>
              <w:t>Egenkapitalinstrumenter</w:t>
            </w:r>
          </w:p>
        </w:tc>
        <w:tc>
          <w:tcPr>
            <w:tcW w:w="648" w:type="dxa"/>
            <w:tcMar>
              <w:top w:w="10" w:type="dxa"/>
              <w:bottom w:w="4" w:type="dxa"/>
            </w:tcMar>
          </w:tcPr>
          <w:p w14:paraId="12CDA4FB"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763EFF8E"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69DEEAA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7DC5964"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B5E1390"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3216B07"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413E51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A47FBB7"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6690984F"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54300011"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507F5F32"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173E4E5"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1620F5F8"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988D73B"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1B5A562"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10968E3A" w14:textId="77777777" w:rsidR="003B1B62" w:rsidRPr="00647D81" w:rsidRDefault="003B1B62" w:rsidP="003B1B62">
            <w:pPr>
              <w:pStyle w:val="AnnexNormal"/>
              <w:spacing w:line="240" w:lineRule="auto"/>
              <w:rPr>
                <w:sz w:val="11"/>
                <w:szCs w:val="11"/>
              </w:rPr>
            </w:pPr>
          </w:p>
        </w:tc>
      </w:tr>
      <w:tr w:rsidR="005E75A2" w:rsidRPr="00647D81" w14:paraId="4D8E3542" w14:textId="77777777" w:rsidTr="00647D81">
        <w:tc>
          <w:tcPr>
            <w:tcW w:w="380" w:type="dxa"/>
            <w:tcBorders>
              <w:left w:val="single" w:sz="4" w:space="0" w:color="auto"/>
            </w:tcBorders>
            <w:tcMar>
              <w:top w:w="10" w:type="dxa"/>
              <w:left w:w="0" w:type="dxa"/>
              <w:bottom w:w="4" w:type="dxa"/>
            </w:tcMar>
            <w:vAlign w:val="bottom"/>
          </w:tcPr>
          <w:p w14:paraId="3C4C4FBB"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36</w:t>
            </w:r>
          </w:p>
        </w:tc>
        <w:tc>
          <w:tcPr>
            <w:tcW w:w="3436" w:type="dxa"/>
            <w:tcMar>
              <w:top w:w="10" w:type="dxa"/>
              <w:bottom w:w="4" w:type="dxa"/>
            </w:tcMar>
          </w:tcPr>
          <w:p w14:paraId="569B9D69" w14:textId="77777777" w:rsidR="003B1B62" w:rsidRPr="00647D81" w:rsidRDefault="005E75A2" w:rsidP="00B310F8">
            <w:pPr>
              <w:pStyle w:val="AnnexNormal"/>
              <w:spacing w:line="240" w:lineRule="auto"/>
              <w:ind w:left="200"/>
              <w:rPr>
                <w:rFonts w:ascii="Helvetica" w:hAnsi="Helvetica"/>
                <w:b/>
                <w:sz w:val="11"/>
                <w:szCs w:val="11"/>
              </w:rPr>
            </w:pPr>
            <w:r>
              <w:rPr>
                <w:rFonts w:ascii="Helvetica" w:hAnsi="Helvetica"/>
                <w:b/>
                <w:sz w:val="11"/>
              </w:rPr>
              <w:t>Derivater</w:t>
            </w:r>
          </w:p>
        </w:tc>
        <w:tc>
          <w:tcPr>
            <w:tcW w:w="648" w:type="dxa"/>
            <w:tcMar>
              <w:top w:w="10" w:type="dxa"/>
              <w:bottom w:w="4" w:type="dxa"/>
            </w:tcMar>
          </w:tcPr>
          <w:p w14:paraId="2AF2B53D"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3C1FB4CF"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2768464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65C42B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C795B0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6A5D38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2B03CC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E197A1D"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226E64C2"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001C1F20"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51E2CE63"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05149BEA"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2AE09BF"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69B89E87"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6AA69F72"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153FD9AB" w14:textId="77777777" w:rsidR="003B1B62" w:rsidRPr="00647D81" w:rsidRDefault="003B1B62" w:rsidP="003B1B62">
            <w:pPr>
              <w:pStyle w:val="AnnexNormal"/>
              <w:spacing w:line="240" w:lineRule="auto"/>
              <w:rPr>
                <w:sz w:val="11"/>
                <w:szCs w:val="11"/>
              </w:rPr>
            </w:pPr>
          </w:p>
        </w:tc>
      </w:tr>
      <w:tr w:rsidR="005E75A2" w:rsidRPr="00647D81" w14:paraId="467C2054" w14:textId="77777777" w:rsidTr="00647D81">
        <w:tc>
          <w:tcPr>
            <w:tcW w:w="380" w:type="dxa"/>
            <w:tcBorders>
              <w:left w:val="single" w:sz="4" w:space="0" w:color="auto"/>
            </w:tcBorders>
            <w:tcMar>
              <w:top w:w="10" w:type="dxa"/>
              <w:left w:w="0" w:type="dxa"/>
              <w:bottom w:w="4" w:type="dxa"/>
            </w:tcMar>
            <w:vAlign w:val="bottom"/>
          </w:tcPr>
          <w:p w14:paraId="639E1165"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37</w:t>
            </w:r>
          </w:p>
        </w:tc>
        <w:tc>
          <w:tcPr>
            <w:tcW w:w="3436" w:type="dxa"/>
            <w:tcMar>
              <w:top w:w="10" w:type="dxa"/>
              <w:bottom w:w="4" w:type="dxa"/>
            </w:tcMar>
          </w:tcPr>
          <w:p w14:paraId="420E4986" w14:textId="77777777" w:rsidR="003B1B62" w:rsidRPr="00647D81" w:rsidRDefault="005E75A2" w:rsidP="00B310F8">
            <w:pPr>
              <w:pStyle w:val="AnnexNormal"/>
              <w:spacing w:line="240" w:lineRule="auto"/>
              <w:ind w:left="200"/>
              <w:rPr>
                <w:rFonts w:ascii="Helvetica" w:hAnsi="Helvetica"/>
                <w:b/>
                <w:sz w:val="11"/>
                <w:szCs w:val="11"/>
              </w:rPr>
            </w:pPr>
            <w:r>
              <w:rPr>
                <w:rFonts w:ascii="Helvetica" w:hAnsi="Helvetica"/>
                <w:b/>
                <w:sz w:val="11"/>
              </w:rPr>
              <w:t>Interbanklån på anfordring</w:t>
            </w:r>
          </w:p>
        </w:tc>
        <w:tc>
          <w:tcPr>
            <w:tcW w:w="648" w:type="dxa"/>
            <w:tcMar>
              <w:top w:w="10" w:type="dxa"/>
              <w:bottom w:w="4" w:type="dxa"/>
            </w:tcMar>
          </w:tcPr>
          <w:p w14:paraId="392780DB"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3B872FF8"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4C4811D6"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3E1294B"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FF9E0F5"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038187A"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30FFBBA"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7738EEA0"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5E276B15"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2943E151"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2C27AE5A"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095888F1"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248A3BA7"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661F2EB0"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554EF88B"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51A1C7D5" w14:textId="77777777" w:rsidR="003B1B62" w:rsidRPr="00647D81" w:rsidRDefault="003B1B62" w:rsidP="003B1B62">
            <w:pPr>
              <w:pStyle w:val="AnnexNormal"/>
              <w:spacing w:line="240" w:lineRule="auto"/>
              <w:rPr>
                <w:sz w:val="11"/>
                <w:szCs w:val="11"/>
              </w:rPr>
            </w:pPr>
          </w:p>
        </w:tc>
      </w:tr>
      <w:tr w:rsidR="005E75A2" w:rsidRPr="00647D81" w14:paraId="073E2B10" w14:textId="77777777" w:rsidTr="00647D81">
        <w:tc>
          <w:tcPr>
            <w:tcW w:w="380" w:type="dxa"/>
            <w:tcBorders>
              <w:left w:val="single" w:sz="4" w:space="0" w:color="auto"/>
            </w:tcBorders>
            <w:tcMar>
              <w:top w:w="10" w:type="dxa"/>
              <w:left w:w="0" w:type="dxa"/>
              <w:bottom w:w="4" w:type="dxa"/>
            </w:tcMar>
            <w:vAlign w:val="bottom"/>
          </w:tcPr>
          <w:p w14:paraId="22F10A36"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38</w:t>
            </w:r>
          </w:p>
        </w:tc>
        <w:tc>
          <w:tcPr>
            <w:tcW w:w="3436" w:type="dxa"/>
            <w:tcMar>
              <w:top w:w="10" w:type="dxa"/>
              <w:bottom w:w="4" w:type="dxa"/>
            </w:tcMar>
          </w:tcPr>
          <w:p w14:paraId="14218F57" w14:textId="77777777" w:rsidR="003B1B62" w:rsidRPr="00647D81" w:rsidRDefault="005E75A2" w:rsidP="00B310F8">
            <w:pPr>
              <w:pStyle w:val="AnnexNormal"/>
              <w:spacing w:line="240" w:lineRule="auto"/>
              <w:ind w:left="200"/>
              <w:rPr>
                <w:rFonts w:ascii="Helvetica" w:hAnsi="Helvetica"/>
                <w:b/>
                <w:sz w:val="11"/>
                <w:szCs w:val="11"/>
              </w:rPr>
            </w:pPr>
            <w:r>
              <w:rPr>
                <w:rFonts w:ascii="Helvetica" w:hAnsi="Helvetica"/>
                <w:b/>
                <w:sz w:val="11"/>
              </w:rPr>
              <w:t>Kontanter og kontantrelaterte eiendeler</w:t>
            </w:r>
          </w:p>
        </w:tc>
        <w:tc>
          <w:tcPr>
            <w:tcW w:w="648" w:type="dxa"/>
            <w:tcMar>
              <w:top w:w="10" w:type="dxa"/>
              <w:bottom w:w="4" w:type="dxa"/>
            </w:tcMar>
          </w:tcPr>
          <w:p w14:paraId="6684A849"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0A38F4C1"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461249BC"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46A37EEC"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9490478"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13D362D"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4543A3C"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1E4ADA21"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389EDEA8"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41D0B57D"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7ECF49CF"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714F7C63"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1163DB47"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3EDFE944"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2F04B191"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621CD5AD" w14:textId="77777777" w:rsidR="003B1B62" w:rsidRPr="00647D81" w:rsidRDefault="003B1B62" w:rsidP="003B1B62">
            <w:pPr>
              <w:pStyle w:val="AnnexNormal"/>
              <w:spacing w:line="240" w:lineRule="auto"/>
              <w:rPr>
                <w:sz w:val="11"/>
                <w:szCs w:val="11"/>
              </w:rPr>
            </w:pPr>
          </w:p>
        </w:tc>
      </w:tr>
      <w:tr w:rsidR="005E75A2" w:rsidRPr="00647D81" w14:paraId="258B3191" w14:textId="77777777" w:rsidTr="00647D81">
        <w:tc>
          <w:tcPr>
            <w:tcW w:w="380" w:type="dxa"/>
            <w:tcBorders>
              <w:left w:val="single" w:sz="4" w:space="0" w:color="auto"/>
            </w:tcBorders>
            <w:tcMar>
              <w:top w:w="10" w:type="dxa"/>
              <w:left w:w="0" w:type="dxa"/>
              <w:bottom w:w="4" w:type="dxa"/>
            </w:tcMar>
            <w:vAlign w:val="bottom"/>
          </w:tcPr>
          <w:p w14:paraId="7706B6C9"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39</w:t>
            </w:r>
          </w:p>
        </w:tc>
        <w:tc>
          <w:tcPr>
            <w:tcW w:w="3436" w:type="dxa"/>
            <w:tcMar>
              <w:top w:w="10" w:type="dxa"/>
              <w:bottom w:w="4" w:type="dxa"/>
            </w:tcMar>
          </w:tcPr>
          <w:p w14:paraId="579F4324" w14:textId="77777777" w:rsidR="003B1B62" w:rsidRPr="00647D81" w:rsidRDefault="005E75A2" w:rsidP="00B310F8">
            <w:pPr>
              <w:pStyle w:val="AnnexNormal"/>
              <w:spacing w:line="240" w:lineRule="auto"/>
              <w:ind w:left="200"/>
              <w:rPr>
                <w:rFonts w:ascii="Helvetica" w:hAnsi="Helvetica"/>
                <w:b/>
                <w:sz w:val="11"/>
                <w:szCs w:val="11"/>
              </w:rPr>
            </w:pPr>
            <w:r>
              <w:rPr>
                <w:rFonts w:ascii="Helvetica" w:hAnsi="Helvetica"/>
                <w:b/>
                <w:sz w:val="11"/>
              </w:rPr>
              <w:t>Andre kategorier av eiendeler (f.eks. goodwill, varer osv.)</w:t>
            </w:r>
          </w:p>
        </w:tc>
        <w:tc>
          <w:tcPr>
            <w:tcW w:w="648" w:type="dxa"/>
            <w:tcMar>
              <w:top w:w="10" w:type="dxa"/>
              <w:bottom w:w="4" w:type="dxa"/>
            </w:tcMar>
          </w:tcPr>
          <w:p w14:paraId="13DF9B51"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045620BC"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7732898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8D24FC9"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74BD31E"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62EF24D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B64A752"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2F73A126"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01F9F6AA"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6D7892A6"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459EE1AB"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7B443529"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2B85026"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73E764CB"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0F12B949"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5C5AE189" w14:textId="77777777" w:rsidR="003B1B62" w:rsidRPr="00647D81" w:rsidRDefault="003B1B62" w:rsidP="003B1B62">
            <w:pPr>
              <w:pStyle w:val="AnnexNormal"/>
              <w:spacing w:line="240" w:lineRule="auto"/>
              <w:rPr>
                <w:sz w:val="11"/>
                <w:szCs w:val="11"/>
              </w:rPr>
            </w:pPr>
          </w:p>
        </w:tc>
      </w:tr>
      <w:tr w:rsidR="005E75A2" w:rsidRPr="00647D81" w14:paraId="086EF04D" w14:textId="77777777" w:rsidTr="00647D81">
        <w:tc>
          <w:tcPr>
            <w:tcW w:w="380" w:type="dxa"/>
            <w:tcBorders>
              <w:left w:val="single" w:sz="4" w:space="0" w:color="auto"/>
            </w:tcBorders>
            <w:tcMar>
              <w:top w:w="10" w:type="dxa"/>
              <w:left w:w="0" w:type="dxa"/>
              <w:bottom w:w="4" w:type="dxa"/>
            </w:tcMar>
            <w:vAlign w:val="bottom"/>
          </w:tcPr>
          <w:p w14:paraId="67F9579F"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40</w:t>
            </w:r>
          </w:p>
        </w:tc>
        <w:tc>
          <w:tcPr>
            <w:tcW w:w="3436" w:type="dxa"/>
            <w:tcMar>
              <w:top w:w="10" w:type="dxa"/>
              <w:bottom w:w="4" w:type="dxa"/>
            </w:tcMar>
          </w:tcPr>
          <w:p w14:paraId="63A367B2" w14:textId="77777777" w:rsidR="003B1B62" w:rsidRPr="00647D81" w:rsidRDefault="005E75A2" w:rsidP="003B1B62">
            <w:pPr>
              <w:pStyle w:val="AnnexNormal"/>
              <w:spacing w:line="240" w:lineRule="auto"/>
              <w:rPr>
                <w:rFonts w:ascii="Helvetica" w:hAnsi="Helvetica"/>
                <w:b/>
                <w:sz w:val="11"/>
                <w:szCs w:val="11"/>
                <w:u w:val="single"/>
              </w:rPr>
            </w:pPr>
            <w:r>
              <w:rPr>
                <w:rFonts w:ascii="Helvetica" w:hAnsi="Helvetica"/>
                <w:b/>
                <w:sz w:val="11"/>
                <w:u w:val="single"/>
              </w:rPr>
              <w:t>Samlede eiendeler</w:t>
            </w:r>
          </w:p>
        </w:tc>
        <w:tc>
          <w:tcPr>
            <w:tcW w:w="648" w:type="dxa"/>
            <w:tcMar>
              <w:top w:w="10" w:type="dxa"/>
              <w:bottom w:w="4" w:type="dxa"/>
            </w:tcMar>
          </w:tcPr>
          <w:p w14:paraId="0ECDF7F3" w14:textId="77777777" w:rsidR="003B1B62" w:rsidRPr="00647D81" w:rsidRDefault="003B1B62" w:rsidP="003B1B62">
            <w:pPr>
              <w:pStyle w:val="AnnexNormal"/>
              <w:spacing w:line="240" w:lineRule="auto"/>
              <w:rPr>
                <w:sz w:val="11"/>
                <w:szCs w:val="11"/>
              </w:rPr>
            </w:pPr>
          </w:p>
        </w:tc>
        <w:tc>
          <w:tcPr>
            <w:tcW w:w="636" w:type="dxa"/>
            <w:shd w:val="clear" w:color="auto" w:fill="000000" w:themeFill="text1"/>
            <w:tcMar>
              <w:top w:w="10" w:type="dxa"/>
              <w:bottom w:w="4" w:type="dxa"/>
            </w:tcMar>
          </w:tcPr>
          <w:p w14:paraId="0EADE86B" w14:textId="77777777" w:rsidR="003B1B62" w:rsidRPr="00647D81" w:rsidRDefault="003B1B62" w:rsidP="003B1B62">
            <w:pPr>
              <w:pStyle w:val="AnnexNormal"/>
              <w:spacing w:line="240" w:lineRule="auto"/>
              <w:rPr>
                <w:sz w:val="11"/>
                <w:szCs w:val="11"/>
              </w:rPr>
            </w:pPr>
          </w:p>
        </w:tc>
        <w:tc>
          <w:tcPr>
            <w:tcW w:w="620" w:type="dxa"/>
            <w:shd w:val="clear" w:color="auto" w:fill="000000" w:themeFill="text1"/>
            <w:tcMar>
              <w:top w:w="10" w:type="dxa"/>
              <w:bottom w:w="4" w:type="dxa"/>
            </w:tcMar>
          </w:tcPr>
          <w:p w14:paraId="40B9FAC2"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9D5AC8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5549B9BF"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867BF63"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0F25FB21" w14:textId="77777777" w:rsidR="003B1B62" w:rsidRPr="00647D81" w:rsidRDefault="003B1B62" w:rsidP="003B1B62">
            <w:pPr>
              <w:pStyle w:val="AnnexNormal"/>
              <w:spacing w:line="240" w:lineRule="auto"/>
              <w:rPr>
                <w:sz w:val="11"/>
                <w:szCs w:val="11"/>
              </w:rPr>
            </w:pPr>
          </w:p>
        </w:tc>
        <w:tc>
          <w:tcPr>
            <w:tcW w:w="560" w:type="dxa"/>
            <w:shd w:val="clear" w:color="auto" w:fill="000000" w:themeFill="text1"/>
            <w:tcMar>
              <w:top w:w="10" w:type="dxa"/>
              <w:bottom w:w="4" w:type="dxa"/>
            </w:tcMar>
          </w:tcPr>
          <w:p w14:paraId="3F1FE360"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4562B12B"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7633898C" w14:textId="77777777" w:rsidR="003B1B62" w:rsidRPr="00647D81" w:rsidRDefault="003B1B62" w:rsidP="003B1B62">
            <w:pPr>
              <w:pStyle w:val="AnnexNormal"/>
              <w:spacing w:line="240" w:lineRule="auto"/>
              <w:rPr>
                <w:sz w:val="11"/>
                <w:szCs w:val="11"/>
              </w:rPr>
            </w:pPr>
          </w:p>
        </w:tc>
        <w:tc>
          <w:tcPr>
            <w:tcW w:w="600" w:type="dxa"/>
            <w:shd w:val="clear" w:color="auto" w:fill="000000" w:themeFill="text1"/>
            <w:tcMar>
              <w:top w:w="10" w:type="dxa"/>
              <w:bottom w:w="4" w:type="dxa"/>
            </w:tcMar>
          </w:tcPr>
          <w:p w14:paraId="3230B247" w14:textId="77777777" w:rsidR="003B1B62" w:rsidRPr="00647D81" w:rsidRDefault="003B1B62" w:rsidP="003B1B62">
            <w:pPr>
              <w:pStyle w:val="AnnexNormal"/>
              <w:spacing w:line="240" w:lineRule="auto"/>
              <w:rPr>
                <w:sz w:val="11"/>
                <w:szCs w:val="11"/>
              </w:rPr>
            </w:pPr>
          </w:p>
        </w:tc>
        <w:tc>
          <w:tcPr>
            <w:tcW w:w="700" w:type="dxa"/>
            <w:shd w:val="clear" w:color="auto" w:fill="000000" w:themeFill="text1"/>
            <w:tcMar>
              <w:top w:w="10" w:type="dxa"/>
              <w:bottom w:w="4" w:type="dxa"/>
            </w:tcMar>
          </w:tcPr>
          <w:p w14:paraId="11340F5C"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153DED6E" w14:textId="77777777" w:rsidR="003B1B62" w:rsidRPr="00647D81" w:rsidRDefault="003B1B62" w:rsidP="003B1B62">
            <w:pPr>
              <w:pStyle w:val="AnnexNormal"/>
              <w:spacing w:line="240" w:lineRule="auto"/>
              <w:rPr>
                <w:sz w:val="11"/>
                <w:szCs w:val="11"/>
              </w:rPr>
            </w:pPr>
          </w:p>
        </w:tc>
        <w:tc>
          <w:tcPr>
            <w:tcW w:w="800" w:type="dxa"/>
            <w:shd w:val="clear" w:color="auto" w:fill="000000" w:themeFill="text1"/>
            <w:tcMar>
              <w:top w:w="10" w:type="dxa"/>
              <w:bottom w:w="4" w:type="dxa"/>
            </w:tcMar>
          </w:tcPr>
          <w:p w14:paraId="03CA4080" w14:textId="77777777" w:rsidR="003B1B62" w:rsidRPr="00647D81" w:rsidRDefault="003B1B62" w:rsidP="003B1B62">
            <w:pPr>
              <w:pStyle w:val="AnnexNormal"/>
              <w:spacing w:line="240" w:lineRule="auto"/>
              <w:rPr>
                <w:sz w:val="11"/>
                <w:szCs w:val="11"/>
              </w:rPr>
            </w:pPr>
          </w:p>
        </w:tc>
        <w:tc>
          <w:tcPr>
            <w:tcW w:w="796" w:type="dxa"/>
            <w:shd w:val="clear" w:color="auto" w:fill="000000" w:themeFill="text1"/>
            <w:tcMar>
              <w:top w:w="10" w:type="dxa"/>
              <w:bottom w:w="4" w:type="dxa"/>
            </w:tcMar>
          </w:tcPr>
          <w:p w14:paraId="01191012"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shd w:val="clear" w:color="auto" w:fill="000000" w:themeFill="text1"/>
            <w:tcMar>
              <w:top w:w="10" w:type="dxa"/>
              <w:bottom w:w="4" w:type="dxa"/>
              <w:right w:w="0" w:type="dxa"/>
            </w:tcMar>
          </w:tcPr>
          <w:p w14:paraId="398A4467" w14:textId="77777777" w:rsidR="003B1B62" w:rsidRPr="00647D81" w:rsidRDefault="003B1B62" w:rsidP="003B1B62">
            <w:pPr>
              <w:pStyle w:val="AnnexNormal"/>
              <w:spacing w:line="240" w:lineRule="auto"/>
              <w:rPr>
                <w:sz w:val="11"/>
                <w:szCs w:val="11"/>
              </w:rPr>
            </w:pPr>
          </w:p>
        </w:tc>
      </w:tr>
      <w:tr w:rsidR="005E75A2" w:rsidRPr="00647D81" w14:paraId="20535CD3" w14:textId="77777777" w:rsidTr="00647D81">
        <w:tc>
          <w:tcPr>
            <w:tcW w:w="14316" w:type="dxa"/>
            <w:gridSpan w:val="18"/>
            <w:tcBorders>
              <w:left w:val="single" w:sz="4" w:space="0" w:color="auto"/>
              <w:right w:val="single" w:sz="4" w:space="0" w:color="auto"/>
            </w:tcBorders>
            <w:shd w:val="clear" w:color="auto" w:fill="D9E1F2"/>
            <w:tcMar>
              <w:top w:w="10" w:type="dxa"/>
              <w:left w:w="0" w:type="dxa"/>
              <w:bottom w:w="4" w:type="dxa"/>
            </w:tcMar>
            <w:vAlign w:val="bottom"/>
          </w:tcPr>
          <w:p w14:paraId="2305607D" w14:textId="77777777" w:rsidR="005E75A2" w:rsidRPr="00647D81" w:rsidRDefault="005E75A2" w:rsidP="003B1B62">
            <w:pPr>
              <w:pStyle w:val="AnnexNormal"/>
              <w:spacing w:line="240" w:lineRule="auto"/>
              <w:rPr>
                <w:rFonts w:ascii="Helvetica" w:hAnsi="Helvetica"/>
                <w:b/>
                <w:sz w:val="11"/>
                <w:szCs w:val="11"/>
              </w:rPr>
            </w:pPr>
            <w:r>
              <w:rPr>
                <w:rFonts w:ascii="Helvetica" w:hAnsi="Helvetica"/>
                <w:b/>
                <w:sz w:val="11"/>
              </w:rPr>
              <w:t>Eksponeringer utenfor balansen (beholdning) mot foretak som er omfattet av opplysningsplikten i direktivet om virksomheters bærekraftsrapportering, og lokale myndigheter</w:t>
            </w:r>
          </w:p>
        </w:tc>
      </w:tr>
      <w:tr w:rsidR="005E75A2" w:rsidRPr="00647D81" w14:paraId="65A62A3A" w14:textId="77777777" w:rsidTr="00647D81">
        <w:tc>
          <w:tcPr>
            <w:tcW w:w="380" w:type="dxa"/>
            <w:tcBorders>
              <w:left w:val="single" w:sz="4" w:space="0" w:color="auto"/>
            </w:tcBorders>
            <w:tcMar>
              <w:top w:w="10" w:type="dxa"/>
              <w:left w:w="0" w:type="dxa"/>
              <w:bottom w:w="4" w:type="dxa"/>
            </w:tcMar>
            <w:vAlign w:val="bottom"/>
          </w:tcPr>
          <w:p w14:paraId="391CD415"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41</w:t>
            </w:r>
          </w:p>
        </w:tc>
        <w:tc>
          <w:tcPr>
            <w:tcW w:w="3436" w:type="dxa"/>
            <w:tcMar>
              <w:top w:w="10" w:type="dxa"/>
              <w:bottom w:w="4" w:type="dxa"/>
            </w:tcMar>
          </w:tcPr>
          <w:p w14:paraId="220103C5" w14:textId="77777777" w:rsidR="003B1B62" w:rsidRPr="00647D81" w:rsidRDefault="005E75A2" w:rsidP="003B1B62">
            <w:pPr>
              <w:pStyle w:val="AnnexNormal"/>
              <w:spacing w:line="240" w:lineRule="auto"/>
              <w:rPr>
                <w:rFonts w:ascii="Helvetica" w:hAnsi="Helvetica"/>
                <w:sz w:val="11"/>
                <w:szCs w:val="11"/>
              </w:rPr>
            </w:pPr>
            <w:r>
              <w:rPr>
                <w:rFonts w:ascii="Helvetica" w:hAnsi="Helvetica"/>
                <w:sz w:val="11"/>
              </w:rPr>
              <w:t>Finansielle garantier</w:t>
            </w:r>
          </w:p>
        </w:tc>
        <w:tc>
          <w:tcPr>
            <w:tcW w:w="648" w:type="dxa"/>
            <w:tcMar>
              <w:top w:w="10" w:type="dxa"/>
              <w:bottom w:w="4" w:type="dxa"/>
            </w:tcMar>
          </w:tcPr>
          <w:p w14:paraId="1BFA63C0"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6FD185A7"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54014DC1"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5110C92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0C0156BA"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A68DF95"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45631F2"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9C6CA16"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6A43782B"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39660315"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199100F7"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6ADED061"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00ED127A"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1EA81E7"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3C863B82"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04A5BF3D" w14:textId="77777777" w:rsidR="003B1B62" w:rsidRPr="00647D81" w:rsidRDefault="003B1B62" w:rsidP="003B1B62">
            <w:pPr>
              <w:pStyle w:val="AnnexNormal"/>
              <w:spacing w:line="240" w:lineRule="auto"/>
              <w:rPr>
                <w:sz w:val="11"/>
                <w:szCs w:val="11"/>
              </w:rPr>
            </w:pPr>
          </w:p>
        </w:tc>
      </w:tr>
      <w:tr w:rsidR="005E75A2" w:rsidRPr="00647D81" w14:paraId="26568D19" w14:textId="77777777" w:rsidTr="00647D81">
        <w:tc>
          <w:tcPr>
            <w:tcW w:w="380" w:type="dxa"/>
            <w:tcBorders>
              <w:left w:val="single" w:sz="4" w:space="0" w:color="auto"/>
            </w:tcBorders>
            <w:tcMar>
              <w:top w:w="10" w:type="dxa"/>
              <w:left w:w="0" w:type="dxa"/>
              <w:bottom w:w="4" w:type="dxa"/>
            </w:tcMar>
            <w:vAlign w:val="bottom"/>
          </w:tcPr>
          <w:p w14:paraId="32AECD36"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42</w:t>
            </w:r>
          </w:p>
        </w:tc>
        <w:tc>
          <w:tcPr>
            <w:tcW w:w="3436" w:type="dxa"/>
            <w:tcMar>
              <w:top w:w="10" w:type="dxa"/>
              <w:bottom w:w="4" w:type="dxa"/>
            </w:tcMar>
          </w:tcPr>
          <w:p w14:paraId="770357CC" w14:textId="77777777" w:rsidR="003B1B62" w:rsidRPr="00647D81" w:rsidRDefault="005E75A2" w:rsidP="003B1B62">
            <w:pPr>
              <w:pStyle w:val="AnnexNormal"/>
              <w:spacing w:line="240" w:lineRule="auto"/>
              <w:rPr>
                <w:rFonts w:ascii="Helvetica" w:hAnsi="Helvetica"/>
                <w:sz w:val="11"/>
                <w:szCs w:val="11"/>
              </w:rPr>
            </w:pPr>
            <w:r>
              <w:rPr>
                <w:rFonts w:ascii="Helvetica" w:hAnsi="Helvetica"/>
                <w:sz w:val="11"/>
              </w:rPr>
              <w:t>Eiendeler under forvaltning</w:t>
            </w:r>
          </w:p>
        </w:tc>
        <w:tc>
          <w:tcPr>
            <w:tcW w:w="648" w:type="dxa"/>
            <w:tcMar>
              <w:top w:w="10" w:type="dxa"/>
              <w:bottom w:w="4" w:type="dxa"/>
            </w:tcMar>
          </w:tcPr>
          <w:p w14:paraId="564C1C60"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40E9850A"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59A1954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26E83A3B"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360EABD2"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BE26E94"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8B9150E"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1F69AC81"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40B925A"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3AFA5718"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30EC09BD"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6A3E5F37"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75D7ACB9"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6E0A3D0D"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19D501B4"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1BAF121C" w14:textId="77777777" w:rsidR="003B1B62" w:rsidRPr="00647D81" w:rsidRDefault="003B1B62" w:rsidP="003B1B62">
            <w:pPr>
              <w:pStyle w:val="AnnexNormal"/>
              <w:spacing w:line="240" w:lineRule="auto"/>
              <w:rPr>
                <w:sz w:val="11"/>
                <w:szCs w:val="11"/>
              </w:rPr>
            </w:pPr>
          </w:p>
        </w:tc>
      </w:tr>
      <w:tr w:rsidR="005E75A2" w:rsidRPr="00647D81" w14:paraId="73E61031" w14:textId="77777777" w:rsidTr="00647D81">
        <w:tc>
          <w:tcPr>
            <w:tcW w:w="380" w:type="dxa"/>
            <w:tcBorders>
              <w:left w:val="single" w:sz="4" w:space="0" w:color="auto"/>
            </w:tcBorders>
            <w:tcMar>
              <w:top w:w="10" w:type="dxa"/>
              <w:left w:w="0" w:type="dxa"/>
              <w:bottom w:w="4" w:type="dxa"/>
            </w:tcMar>
            <w:vAlign w:val="bottom"/>
          </w:tcPr>
          <w:p w14:paraId="616FB226"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43</w:t>
            </w:r>
          </w:p>
        </w:tc>
        <w:tc>
          <w:tcPr>
            <w:tcW w:w="3436" w:type="dxa"/>
            <w:tcMar>
              <w:top w:w="10" w:type="dxa"/>
              <w:bottom w:w="4" w:type="dxa"/>
            </w:tcMar>
          </w:tcPr>
          <w:p w14:paraId="1512533E" w14:textId="77777777" w:rsidR="003B1B62" w:rsidRPr="00647D81" w:rsidRDefault="005E75A2" w:rsidP="005E75A2">
            <w:pPr>
              <w:pStyle w:val="AnnexNormal"/>
              <w:spacing w:line="240" w:lineRule="auto"/>
              <w:jc w:val="right"/>
              <w:rPr>
                <w:rFonts w:ascii="Helvetica" w:hAnsi="Helvetica"/>
                <w:sz w:val="11"/>
                <w:szCs w:val="11"/>
              </w:rPr>
            </w:pPr>
            <w:r>
              <w:rPr>
                <w:rFonts w:ascii="Helvetica" w:hAnsi="Helvetica"/>
                <w:sz w:val="11"/>
              </w:rPr>
              <w:t>hvorav gjeldsinstrumenter</w:t>
            </w:r>
          </w:p>
        </w:tc>
        <w:tc>
          <w:tcPr>
            <w:tcW w:w="648" w:type="dxa"/>
            <w:tcMar>
              <w:top w:w="10" w:type="dxa"/>
              <w:bottom w:w="4" w:type="dxa"/>
            </w:tcMar>
          </w:tcPr>
          <w:p w14:paraId="7B103987"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387BDF3D"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032FEFEB"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113CC28"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F8C06CE"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9EDE95F"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471EC7DD"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02E647C6"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575C2C47"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061B863A"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68F90ECC"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5B99D00"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CC8CA44"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2E044E33"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7638B68B"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78BFDF4A" w14:textId="77777777" w:rsidR="003B1B62" w:rsidRPr="00647D81" w:rsidRDefault="003B1B62" w:rsidP="003B1B62">
            <w:pPr>
              <w:pStyle w:val="AnnexNormal"/>
              <w:spacing w:line="240" w:lineRule="auto"/>
              <w:rPr>
                <w:sz w:val="11"/>
                <w:szCs w:val="11"/>
              </w:rPr>
            </w:pPr>
          </w:p>
        </w:tc>
      </w:tr>
      <w:tr w:rsidR="005E75A2" w:rsidRPr="00647D81" w14:paraId="006FB9A6" w14:textId="77777777" w:rsidTr="00647D81">
        <w:tc>
          <w:tcPr>
            <w:tcW w:w="380" w:type="dxa"/>
            <w:tcBorders>
              <w:left w:val="single" w:sz="4" w:space="0" w:color="auto"/>
            </w:tcBorders>
            <w:tcMar>
              <w:top w:w="10" w:type="dxa"/>
              <w:left w:w="0" w:type="dxa"/>
              <w:bottom w:w="4" w:type="dxa"/>
            </w:tcMar>
            <w:vAlign w:val="bottom"/>
          </w:tcPr>
          <w:p w14:paraId="5C0820CF" w14:textId="77777777" w:rsidR="003B1B62" w:rsidRPr="00647D81" w:rsidRDefault="005E75A2" w:rsidP="005E75A2">
            <w:pPr>
              <w:pStyle w:val="AnnexNormal"/>
              <w:spacing w:line="240" w:lineRule="auto"/>
              <w:jc w:val="center"/>
              <w:rPr>
                <w:rFonts w:ascii="Helvetica" w:hAnsi="Helvetica"/>
                <w:sz w:val="11"/>
                <w:szCs w:val="11"/>
              </w:rPr>
            </w:pPr>
            <w:r>
              <w:rPr>
                <w:rFonts w:ascii="Helvetica" w:hAnsi="Helvetica"/>
                <w:sz w:val="11"/>
              </w:rPr>
              <w:t>44</w:t>
            </w:r>
          </w:p>
        </w:tc>
        <w:tc>
          <w:tcPr>
            <w:tcW w:w="3436" w:type="dxa"/>
            <w:tcMar>
              <w:top w:w="10" w:type="dxa"/>
              <w:bottom w:w="4" w:type="dxa"/>
            </w:tcMar>
          </w:tcPr>
          <w:p w14:paraId="3EDF8C87" w14:textId="77777777" w:rsidR="003B1B62" w:rsidRPr="00647D81" w:rsidRDefault="005E75A2" w:rsidP="005E75A2">
            <w:pPr>
              <w:pStyle w:val="AnnexNormal"/>
              <w:spacing w:line="240" w:lineRule="auto"/>
              <w:jc w:val="right"/>
              <w:rPr>
                <w:rFonts w:ascii="Helvetica" w:hAnsi="Helvetica"/>
                <w:sz w:val="11"/>
                <w:szCs w:val="11"/>
              </w:rPr>
            </w:pPr>
            <w:r>
              <w:rPr>
                <w:rFonts w:ascii="Helvetica" w:hAnsi="Helvetica"/>
                <w:sz w:val="11"/>
              </w:rPr>
              <w:t>hvorav egenkapitalinstrumenter</w:t>
            </w:r>
          </w:p>
        </w:tc>
        <w:tc>
          <w:tcPr>
            <w:tcW w:w="648" w:type="dxa"/>
            <w:tcMar>
              <w:top w:w="10" w:type="dxa"/>
              <w:bottom w:w="4" w:type="dxa"/>
            </w:tcMar>
          </w:tcPr>
          <w:p w14:paraId="211EDD07" w14:textId="77777777" w:rsidR="003B1B62" w:rsidRPr="00647D81" w:rsidRDefault="003B1B62" w:rsidP="003B1B62">
            <w:pPr>
              <w:pStyle w:val="AnnexNormal"/>
              <w:spacing w:line="240" w:lineRule="auto"/>
              <w:rPr>
                <w:sz w:val="11"/>
                <w:szCs w:val="11"/>
              </w:rPr>
            </w:pPr>
          </w:p>
        </w:tc>
        <w:tc>
          <w:tcPr>
            <w:tcW w:w="636" w:type="dxa"/>
            <w:tcMar>
              <w:top w:w="10" w:type="dxa"/>
              <w:bottom w:w="4" w:type="dxa"/>
            </w:tcMar>
          </w:tcPr>
          <w:p w14:paraId="3812220C" w14:textId="77777777" w:rsidR="003B1B62" w:rsidRPr="00647D81" w:rsidRDefault="003B1B62" w:rsidP="003B1B62">
            <w:pPr>
              <w:pStyle w:val="AnnexNormal"/>
              <w:spacing w:line="240" w:lineRule="auto"/>
              <w:rPr>
                <w:sz w:val="11"/>
                <w:szCs w:val="11"/>
              </w:rPr>
            </w:pPr>
          </w:p>
        </w:tc>
        <w:tc>
          <w:tcPr>
            <w:tcW w:w="620" w:type="dxa"/>
            <w:tcMar>
              <w:top w:w="10" w:type="dxa"/>
              <w:bottom w:w="4" w:type="dxa"/>
            </w:tcMar>
          </w:tcPr>
          <w:p w14:paraId="2AB0EB4C"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03F7A48"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7E42F46B"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9A7AC06"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607F4575" w14:textId="77777777" w:rsidR="003B1B62" w:rsidRPr="00647D81" w:rsidRDefault="003B1B62" w:rsidP="003B1B62">
            <w:pPr>
              <w:pStyle w:val="AnnexNormal"/>
              <w:spacing w:line="240" w:lineRule="auto"/>
              <w:rPr>
                <w:sz w:val="11"/>
                <w:szCs w:val="11"/>
              </w:rPr>
            </w:pPr>
          </w:p>
        </w:tc>
        <w:tc>
          <w:tcPr>
            <w:tcW w:w="560" w:type="dxa"/>
            <w:tcMar>
              <w:top w:w="10" w:type="dxa"/>
              <w:bottom w:w="4" w:type="dxa"/>
            </w:tcMar>
          </w:tcPr>
          <w:p w14:paraId="0D988D32"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306D7C06"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733BC93E" w14:textId="77777777" w:rsidR="003B1B62" w:rsidRPr="00647D81" w:rsidRDefault="003B1B62" w:rsidP="003B1B62">
            <w:pPr>
              <w:pStyle w:val="AnnexNormal"/>
              <w:spacing w:line="240" w:lineRule="auto"/>
              <w:rPr>
                <w:sz w:val="11"/>
                <w:szCs w:val="11"/>
              </w:rPr>
            </w:pPr>
          </w:p>
        </w:tc>
        <w:tc>
          <w:tcPr>
            <w:tcW w:w="600" w:type="dxa"/>
            <w:tcMar>
              <w:top w:w="10" w:type="dxa"/>
              <w:bottom w:w="4" w:type="dxa"/>
            </w:tcMar>
          </w:tcPr>
          <w:p w14:paraId="57A45246" w14:textId="77777777" w:rsidR="003B1B62" w:rsidRPr="00647D81" w:rsidRDefault="003B1B62" w:rsidP="003B1B62">
            <w:pPr>
              <w:pStyle w:val="AnnexNormal"/>
              <w:spacing w:line="240" w:lineRule="auto"/>
              <w:rPr>
                <w:sz w:val="11"/>
                <w:szCs w:val="11"/>
              </w:rPr>
            </w:pPr>
          </w:p>
        </w:tc>
        <w:tc>
          <w:tcPr>
            <w:tcW w:w="700" w:type="dxa"/>
            <w:tcMar>
              <w:top w:w="10" w:type="dxa"/>
              <w:bottom w:w="4" w:type="dxa"/>
            </w:tcMar>
          </w:tcPr>
          <w:p w14:paraId="55F51FEB"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37D66811" w14:textId="77777777" w:rsidR="003B1B62" w:rsidRPr="00647D81" w:rsidRDefault="003B1B62" w:rsidP="003B1B62">
            <w:pPr>
              <w:pStyle w:val="AnnexNormal"/>
              <w:spacing w:line="240" w:lineRule="auto"/>
              <w:rPr>
                <w:sz w:val="11"/>
                <w:szCs w:val="11"/>
              </w:rPr>
            </w:pPr>
          </w:p>
        </w:tc>
        <w:tc>
          <w:tcPr>
            <w:tcW w:w="800" w:type="dxa"/>
            <w:tcMar>
              <w:top w:w="10" w:type="dxa"/>
              <w:bottom w:w="4" w:type="dxa"/>
            </w:tcMar>
          </w:tcPr>
          <w:p w14:paraId="37632B05" w14:textId="77777777" w:rsidR="003B1B62" w:rsidRPr="00647D81" w:rsidRDefault="003B1B62" w:rsidP="003B1B62">
            <w:pPr>
              <w:pStyle w:val="AnnexNormal"/>
              <w:spacing w:line="240" w:lineRule="auto"/>
              <w:rPr>
                <w:sz w:val="11"/>
                <w:szCs w:val="11"/>
              </w:rPr>
            </w:pPr>
          </w:p>
        </w:tc>
        <w:tc>
          <w:tcPr>
            <w:tcW w:w="796" w:type="dxa"/>
            <w:tcMar>
              <w:top w:w="10" w:type="dxa"/>
              <w:bottom w:w="4" w:type="dxa"/>
            </w:tcMar>
          </w:tcPr>
          <w:p w14:paraId="7276264C" w14:textId="77777777" w:rsidR="003B1B62" w:rsidRPr="00647D81" w:rsidRDefault="003B1B62" w:rsidP="003B1B62">
            <w:pPr>
              <w:pStyle w:val="AnnexNormal"/>
              <w:spacing w:line="240" w:lineRule="auto"/>
              <w:rPr>
                <w:sz w:val="11"/>
                <w:szCs w:val="11"/>
              </w:rPr>
            </w:pPr>
          </w:p>
        </w:tc>
        <w:tc>
          <w:tcPr>
            <w:tcW w:w="800" w:type="dxa"/>
            <w:tcBorders>
              <w:right w:val="single" w:sz="4" w:space="0" w:color="auto"/>
            </w:tcBorders>
            <w:tcMar>
              <w:top w:w="10" w:type="dxa"/>
              <w:bottom w:w="4" w:type="dxa"/>
              <w:right w:w="0" w:type="dxa"/>
            </w:tcMar>
          </w:tcPr>
          <w:p w14:paraId="39A81663" w14:textId="77777777" w:rsidR="003B1B62" w:rsidRPr="00647D81" w:rsidRDefault="003B1B62" w:rsidP="003B1B62">
            <w:pPr>
              <w:pStyle w:val="AnnexNormal"/>
              <w:spacing w:line="240" w:lineRule="auto"/>
              <w:rPr>
                <w:sz w:val="11"/>
                <w:szCs w:val="11"/>
              </w:rPr>
            </w:pPr>
          </w:p>
        </w:tc>
      </w:tr>
    </w:tbl>
    <w:p w14:paraId="5931B513" w14:textId="77777777" w:rsidR="003D3189" w:rsidRPr="003D3189" w:rsidRDefault="003D3189" w:rsidP="00647D81">
      <w:pPr>
        <w:pStyle w:val="AnnexNormal"/>
        <w:pageBreakBefore/>
        <w:spacing w:after="0"/>
      </w:pPr>
      <w:r>
        <w:lastRenderedPageBreak/>
        <w:t>1. Følgende regnskapskategorier skal tas med når det gjelder finansielle eiendeler: Finansielle eiendeler til amortisert kost, finansielle eiendeler til virkelig verdi gjennom andre inntekter og kostnader, investeringer i datterforetak, felleskontrollerte foretak og tilknyttede foretak, finansielle eiendeler vurdert til virkelig verdi over resultatet samt finansielle eiendeler utenfor handelsporteføljen, obligatorisk vurdert til virkelig verdi over resultatet og sikkerhet i fast eiendom som kredittinstitusjoner har fått gjennom overtakelse av eiendomsretten mot ettergivelse av gjeld.</w:t>
      </w:r>
    </w:p>
    <w:p w14:paraId="62FC7457" w14:textId="77777777" w:rsidR="003D3189" w:rsidRPr="003D3189" w:rsidRDefault="003D3189" w:rsidP="003D3189">
      <w:pPr>
        <w:pStyle w:val="AnnexNormal"/>
        <w:spacing w:after="0"/>
      </w:pPr>
      <w:r>
        <w:t>2. Kredittinstitusjoner skal duplisere denne malen for å rapportere om beholdninger med sikte på beregningen av GAR-beholdning, og for å rapportere om nye eiendeler med sikte på beregningen av GAR-strøm.</w:t>
      </w:r>
    </w:p>
    <w:p w14:paraId="0A081C21" w14:textId="77777777" w:rsidR="003D3189" w:rsidRPr="003D3189" w:rsidRDefault="003D3189" w:rsidP="003D3189">
      <w:pPr>
        <w:pStyle w:val="AnnexNormal"/>
        <w:spacing w:after="0"/>
      </w:pPr>
      <w:r>
        <w:t>3. Kredittinstitusjoner skal duplisere denne malen for opplysninger basert på omsetning og investeringsutgifter.</w:t>
      </w:r>
    </w:p>
    <w:p w14:paraId="742BCE64" w14:textId="114FFD8D" w:rsidR="003D3189" w:rsidRPr="003D3189" w:rsidRDefault="003D3189" w:rsidP="003D3189">
      <w:pPr>
        <w:pStyle w:val="AnnexNormal"/>
        <w:spacing w:after="0"/>
      </w:pPr>
      <w:r>
        <w:t xml:space="preserve">4. </w:t>
      </w:r>
      <w:r w:rsidR="005605F3">
        <w:t>I</w:t>
      </w:r>
      <w:r>
        <w:t xml:space="preserve"> samsvar med artikkel 7 nr. 8 bokstav a) og b) i denne forordningen</w:t>
      </w:r>
    </w:p>
    <w:p w14:paraId="4F99B934" w14:textId="68182450" w:rsidR="003D3189" w:rsidRPr="003D3189" w:rsidRDefault="003D3189" w:rsidP="003D3189">
      <w:pPr>
        <w:pStyle w:val="AnnexNormal"/>
        <w:spacing w:after="0"/>
      </w:pPr>
      <w:r>
        <w:t xml:space="preserve">5. </w:t>
      </w:r>
      <w:r w:rsidR="005605F3">
        <w:t>I</w:t>
      </w:r>
      <w:r>
        <w:t xml:space="preserve"> samsvar med artikkel 4 nr. 1a i denne forordningen</w:t>
      </w:r>
    </w:p>
    <w:p w14:paraId="5762E8DD" w14:textId="100808FC" w:rsidR="003D3189" w:rsidRDefault="003D3189" w:rsidP="003D3189">
      <w:pPr>
        <w:pStyle w:val="AnnexNormal"/>
      </w:pPr>
      <w:r>
        <w:t xml:space="preserve">6. </w:t>
      </w:r>
      <w:r w:rsidR="005605F3">
        <w:t>I</w:t>
      </w:r>
      <w:r>
        <w:t xml:space="preserve"> samsvar med artikkel 7 nr. 3 i denne forordningen</w:t>
      </w:r>
    </w:p>
    <w:p w14:paraId="088C527C" w14:textId="77777777" w:rsidR="003D3189" w:rsidRDefault="003D3189">
      <w:pPr>
        <w:shd w:val="clear" w:color="auto" w:fill="auto"/>
        <w:spacing w:line="0" w:lineRule="auto"/>
        <w:jc w:val="left"/>
        <w:rPr>
          <w:color w:val="auto"/>
          <w14:ligatures w14:val="standard"/>
        </w:rPr>
      </w:pPr>
      <w:r>
        <w:br w:type="page"/>
      </w:r>
    </w:p>
    <w:p w14:paraId="0A451D9E" w14:textId="77777777" w:rsidR="003D3189" w:rsidRPr="003D3189" w:rsidRDefault="003D3189" w:rsidP="003D3189">
      <w:pPr>
        <w:pStyle w:val="TableTitle"/>
        <w:rPr>
          <w:i/>
        </w:rPr>
      </w:pPr>
      <w:r>
        <w:rPr>
          <w:i/>
        </w:rPr>
        <w:lastRenderedPageBreak/>
        <w:t>Mal 2: GAR – sektoropplysninger</w:t>
      </w:r>
    </w:p>
    <w:tbl>
      <w:tblPr>
        <w:tblOverlap w:val="never"/>
        <w:tblW w:w="14311" w:type="dxa"/>
        <w:tblInd w:w="10" w:type="dxa"/>
        <w:tblLayout w:type="fixed"/>
        <w:tblCellMar>
          <w:left w:w="10" w:type="dxa"/>
          <w:right w:w="10" w:type="dxa"/>
        </w:tblCellMar>
        <w:tblLook w:val="0000" w:firstRow="0" w:lastRow="0" w:firstColumn="0" w:lastColumn="0" w:noHBand="0" w:noVBand="0"/>
      </w:tblPr>
      <w:tblGrid>
        <w:gridCol w:w="677"/>
        <w:gridCol w:w="3100"/>
        <w:gridCol w:w="1142"/>
        <w:gridCol w:w="1027"/>
        <w:gridCol w:w="989"/>
        <w:gridCol w:w="1142"/>
        <w:gridCol w:w="1272"/>
        <w:gridCol w:w="1142"/>
        <w:gridCol w:w="1334"/>
        <w:gridCol w:w="1142"/>
        <w:gridCol w:w="1344"/>
      </w:tblGrid>
      <w:tr w:rsidR="003D3189" w:rsidRPr="00647D81" w14:paraId="111B314A" w14:textId="77777777" w:rsidTr="003D3189">
        <w:trPr>
          <w:trHeight w:val="206"/>
        </w:trPr>
        <w:tc>
          <w:tcPr>
            <w:tcW w:w="677" w:type="dxa"/>
            <w:shd w:val="clear" w:color="auto" w:fill="FFFFFF"/>
            <w:tcMar>
              <w:top w:w="20" w:type="dxa"/>
              <w:left w:w="0" w:type="dxa"/>
              <w:bottom w:w="20" w:type="dxa"/>
            </w:tcMar>
            <w:vAlign w:val="center"/>
          </w:tcPr>
          <w:p w14:paraId="188DDD37" w14:textId="77777777" w:rsidR="003D3189" w:rsidRPr="00647D81" w:rsidRDefault="003D3189" w:rsidP="003D3189">
            <w:pPr>
              <w:pStyle w:val="AnnexTableHeader"/>
              <w:spacing w:line="200" w:lineRule="exact"/>
              <w:rPr>
                <w:rFonts w:ascii="Helvetica" w:hAnsi="Helvetica"/>
                <w:sz w:val="14"/>
                <w:szCs w:val="14"/>
              </w:rPr>
            </w:pPr>
          </w:p>
        </w:tc>
        <w:tc>
          <w:tcPr>
            <w:tcW w:w="3100" w:type="dxa"/>
            <w:tcBorders>
              <w:top w:val="single" w:sz="4" w:space="0" w:color="auto"/>
              <w:left w:val="single" w:sz="4" w:space="0" w:color="auto"/>
            </w:tcBorders>
            <w:shd w:val="clear" w:color="auto" w:fill="FFFFFF"/>
            <w:tcMar>
              <w:top w:w="20" w:type="dxa"/>
              <w:bottom w:w="20" w:type="dxa"/>
            </w:tcMar>
            <w:vAlign w:val="center"/>
          </w:tcPr>
          <w:p w14:paraId="156C3DE8" w14:textId="77777777" w:rsidR="003D3189" w:rsidRPr="00647D81" w:rsidRDefault="003D3189" w:rsidP="00B310F8">
            <w:pPr>
              <w:pStyle w:val="AnnexTableHeader"/>
              <w:spacing w:line="200" w:lineRule="exact"/>
              <w:ind w:left="40"/>
              <w:jc w:val="left"/>
              <w:rPr>
                <w:rFonts w:ascii="Helvetica" w:hAnsi="Helvetica"/>
                <w:sz w:val="14"/>
                <w:szCs w:val="14"/>
              </w:rPr>
            </w:pPr>
            <w:r>
              <w:rPr>
                <w:rFonts w:ascii="Helvetica" w:hAnsi="Helvetica"/>
                <w:sz w:val="14"/>
              </w:rPr>
              <w:t>Referansedato/-periode for opplysningene t</w:t>
            </w:r>
          </w:p>
        </w:tc>
        <w:tc>
          <w:tcPr>
            <w:tcW w:w="1142" w:type="dxa"/>
            <w:tcBorders>
              <w:top w:val="single" w:sz="4" w:space="0" w:color="auto"/>
              <w:left w:val="single" w:sz="4" w:space="0" w:color="auto"/>
            </w:tcBorders>
            <w:shd w:val="clear" w:color="auto" w:fill="FFFFFF"/>
            <w:tcMar>
              <w:top w:w="20" w:type="dxa"/>
              <w:bottom w:w="20" w:type="dxa"/>
            </w:tcMar>
            <w:vAlign w:val="center"/>
          </w:tcPr>
          <w:p w14:paraId="748FA639" w14:textId="77777777" w:rsidR="003D3189" w:rsidRPr="00647D81" w:rsidRDefault="003D3189" w:rsidP="003D3189">
            <w:pPr>
              <w:pStyle w:val="AnnexTableHeader"/>
              <w:spacing w:line="200" w:lineRule="exact"/>
              <w:rPr>
                <w:rFonts w:ascii="Helvetica" w:hAnsi="Helvetica"/>
                <w:sz w:val="14"/>
                <w:szCs w:val="14"/>
              </w:rPr>
            </w:pPr>
          </w:p>
        </w:tc>
        <w:tc>
          <w:tcPr>
            <w:tcW w:w="9392" w:type="dxa"/>
            <w:gridSpan w:val="8"/>
            <w:tcBorders>
              <w:left w:val="single" w:sz="4" w:space="0" w:color="auto"/>
            </w:tcBorders>
            <w:shd w:val="clear" w:color="auto" w:fill="FFFFFF"/>
            <w:tcMar>
              <w:top w:w="20" w:type="dxa"/>
              <w:bottom w:w="20" w:type="dxa"/>
              <w:right w:w="0" w:type="dxa"/>
            </w:tcMar>
            <w:vAlign w:val="center"/>
          </w:tcPr>
          <w:p w14:paraId="45E8DAB5" w14:textId="77777777" w:rsidR="003D3189" w:rsidRPr="00647D81" w:rsidRDefault="003D3189" w:rsidP="003D3189">
            <w:pPr>
              <w:pStyle w:val="AnnexTableHeader"/>
              <w:spacing w:line="200" w:lineRule="exact"/>
              <w:rPr>
                <w:rFonts w:ascii="Helvetica" w:hAnsi="Helvetica"/>
                <w:sz w:val="14"/>
                <w:szCs w:val="14"/>
              </w:rPr>
            </w:pPr>
          </w:p>
        </w:tc>
      </w:tr>
      <w:tr w:rsidR="003D3189" w:rsidRPr="00647D81" w14:paraId="04F48410" w14:textId="77777777" w:rsidTr="003D3189">
        <w:trPr>
          <w:trHeight w:val="206"/>
        </w:trPr>
        <w:tc>
          <w:tcPr>
            <w:tcW w:w="677" w:type="dxa"/>
            <w:shd w:val="clear" w:color="auto" w:fill="FFFFFF"/>
            <w:tcMar>
              <w:top w:w="20" w:type="dxa"/>
              <w:left w:w="0" w:type="dxa"/>
              <w:bottom w:w="20" w:type="dxa"/>
            </w:tcMar>
            <w:vAlign w:val="center"/>
          </w:tcPr>
          <w:p w14:paraId="5B3EAE0F" w14:textId="77777777" w:rsidR="003D3189" w:rsidRPr="00647D81" w:rsidRDefault="003D3189" w:rsidP="003D3189">
            <w:pPr>
              <w:pStyle w:val="AnnexTableHeader"/>
              <w:spacing w:line="200" w:lineRule="exact"/>
              <w:rPr>
                <w:rFonts w:ascii="Helvetica" w:hAnsi="Helvetica"/>
                <w:sz w:val="14"/>
                <w:szCs w:val="14"/>
              </w:rPr>
            </w:pPr>
          </w:p>
        </w:tc>
        <w:tc>
          <w:tcPr>
            <w:tcW w:w="3100" w:type="dxa"/>
            <w:tcBorders>
              <w:top w:val="single" w:sz="4" w:space="0" w:color="auto"/>
              <w:left w:val="single" w:sz="4" w:space="0" w:color="auto"/>
            </w:tcBorders>
            <w:shd w:val="clear" w:color="auto" w:fill="FFFFFF"/>
            <w:tcMar>
              <w:top w:w="20" w:type="dxa"/>
              <w:bottom w:w="20" w:type="dxa"/>
            </w:tcMar>
            <w:vAlign w:val="center"/>
          </w:tcPr>
          <w:p w14:paraId="0EA86EE9"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a</w:t>
            </w:r>
          </w:p>
        </w:tc>
        <w:tc>
          <w:tcPr>
            <w:tcW w:w="1142" w:type="dxa"/>
            <w:tcBorders>
              <w:top w:val="single" w:sz="4" w:space="0" w:color="auto"/>
              <w:left w:val="single" w:sz="4" w:space="0" w:color="auto"/>
            </w:tcBorders>
            <w:shd w:val="clear" w:color="auto" w:fill="FFFFFF"/>
            <w:tcMar>
              <w:top w:w="20" w:type="dxa"/>
              <w:bottom w:w="20" w:type="dxa"/>
            </w:tcMar>
            <w:vAlign w:val="center"/>
          </w:tcPr>
          <w:p w14:paraId="6EB3A4FA"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b</w:t>
            </w:r>
          </w:p>
        </w:tc>
        <w:tc>
          <w:tcPr>
            <w:tcW w:w="1027" w:type="dxa"/>
            <w:tcBorders>
              <w:top w:val="single" w:sz="4" w:space="0" w:color="auto"/>
              <w:left w:val="single" w:sz="4" w:space="0" w:color="auto"/>
            </w:tcBorders>
            <w:shd w:val="clear" w:color="auto" w:fill="FFFFFF"/>
            <w:tcMar>
              <w:top w:w="20" w:type="dxa"/>
              <w:bottom w:w="20" w:type="dxa"/>
            </w:tcMar>
            <w:vAlign w:val="center"/>
          </w:tcPr>
          <w:p w14:paraId="7CCCFDD5"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c</w:t>
            </w:r>
          </w:p>
        </w:tc>
        <w:tc>
          <w:tcPr>
            <w:tcW w:w="989" w:type="dxa"/>
            <w:tcBorders>
              <w:top w:val="single" w:sz="4" w:space="0" w:color="auto"/>
              <w:left w:val="single" w:sz="4" w:space="0" w:color="auto"/>
            </w:tcBorders>
            <w:shd w:val="clear" w:color="auto" w:fill="FFFFFF"/>
            <w:tcMar>
              <w:top w:w="20" w:type="dxa"/>
              <w:bottom w:w="20" w:type="dxa"/>
            </w:tcMar>
            <w:vAlign w:val="center"/>
          </w:tcPr>
          <w:p w14:paraId="5F32CDB0"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d</w:t>
            </w:r>
          </w:p>
        </w:tc>
        <w:tc>
          <w:tcPr>
            <w:tcW w:w="1142" w:type="dxa"/>
            <w:tcBorders>
              <w:top w:val="single" w:sz="4" w:space="0" w:color="auto"/>
              <w:left w:val="single" w:sz="4" w:space="0" w:color="auto"/>
            </w:tcBorders>
            <w:shd w:val="clear" w:color="auto" w:fill="FFFFFF"/>
            <w:tcMar>
              <w:top w:w="20" w:type="dxa"/>
              <w:bottom w:w="20" w:type="dxa"/>
            </w:tcMar>
            <w:vAlign w:val="center"/>
          </w:tcPr>
          <w:p w14:paraId="3B09B5C6"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e</w:t>
            </w:r>
          </w:p>
        </w:tc>
        <w:tc>
          <w:tcPr>
            <w:tcW w:w="1272" w:type="dxa"/>
            <w:tcBorders>
              <w:top w:val="single" w:sz="4" w:space="0" w:color="auto"/>
              <w:left w:val="single" w:sz="4" w:space="0" w:color="auto"/>
            </w:tcBorders>
            <w:shd w:val="clear" w:color="auto" w:fill="FFFFFF"/>
            <w:tcMar>
              <w:top w:w="20" w:type="dxa"/>
              <w:bottom w:w="20" w:type="dxa"/>
            </w:tcMar>
            <w:vAlign w:val="center"/>
          </w:tcPr>
          <w:p w14:paraId="7E8F48CA"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f</w:t>
            </w:r>
          </w:p>
        </w:tc>
        <w:tc>
          <w:tcPr>
            <w:tcW w:w="1142" w:type="dxa"/>
            <w:tcBorders>
              <w:top w:val="single" w:sz="4" w:space="0" w:color="auto"/>
              <w:left w:val="single" w:sz="4" w:space="0" w:color="auto"/>
            </w:tcBorders>
            <w:shd w:val="clear" w:color="auto" w:fill="FFFFFF"/>
            <w:tcMar>
              <w:top w:w="20" w:type="dxa"/>
              <w:bottom w:w="20" w:type="dxa"/>
            </w:tcMar>
            <w:vAlign w:val="center"/>
          </w:tcPr>
          <w:p w14:paraId="59E861BF"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g</w:t>
            </w:r>
          </w:p>
        </w:tc>
        <w:tc>
          <w:tcPr>
            <w:tcW w:w="1334" w:type="dxa"/>
            <w:tcBorders>
              <w:top w:val="single" w:sz="4" w:space="0" w:color="auto"/>
              <w:left w:val="single" w:sz="4" w:space="0" w:color="auto"/>
            </w:tcBorders>
            <w:shd w:val="clear" w:color="auto" w:fill="FFFFFF"/>
            <w:tcMar>
              <w:top w:w="20" w:type="dxa"/>
              <w:bottom w:w="20" w:type="dxa"/>
            </w:tcMar>
            <w:vAlign w:val="center"/>
          </w:tcPr>
          <w:p w14:paraId="42FAB9AC"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h</w:t>
            </w:r>
          </w:p>
        </w:tc>
        <w:tc>
          <w:tcPr>
            <w:tcW w:w="1142" w:type="dxa"/>
            <w:tcBorders>
              <w:top w:val="single" w:sz="4" w:space="0" w:color="auto"/>
              <w:left w:val="single" w:sz="4" w:space="0" w:color="auto"/>
            </w:tcBorders>
            <w:shd w:val="clear" w:color="auto" w:fill="FFFFFF"/>
            <w:tcMar>
              <w:top w:w="20" w:type="dxa"/>
              <w:bottom w:w="20" w:type="dxa"/>
            </w:tcMar>
            <w:vAlign w:val="center"/>
          </w:tcPr>
          <w:p w14:paraId="27B1DACC"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i</w:t>
            </w:r>
          </w:p>
        </w:tc>
        <w:tc>
          <w:tcPr>
            <w:tcW w:w="1344" w:type="dxa"/>
            <w:tcBorders>
              <w:top w:val="single" w:sz="4" w:space="0" w:color="auto"/>
              <w:left w:val="single" w:sz="4" w:space="0" w:color="auto"/>
              <w:right w:val="single" w:sz="4" w:space="0" w:color="auto"/>
            </w:tcBorders>
            <w:shd w:val="clear" w:color="auto" w:fill="FFFFFF"/>
            <w:tcMar>
              <w:top w:w="20" w:type="dxa"/>
              <w:bottom w:w="20" w:type="dxa"/>
              <w:right w:w="0" w:type="dxa"/>
            </w:tcMar>
            <w:vAlign w:val="center"/>
          </w:tcPr>
          <w:p w14:paraId="6D237962"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j</w:t>
            </w:r>
          </w:p>
        </w:tc>
      </w:tr>
      <w:tr w:rsidR="003D3189" w:rsidRPr="00647D81" w14:paraId="1CB843C2" w14:textId="77777777" w:rsidTr="003D3189">
        <w:trPr>
          <w:trHeight w:val="610"/>
        </w:trPr>
        <w:tc>
          <w:tcPr>
            <w:tcW w:w="677" w:type="dxa"/>
            <w:shd w:val="clear" w:color="auto" w:fill="FFFFFF"/>
            <w:tcMar>
              <w:top w:w="20" w:type="dxa"/>
              <w:left w:w="0" w:type="dxa"/>
              <w:bottom w:w="20" w:type="dxa"/>
            </w:tcMar>
            <w:vAlign w:val="center"/>
          </w:tcPr>
          <w:p w14:paraId="337B1D2D" w14:textId="77777777" w:rsidR="003D3189" w:rsidRPr="00647D81" w:rsidRDefault="003D3189" w:rsidP="003D3189">
            <w:pPr>
              <w:pStyle w:val="AnnexTableHeader"/>
              <w:spacing w:line="200" w:lineRule="exact"/>
              <w:rPr>
                <w:rFonts w:ascii="Helvetica" w:hAnsi="Helvetica"/>
                <w:sz w:val="14"/>
                <w:szCs w:val="14"/>
              </w:rPr>
            </w:pPr>
          </w:p>
        </w:tc>
        <w:tc>
          <w:tcPr>
            <w:tcW w:w="3100" w:type="dxa"/>
            <w:tcBorders>
              <w:top w:val="single" w:sz="4" w:space="0" w:color="auto"/>
              <w:left w:val="single" w:sz="4" w:space="0" w:color="auto"/>
            </w:tcBorders>
            <w:shd w:val="clear" w:color="auto" w:fill="FFFFFF"/>
            <w:tcMar>
              <w:top w:w="20" w:type="dxa"/>
              <w:bottom w:w="20" w:type="dxa"/>
            </w:tcMar>
            <w:vAlign w:val="center"/>
          </w:tcPr>
          <w:p w14:paraId="151B0624"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Spesifisering etter sektor – firesifret nivå i NACE-klassifiseringen (kode og betegnelse)</w:t>
            </w:r>
          </w:p>
          <w:p w14:paraId="48C74ECC"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(Millioner euro)</w:t>
            </w:r>
          </w:p>
        </w:tc>
        <w:tc>
          <w:tcPr>
            <w:tcW w:w="1142" w:type="dxa"/>
            <w:tcBorders>
              <w:top w:val="single" w:sz="4" w:space="0" w:color="auto"/>
              <w:left w:val="single" w:sz="4" w:space="0" w:color="auto"/>
            </w:tcBorders>
            <w:shd w:val="clear" w:color="auto" w:fill="FFFFFF"/>
            <w:tcMar>
              <w:top w:w="20" w:type="dxa"/>
              <w:bottom w:w="20" w:type="dxa"/>
            </w:tcMar>
            <w:vAlign w:val="center"/>
          </w:tcPr>
          <w:p w14:paraId="2126B909"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Samlet [brutto] balanseført verdi</w:t>
            </w:r>
          </w:p>
        </w:tc>
        <w:tc>
          <w:tcPr>
            <w:tcW w:w="1027" w:type="dxa"/>
            <w:tcBorders>
              <w:top w:val="single" w:sz="4" w:space="0" w:color="auto"/>
              <w:left w:val="single" w:sz="4" w:space="0" w:color="auto"/>
            </w:tcBorders>
            <w:shd w:val="clear" w:color="auto" w:fill="FFFFFF"/>
            <w:tcMar>
              <w:top w:w="20" w:type="dxa"/>
              <w:bottom w:w="20" w:type="dxa"/>
            </w:tcMar>
            <w:vAlign w:val="center"/>
          </w:tcPr>
          <w:p w14:paraId="65954856"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Hvorav omfattet av taksonomien</w:t>
            </w:r>
          </w:p>
        </w:tc>
        <w:tc>
          <w:tcPr>
            <w:tcW w:w="989" w:type="dxa"/>
            <w:tcBorders>
              <w:top w:val="single" w:sz="4" w:space="0" w:color="auto"/>
              <w:left w:val="single" w:sz="4" w:space="0" w:color="auto"/>
            </w:tcBorders>
            <w:shd w:val="clear" w:color="auto" w:fill="FFFFFF"/>
            <w:tcMar>
              <w:top w:w="20" w:type="dxa"/>
              <w:bottom w:w="20" w:type="dxa"/>
            </w:tcMar>
            <w:vAlign w:val="center"/>
          </w:tcPr>
          <w:p w14:paraId="2B0502AE" w14:textId="2A121494"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Hvorav taksonomi</w:t>
            </w:r>
            <w:r w:rsidR="003520FD">
              <w:rPr>
                <w:rFonts w:ascii="Helvetica" w:hAnsi="Helvetica"/>
                <w:sz w:val="14"/>
              </w:rPr>
              <w:softHyphen/>
            </w:r>
            <w:r>
              <w:rPr>
                <w:rFonts w:ascii="Helvetica" w:hAnsi="Helvetica"/>
                <w:sz w:val="14"/>
              </w:rPr>
              <w:t>forenlige</w:t>
            </w:r>
          </w:p>
        </w:tc>
        <w:tc>
          <w:tcPr>
            <w:tcW w:w="1142" w:type="dxa"/>
            <w:tcBorders>
              <w:top w:val="single" w:sz="4" w:space="0" w:color="auto"/>
              <w:left w:val="single" w:sz="4" w:space="0" w:color="auto"/>
            </w:tcBorders>
            <w:shd w:val="clear" w:color="auto" w:fill="FFFFFF"/>
            <w:tcMar>
              <w:top w:w="20" w:type="dxa"/>
              <w:bottom w:w="20" w:type="dxa"/>
            </w:tcMar>
            <w:vAlign w:val="center"/>
          </w:tcPr>
          <w:p w14:paraId="7A449537"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Begrensning av klimaendringer (CCM)</w:t>
            </w:r>
          </w:p>
        </w:tc>
        <w:tc>
          <w:tcPr>
            <w:tcW w:w="1272" w:type="dxa"/>
            <w:tcBorders>
              <w:top w:val="single" w:sz="4" w:space="0" w:color="auto"/>
              <w:left w:val="single" w:sz="4" w:space="0" w:color="auto"/>
            </w:tcBorders>
            <w:shd w:val="clear" w:color="auto" w:fill="FFFFFF"/>
            <w:tcMar>
              <w:top w:w="20" w:type="dxa"/>
              <w:bottom w:w="20" w:type="dxa"/>
            </w:tcMar>
            <w:vAlign w:val="center"/>
          </w:tcPr>
          <w:p w14:paraId="341D4E2D"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Tilpasning til klimaendringer (CCA)</w:t>
            </w:r>
          </w:p>
        </w:tc>
        <w:tc>
          <w:tcPr>
            <w:tcW w:w="1142" w:type="dxa"/>
            <w:tcBorders>
              <w:top w:val="single" w:sz="4" w:space="0" w:color="auto"/>
              <w:left w:val="single" w:sz="4" w:space="0" w:color="auto"/>
            </w:tcBorders>
            <w:shd w:val="clear" w:color="auto" w:fill="FFFFFF"/>
            <w:tcMar>
              <w:top w:w="20" w:type="dxa"/>
              <w:bottom w:w="20" w:type="dxa"/>
            </w:tcMar>
            <w:vAlign w:val="center"/>
          </w:tcPr>
          <w:p w14:paraId="634CDD1A"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Vann- og havressurser (WTR)</w:t>
            </w:r>
          </w:p>
        </w:tc>
        <w:tc>
          <w:tcPr>
            <w:tcW w:w="1334" w:type="dxa"/>
            <w:tcBorders>
              <w:top w:val="single" w:sz="4" w:space="0" w:color="auto"/>
              <w:left w:val="single" w:sz="4" w:space="0" w:color="auto"/>
            </w:tcBorders>
            <w:shd w:val="clear" w:color="auto" w:fill="FFFFFF"/>
            <w:tcMar>
              <w:top w:w="20" w:type="dxa"/>
              <w:bottom w:w="20" w:type="dxa"/>
            </w:tcMar>
            <w:vAlign w:val="center"/>
          </w:tcPr>
          <w:p w14:paraId="16CB1699"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Sirkulær økonomi (CE)</w:t>
            </w:r>
          </w:p>
        </w:tc>
        <w:tc>
          <w:tcPr>
            <w:tcW w:w="1142" w:type="dxa"/>
            <w:tcBorders>
              <w:top w:val="single" w:sz="4" w:space="0" w:color="auto"/>
              <w:left w:val="single" w:sz="4" w:space="0" w:color="auto"/>
            </w:tcBorders>
            <w:shd w:val="clear" w:color="auto" w:fill="FFFFFF"/>
            <w:tcMar>
              <w:top w:w="20" w:type="dxa"/>
              <w:bottom w:w="20" w:type="dxa"/>
            </w:tcMar>
            <w:vAlign w:val="center"/>
          </w:tcPr>
          <w:p w14:paraId="082EB17E"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Forurensning (PPC)</w:t>
            </w:r>
          </w:p>
        </w:tc>
        <w:tc>
          <w:tcPr>
            <w:tcW w:w="1344" w:type="dxa"/>
            <w:tcBorders>
              <w:top w:val="single" w:sz="4" w:space="0" w:color="auto"/>
              <w:left w:val="single" w:sz="4" w:space="0" w:color="auto"/>
              <w:right w:val="single" w:sz="4" w:space="0" w:color="auto"/>
            </w:tcBorders>
            <w:shd w:val="clear" w:color="auto" w:fill="FFFFFF"/>
            <w:tcMar>
              <w:top w:w="20" w:type="dxa"/>
              <w:bottom w:w="20" w:type="dxa"/>
              <w:right w:w="0" w:type="dxa"/>
            </w:tcMar>
            <w:vAlign w:val="center"/>
          </w:tcPr>
          <w:p w14:paraId="025BF450" w14:textId="77777777" w:rsidR="003D3189" w:rsidRPr="00647D81" w:rsidRDefault="003D3189" w:rsidP="003D3189">
            <w:pPr>
              <w:pStyle w:val="AnnexTableHeader"/>
              <w:spacing w:line="200" w:lineRule="exact"/>
              <w:rPr>
                <w:rFonts w:ascii="Helvetica" w:hAnsi="Helvetica"/>
                <w:sz w:val="14"/>
                <w:szCs w:val="14"/>
              </w:rPr>
            </w:pPr>
            <w:r>
              <w:rPr>
                <w:rFonts w:ascii="Helvetica" w:hAnsi="Helvetica"/>
                <w:sz w:val="14"/>
              </w:rPr>
              <w:t>Biologisk mangfold og økosystemer (BIO)</w:t>
            </w:r>
          </w:p>
        </w:tc>
      </w:tr>
      <w:tr w:rsidR="003D3189" w:rsidRPr="00647D81" w14:paraId="3972517C" w14:textId="77777777" w:rsidTr="00B82B31">
        <w:trPr>
          <w:trHeight w:val="206"/>
        </w:trPr>
        <w:tc>
          <w:tcPr>
            <w:tcW w:w="677" w:type="dxa"/>
            <w:tcBorders>
              <w:top w:val="single" w:sz="4" w:space="0" w:color="auto"/>
              <w:left w:val="single" w:sz="4" w:space="0" w:color="auto"/>
            </w:tcBorders>
            <w:shd w:val="clear" w:color="auto" w:fill="FFFFFF"/>
            <w:tcMar>
              <w:top w:w="20" w:type="dxa"/>
              <w:left w:w="0" w:type="dxa"/>
              <w:bottom w:w="20" w:type="dxa"/>
            </w:tcMar>
            <w:vAlign w:val="bottom"/>
          </w:tcPr>
          <w:p w14:paraId="640C20C6" w14:textId="77777777" w:rsidR="003D3189" w:rsidRPr="00647D81" w:rsidRDefault="003D3189" w:rsidP="003D3189">
            <w:pPr>
              <w:pStyle w:val="AnnexTableCell"/>
              <w:rPr>
                <w:rFonts w:ascii="Helvetica" w:hAnsi="Helvetica"/>
                <w:sz w:val="16"/>
                <w:szCs w:val="16"/>
              </w:rPr>
            </w:pPr>
            <w:r>
              <w:rPr>
                <w:rFonts w:ascii="Helvetica" w:hAnsi="Helvetica"/>
                <w:sz w:val="16"/>
              </w:rPr>
              <w:t>1</w:t>
            </w:r>
          </w:p>
        </w:tc>
        <w:tc>
          <w:tcPr>
            <w:tcW w:w="3100" w:type="dxa"/>
            <w:tcBorders>
              <w:top w:val="single" w:sz="4" w:space="0" w:color="auto"/>
              <w:left w:val="single" w:sz="4" w:space="0" w:color="auto"/>
            </w:tcBorders>
            <w:shd w:val="clear" w:color="auto" w:fill="FFFFFF"/>
            <w:tcMar>
              <w:top w:w="20" w:type="dxa"/>
              <w:bottom w:w="20" w:type="dxa"/>
            </w:tcMar>
          </w:tcPr>
          <w:p w14:paraId="40523EB8" w14:textId="77777777" w:rsidR="003D3189" w:rsidRPr="00647D81" w:rsidRDefault="003D3189" w:rsidP="003D3189">
            <w:pPr>
              <w:pStyle w:val="AnnexTableCell"/>
              <w:rPr>
                <w:rFonts w:ascii="Helvetica" w:hAnsi="Helvetica"/>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2E3CFD2D"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tcBorders>
            <w:shd w:val="clear" w:color="auto" w:fill="FFFFFF"/>
            <w:tcMar>
              <w:top w:w="20" w:type="dxa"/>
              <w:bottom w:w="20" w:type="dxa"/>
            </w:tcMar>
          </w:tcPr>
          <w:p w14:paraId="74C96323"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tcBorders>
            <w:shd w:val="clear" w:color="auto" w:fill="FFFFFF"/>
            <w:tcMar>
              <w:top w:w="20" w:type="dxa"/>
              <w:bottom w:w="20" w:type="dxa"/>
            </w:tcMar>
          </w:tcPr>
          <w:p w14:paraId="6CED33F7"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62EF8D7B"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tcBorders>
            <w:shd w:val="clear" w:color="auto" w:fill="FFFFFF"/>
            <w:tcMar>
              <w:top w:w="20" w:type="dxa"/>
              <w:bottom w:w="20" w:type="dxa"/>
            </w:tcMar>
          </w:tcPr>
          <w:p w14:paraId="1B13802D"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562905AE"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tcBorders>
            <w:shd w:val="clear" w:color="auto" w:fill="FFFFFF"/>
            <w:tcMar>
              <w:top w:w="20" w:type="dxa"/>
              <w:bottom w:w="20" w:type="dxa"/>
            </w:tcMar>
          </w:tcPr>
          <w:p w14:paraId="7ECBBB0D"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68D3CF91"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right w:w="0" w:type="dxa"/>
            </w:tcMar>
          </w:tcPr>
          <w:p w14:paraId="20CED29B" w14:textId="77777777" w:rsidR="003D3189" w:rsidRPr="00647D81" w:rsidRDefault="003D3189" w:rsidP="003D3189">
            <w:pPr>
              <w:pStyle w:val="AnnexTableCell"/>
              <w:rPr>
                <w:sz w:val="16"/>
                <w:szCs w:val="16"/>
              </w:rPr>
            </w:pPr>
          </w:p>
        </w:tc>
      </w:tr>
      <w:tr w:rsidR="003D3189" w:rsidRPr="00647D81" w14:paraId="16DF2061" w14:textId="77777777" w:rsidTr="00B82B31">
        <w:trPr>
          <w:trHeight w:val="202"/>
        </w:trPr>
        <w:tc>
          <w:tcPr>
            <w:tcW w:w="677" w:type="dxa"/>
            <w:tcBorders>
              <w:top w:val="single" w:sz="4" w:space="0" w:color="auto"/>
              <w:left w:val="single" w:sz="4" w:space="0" w:color="auto"/>
            </w:tcBorders>
            <w:shd w:val="clear" w:color="auto" w:fill="FFFFFF"/>
            <w:tcMar>
              <w:top w:w="20" w:type="dxa"/>
              <w:left w:w="0" w:type="dxa"/>
              <w:bottom w:w="20" w:type="dxa"/>
            </w:tcMar>
            <w:vAlign w:val="bottom"/>
          </w:tcPr>
          <w:p w14:paraId="71ACDF54" w14:textId="77777777" w:rsidR="003D3189" w:rsidRPr="00647D81" w:rsidRDefault="003D3189" w:rsidP="003D3189">
            <w:pPr>
              <w:pStyle w:val="AnnexTableCell"/>
              <w:rPr>
                <w:rFonts w:ascii="Helvetica" w:hAnsi="Helvetica"/>
                <w:sz w:val="16"/>
                <w:szCs w:val="16"/>
              </w:rPr>
            </w:pPr>
            <w:r>
              <w:rPr>
                <w:rFonts w:ascii="Helvetica" w:hAnsi="Helvetica"/>
                <w:sz w:val="16"/>
              </w:rPr>
              <w:t>2</w:t>
            </w:r>
          </w:p>
        </w:tc>
        <w:tc>
          <w:tcPr>
            <w:tcW w:w="3100" w:type="dxa"/>
            <w:tcBorders>
              <w:top w:val="single" w:sz="4" w:space="0" w:color="auto"/>
              <w:left w:val="single" w:sz="4" w:space="0" w:color="auto"/>
            </w:tcBorders>
            <w:shd w:val="clear" w:color="auto" w:fill="FFFFFF"/>
            <w:tcMar>
              <w:top w:w="20" w:type="dxa"/>
              <w:bottom w:w="20" w:type="dxa"/>
            </w:tcMar>
          </w:tcPr>
          <w:p w14:paraId="10009F31" w14:textId="77777777" w:rsidR="003D3189" w:rsidRPr="00647D81" w:rsidRDefault="003D3189" w:rsidP="003D3189">
            <w:pPr>
              <w:pStyle w:val="AnnexTableCell"/>
              <w:rPr>
                <w:rFonts w:ascii="Helvetica" w:hAnsi="Helvetica"/>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02E7D014"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tcBorders>
            <w:shd w:val="clear" w:color="auto" w:fill="FFFFFF"/>
            <w:tcMar>
              <w:top w:w="20" w:type="dxa"/>
              <w:bottom w:w="20" w:type="dxa"/>
            </w:tcMar>
          </w:tcPr>
          <w:p w14:paraId="1226485D"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tcBorders>
            <w:shd w:val="clear" w:color="auto" w:fill="FFFFFF"/>
            <w:tcMar>
              <w:top w:w="20" w:type="dxa"/>
              <w:bottom w:w="20" w:type="dxa"/>
            </w:tcMar>
          </w:tcPr>
          <w:p w14:paraId="61B2DAFF"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258856DC"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tcBorders>
            <w:shd w:val="clear" w:color="auto" w:fill="FFFFFF"/>
            <w:tcMar>
              <w:top w:w="20" w:type="dxa"/>
              <w:bottom w:w="20" w:type="dxa"/>
            </w:tcMar>
          </w:tcPr>
          <w:p w14:paraId="7A78F0D0"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0CBB52ED"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tcBorders>
            <w:shd w:val="clear" w:color="auto" w:fill="FFFFFF"/>
            <w:tcMar>
              <w:top w:w="20" w:type="dxa"/>
              <w:bottom w:w="20" w:type="dxa"/>
            </w:tcMar>
          </w:tcPr>
          <w:p w14:paraId="09690F37"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1E795E8A"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right w:w="0" w:type="dxa"/>
            </w:tcMar>
          </w:tcPr>
          <w:p w14:paraId="312C9865" w14:textId="77777777" w:rsidR="003D3189" w:rsidRPr="00647D81" w:rsidRDefault="003D3189" w:rsidP="003D3189">
            <w:pPr>
              <w:pStyle w:val="AnnexTableCell"/>
              <w:rPr>
                <w:sz w:val="16"/>
                <w:szCs w:val="16"/>
              </w:rPr>
            </w:pPr>
          </w:p>
        </w:tc>
      </w:tr>
      <w:tr w:rsidR="003D3189" w:rsidRPr="00647D81" w14:paraId="1F384CBF" w14:textId="77777777" w:rsidTr="00B82B31">
        <w:trPr>
          <w:trHeight w:val="206"/>
        </w:trPr>
        <w:tc>
          <w:tcPr>
            <w:tcW w:w="677" w:type="dxa"/>
            <w:tcBorders>
              <w:top w:val="single" w:sz="4" w:space="0" w:color="auto"/>
              <w:left w:val="single" w:sz="4" w:space="0" w:color="auto"/>
            </w:tcBorders>
            <w:shd w:val="clear" w:color="auto" w:fill="FFFFFF"/>
            <w:tcMar>
              <w:top w:w="20" w:type="dxa"/>
              <w:left w:w="0" w:type="dxa"/>
              <w:bottom w:w="20" w:type="dxa"/>
            </w:tcMar>
            <w:vAlign w:val="bottom"/>
          </w:tcPr>
          <w:p w14:paraId="08E9D9DF" w14:textId="77777777" w:rsidR="003D3189" w:rsidRPr="00647D81" w:rsidRDefault="003D3189" w:rsidP="003D3189">
            <w:pPr>
              <w:pStyle w:val="AnnexTableCell"/>
              <w:rPr>
                <w:rFonts w:ascii="Helvetica" w:hAnsi="Helvetica"/>
                <w:sz w:val="16"/>
                <w:szCs w:val="16"/>
              </w:rPr>
            </w:pPr>
            <w:r>
              <w:rPr>
                <w:rFonts w:ascii="Helvetica" w:hAnsi="Helvetica"/>
                <w:sz w:val="16"/>
              </w:rPr>
              <w:t>3</w:t>
            </w:r>
          </w:p>
        </w:tc>
        <w:tc>
          <w:tcPr>
            <w:tcW w:w="3100" w:type="dxa"/>
            <w:tcBorders>
              <w:top w:val="single" w:sz="4" w:space="0" w:color="auto"/>
              <w:left w:val="single" w:sz="4" w:space="0" w:color="auto"/>
            </w:tcBorders>
            <w:shd w:val="clear" w:color="auto" w:fill="FFFFFF"/>
            <w:tcMar>
              <w:top w:w="20" w:type="dxa"/>
              <w:bottom w:w="20" w:type="dxa"/>
            </w:tcMar>
          </w:tcPr>
          <w:p w14:paraId="0E57EF12" w14:textId="77777777" w:rsidR="003D3189" w:rsidRPr="00647D81" w:rsidRDefault="003D3189" w:rsidP="003D3189">
            <w:pPr>
              <w:pStyle w:val="AnnexTableCell"/>
              <w:rPr>
                <w:rFonts w:ascii="Helvetica" w:hAnsi="Helvetica"/>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5E7B3BB6"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tcBorders>
            <w:shd w:val="clear" w:color="auto" w:fill="FFFFFF"/>
            <w:tcMar>
              <w:top w:w="20" w:type="dxa"/>
              <w:bottom w:w="20" w:type="dxa"/>
            </w:tcMar>
          </w:tcPr>
          <w:p w14:paraId="38AE9B78"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tcBorders>
            <w:shd w:val="clear" w:color="auto" w:fill="FFFFFF"/>
            <w:tcMar>
              <w:top w:w="20" w:type="dxa"/>
              <w:bottom w:w="20" w:type="dxa"/>
            </w:tcMar>
          </w:tcPr>
          <w:p w14:paraId="1D8F2915"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1827BFFB"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tcBorders>
            <w:shd w:val="clear" w:color="auto" w:fill="FFFFFF"/>
            <w:tcMar>
              <w:top w:w="20" w:type="dxa"/>
              <w:bottom w:w="20" w:type="dxa"/>
            </w:tcMar>
          </w:tcPr>
          <w:p w14:paraId="47FCC03F"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46681657"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tcBorders>
            <w:shd w:val="clear" w:color="auto" w:fill="FFFFFF"/>
            <w:tcMar>
              <w:top w:w="20" w:type="dxa"/>
              <w:bottom w:w="20" w:type="dxa"/>
            </w:tcMar>
          </w:tcPr>
          <w:p w14:paraId="222DDF33"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54D867F7"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right w:w="0" w:type="dxa"/>
            </w:tcMar>
          </w:tcPr>
          <w:p w14:paraId="0D1950AA" w14:textId="77777777" w:rsidR="003D3189" w:rsidRPr="00647D81" w:rsidRDefault="003D3189" w:rsidP="003D3189">
            <w:pPr>
              <w:pStyle w:val="AnnexTableCell"/>
              <w:rPr>
                <w:sz w:val="16"/>
                <w:szCs w:val="16"/>
              </w:rPr>
            </w:pPr>
          </w:p>
        </w:tc>
      </w:tr>
      <w:tr w:rsidR="003D3189" w:rsidRPr="00647D81" w14:paraId="2AE1582C" w14:textId="77777777" w:rsidTr="00B82B31">
        <w:trPr>
          <w:trHeight w:val="202"/>
        </w:trPr>
        <w:tc>
          <w:tcPr>
            <w:tcW w:w="677" w:type="dxa"/>
            <w:tcBorders>
              <w:top w:val="single" w:sz="4" w:space="0" w:color="auto"/>
              <w:left w:val="single" w:sz="4" w:space="0" w:color="auto"/>
            </w:tcBorders>
            <w:shd w:val="clear" w:color="auto" w:fill="FFFFFF"/>
            <w:tcMar>
              <w:top w:w="20" w:type="dxa"/>
              <w:left w:w="0" w:type="dxa"/>
              <w:bottom w:w="20" w:type="dxa"/>
            </w:tcMar>
          </w:tcPr>
          <w:p w14:paraId="4DE4FDB3" w14:textId="3CECE6D6" w:rsidR="003D3189" w:rsidRPr="00647D81" w:rsidRDefault="00B310F8" w:rsidP="003D3189">
            <w:pPr>
              <w:pStyle w:val="AnnexTableCell"/>
              <w:rPr>
                <w:rFonts w:ascii="Helvetica" w:hAnsi="Helvetica"/>
                <w:sz w:val="16"/>
                <w:szCs w:val="16"/>
              </w:rPr>
            </w:pPr>
            <w:r>
              <w:rPr>
                <w:rFonts w:ascii="Helvetica" w:hAnsi="Helvetica"/>
                <w:sz w:val="16"/>
              </w:rPr>
              <w:t>…</w:t>
            </w:r>
          </w:p>
        </w:tc>
        <w:tc>
          <w:tcPr>
            <w:tcW w:w="3100" w:type="dxa"/>
            <w:tcBorders>
              <w:top w:val="single" w:sz="4" w:space="0" w:color="auto"/>
              <w:left w:val="single" w:sz="4" w:space="0" w:color="auto"/>
            </w:tcBorders>
            <w:shd w:val="clear" w:color="auto" w:fill="FFFFFF"/>
            <w:tcMar>
              <w:top w:w="20" w:type="dxa"/>
              <w:bottom w:w="20" w:type="dxa"/>
            </w:tcMar>
          </w:tcPr>
          <w:p w14:paraId="64E58C59" w14:textId="77777777" w:rsidR="003D3189" w:rsidRPr="00647D81" w:rsidRDefault="003D3189" w:rsidP="003D3189">
            <w:pPr>
              <w:pStyle w:val="AnnexTableCell"/>
              <w:rPr>
                <w:rFonts w:ascii="Helvetica" w:hAnsi="Helvetica"/>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554627BE"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tcBorders>
            <w:shd w:val="clear" w:color="auto" w:fill="FFFFFF"/>
            <w:tcMar>
              <w:top w:w="20" w:type="dxa"/>
              <w:bottom w:w="20" w:type="dxa"/>
            </w:tcMar>
          </w:tcPr>
          <w:p w14:paraId="7F6F9610"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tcBorders>
            <w:shd w:val="clear" w:color="auto" w:fill="FFFFFF"/>
            <w:tcMar>
              <w:top w:w="20" w:type="dxa"/>
              <w:bottom w:w="20" w:type="dxa"/>
            </w:tcMar>
          </w:tcPr>
          <w:p w14:paraId="76DCCF2F"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10052328"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tcBorders>
            <w:shd w:val="clear" w:color="auto" w:fill="FFFFFF"/>
            <w:tcMar>
              <w:top w:w="20" w:type="dxa"/>
              <w:bottom w:w="20" w:type="dxa"/>
            </w:tcMar>
          </w:tcPr>
          <w:p w14:paraId="30226A5B"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33570112"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tcBorders>
            <w:shd w:val="clear" w:color="auto" w:fill="FFFFFF"/>
            <w:tcMar>
              <w:top w:w="20" w:type="dxa"/>
              <w:bottom w:w="20" w:type="dxa"/>
            </w:tcMar>
          </w:tcPr>
          <w:p w14:paraId="2BD0EB7A"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08E67C4B"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right w:w="0" w:type="dxa"/>
            </w:tcMar>
          </w:tcPr>
          <w:p w14:paraId="0D3AFBFA" w14:textId="77777777" w:rsidR="003D3189" w:rsidRPr="00647D81" w:rsidRDefault="003D3189" w:rsidP="003D3189">
            <w:pPr>
              <w:pStyle w:val="AnnexTableCell"/>
              <w:rPr>
                <w:sz w:val="16"/>
                <w:szCs w:val="16"/>
              </w:rPr>
            </w:pPr>
          </w:p>
        </w:tc>
      </w:tr>
      <w:tr w:rsidR="003D3189" w:rsidRPr="00647D81" w14:paraId="2D2FC200" w14:textId="77777777" w:rsidTr="00B82B31">
        <w:trPr>
          <w:trHeight w:val="206"/>
        </w:trPr>
        <w:tc>
          <w:tcPr>
            <w:tcW w:w="677" w:type="dxa"/>
            <w:tcBorders>
              <w:top w:val="single" w:sz="4" w:space="0" w:color="auto"/>
              <w:left w:val="single" w:sz="4" w:space="0" w:color="auto"/>
            </w:tcBorders>
            <w:shd w:val="clear" w:color="auto" w:fill="FFFFFF"/>
            <w:tcMar>
              <w:top w:w="20" w:type="dxa"/>
              <w:left w:w="0" w:type="dxa"/>
              <w:bottom w:w="20" w:type="dxa"/>
            </w:tcMar>
            <w:vAlign w:val="bottom"/>
          </w:tcPr>
          <w:p w14:paraId="22006C39" w14:textId="77777777" w:rsidR="003D3189" w:rsidRPr="00647D81" w:rsidRDefault="003D3189" w:rsidP="003D3189">
            <w:pPr>
              <w:pStyle w:val="AnnexTableCell"/>
              <w:rPr>
                <w:rFonts w:ascii="Helvetica" w:hAnsi="Helvetica"/>
                <w:sz w:val="16"/>
                <w:szCs w:val="16"/>
              </w:rPr>
            </w:pPr>
            <w:r>
              <w:rPr>
                <w:rFonts w:ascii="Helvetica" w:hAnsi="Helvetica"/>
                <w:sz w:val="16"/>
              </w:rPr>
              <w:t>10</w:t>
            </w:r>
          </w:p>
        </w:tc>
        <w:tc>
          <w:tcPr>
            <w:tcW w:w="3100" w:type="dxa"/>
            <w:tcBorders>
              <w:top w:val="single" w:sz="4" w:space="0" w:color="auto"/>
              <w:left w:val="single" w:sz="4" w:space="0" w:color="auto"/>
            </w:tcBorders>
            <w:shd w:val="clear" w:color="auto" w:fill="FFFFFF"/>
            <w:tcMar>
              <w:top w:w="20" w:type="dxa"/>
              <w:bottom w:w="20" w:type="dxa"/>
            </w:tcMar>
          </w:tcPr>
          <w:p w14:paraId="05449131" w14:textId="77777777" w:rsidR="003D3189" w:rsidRPr="00647D81" w:rsidRDefault="003D3189" w:rsidP="003D3189">
            <w:pPr>
              <w:pStyle w:val="AnnexTableCell"/>
              <w:rPr>
                <w:rFonts w:ascii="Helvetica" w:hAnsi="Helvetica"/>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3282A70B"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tcBorders>
            <w:shd w:val="clear" w:color="auto" w:fill="FFFFFF"/>
            <w:tcMar>
              <w:top w:w="20" w:type="dxa"/>
              <w:bottom w:w="20" w:type="dxa"/>
            </w:tcMar>
          </w:tcPr>
          <w:p w14:paraId="594F2B35"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tcBorders>
            <w:shd w:val="clear" w:color="auto" w:fill="FFFFFF"/>
            <w:tcMar>
              <w:top w:w="20" w:type="dxa"/>
              <w:bottom w:w="20" w:type="dxa"/>
            </w:tcMar>
          </w:tcPr>
          <w:p w14:paraId="4D3984C4"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32A73E5A"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tcBorders>
            <w:shd w:val="clear" w:color="auto" w:fill="FFFFFF"/>
            <w:tcMar>
              <w:top w:w="20" w:type="dxa"/>
              <w:bottom w:w="20" w:type="dxa"/>
            </w:tcMar>
          </w:tcPr>
          <w:p w14:paraId="550FD2CB"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5B169641"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tcBorders>
            <w:shd w:val="clear" w:color="auto" w:fill="FFFFFF"/>
            <w:tcMar>
              <w:top w:w="20" w:type="dxa"/>
              <w:bottom w:w="20" w:type="dxa"/>
            </w:tcMar>
          </w:tcPr>
          <w:p w14:paraId="0C8F13A8"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tcBorders>
            <w:shd w:val="clear" w:color="auto" w:fill="FFFFFF"/>
            <w:tcMar>
              <w:top w:w="20" w:type="dxa"/>
              <w:bottom w:w="20" w:type="dxa"/>
            </w:tcMar>
          </w:tcPr>
          <w:p w14:paraId="67F1D7EA"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right w:w="0" w:type="dxa"/>
            </w:tcMar>
          </w:tcPr>
          <w:p w14:paraId="43F51B93" w14:textId="77777777" w:rsidR="003D3189" w:rsidRPr="00647D81" w:rsidRDefault="003D3189" w:rsidP="003D3189">
            <w:pPr>
              <w:pStyle w:val="AnnexTableCell"/>
              <w:rPr>
                <w:sz w:val="16"/>
                <w:szCs w:val="16"/>
              </w:rPr>
            </w:pPr>
          </w:p>
        </w:tc>
      </w:tr>
      <w:tr w:rsidR="003D3189" w:rsidRPr="00647D81" w14:paraId="14CD31D1" w14:textId="77777777" w:rsidTr="00B82B31">
        <w:trPr>
          <w:trHeight w:val="202"/>
        </w:trPr>
        <w:tc>
          <w:tcPr>
            <w:tcW w:w="677" w:type="dxa"/>
            <w:tcBorders>
              <w:top w:val="single" w:sz="4" w:space="0" w:color="auto"/>
              <w:left w:val="single" w:sz="4" w:space="0" w:color="auto"/>
            </w:tcBorders>
            <w:shd w:val="clear" w:color="auto" w:fill="FFFFFF"/>
            <w:tcMar>
              <w:top w:w="20" w:type="dxa"/>
              <w:left w:w="0" w:type="dxa"/>
              <w:bottom w:w="20" w:type="dxa"/>
            </w:tcMar>
            <w:vAlign w:val="bottom"/>
          </w:tcPr>
          <w:p w14:paraId="1C324D8C" w14:textId="77777777" w:rsidR="003D3189" w:rsidRPr="00647D81" w:rsidRDefault="003D3189" w:rsidP="003D3189">
            <w:pPr>
              <w:pStyle w:val="AnnexTableCell"/>
              <w:rPr>
                <w:rFonts w:ascii="Helvetica" w:hAnsi="Helvetica"/>
                <w:sz w:val="16"/>
                <w:szCs w:val="16"/>
              </w:rPr>
            </w:pPr>
            <w:r>
              <w:rPr>
                <w:rFonts w:ascii="Helvetica" w:hAnsi="Helvetica"/>
                <w:sz w:val="16"/>
              </w:rPr>
              <w:t>11</w:t>
            </w:r>
          </w:p>
        </w:tc>
        <w:tc>
          <w:tcPr>
            <w:tcW w:w="3100" w:type="dxa"/>
            <w:tcBorders>
              <w:top w:val="single" w:sz="4" w:space="0" w:color="auto"/>
              <w:left w:val="single" w:sz="4" w:space="0" w:color="auto"/>
            </w:tcBorders>
            <w:shd w:val="clear" w:color="auto" w:fill="FFFFFF"/>
            <w:tcMar>
              <w:top w:w="20" w:type="dxa"/>
              <w:bottom w:w="20" w:type="dxa"/>
            </w:tcMar>
            <w:vAlign w:val="center"/>
          </w:tcPr>
          <w:p w14:paraId="50D5BBA4" w14:textId="77777777" w:rsidR="003D3189" w:rsidRPr="00647D81" w:rsidRDefault="003D3189" w:rsidP="005E6B58">
            <w:pPr>
              <w:pStyle w:val="AnnexTableCell"/>
              <w:ind w:left="40"/>
              <w:jc w:val="left"/>
              <w:rPr>
                <w:rFonts w:ascii="Helvetica" w:hAnsi="Helvetica"/>
                <w:sz w:val="16"/>
                <w:szCs w:val="16"/>
              </w:rPr>
            </w:pPr>
            <w:r>
              <w:rPr>
                <w:rFonts w:ascii="Helvetica" w:hAnsi="Helvetica"/>
                <w:sz w:val="16"/>
              </w:rPr>
              <w:t>Kjernefysiske aktiviteter (4)</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328C5CDE"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4DD385C4"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46BF973B"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3F1982E8"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50BFDB44"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6B4BA980"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50B27F9F"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6AD6D4CB"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right w:w="0" w:type="dxa"/>
            </w:tcMar>
          </w:tcPr>
          <w:p w14:paraId="4EAE6E60" w14:textId="77777777" w:rsidR="003D3189" w:rsidRPr="00647D81" w:rsidRDefault="003D3189" w:rsidP="003D3189">
            <w:pPr>
              <w:pStyle w:val="AnnexTableCell"/>
              <w:rPr>
                <w:sz w:val="16"/>
                <w:szCs w:val="16"/>
              </w:rPr>
            </w:pPr>
          </w:p>
        </w:tc>
      </w:tr>
      <w:tr w:rsidR="005E6B58" w:rsidRPr="00647D81" w14:paraId="1748DAC8" w14:textId="77777777" w:rsidTr="005E6B58">
        <w:trPr>
          <w:trHeight w:val="206"/>
        </w:trPr>
        <w:tc>
          <w:tcPr>
            <w:tcW w:w="677" w:type="dxa"/>
            <w:tcBorders>
              <w:top w:val="single" w:sz="4" w:space="0" w:color="auto"/>
              <w:left w:val="single" w:sz="4" w:space="0" w:color="auto"/>
            </w:tcBorders>
            <w:shd w:val="clear" w:color="auto" w:fill="FFFFFF"/>
            <w:tcMar>
              <w:top w:w="20" w:type="dxa"/>
              <w:left w:w="0" w:type="dxa"/>
              <w:bottom w:w="20" w:type="dxa"/>
            </w:tcMar>
            <w:vAlign w:val="bottom"/>
          </w:tcPr>
          <w:p w14:paraId="1EFCE9B5" w14:textId="77777777" w:rsidR="003D3189" w:rsidRPr="00647D81" w:rsidRDefault="003D3189" w:rsidP="003D3189">
            <w:pPr>
              <w:pStyle w:val="AnnexTableCell"/>
              <w:rPr>
                <w:rFonts w:ascii="Helvetica" w:hAnsi="Helvetica"/>
                <w:sz w:val="16"/>
                <w:szCs w:val="16"/>
              </w:rPr>
            </w:pPr>
            <w:r>
              <w:rPr>
                <w:rFonts w:ascii="Helvetica" w:hAnsi="Helvetica"/>
                <w:sz w:val="16"/>
              </w:rPr>
              <w:t>12</w:t>
            </w:r>
          </w:p>
        </w:tc>
        <w:tc>
          <w:tcPr>
            <w:tcW w:w="3100" w:type="dxa"/>
            <w:tcBorders>
              <w:top w:val="single" w:sz="4" w:space="0" w:color="auto"/>
              <w:left w:val="single" w:sz="4" w:space="0" w:color="auto"/>
            </w:tcBorders>
            <w:shd w:val="clear" w:color="auto" w:fill="FFFFFF"/>
            <w:tcMar>
              <w:top w:w="20" w:type="dxa"/>
              <w:bottom w:w="20" w:type="dxa"/>
            </w:tcMar>
            <w:vAlign w:val="bottom"/>
          </w:tcPr>
          <w:p w14:paraId="679E82DE" w14:textId="77777777" w:rsidR="003D3189" w:rsidRPr="00647D81" w:rsidRDefault="003D3189" w:rsidP="005E6B58">
            <w:pPr>
              <w:pStyle w:val="AnnexTableCell"/>
              <w:ind w:left="40"/>
              <w:jc w:val="left"/>
              <w:rPr>
                <w:rFonts w:ascii="Helvetica" w:hAnsi="Helvetica"/>
                <w:sz w:val="16"/>
                <w:szCs w:val="16"/>
              </w:rPr>
            </w:pPr>
            <w:r>
              <w:rPr>
                <w:rFonts w:ascii="Helvetica" w:hAnsi="Helvetica"/>
                <w:sz w:val="16"/>
              </w:rPr>
              <w:t>Fossilgassaktiviteter (5)</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470F6EBE"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36183EAC"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5B29298B"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552BAA43"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072FB458"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4C264BF1"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743C2A53"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4330A0D2"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right w:w="0" w:type="dxa"/>
            </w:tcMar>
          </w:tcPr>
          <w:p w14:paraId="3B967D11" w14:textId="77777777" w:rsidR="003D3189" w:rsidRPr="00647D81" w:rsidRDefault="003D3189" w:rsidP="003D3189">
            <w:pPr>
              <w:pStyle w:val="AnnexTableCell"/>
              <w:rPr>
                <w:sz w:val="16"/>
                <w:szCs w:val="16"/>
              </w:rPr>
            </w:pPr>
          </w:p>
        </w:tc>
      </w:tr>
      <w:tr w:rsidR="005E6B58" w:rsidRPr="00647D81" w14:paraId="27CC37DE" w14:textId="77777777" w:rsidTr="005E6B58">
        <w:trPr>
          <w:trHeight w:val="230"/>
        </w:trPr>
        <w:tc>
          <w:tcPr>
            <w:tcW w:w="677" w:type="dxa"/>
            <w:tcBorders>
              <w:top w:val="single" w:sz="4" w:space="0" w:color="auto"/>
              <w:left w:val="single" w:sz="4" w:space="0" w:color="auto"/>
              <w:bottom w:val="single" w:sz="4" w:space="0" w:color="auto"/>
            </w:tcBorders>
            <w:shd w:val="clear" w:color="auto" w:fill="FFFFFF"/>
            <w:tcMar>
              <w:top w:w="20" w:type="dxa"/>
              <w:left w:w="0" w:type="dxa"/>
              <w:bottom w:w="20" w:type="dxa"/>
            </w:tcMar>
            <w:vAlign w:val="bottom"/>
          </w:tcPr>
          <w:p w14:paraId="60FDE9D2" w14:textId="77777777" w:rsidR="003D3189" w:rsidRPr="00647D81" w:rsidRDefault="003D3189" w:rsidP="003D3189">
            <w:pPr>
              <w:pStyle w:val="AnnexTableCell"/>
              <w:rPr>
                <w:rFonts w:ascii="Helvetica" w:hAnsi="Helvetica"/>
                <w:sz w:val="16"/>
                <w:szCs w:val="16"/>
              </w:rPr>
            </w:pPr>
            <w:r>
              <w:rPr>
                <w:rFonts w:ascii="Helvetica" w:hAnsi="Helvetica"/>
                <w:sz w:val="16"/>
              </w:rPr>
              <w:t>13</w:t>
            </w:r>
          </w:p>
        </w:tc>
        <w:tc>
          <w:tcPr>
            <w:tcW w:w="3100" w:type="dxa"/>
            <w:tcBorders>
              <w:top w:val="single" w:sz="4" w:space="0" w:color="auto"/>
              <w:left w:val="single" w:sz="4" w:space="0" w:color="auto"/>
              <w:bottom w:val="single" w:sz="4" w:space="0" w:color="auto"/>
            </w:tcBorders>
            <w:shd w:val="clear" w:color="auto" w:fill="FFFFFF"/>
            <w:tcMar>
              <w:top w:w="20" w:type="dxa"/>
              <w:bottom w:w="20" w:type="dxa"/>
            </w:tcMar>
            <w:vAlign w:val="bottom"/>
          </w:tcPr>
          <w:p w14:paraId="07FFFBDA" w14:textId="77777777" w:rsidR="003D3189" w:rsidRPr="00647D81" w:rsidRDefault="003D3189" w:rsidP="005E6B58">
            <w:pPr>
              <w:pStyle w:val="AnnexTableCell"/>
              <w:ind w:left="40"/>
              <w:jc w:val="left"/>
              <w:rPr>
                <w:rFonts w:ascii="Helvetica" w:hAnsi="Helvetica"/>
                <w:sz w:val="16"/>
                <w:szCs w:val="16"/>
              </w:rPr>
            </w:pPr>
            <w:r>
              <w:rPr>
                <w:rFonts w:ascii="Helvetica" w:hAnsi="Helvetica"/>
                <w:sz w:val="16"/>
              </w:rPr>
              <w:t>Hvorav ikke-vurderte eksponeringer (6)</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20" w:type="dxa"/>
              <w:bottom w:w="20" w:type="dxa"/>
            </w:tcMar>
          </w:tcPr>
          <w:p w14:paraId="026D9684" w14:textId="77777777" w:rsidR="003D3189" w:rsidRPr="00647D81" w:rsidRDefault="003D3189" w:rsidP="003D3189">
            <w:pPr>
              <w:pStyle w:val="AnnexTableCell"/>
              <w:rPr>
                <w:rFonts w:ascii="Helvetica" w:hAnsi="Helvetica"/>
                <w:sz w:val="16"/>
                <w:szCs w:val="16"/>
              </w:rPr>
            </w:pPr>
          </w:p>
        </w:tc>
        <w:tc>
          <w:tcPr>
            <w:tcW w:w="1027"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413401E5" w14:textId="77777777" w:rsidR="003D3189" w:rsidRPr="00647D81" w:rsidRDefault="003D3189" w:rsidP="003D3189">
            <w:pPr>
              <w:pStyle w:val="AnnexTableCell"/>
              <w:rPr>
                <w:rFonts w:ascii="Helvetica" w:hAnsi="Helvetica"/>
                <w:sz w:val="16"/>
                <w:szCs w:val="16"/>
              </w:rPr>
            </w:pPr>
          </w:p>
        </w:tc>
        <w:tc>
          <w:tcPr>
            <w:tcW w:w="989"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03399406"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52F06EE3" w14:textId="77777777" w:rsidR="003D3189" w:rsidRPr="00647D81" w:rsidRDefault="003D3189" w:rsidP="003D3189">
            <w:pPr>
              <w:pStyle w:val="AnnexTableCell"/>
              <w:rPr>
                <w:sz w:val="16"/>
                <w:szCs w:val="16"/>
              </w:rPr>
            </w:pPr>
          </w:p>
        </w:tc>
        <w:tc>
          <w:tcPr>
            <w:tcW w:w="127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6CDAE9F5"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254E57A3" w14:textId="77777777" w:rsidR="003D3189" w:rsidRPr="00647D81" w:rsidRDefault="003D3189" w:rsidP="003D3189">
            <w:pPr>
              <w:pStyle w:val="AnnexTableCell"/>
              <w:rPr>
                <w:sz w:val="16"/>
                <w:szCs w:val="16"/>
              </w:rPr>
            </w:pPr>
          </w:p>
        </w:tc>
        <w:tc>
          <w:tcPr>
            <w:tcW w:w="1334"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4984D6F7" w14:textId="77777777" w:rsidR="003D3189" w:rsidRPr="00647D81" w:rsidRDefault="003D3189" w:rsidP="003D3189">
            <w:pPr>
              <w:pStyle w:val="AnnexTableCell"/>
              <w:rPr>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tcMar>
          </w:tcPr>
          <w:p w14:paraId="083797E7" w14:textId="77777777" w:rsidR="003D3189" w:rsidRPr="00647D81" w:rsidRDefault="003D3189" w:rsidP="003D3189">
            <w:pPr>
              <w:pStyle w:val="AnnexTableCell"/>
              <w:rPr>
                <w:sz w:val="16"/>
                <w:szCs w:val="16"/>
              </w:rPr>
            </w:pPr>
          </w:p>
        </w:tc>
        <w:tc>
          <w:tcPr>
            <w:tcW w:w="1344" w:type="dxa"/>
            <w:tcBorders>
              <w:top w:val="single" w:sz="4" w:space="0" w:color="auto"/>
              <w:left w:val="single" w:sz="4" w:space="0" w:color="auto"/>
              <w:bottom w:val="single" w:sz="4" w:space="0" w:color="auto"/>
              <w:right w:val="single" w:sz="4" w:space="0" w:color="auto"/>
            </w:tcBorders>
            <w:shd w:val="clear" w:color="auto" w:fill="000000" w:themeFill="text1"/>
            <w:tcMar>
              <w:top w:w="20" w:type="dxa"/>
              <w:bottom w:w="20" w:type="dxa"/>
              <w:right w:w="0" w:type="dxa"/>
            </w:tcMar>
          </w:tcPr>
          <w:p w14:paraId="57CB280C" w14:textId="77777777" w:rsidR="003D3189" w:rsidRPr="00647D81" w:rsidRDefault="003D3189" w:rsidP="003D3189">
            <w:pPr>
              <w:pStyle w:val="AnnexTableCell"/>
              <w:rPr>
                <w:sz w:val="16"/>
                <w:szCs w:val="16"/>
              </w:rPr>
            </w:pPr>
          </w:p>
        </w:tc>
      </w:tr>
    </w:tbl>
    <w:p w14:paraId="6087FB84" w14:textId="77777777" w:rsidR="005E6B58" w:rsidRPr="005E6B58" w:rsidRDefault="005E6B58" w:rsidP="005E6B58">
      <w:pPr>
        <w:pStyle w:val="AnnexNormal"/>
        <w:spacing w:before="200" w:after="0"/>
      </w:pPr>
      <w:r>
        <w:t>1. Kredittinstitusjoner skal i denne malen framlegge opplysninger om de ti viktigste eksponeringene i bankporteføljen mot de ti viktigste sektorene som er omfattet av taksonomien (NACE-sektorer på firesifret nivå), og da bruke de relevante NACE-kodene på grunnlag av motpartens hovedaktivitet.</w:t>
      </w:r>
    </w:p>
    <w:p w14:paraId="5BC8D5D0" w14:textId="77777777" w:rsidR="005E6B58" w:rsidRPr="005E6B58" w:rsidRDefault="005E6B58" w:rsidP="005E6B58">
      <w:pPr>
        <w:pStyle w:val="AnnexNormal"/>
        <w:spacing w:after="0"/>
      </w:pPr>
      <w:r>
        <w:t>2. Fordelingen på NACE-sektorer skal utelukkende ta utgangspunkt i den direkte motpartens art. Eksponeringer som er inngått i fellesskap av mer enn én skyldner, skal klassifiseres på grunnlag av egenskapene ved den skyldneren som var mest relevant eller avgjørende for at institusjonen påtok seg eksponeringen. Fordelingen på NACE-koder når det gjelder eksponeringer som er inngått i fellesskap, skal baseres på egenskapene ved den skyldneren som var mest relevant eller avgjørende. Institusjoner skal framlegge opplysninger etter NACE-koder med det detaljnivået som malen krever.</w:t>
      </w:r>
    </w:p>
    <w:p w14:paraId="42BF64C1" w14:textId="77777777" w:rsidR="005E6B58" w:rsidRPr="005E6B58" w:rsidRDefault="005E6B58" w:rsidP="005E6B58">
      <w:pPr>
        <w:pStyle w:val="AnnexNormal"/>
        <w:spacing w:after="0"/>
      </w:pPr>
      <w:r>
        <w:t>3. Kredittinstitusjoner skal duplisere denne malen for opplysninger basert på omsetning og investeringsutgifter.</w:t>
      </w:r>
    </w:p>
    <w:p w14:paraId="438911EF" w14:textId="77BEB547" w:rsidR="005E6B58" w:rsidRPr="005E6B58" w:rsidRDefault="005E6B58" w:rsidP="005E6B58">
      <w:pPr>
        <w:pStyle w:val="AnnexNormal"/>
        <w:spacing w:after="0"/>
      </w:pPr>
      <w:r>
        <w:t xml:space="preserve">4. </w:t>
      </w:r>
      <w:r w:rsidR="005605F3">
        <w:t>N</w:t>
      </w:r>
      <w:r>
        <w:t>evnt i avsnitt 4.26, 4.27 og 4.28 i vedlegg I og II til delegert forordning 2021/2139</w:t>
      </w:r>
    </w:p>
    <w:p w14:paraId="7C81E526" w14:textId="51709FD0" w:rsidR="005E6B58" w:rsidRPr="005E6B58" w:rsidRDefault="005E6B58" w:rsidP="005E6B58">
      <w:pPr>
        <w:pStyle w:val="AnnexNormal"/>
        <w:spacing w:after="0"/>
      </w:pPr>
      <w:r>
        <w:t xml:space="preserve">5. </w:t>
      </w:r>
      <w:r w:rsidR="005605F3">
        <w:t>N</w:t>
      </w:r>
      <w:r>
        <w:t>evnt i avsnitt 4.29, 4.30 og 4.31 i vedlegg I og II til delegert forordning 2021/2139</w:t>
      </w:r>
    </w:p>
    <w:p w14:paraId="1E40CF27" w14:textId="396E9730" w:rsidR="003D3189" w:rsidRPr="005E6B58" w:rsidRDefault="005E6B58" w:rsidP="005E6B58">
      <w:pPr>
        <w:pStyle w:val="AnnexNormal"/>
      </w:pPr>
      <w:r>
        <w:t xml:space="preserve">6. </w:t>
      </w:r>
      <w:r w:rsidR="005605F3">
        <w:t>I</w:t>
      </w:r>
      <w:r>
        <w:t xml:space="preserve"> samsvar med artikkel 7 nr. 8 i denne forordningen</w:t>
      </w:r>
    </w:p>
    <w:p w14:paraId="3757D7D2" w14:textId="77777777" w:rsidR="003B1B62" w:rsidRPr="00647D81" w:rsidRDefault="005E6B58" w:rsidP="005E6B58">
      <w:pPr>
        <w:pStyle w:val="TableTitle"/>
        <w:pageBreakBefore/>
        <w:rPr>
          <w:i/>
          <w:sz w:val="12"/>
          <w:szCs w:val="12"/>
        </w:rPr>
      </w:pPr>
      <w:r>
        <w:rPr>
          <w:i/>
          <w:sz w:val="12"/>
        </w:rPr>
        <w:lastRenderedPageBreak/>
        <w:t>Mal 3: GAR – KPI for beholdninger</w:t>
      </w:r>
    </w:p>
    <w:tbl>
      <w:tblPr>
        <w:tblOverlap w:val="never"/>
        <w:tblW w:w="1430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8"/>
        <w:gridCol w:w="4147"/>
        <w:gridCol w:w="912"/>
        <w:gridCol w:w="732"/>
        <w:gridCol w:w="733"/>
        <w:gridCol w:w="730"/>
        <w:gridCol w:w="715"/>
        <w:gridCol w:w="715"/>
        <w:gridCol w:w="715"/>
        <w:gridCol w:w="715"/>
        <w:gridCol w:w="771"/>
        <w:gridCol w:w="12"/>
        <w:gridCol w:w="783"/>
        <w:gridCol w:w="708"/>
        <w:gridCol w:w="816"/>
        <w:gridCol w:w="672"/>
      </w:tblGrid>
      <w:tr w:rsidR="005E6B58" w:rsidRPr="00647D81" w14:paraId="08F67054" w14:textId="77777777" w:rsidTr="00E456F1">
        <w:trPr>
          <w:trHeight w:val="20"/>
        </w:trPr>
        <w:tc>
          <w:tcPr>
            <w:tcW w:w="428" w:type="dxa"/>
            <w:shd w:val="clear" w:color="auto" w:fill="FFFFFF"/>
            <w:tcMar>
              <w:top w:w="20" w:type="dxa"/>
              <w:left w:w="0" w:type="dxa"/>
              <w:bottom w:w="20" w:type="dxa"/>
            </w:tcMar>
            <w:vAlign w:val="center"/>
          </w:tcPr>
          <w:p w14:paraId="3FFF6629" w14:textId="77777777" w:rsidR="005E6B58" w:rsidRPr="00647D81" w:rsidRDefault="005E6B58" w:rsidP="00E456F1">
            <w:pPr>
              <w:pStyle w:val="AnnexTableHeader"/>
              <w:spacing w:line="240" w:lineRule="auto"/>
              <w:rPr>
                <w:rFonts w:ascii="Helvetica" w:hAnsi="Helvetica"/>
                <w:sz w:val="12"/>
                <w:szCs w:val="12"/>
              </w:rPr>
            </w:pPr>
          </w:p>
        </w:tc>
        <w:tc>
          <w:tcPr>
            <w:tcW w:w="4147" w:type="dxa"/>
            <w:shd w:val="clear" w:color="auto" w:fill="FFFFFF"/>
            <w:vAlign w:val="center"/>
          </w:tcPr>
          <w:p w14:paraId="43FF08B0" w14:textId="77777777" w:rsidR="005E6B58" w:rsidRPr="00647D81" w:rsidRDefault="005E6B58" w:rsidP="00DF4027">
            <w:pPr>
              <w:pStyle w:val="AnnexTableHeader"/>
              <w:spacing w:line="240" w:lineRule="auto"/>
              <w:ind w:left="40"/>
              <w:jc w:val="left"/>
              <w:rPr>
                <w:rFonts w:ascii="Helvetica" w:hAnsi="Helvetica"/>
                <w:sz w:val="12"/>
                <w:szCs w:val="12"/>
              </w:rPr>
            </w:pPr>
            <w:r>
              <w:rPr>
                <w:rFonts w:ascii="Helvetica" w:hAnsi="Helvetica"/>
                <w:sz w:val="12"/>
              </w:rPr>
              <w:t>Referansedato for opplysningene t</w:t>
            </w:r>
          </w:p>
        </w:tc>
        <w:tc>
          <w:tcPr>
            <w:tcW w:w="912" w:type="dxa"/>
            <w:shd w:val="clear" w:color="auto" w:fill="FFFFFF"/>
            <w:tcMar>
              <w:top w:w="20" w:type="dxa"/>
              <w:bottom w:w="20" w:type="dxa"/>
            </w:tcMar>
            <w:vAlign w:val="center"/>
          </w:tcPr>
          <w:p w14:paraId="29FD20F4" w14:textId="77777777" w:rsidR="005E6B58" w:rsidRPr="00647D81" w:rsidRDefault="005E6B58" w:rsidP="00E456F1">
            <w:pPr>
              <w:pStyle w:val="AnnexTableHeader"/>
              <w:spacing w:line="240" w:lineRule="auto"/>
              <w:rPr>
                <w:rFonts w:ascii="Helvetica" w:hAnsi="Helvetica"/>
                <w:sz w:val="12"/>
                <w:szCs w:val="12"/>
              </w:rPr>
            </w:pPr>
          </w:p>
        </w:tc>
        <w:tc>
          <w:tcPr>
            <w:tcW w:w="8817" w:type="dxa"/>
            <w:gridSpan w:val="13"/>
            <w:tcBorders>
              <w:top w:val="nil"/>
              <w:right w:val="nil"/>
            </w:tcBorders>
            <w:shd w:val="clear" w:color="auto" w:fill="FFFFFF"/>
            <w:tcMar>
              <w:top w:w="20" w:type="dxa"/>
              <w:bottom w:w="20" w:type="dxa"/>
              <w:right w:w="0" w:type="dxa"/>
            </w:tcMar>
            <w:vAlign w:val="center"/>
          </w:tcPr>
          <w:p w14:paraId="6EE60263" w14:textId="77777777" w:rsidR="005E6B58" w:rsidRPr="00647D81" w:rsidRDefault="005E6B58" w:rsidP="00E456F1">
            <w:pPr>
              <w:pStyle w:val="AnnexTableHeader"/>
              <w:spacing w:line="240" w:lineRule="auto"/>
              <w:rPr>
                <w:rFonts w:ascii="Helvetica" w:hAnsi="Helvetica"/>
                <w:sz w:val="12"/>
                <w:szCs w:val="12"/>
              </w:rPr>
            </w:pPr>
          </w:p>
        </w:tc>
      </w:tr>
      <w:tr w:rsidR="00E456F1" w:rsidRPr="00647D81" w14:paraId="13582421" w14:textId="77777777" w:rsidTr="00E456F1">
        <w:trPr>
          <w:trHeight w:val="20"/>
        </w:trPr>
        <w:tc>
          <w:tcPr>
            <w:tcW w:w="4575" w:type="dxa"/>
            <w:gridSpan w:val="2"/>
            <w:vMerge w:val="restart"/>
            <w:shd w:val="clear" w:color="auto" w:fill="FFFFFF"/>
            <w:tcMar>
              <w:top w:w="20" w:type="dxa"/>
              <w:left w:w="0" w:type="dxa"/>
              <w:bottom w:w="20" w:type="dxa"/>
            </w:tcMar>
            <w:vAlign w:val="center"/>
          </w:tcPr>
          <w:p w14:paraId="713FEA67"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 (i forhold til tilsvarende samlede dekkede eiendeler i nevneren)</w:t>
            </w:r>
          </w:p>
        </w:tc>
        <w:tc>
          <w:tcPr>
            <w:tcW w:w="912" w:type="dxa"/>
            <w:shd w:val="clear" w:color="auto" w:fill="FFFFFF"/>
            <w:tcMar>
              <w:top w:w="20" w:type="dxa"/>
              <w:bottom w:w="20" w:type="dxa"/>
            </w:tcMar>
            <w:vAlign w:val="center"/>
          </w:tcPr>
          <w:p w14:paraId="3C1071D8"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a</w:t>
            </w:r>
          </w:p>
        </w:tc>
        <w:tc>
          <w:tcPr>
            <w:tcW w:w="732" w:type="dxa"/>
            <w:shd w:val="clear" w:color="auto" w:fill="FFFFFF"/>
            <w:tcMar>
              <w:top w:w="20" w:type="dxa"/>
              <w:bottom w:w="20" w:type="dxa"/>
            </w:tcMar>
            <w:vAlign w:val="center"/>
          </w:tcPr>
          <w:p w14:paraId="5DEC5232"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b</w:t>
            </w:r>
          </w:p>
        </w:tc>
        <w:tc>
          <w:tcPr>
            <w:tcW w:w="733" w:type="dxa"/>
            <w:tcBorders>
              <w:bottom w:val="single" w:sz="4" w:space="0" w:color="auto"/>
            </w:tcBorders>
            <w:shd w:val="clear" w:color="auto" w:fill="FFFFFF"/>
            <w:tcMar>
              <w:top w:w="20" w:type="dxa"/>
              <w:bottom w:w="20" w:type="dxa"/>
            </w:tcMar>
            <w:vAlign w:val="center"/>
          </w:tcPr>
          <w:p w14:paraId="4E1A2320"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c</w:t>
            </w:r>
          </w:p>
        </w:tc>
        <w:tc>
          <w:tcPr>
            <w:tcW w:w="730" w:type="dxa"/>
            <w:tcBorders>
              <w:bottom w:val="single" w:sz="4" w:space="0" w:color="auto"/>
            </w:tcBorders>
            <w:shd w:val="clear" w:color="auto" w:fill="FFFFFF"/>
            <w:tcMar>
              <w:top w:w="20" w:type="dxa"/>
              <w:bottom w:w="20" w:type="dxa"/>
            </w:tcMar>
            <w:vAlign w:val="center"/>
          </w:tcPr>
          <w:p w14:paraId="5BC27018"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d</w:t>
            </w:r>
          </w:p>
        </w:tc>
        <w:tc>
          <w:tcPr>
            <w:tcW w:w="715" w:type="dxa"/>
            <w:tcBorders>
              <w:bottom w:val="single" w:sz="4" w:space="0" w:color="auto"/>
            </w:tcBorders>
            <w:shd w:val="clear" w:color="auto" w:fill="FFFFFF"/>
            <w:tcMar>
              <w:top w:w="20" w:type="dxa"/>
              <w:bottom w:w="20" w:type="dxa"/>
            </w:tcMar>
            <w:vAlign w:val="center"/>
          </w:tcPr>
          <w:p w14:paraId="4D533105"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e</w:t>
            </w:r>
          </w:p>
        </w:tc>
        <w:tc>
          <w:tcPr>
            <w:tcW w:w="715" w:type="dxa"/>
            <w:tcBorders>
              <w:bottom w:val="single" w:sz="4" w:space="0" w:color="auto"/>
            </w:tcBorders>
            <w:shd w:val="clear" w:color="auto" w:fill="FFFFFF"/>
            <w:tcMar>
              <w:top w:w="20" w:type="dxa"/>
              <w:bottom w:w="20" w:type="dxa"/>
            </w:tcMar>
            <w:vAlign w:val="center"/>
          </w:tcPr>
          <w:p w14:paraId="0B8C60AA"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f</w:t>
            </w:r>
          </w:p>
        </w:tc>
        <w:tc>
          <w:tcPr>
            <w:tcW w:w="715" w:type="dxa"/>
            <w:tcBorders>
              <w:bottom w:val="single" w:sz="4" w:space="0" w:color="auto"/>
            </w:tcBorders>
            <w:shd w:val="clear" w:color="auto" w:fill="FFFFFF"/>
            <w:tcMar>
              <w:top w:w="20" w:type="dxa"/>
              <w:bottom w:w="20" w:type="dxa"/>
            </w:tcMar>
            <w:vAlign w:val="center"/>
          </w:tcPr>
          <w:p w14:paraId="2365170D"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g</w:t>
            </w:r>
          </w:p>
        </w:tc>
        <w:tc>
          <w:tcPr>
            <w:tcW w:w="715" w:type="dxa"/>
            <w:tcBorders>
              <w:bottom w:val="single" w:sz="4" w:space="0" w:color="auto"/>
            </w:tcBorders>
            <w:shd w:val="clear" w:color="auto" w:fill="FFFFFF"/>
            <w:tcMar>
              <w:top w:w="20" w:type="dxa"/>
              <w:bottom w:w="20" w:type="dxa"/>
            </w:tcMar>
            <w:vAlign w:val="center"/>
          </w:tcPr>
          <w:p w14:paraId="78321786"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h</w:t>
            </w:r>
          </w:p>
        </w:tc>
        <w:tc>
          <w:tcPr>
            <w:tcW w:w="783" w:type="dxa"/>
            <w:gridSpan w:val="2"/>
            <w:shd w:val="clear" w:color="auto" w:fill="FFFFFF"/>
            <w:tcMar>
              <w:top w:w="20" w:type="dxa"/>
              <w:bottom w:w="20" w:type="dxa"/>
            </w:tcMar>
            <w:vAlign w:val="center"/>
          </w:tcPr>
          <w:p w14:paraId="34BD6CA9"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i</w:t>
            </w:r>
          </w:p>
        </w:tc>
        <w:tc>
          <w:tcPr>
            <w:tcW w:w="783" w:type="dxa"/>
            <w:shd w:val="clear" w:color="auto" w:fill="FFFFFF"/>
            <w:vAlign w:val="center"/>
          </w:tcPr>
          <w:p w14:paraId="61FE6855"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j</w:t>
            </w:r>
          </w:p>
        </w:tc>
        <w:tc>
          <w:tcPr>
            <w:tcW w:w="708" w:type="dxa"/>
            <w:shd w:val="clear" w:color="auto" w:fill="FFFFFF"/>
            <w:tcMar>
              <w:top w:w="20" w:type="dxa"/>
              <w:bottom w:w="20" w:type="dxa"/>
            </w:tcMar>
            <w:vAlign w:val="center"/>
          </w:tcPr>
          <w:p w14:paraId="77F57604"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k</w:t>
            </w:r>
          </w:p>
        </w:tc>
        <w:tc>
          <w:tcPr>
            <w:tcW w:w="816" w:type="dxa"/>
            <w:shd w:val="clear" w:color="auto" w:fill="FFFFFF"/>
            <w:tcMar>
              <w:top w:w="20" w:type="dxa"/>
              <w:bottom w:w="20" w:type="dxa"/>
            </w:tcMar>
            <w:vAlign w:val="center"/>
          </w:tcPr>
          <w:p w14:paraId="1EBD824C"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l</w:t>
            </w:r>
          </w:p>
        </w:tc>
        <w:tc>
          <w:tcPr>
            <w:tcW w:w="672" w:type="dxa"/>
            <w:shd w:val="clear" w:color="auto" w:fill="FFFFFF"/>
            <w:tcMar>
              <w:top w:w="20" w:type="dxa"/>
              <w:bottom w:w="20" w:type="dxa"/>
              <w:right w:w="0" w:type="dxa"/>
            </w:tcMar>
            <w:vAlign w:val="center"/>
          </w:tcPr>
          <w:p w14:paraId="673C6769" w14:textId="77777777" w:rsidR="00E456F1" w:rsidRPr="00647D81" w:rsidRDefault="00E456F1" w:rsidP="00E456F1">
            <w:pPr>
              <w:pStyle w:val="AnnexTableHeader"/>
              <w:spacing w:line="240" w:lineRule="auto"/>
              <w:rPr>
                <w:rFonts w:ascii="Helvetica" w:hAnsi="Helvetica"/>
                <w:sz w:val="12"/>
                <w:szCs w:val="12"/>
              </w:rPr>
            </w:pPr>
            <w:r>
              <w:rPr>
                <w:rFonts w:ascii="Helvetica" w:hAnsi="Helvetica"/>
                <w:sz w:val="12"/>
              </w:rPr>
              <w:t>m</w:t>
            </w:r>
          </w:p>
        </w:tc>
      </w:tr>
      <w:tr w:rsidR="00DF4027" w:rsidRPr="00647D81" w14:paraId="762DD303" w14:textId="77777777" w:rsidTr="00DF4027">
        <w:trPr>
          <w:trHeight w:val="20"/>
        </w:trPr>
        <w:tc>
          <w:tcPr>
            <w:tcW w:w="4575" w:type="dxa"/>
            <w:gridSpan w:val="2"/>
            <w:vMerge/>
            <w:shd w:val="clear" w:color="auto" w:fill="FFFFFF"/>
            <w:tcMar>
              <w:top w:w="20" w:type="dxa"/>
              <w:left w:w="0" w:type="dxa"/>
              <w:bottom w:w="20" w:type="dxa"/>
            </w:tcMar>
            <w:vAlign w:val="center"/>
          </w:tcPr>
          <w:p w14:paraId="376EB891" w14:textId="77777777" w:rsidR="00DF4027" w:rsidRPr="00647D81" w:rsidRDefault="00DF4027" w:rsidP="00E456F1">
            <w:pPr>
              <w:pStyle w:val="AnnexTableHeader"/>
              <w:spacing w:line="240" w:lineRule="auto"/>
              <w:rPr>
                <w:rFonts w:ascii="Helvetica" w:hAnsi="Helvetica"/>
                <w:sz w:val="12"/>
                <w:szCs w:val="12"/>
              </w:rPr>
            </w:pPr>
          </w:p>
        </w:tc>
        <w:tc>
          <w:tcPr>
            <w:tcW w:w="912" w:type="dxa"/>
            <w:vMerge w:val="restart"/>
            <w:shd w:val="clear" w:color="auto" w:fill="FFFFFF"/>
            <w:tcMar>
              <w:top w:w="20" w:type="dxa"/>
              <w:bottom w:w="20" w:type="dxa"/>
            </w:tcMar>
            <w:vAlign w:val="center"/>
          </w:tcPr>
          <w:p w14:paraId="2DAB5D75" w14:textId="77777777" w:rsidR="00DF4027" w:rsidRPr="00647D81" w:rsidRDefault="00DF4027" w:rsidP="00E456F1">
            <w:pPr>
              <w:pStyle w:val="AnnexTableHeader"/>
              <w:spacing w:line="240" w:lineRule="auto"/>
              <w:rPr>
                <w:rFonts w:ascii="Helvetica" w:hAnsi="Helvetica"/>
                <w:sz w:val="12"/>
                <w:szCs w:val="12"/>
              </w:rPr>
            </w:pPr>
            <w:r>
              <w:rPr>
                <w:rFonts w:ascii="Helvetica" w:hAnsi="Helvetica"/>
                <w:sz w:val="12"/>
              </w:rPr>
              <w:t>Omfattet av taksonomien</w:t>
            </w:r>
          </w:p>
        </w:tc>
        <w:tc>
          <w:tcPr>
            <w:tcW w:w="732" w:type="dxa"/>
            <w:vMerge w:val="restart"/>
            <w:tcBorders>
              <w:right w:val="nil"/>
            </w:tcBorders>
            <w:shd w:val="clear" w:color="auto" w:fill="FFFFFF"/>
            <w:tcMar>
              <w:top w:w="20" w:type="dxa"/>
              <w:bottom w:w="20" w:type="dxa"/>
            </w:tcMar>
            <w:vAlign w:val="center"/>
          </w:tcPr>
          <w:p w14:paraId="222D0F9F" w14:textId="12AC4CBB" w:rsidR="00DF4027" w:rsidRPr="00647D81" w:rsidRDefault="00DF4027" w:rsidP="00E456F1">
            <w:pPr>
              <w:pStyle w:val="AnnexTableHeader"/>
              <w:spacing w:line="240" w:lineRule="auto"/>
              <w:rPr>
                <w:rFonts w:ascii="Helvetica" w:hAnsi="Helvetica"/>
                <w:sz w:val="12"/>
                <w:szCs w:val="12"/>
              </w:rPr>
            </w:pPr>
            <w:r>
              <w:rPr>
                <w:rFonts w:ascii="Helvetica" w:hAnsi="Helvetica"/>
                <w:sz w:val="12"/>
              </w:rPr>
              <w:t>Taksonomi</w:t>
            </w:r>
            <w:r w:rsidR="003520FD">
              <w:rPr>
                <w:rFonts w:ascii="Helvetica" w:hAnsi="Helvetica"/>
                <w:sz w:val="12"/>
              </w:rPr>
              <w:softHyphen/>
            </w:r>
            <w:r>
              <w:rPr>
                <w:rFonts w:ascii="Helvetica" w:hAnsi="Helvetica"/>
                <w:sz w:val="12"/>
              </w:rPr>
              <w:t>forenlige</w:t>
            </w:r>
          </w:p>
        </w:tc>
        <w:tc>
          <w:tcPr>
            <w:tcW w:w="6597" w:type="dxa"/>
            <w:gridSpan w:val="10"/>
            <w:tcBorders>
              <w:left w:val="nil"/>
            </w:tcBorders>
            <w:shd w:val="clear" w:color="auto" w:fill="FFFFFF"/>
            <w:vAlign w:val="center"/>
          </w:tcPr>
          <w:p w14:paraId="35BD107E" w14:textId="77777777" w:rsidR="00DF4027" w:rsidRPr="00647D81" w:rsidRDefault="00DF4027" w:rsidP="00E456F1">
            <w:pPr>
              <w:pStyle w:val="AnnexTableHeader"/>
              <w:spacing w:line="240" w:lineRule="auto"/>
              <w:rPr>
                <w:rFonts w:ascii="Helvetica" w:hAnsi="Helvetica"/>
                <w:sz w:val="12"/>
                <w:szCs w:val="12"/>
              </w:rPr>
            </w:pPr>
          </w:p>
        </w:tc>
        <w:tc>
          <w:tcPr>
            <w:tcW w:w="816" w:type="dxa"/>
            <w:vMerge w:val="restart"/>
            <w:shd w:val="clear" w:color="auto" w:fill="FFFFFF"/>
            <w:tcMar>
              <w:top w:w="20" w:type="dxa"/>
              <w:bottom w:w="20" w:type="dxa"/>
            </w:tcMar>
            <w:vAlign w:val="center"/>
          </w:tcPr>
          <w:p w14:paraId="312E816C" w14:textId="786E2A8B" w:rsidR="00DF4027" w:rsidRPr="00647D81" w:rsidRDefault="00DF4027" w:rsidP="00E456F1">
            <w:pPr>
              <w:pStyle w:val="AnnexTableHeader"/>
              <w:spacing w:line="240" w:lineRule="auto"/>
              <w:rPr>
                <w:rFonts w:ascii="Helvetica" w:hAnsi="Helvetica"/>
                <w:sz w:val="12"/>
                <w:szCs w:val="12"/>
              </w:rPr>
            </w:pPr>
            <w:proofErr w:type="spellStart"/>
            <w:r>
              <w:rPr>
                <w:rFonts w:ascii="Helvetica" w:hAnsi="Helvetica"/>
                <w:sz w:val="12"/>
              </w:rPr>
              <w:t>Taksonomi</w:t>
            </w:r>
            <w:r w:rsidR="003520FD">
              <w:rPr>
                <w:rFonts w:ascii="Helvetica" w:hAnsi="Helvetica"/>
                <w:sz w:val="12"/>
              </w:rPr>
              <w:softHyphen/>
            </w:r>
            <w:r w:rsidR="00D0760A">
              <w:rPr>
                <w:rFonts w:ascii="Helvetica" w:hAnsi="Helvetica"/>
                <w:sz w:val="12"/>
              </w:rPr>
              <w:softHyphen/>
            </w:r>
            <w:r w:rsidR="00D0760A">
              <w:rPr>
                <w:rFonts w:ascii="Helvetica" w:hAnsi="Helvetica"/>
                <w:sz w:val="12"/>
              </w:rPr>
              <w:softHyphen/>
            </w:r>
            <w:r w:rsidR="00D0760A">
              <w:rPr>
                <w:rFonts w:ascii="Helvetica" w:hAnsi="Helvetica"/>
                <w:sz w:val="12"/>
              </w:rPr>
              <w:softHyphen/>
            </w:r>
            <w:r>
              <w:rPr>
                <w:rFonts w:ascii="Helvetica" w:hAnsi="Helvetica"/>
                <w:sz w:val="12"/>
              </w:rPr>
              <w:t>forenlig</w:t>
            </w:r>
            <w:proofErr w:type="spellEnd"/>
            <w:r>
              <w:rPr>
                <w:rFonts w:ascii="Helvetica" w:hAnsi="Helvetica"/>
                <w:sz w:val="12"/>
              </w:rPr>
              <w:t xml:space="preserve"> andel i andel som er omfattet av taksonomien</w:t>
            </w:r>
          </w:p>
        </w:tc>
        <w:tc>
          <w:tcPr>
            <w:tcW w:w="672" w:type="dxa"/>
            <w:vMerge w:val="restart"/>
            <w:shd w:val="clear" w:color="auto" w:fill="FFFFFF"/>
            <w:tcMar>
              <w:top w:w="20" w:type="dxa"/>
              <w:bottom w:w="20" w:type="dxa"/>
              <w:right w:w="0" w:type="dxa"/>
            </w:tcMar>
            <w:vAlign w:val="center"/>
          </w:tcPr>
          <w:p w14:paraId="6027E94B" w14:textId="3563217D" w:rsidR="00DF4027" w:rsidRPr="00647D81" w:rsidRDefault="00DF4027" w:rsidP="00E456F1">
            <w:pPr>
              <w:pStyle w:val="AnnexTableHeader"/>
              <w:spacing w:line="240" w:lineRule="auto"/>
              <w:rPr>
                <w:rFonts w:ascii="Helvetica" w:hAnsi="Helvetica"/>
                <w:sz w:val="12"/>
                <w:szCs w:val="12"/>
              </w:rPr>
            </w:pPr>
            <w:r>
              <w:rPr>
                <w:rFonts w:ascii="Helvetica" w:hAnsi="Helvetica"/>
                <w:sz w:val="12"/>
              </w:rPr>
              <w:t>Ikke-vurderte ekspone</w:t>
            </w:r>
            <w:r w:rsidR="00D0760A">
              <w:rPr>
                <w:rFonts w:ascii="Helvetica" w:hAnsi="Helvetica"/>
                <w:sz w:val="12"/>
              </w:rPr>
              <w:softHyphen/>
            </w:r>
            <w:r>
              <w:rPr>
                <w:rFonts w:ascii="Helvetica" w:hAnsi="Helvetica"/>
                <w:sz w:val="12"/>
              </w:rPr>
              <w:t>ringer (3)</w:t>
            </w:r>
          </w:p>
        </w:tc>
      </w:tr>
      <w:tr w:rsidR="005E6B58" w:rsidRPr="00647D81" w14:paraId="778B15EA" w14:textId="77777777" w:rsidTr="00E456F1">
        <w:trPr>
          <w:trHeight w:val="20"/>
        </w:trPr>
        <w:tc>
          <w:tcPr>
            <w:tcW w:w="4575" w:type="dxa"/>
            <w:gridSpan w:val="2"/>
            <w:vMerge/>
            <w:shd w:val="clear" w:color="auto" w:fill="FFFFFF"/>
            <w:tcMar>
              <w:top w:w="20" w:type="dxa"/>
              <w:left w:w="0" w:type="dxa"/>
              <w:bottom w:w="20" w:type="dxa"/>
            </w:tcMar>
            <w:vAlign w:val="center"/>
          </w:tcPr>
          <w:p w14:paraId="57050217" w14:textId="77777777" w:rsidR="005E6B58" w:rsidRPr="00647D81" w:rsidRDefault="005E6B58" w:rsidP="00E456F1">
            <w:pPr>
              <w:pStyle w:val="AnnexTableHeader"/>
              <w:spacing w:line="240" w:lineRule="auto"/>
              <w:rPr>
                <w:rFonts w:ascii="Helvetica" w:hAnsi="Helvetica"/>
                <w:sz w:val="12"/>
                <w:szCs w:val="12"/>
              </w:rPr>
            </w:pPr>
          </w:p>
        </w:tc>
        <w:tc>
          <w:tcPr>
            <w:tcW w:w="912" w:type="dxa"/>
            <w:vMerge/>
            <w:shd w:val="clear" w:color="auto" w:fill="FFFFFF"/>
            <w:tcMar>
              <w:top w:w="20" w:type="dxa"/>
              <w:bottom w:w="20" w:type="dxa"/>
            </w:tcMar>
            <w:vAlign w:val="center"/>
          </w:tcPr>
          <w:p w14:paraId="762E0AB0" w14:textId="77777777" w:rsidR="005E6B58" w:rsidRPr="00647D81" w:rsidRDefault="005E6B58" w:rsidP="00E456F1">
            <w:pPr>
              <w:pStyle w:val="AnnexTableHeader"/>
              <w:spacing w:line="240" w:lineRule="auto"/>
              <w:rPr>
                <w:rFonts w:ascii="Helvetica" w:hAnsi="Helvetica"/>
                <w:sz w:val="12"/>
                <w:szCs w:val="12"/>
              </w:rPr>
            </w:pPr>
          </w:p>
        </w:tc>
        <w:tc>
          <w:tcPr>
            <w:tcW w:w="732" w:type="dxa"/>
            <w:vMerge/>
            <w:shd w:val="clear" w:color="auto" w:fill="FFFFFF"/>
            <w:tcMar>
              <w:top w:w="20" w:type="dxa"/>
              <w:bottom w:w="20" w:type="dxa"/>
            </w:tcMar>
            <w:vAlign w:val="center"/>
          </w:tcPr>
          <w:p w14:paraId="5F5CF613" w14:textId="77777777" w:rsidR="005E6B58" w:rsidRPr="00647D81" w:rsidRDefault="005E6B58" w:rsidP="00E456F1">
            <w:pPr>
              <w:pStyle w:val="AnnexTableHeader"/>
              <w:spacing w:line="240" w:lineRule="auto"/>
              <w:rPr>
                <w:rFonts w:ascii="Helvetica" w:hAnsi="Helvetica"/>
                <w:sz w:val="12"/>
                <w:szCs w:val="12"/>
              </w:rPr>
            </w:pPr>
          </w:p>
        </w:tc>
        <w:tc>
          <w:tcPr>
            <w:tcW w:w="4323" w:type="dxa"/>
            <w:gridSpan w:val="6"/>
            <w:shd w:val="clear" w:color="auto" w:fill="FFFFFF"/>
            <w:tcMar>
              <w:top w:w="20" w:type="dxa"/>
              <w:bottom w:w="20" w:type="dxa"/>
            </w:tcMar>
            <w:vAlign w:val="center"/>
          </w:tcPr>
          <w:p w14:paraId="0C5925BA" w14:textId="77777777"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Spesifisering etter miljømål</w:t>
            </w:r>
          </w:p>
        </w:tc>
        <w:tc>
          <w:tcPr>
            <w:tcW w:w="771" w:type="dxa"/>
            <w:vMerge w:val="restart"/>
            <w:shd w:val="clear" w:color="auto" w:fill="FFFFFF"/>
            <w:tcMar>
              <w:top w:w="20" w:type="dxa"/>
              <w:bottom w:w="20" w:type="dxa"/>
            </w:tcMar>
            <w:vAlign w:val="center"/>
          </w:tcPr>
          <w:p w14:paraId="5308F67C" w14:textId="77777777"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Hvorav bruk av proveny</w:t>
            </w:r>
          </w:p>
        </w:tc>
        <w:tc>
          <w:tcPr>
            <w:tcW w:w="795" w:type="dxa"/>
            <w:gridSpan w:val="2"/>
            <w:vMerge w:val="restart"/>
            <w:shd w:val="clear" w:color="auto" w:fill="FFFFFF"/>
            <w:tcMar>
              <w:top w:w="20" w:type="dxa"/>
              <w:bottom w:w="20" w:type="dxa"/>
            </w:tcMar>
            <w:vAlign w:val="center"/>
          </w:tcPr>
          <w:p w14:paraId="19E4C971" w14:textId="77777777"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Hvorav omstilling</w:t>
            </w:r>
          </w:p>
        </w:tc>
        <w:tc>
          <w:tcPr>
            <w:tcW w:w="708" w:type="dxa"/>
            <w:vMerge w:val="restart"/>
            <w:shd w:val="clear" w:color="auto" w:fill="FFFFFF"/>
            <w:tcMar>
              <w:top w:w="20" w:type="dxa"/>
              <w:bottom w:w="20" w:type="dxa"/>
            </w:tcMar>
            <w:vAlign w:val="center"/>
          </w:tcPr>
          <w:p w14:paraId="7910B815" w14:textId="2ABBB319"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Hvorav mulig</w:t>
            </w:r>
            <w:r w:rsidR="003520FD">
              <w:rPr>
                <w:rFonts w:ascii="Helvetica" w:hAnsi="Helvetica"/>
                <w:sz w:val="12"/>
              </w:rPr>
              <w:softHyphen/>
            </w:r>
            <w:r>
              <w:rPr>
                <w:rFonts w:ascii="Helvetica" w:hAnsi="Helvetica"/>
                <w:sz w:val="12"/>
              </w:rPr>
              <w:t>gjørende</w:t>
            </w:r>
          </w:p>
        </w:tc>
        <w:tc>
          <w:tcPr>
            <w:tcW w:w="816" w:type="dxa"/>
            <w:vMerge/>
            <w:shd w:val="clear" w:color="auto" w:fill="FFFFFF"/>
            <w:tcMar>
              <w:top w:w="20" w:type="dxa"/>
              <w:bottom w:w="20" w:type="dxa"/>
            </w:tcMar>
            <w:vAlign w:val="center"/>
          </w:tcPr>
          <w:p w14:paraId="1172FB23" w14:textId="77777777" w:rsidR="005E6B58" w:rsidRPr="00647D81" w:rsidRDefault="005E6B58" w:rsidP="00E456F1">
            <w:pPr>
              <w:pStyle w:val="AnnexTableHeader"/>
              <w:spacing w:line="240" w:lineRule="auto"/>
              <w:rPr>
                <w:rFonts w:ascii="Helvetica" w:hAnsi="Helvetica"/>
                <w:sz w:val="12"/>
                <w:szCs w:val="12"/>
              </w:rPr>
            </w:pPr>
          </w:p>
        </w:tc>
        <w:tc>
          <w:tcPr>
            <w:tcW w:w="672" w:type="dxa"/>
            <w:vMerge/>
            <w:shd w:val="clear" w:color="auto" w:fill="FFFFFF"/>
            <w:tcMar>
              <w:top w:w="20" w:type="dxa"/>
              <w:bottom w:w="20" w:type="dxa"/>
              <w:right w:w="0" w:type="dxa"/>
            </w:tcMar>
            <w:vAlign w:val="center"/>
          </w:tcPr>
          <w:p w14:paraId="03192AC9" w14:textId="77777777" w:rsidR="005E6B58" w:rsidRPr="00647D81" w:rsidRDefault="005E6B58" w:rsidP="00E456F1">
            <w:pPr>
              <w:pStyle w:val="AnnexTableHeader"/>
              <w:spacing w:line="240" w:lineRule="auto"/>
              <w:rPr>
                <w:rFonts w:ascii="Helvetica" w:hAnsi="Helvetica"/>
                <w:sz w:val="12"/>
                <w:szCs w:val="12"/>
              </w:rPr>
            </w:pPr>
          </w:p>
        </w:tc>
      </w:tr>
      <w:tr w:rsidR="005E6B58" w:rsidRPr="00647D81" w14:paraId="1575E731" w14:textId="77777777" w:rsidTr="00E456F1">
        <w:trPr>
          <w:trHeight w:val="20"/>
        </w:trPr>
        <w:tc>
          <w:tcPr>
            <w:tcW w:w="4575" w:type="dxa"/>
            <w:gridSpan w:val="2"/>
            <w:vMerge/>
            <w:shd w:val="clear" w:color="auto" w:fill="FFFFFF"/>
            <w:tcMar>
              <w:top w:w="20" w:type="dxa"/>
              <w:left w:w="0" w:type="dxa"/>
              <w:bottom w:w="20" w:type="dxa"/>
            </w:tcMar>
            <w:vAlign w:val="center"/>
          </w:tcPr>
          <w:p w14:paraId="2DD4BB5B" w14:textId="77777777" w:rsidR="005E6B58" w:rsidRPr="00647D81" w:rsidRDefault="005E6B58" w:rsidP="00E456F1">
            <w:pPr>
              <w:pStyle w:val="AnnexTableHeader"/>
              <w:spacing w:line="240" w:lineRule="auto"/>
              <w:rPr>
                <w:rFonts w:ascii="Helvetica" w:hAnsi="Helvetica"/>
                <w:sz w:val="12"/>
                <w:szCs w:val="12"/>
              </w:rPr>
            </w:pPr>
          </w:p>
        </w:tc>
        <w:tc>
          <w:tcPr>
            <w:tcW w:w="912" w:type="dxa"/>
            <w:vMerge/>
            <w:shd w:val="clear" w:color="auto" w:fill="FFFFFF"/>
            <w:tcMar>
              <w:top w:w="20" w:type="dxa"/>
              <w:bottom w:w="20" w:type="dxa"/>
            </w:tcMar>
            <w:vAlign w:val="center"/>
          </w:tcPr>
          <w:p w14:paraId="55245A83" w14:textId="77777777" w:rsidR="005E6B58" w:rsidRPr="00647D81" w:rsidRDefault="005E6B58" w:rsidP="00E456F1">
            <w:pPr>
              <w:pStyle w:val="AnnexTableHeader"/>
              <w:spacing w:line="240" w:lineRule="auto"/>
              <w:rPr>
                <w:rFonts w:ascii="Helvetica" w:hAnsi="Helvetica"/>
                <w:sz w:val="12"/>
                <w:szCs w:val="12"/>
              </w:rPr>
            </w:pPr>
          </w:p>
        </w:tc>
        <w:tc>
          <w:tcPr>
            <w:tcW w:w="732" w:type="dxa"/>
            <w:vMerge/>
            <w:shd w:val="clear" w:color="auto" w:fill="FFFFFF"/>
            <w:tcMar>
              <w:top w:w="20" w:type="dxa"/>
              <w:bottom w:w="20" w:type="dxa"/>
            </w:tcMar>
            <w:vAlign w:val="center"/>
          </w:tcPr>
          <w:p w14:paraId="6EB1463A" w14:textId="77777777" w:rsidR="005E6B58" w:rsidRPr="00647D81" w:rsidRDefault="005E6B58" w:rsidP="00E456F1">
            <w:pPr>
              <w:pStyle w:val="AnnexTableHeader"/>
              <w:spacing w:line="240" w:lineRule="auto"/>
              <w:rPr>
                <w:rFonts w:ascii="Helvetica" w:hAnsi="Helvetica"/>
                <w:sz w:val="12"/>
                <w:szCs w:val="12"/>
              </w:rPr>
            </w:pPr>
          </w:p>
        </w:tc>
        <w:tc>
          <w:tcPr>
            <w:tcW w:w="733" w:type="dxa"/>
            <w:shd w:val="clear" w:color="auto" w:fill="FFFFFF"/>
            <w:tcMar>
              <w:top w:w="20" w:type="dxa"/>
              <w:bottom w:w="20" w:type="dxa"/>
            </w:tcMar>
            <w:vAlign w:val="center"/>
          </w:tcPr>
          <w:p w14:paraId="21E01BD4" w14:textId="18B28CF0"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Begrensning av klima</w:t>
            </w:r>
            <w:r w:rsidR="003520FD">
              <w:rPr>
                <w:rFonts w:ascii="Helvetica" w:hAnsi="Helvetica"/>
                <w:sz w:val="12"/>
              </w:rPr>
              <w:softHyphen/>
            </w:r>
            <w:r w:rsidR="003520FD">
              <w:rPr>
                <w:rFonts w:ascii="Helvetica" w:hAnsi="Helvetica"/>
                <w:sz w:val="12"/>
              </w:rPr>
              <w:softHyphen/>
            </w:r>
            <w:r>
              <w:rPr>
                <w:rFonts w:ascii="Helvetica" w:hAnsi="Helvetica"/>
                <w:sz w:val="12"/>
              </w:rPr>
              <w:t>endringer (CCM)</w:t>
            </w:r>
          </w:p>
        </w:tc>
        <w:tc>
          <w:tcPr>
            <w:tcW w:w="730" w:type="dxa"/>
            <w:shd w:val="clear" w:color="auto" w:fill="FFFFFF"/>
            <w:tcMar>
              <w:top w:w="20" w:type="dxa"/>
              <w:bottom w:w="20" w:type="dxa"/>
            </w:tcMar>
            <w:vAlign w:val="center"/>
          </w:tcPr>
          <w:p w14:paraId="2D985820" w14:textId="14D580AC"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Tilpasning til klima</w:t>
            </w:r>
            <w:r w:rsidR="003520FD">
              <w:rPr>
                <w:rFonts w:ascii="Helvetica" w:hAnsi="Helvetica"/>
                <w:sz w:val="12"/>
              </w:rPr>
              <w:softHyphen/>
            </w:r>
            <w:r>
              <w:rPr>
                <w:rFonts w:ascii="Helvetica" w:hAnsi="Helvetica"/>
                <w:sz w:val="12"/>
              </w:rPr>
              <w:t>endringer (CCA)</w:t>
            </w:r>
          </w:p>
        </w:tc>
        <w:tc>
          <w:tcPr>
            <w:tcW w:w="715" w:type="dxa"/>
            <w:shd w:val="clear" w:color="auto" w:fill="FFFFFF"/>
            <w:tcMar>
              <w:top w:w="20" w:type="dxa"/>
              <w:bottom w:w="20" w:type="dxa"/>
            </w:tcMar>
            <w:vAlign w:val="center"/>
          </w:tcPr>
          <w:p w14:paraId="4879A1BC" w14:textId="77777777"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Vann- og havressurser (WTR)</w:t>
            </w:r>
          </w:p>
        </w:tc>
        <w:tc>
          <w:tcPr>
            <w:tcW w:w="715" w:type="dxa"/>
            <w:shd w:val="clear" w:color="auto" w:fill="FFFFFF"/>
            <w:tcMar>
              <w:top w:w="20" w:type="dxa"/>
              <w:bottom w:w="20" w:type="dxa"/>
            </w:tcMar>
            <w:vAlign w:val="center"/>
          </w:tcPr>
          <w:p w14:paraId="7D3E8887" w14:textId="77777777"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Sirkulær økonomi (CE)</w:t>
            </w:r>
          </w:p>
        </w:tc>
        <w:tc>
          <w:tcPr>
            <w:tcW w:w="715" w:type="dxa"/>
            <w:shd w:val="clear" w:color="auto" w:fill="FFFFFF"/>
            <w:tcMar>
              <w:top w:w="20" w:type="dxa"/>
              <w:bottom w:w="20" w:type="dxa"/>
            </w:tcMar>
            <w:vAlign w:val="center"/>
          </w:tcPr>
          <w:p w14:paraId="63089E13" w14:textId="5DB603C6"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Forurens</w:t>
            </w:r>
            <w:r w:rsidR="003520FD">
              <w:rPr>
                <w:rFonts w:ascii="Helvetica" w:hAnsi="Helvetica"/>
                <w:sz w:val="12"/>
              </w:rPr>
              <w:softHyphen/>
            </w:r>
            <w:r>
              <w:rPr>
                <w:rFonts w:ascii="Helvetica" w:hAnsi="Helvetica"/>
                <w:sz w:val="12"/>
              </w:rPr>
              <w:t>ning (PPC)</w:t>
            </w:r>
          </w:p>
        </w:tc>
        <w:tc>
          <w:tcPr>
            <w:tcW w:w="715" w:type="dxa"/>
            <w:shd w:val="clear" w:color="auto" w:fill="FFFFFF"/>
            <w:tcMar>
              <w:top w:w="20" w:type="dxa"/>
              <w:bottom w:w="20" w:type="dxa"/>
            </w:tcMar>
            <w:vAlign w:val="center"/>
          </w:tcPr>
          <w:p w14:paraId="5CA522A1" w14:textId="77777777" w:rsidR="005E6B58" w:rsidRPr="00647D81" w:rsidRDefault="005E6B58" w:rsidP="00E456F1">
            <w:pPr>
              <w:pStyle w:val="AnnexTableHeader"/>
              <w:spacing w:line="240" w:lineRule="auto"/>
              <w:rPr>
                <w:rFonts w:ascii="Helvetica" w:hAnsi="Helvetica"/>
                <w:sz w:val="12"/>
                <w:szCs w:val="12"/>
              </w:rPr>
            </w:pPr>
            <w:r>
              <w:rPr>
                <w:rFonts w:ascii="Helvetica" w:hAnsi="Helvetica"/>
                <w:sz w:val="12"/>
              </w:rPr>
              <w:t>Biologisk mangfold og økosystemer (BIO)</w:t>
            </w:r>
          </w:p>
        </w:tc>
        <w:tc>
          <w:tcPr>
            <w:tcW w:w="771" w:type="dxa"/>
            <w:vMerge/>
            <w:shd w:val="clear" w:color="auto" w:fill="FFFFFF"/>
            <w:tcMar>
              <w:top w:w="20" w:type="dxa"/>
              <w:bottom w:w="20" w:type="dxa"/>
            </w:tcMar>
            <w:vAlign w:val="center"/>
          </w:tcPr>
          <w:p w14:paraId="462E71A0" w14:textId="77777777" w:rsidR="005E6B58" w:rsidRPr="00647D81" w:rsidRDefault="005E6B58" w:rsidP="00E456F1">
            <w:pPr>
              <w:pStyle w:val="AnnexTableHeader"/>
              <w:spacing w:line="240" w:lineRule="auto"/>
              <w:rPr>
                <w:rFonts w:ascii="Helvetica" w:hAnsi="Helvetica"/>
                <w:sz w:val="12"/>
                <w:szCs w:val="12"/>
              </w:rPr>
            </w:pPr>
          </w:p>
        </w:tc>
        <w:tc>
          <w:tcPr>
            <w:tcW w:w="795" w:type="dxa"/>
            <w:gridSpan w:val="2"/>
            <w:vMerge/>
            <w:shd w:val="clear" w:color="auto" w:fill="FFFFFF"/>
            <w:tcMar>
              <w:top w:w="20" w:type="dxa"/>
              <w:bottom w:w="20" w:type="dxa"/>
            </w:tcMar>
            <w:vAlign w:val="center"/>
          </w:tcPr>
          <w:p w14:paraId="7EC9D99E" w14:textId="77777777" w:rsidR="005E6B58" w:rsidRPr="00647D81" w:rsidRDefault="005E6B58" w:rsidP="00E456F1">
            <w:pPr>
              <w:pStyle w:val="AnnexTableHeader"/>
              <w:spacing w:line="240" w:lineRule="auto"/>
              <w:rPr>
                <w:rFonts w:ascii="Helvetica" w:hAnsi="Helvetica"/>
                <w:sz w:val="12"/>
                <w:szCs w:val="12"/>
              </w:rPr>
            </w:pPr>
          </w:p>
        </w:tc>
        <w:tc>
          <w:tcPr>
            <w:tcW w:w="708" w:type="dxa"/>
            <w:vMerge/>
            <w:shd w:val="clear" w:color="auto" w:fill="FFFFFF"/>
            <w:tcMar>
              <w:top w:w="20" w:type="dxa"/>
              <w:bottom w:w="20" w:type="dxa"/>
            </w:tcMar>
            <w:vAlign w:val="center"/>
          </w:tcPr>
          <w:p w14:paraId="20AE8214" w14:textId="77777777" w:rsidR="005E6B58" w:rsidRPr="00647D81" w:rsidRDefault="005E6B58" w:rsidP="00E456F1">
            <w:pPr>
              <w:pStyle w:val="AnnexTableHeader"/>
              <w:spacing w:line="240" w:lineRule="auto"/>
              <w:rPr>
                <w:rFonts w:ascii="Helvetica" w:hAnsi="Helvetica"/>
                <w:sz w:val="12"/>
                <w:szCs w:val="12"/>
              </w:rPr>
            </w:pPr>
          </w:p>
        </w:tc>
        <w:tc>
          <w:tcPr>
            <w:tcW w:w="816" w:type="dxa"/>
            <w:vMerge/>
            <w:shd w:val="clear" w:color="auto" w:fill="FFFFFF"/>
            <w:tcMar>
              <w:top w:w="20" w:type="dxa"/>
              <w:bottom w:w="20" w:type="dxa"/>
            </w:tcMar>
            <w:vAlign w:val="center"/>
          </w:tcPr>
          <w:p w14:paraId="61C10085" w14:textId="77777777" w:rsidR="005E6B58" w:rsidRPr="00647D81" w:rsidRDefault="005E6B58" w:rsidP="00E456F1">
            <w:pPr>
              <w:pStyle w:val="AnnexTableHeader"/>
              <w:spacing w:line="240" w:lineRule="auto"/>
              <w:rPr>
                <w:rFonts w:ascii="Helvetica" w:hAnsi="Helvetica"/>
                <w:sz w:val="12"/>
                <w:szCs w:val="12"/>
              </w:rPr>
            </w:pPr>
          </w:p>
        </w:tc>
        <w:tc>
          <w:tcPr>
            <w:tcW w:w="672" w:type="dxa"/>
            <w:vMerge/>
            <w:shd w:val="clear" w:color="auto" w:fill="FFFFFF"/>
            <w:tcMar>
              <w:top w:w="20" w:type="dxa"/>
              <w:bottom w:w="20" w:type="dxa"/>
              <w:right w:w="0" w:type="dxa"/>
            </w:tcMar>
            <w:vAlign w:val="center"/>
          </w:tcPr>
          <w:p w14:paraId="443DE48E" w14:textId="77777777" w:rsidR="005E6B58" w:rsidRPr="00647D81" w:rsidRDefault="005E6B58" w:rsidP="00E456F1">
            <w:pPr>
              <w:pStyle w:val="AnnexTableHeader"/>
              <w:spacing w:line="240" w:lineRule="auto"/>
              <w:rPr>
                <w:rFonts w:ascii="Helvetica" w:hAnsi="Helvetica"/>
                <w:sz w:val="12"/>
                <w:szCs w:val="12"/>
              </w:rPr>
            </w:pPr>
          </w:p>
        </w:tc>
      </w:tr>
      <w:tr w:rsidR="00E456F1" w:rsidRPr="00647D81" w14:paraId="0505684F" w14:textId="77777777" w:rsidTr="00647D81">
        <w:trPr>
          <w:trHeight w:val="20"/>
        </w:trPr>
        <w:tc>
          <w:tcPr>
            <w:tcW w:w="428" w:type="dxa"/>
            <w:shd w:val="clear" w:color="auto" w:fill="FFFFFF"/>
            <w:tcMar>
              <w:top w:w="20" w:type="dxa"/>
              <w:left w:w="0" w:type="dxa"/>
              <w:bottom w:w="20" w:type="dxa"/>
            </w:tcMar>
            <w:vAlign w:val="bottom"/>
          </w:tcPr>
          <w:p w14:paraId="673300D7"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1</w:t>
            </w:r>
          </w:p>
        </w:tc>
        <w:tc>
          <w:tcPr>
            <w:tcW w:w="4147" w:type="dxa"/>
            <w:shd w:val="clear" w:color="auto" w:fill="FFFFFF"/>
            <w:tcMar>
              <w:top w:w="20" w:type="dxa"/>
              <w:bottom w:w="20" w:type="dxa"/>
            </w:tcMar>
            <w:vAlign w:val="center"/>
          </w:tcPr>
          <w:p w14:paraId="2AB4213B" w14:textId="77777777" w:rsidR="005E6B58" w:rsidRPr="00647D81" w:rsidRDefault="005E6B58" w:rsidP="00E456F1">
            <w:pPr>
              <w:pStyle w:val="AnnexTableCell"/>
              <w:spacing w:line="240" w:lineRule="auto"/>
              <w:ind w:left="20"/>
              <w:jc w:val="left"/>
              <w:rPr>
                <w:rFonts w:ascii="Helvetica" w:hAnsi="Helvetica"/>
                <w:b/>
                <w:sz w:val="14"/>
                <w:szCs w:val="14"/>
                <w:u w:val="single"/>
              </w:rPr>
            </w:pPr>
            <w:r>
              <w:rPr>
                <w:rFonts w:ascii="Helvetica" w:hAnsi="Helvetica"/>
                <w:b/>
                <w:sz w:val="14"/>
                <w:u w:val="single"/>
              </w:rPr>
              <w:t>GAR – dekkede eiendeler i både teller og nevner</w:t>
            </w:r>
          </w:p>
        </w:tc>
        <w:tc>
          <w:tcPr>
            <w:tcW w:w="912" w:type="dxa"/>
            <w:shd w:val="clear" w:color="auto" w:fill="FFFFFF"/>
            <w:tcMar>
              <w:top w:w="20" w:type="dxa"/>
              <w:bottom w:w="20" w:type="dxa"/>
            </w:tcMar>
            <w:vAlign w:val="center"/>
          </w:tcPr>
          <w:p w14:paraId="5B6BA834"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C20AF94"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1CFC8EB2"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FFAF28C"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9379AF4"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5408863"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7BD20A4"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D9A3C40"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110622B8"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336E9A8D"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352BE56C"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700D1DAC"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42384D97"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5160D65A" w14:textId="77777777" w:rsidTr="00647D81">
        <w:trPr>
          <w:trHeight w:val="20"/>
        </w:trPr>
        <w:tc>
          <w:tcPr>
            <w:tcW w:w="428" w:type="dxa"/>
            <w:shd w:val="clear" w:color="auto" w:fill="FFFFFF"/>
            <w:tcMar>
              <w:top w:w="20" w:type="dxa"/>
              <w:left w:w="0" w:type="dxa"/>
              <w:bottom w:w="20" w:type="dxa"/>
            </w:tcMar>
            <w:vAlign w:val="bottom"/>
          </w:tcPr>
          <w:p w14:paraId="3B7F58FE"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2</w:t>
            </w:r>
          </w:p>
        </w:tc>
        <w:tc>
          <w:tcPr>
            <w:tcW w:w="4147" w:type="dxa"/>
            <w:shd w:val="clear" w:color="auto" w:fill="FFFFFF"/>
            <w:tcMar>
              <w:top w:w="20" w:type="dxa"/>
              <w:bottom w:w="20" w:type="dxa"/>
            </w:tcMar>
            <w:vAlign w:val="center"/>
          </w:tcPr>
          <w:p w14:paraId="1F85EE41" w14:textId="77777777" w:rsidR="005E6B58" w:rsidRPr="00647D81" w:rsidRDefault="005E6B58" w:rsidP="00E456F1">
            <w:pPr>
              <w:pStyle w:val="AnnexTableCell"/>
              <w:spacing w:line="240" w:lineRule="auto"/>
              <w:ind w:left="160"/>
              <w:jc w:val="left"/>
              <w:rPr>
                <w:rFonts w:ascii="Helvetica" w:hAnsi="Helvetica"/>
                <w:b/>
                <w:sz w:val="14"/>
                <w:szCs w:val="14"/>
              </w:rPr>
            </w:pPr>
            <w:r>
              <w:rPr>
                <w:rFonts w:ascii="Helvetica" w:hAnsi="Helvetica"/>
                <w:b/>
                <w:sz w:val="14"/>
              </w:rPr>
              <w:t>Lån og forskudd, gjeldsinstrumenter og egenkapitalinstrumenter som ikke innehas for handelsformål, og som inngår i beregningen av GAR</w:t>
            </w:r>
          </w:p>
        </w:tc>
        <w:tc>
          <w:tcPr>
            <w:tcW w:w="912" w:type="dxa"/>
            <w:shd w:val="clear" w:color="auto" w:fill="FFFFFF"/>
            <w:tcMar>
              <w:top w:w="20" w:type="dxa"/>
              <w:bottom w:w="20" w:type="dxa"/>
            </w:tcMar>
            <w:vAlign w:val="center"/>
          </w:tcPr>
          <w:p w14:paraId="7011EF41"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B1480ED"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5CA30F17"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7686BD18"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A113675"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1630057"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E1101A3"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D78CA1D"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4DEEBD22"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5ADAB244"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12F5D0A5"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7B51F9AB"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12E40A03"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39DFE493" w14:textId="77777777" w:rsidTr="00647D81">
        <w:trPr>
          <w:trHeight w:val="20"/>
        </w:trPr>
        <w:tc>
          <w:tcPr>
            <w:tcW w:w="428" w:type="dxa"/>
            <w:shd w:val="clear" w:color="auto" w:fill="FFFFFF"/>
            <w:tcMar>
              <w:top w:w="20" w:type="dxa"/>
              <w:left w:w="0" w:type="dxa"/>
              <w:bottom w:w="20" w:type="dxa"/>
            </w:tcMar>
            <w:vAlign w:val="bottom"/>
          </w:tcPr>
          <w:p w14:paraId="0B0C1C8E"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3</w:t>
            </w:r>
          </w:p>
        </w:tc>
        <w:tc>
          <w:tcPr>
            <w:tcW w:w="4147" w:type="dxa"/>
            <w:shd w:val="clear" w:color="auto" w:fill="FFFFFF"/>
            <w:tcMar>
              <w:top w:w="20" w:type="dxa"/>
              <w:bottom w:w="20" w:type="dxa"/>
            </w:tcMar>
            <w:vAlign w:val="center"/>
          </w:tcPr>
          <w:p w14:paraId="6AB02F9A" w14:textId="77777777" w:rsidR="005E6B58" w:rsidRPr="00647D81" w:rsidRDefault="005E6B58" w:rsidP="00E456F1">
            <w:pPr>
              <w:pStyle w:val="AnnexTableCell"/>
              <w:spacing w:line="240" w:lineRule="auto"/>
              <w:ind w:left="300"/>
              <w:jc w:val="left"/>
              <w:rPr>
                <w:rFonts w:ascii="Helvetica" w:hAnsi="Helvetica"/>
                <w:b/>
                <w:sz w:val="14"/>
                <w:szCs w:val="14"/>
              </w:rPr>
            </w:pPr>
            <w:r>
              <w:rPr>
                <w:rFonts w:ascii="Helvetica" w:hAnsi="Helvetica"/>
                <w:b/>
                <w:sz w:val="14"/>
              </w:rPr>
              <w:t>Finansforetak</w:t>
            </w:r>
          </w:p>
        </w:tc>
        <w:tc>
          <w:tcPr>
            <w:tcW w:w="912" w:type="dxa"/>
            <w:shd w:val="clear" w:color="auto" w:fill="FFFFFF"/>
            <w:tcMar>
              <w:top w:w="20" w:type="dxa"/>
              <w:bottom w:w="20" w:type="dxa"/>
            </w:tcMar>
            <w:vAlign w:val="center"/>
          </w:tcPr>
          <w:p w14:paraId="041F13BF"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37452FF9"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744E3606"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777B8AD3"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989AA3A"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1544A5D"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9B59CB6"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749E488"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68D11D41"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395C3D86"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2B121A3"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00642989"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1D9A0C8B"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032E88C9" w14:textId="77777777" w:rsidTr="00647D81">
        <w:trPr>
          <w:trHeight w:val="20"/>
        </w:trPr>
        <w:tc>
          <w:tcPr>
            <w:tcW w:w="428" w:type="dxa"/>
            <w:shd w:val="clear" w:color="auto" w:fill="FFFFFF"/>
            <w:tcMar>
              <w:top w:w="20" w:type="dxa"/>
              <w:left w:w="0" w:type="dxa"/>
              <w:bottom w:w="20" w:type="dxa"/>
            </w:tcMar>
            <w:vAlign w:val="bottom"/>
          </w:tcPr>
          <w:p w14:paraId="5D50A67B"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4</w:t>
            </w:r>
          </w:p>
        </w:tc>
        <w:tc>
          <w:tcPr>
            <w:tcW w:w="4147" w:type="dxa"/>
            <w:shd w:val="clear" w:color="auto" w:fill="FFFFFF"/>
            <w:tcMar>
              <w:top w:w="20" w:type="dxa"/>
              <w:bottom w:w="20" w:type="dxa"/>
            </w:tcMar>
            <w:vAlign w:val="center"/>
          </w:tcPr>
          <w:p w14:paraId="7A0F96AB" w14:textId="77777777" w:rsidR="005E6B58" w:rsidRPr="00647D81" w:rsidRDefault="005E6B58" w:rsidP="00E456F1">
            <w:pPr>
              <w:pStyle w:val="AnnexTableCell"/>
              <w:spacing w:line="240" w:lineRule="auto"/>
              <w:ind w:left="500"/>
              <w:jc w:val="left"/>
              <w:rPr>
                <w:rFonts w:ascii="Helvetica" w:hAnsi="Helvetica"/>
                <w:sz w:val="14"/>
                <w:szCs w:val="14"/>
              </w:rPr>
            </w:pPr>
            <w:r>
              <w:rPr>
                <w:rFonts w:ascii="Helvetica" w:hAnsi="Helvetica"/>
                <w:sz w:val="14"/>
              </w:rPr>
              <w:t>Lån og forskudd</w:t>
            </w:r>
          </w:p>
        </w:tc>
        <w:tc>
          <w:tcPr>
            <w:tcW w:w="912" w:type="dxa"/>
            <w:shd w:val="clear" w:color="auto" w:fill="FFFFFF"/>
            <w:tcMar>
              <w:top w:w="20" w:type="dxa"/>
              <w:bottom w:w="20" w:type="dxa"/>
            </w:tcMar>
            <w:vAlign w:val="center"/>
          </w:tcPr>
          <w:p w14:paraId="43142418"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6B97DDD"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451E7C9F"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3D9FCAFC"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63AFC9D"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FF9EF6D"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262DAA7"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56AF909"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13E082E0"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27098320"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32F81B7F"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7343ABCE"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0622E16B"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68C15E73" w14:textId="77777777" w:rsidTr="00647D81">
        <w:trPr>
          <w:trHeight w:val="20"/>
        </w:trPr>
        <w:tc>
          <w:tcPr>
            <w:tcW w:w="428" w:type="dxa"/>
            <w:shd w:val="clear" w:color="auto" w:fill="FFFFFF"/>
            <w:tcMar>
              <w:top w:w="20" w:type="dxa"/>
              <w:left w:w="0" w:type="dxa"/>
              <w:bottom w:w="20" w:type="dxa"/>
            </w:tcMar>
            <w:vAlign w:val="bottom"/>
          </w:tcPr>
          <w:p w14:paraId="2B42425D"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5</w:t>
            </w:r>
          </w:p>
        </w:tc>
        <w:tc>
          <w:tcPr>
            <w:tcW w:w="4147" w:type="dxa"/>
            <w:shd w:val="clear" w:color="auto" w:fill="FFFFFF"/>
            <w:tcMar>
              <w:top w:w="20" w:type="dxa"/>
              <w:bottom w:w="20" w:type="dxa"/>
            </w:tcMar>
            <w:vAlign w:val="center"/>
          </w:tcPr>
          <w:p w14:paraId="27F8BE3C" w14:textId="77777777" w:rsidR="005E6B58" w:rsidRPr="00647D81" w:rsidRDefault="005E6B58" w:rsidP="00E456F1">
            <w:pPr>
              <w:pStyle w:val="AnnexTableCell"/>
              <w:spacing w:line="240" w:lineRule="auto"/>
              <w:ind w:left="500"/>
              <w:jc w:val="left"/>
              <w:rPr>
                <w:rFonts w:ascii="Helvetica" w:hAnsi="Helvetica"/>
                <w:sz w:val="14"/>
                <w:szCs w:val="14"/>
              </w:rPr>
            </w:pPr>
            <w:r>
              <w:rPr>
                <w:rFonts w:ascii="Helvetica" w:hAnsi="Helvetica"/>
                <w:sz w:val="14"/>
              </w:rPr>
              <w:t>Gjeldsinstrumenter, herunder bruk av proveny</w:t>
            </w:r>
          </w:p>
        </w:tc>
        <w:tc>
          <w:tcPr>
            <w:tcW w:w="912" w:type="dxa"/>
            <w:shd w:val="clear" w:color="auto" w:fill="FFFFFF"/>
            <w:tcMar>
              <w:top w:w="20" w:type="dxa"/>
              <w:bottom w:w="20" w:type="dxa"/>
            </w:tcMar>
            <w:vAlign w:val="center"/>
          </w:tcPr>
          <w:p w14:paraId="0CA6C31D"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497F5AA"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04B87B90"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34690015"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B34E505"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742BDEA"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67CB6B0"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979615F"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10992E6A"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5F965520"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54C8471"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0381B866"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228BD043"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3B96EDD0" w14:textId="77777777" w:rsidTr="00647D81">
        <w:trPr>
          <w:trHeight w:val="20"/>
        </w:trPr>
        <w:tc>
          <w:tcPr>
            <w:tcW w:w="428" w:type="dxa"/>
            <w:shd w:val="clear" w:color="auto" w:fill="FFFFFF"/>
            <w:tcMar>
              <w:top w:w="20" w:type="dxa"/>
              <w:left w:w="0" w:type="dxa"/>
              <w:bottom w:w="20" w:type="dxa"/>
            </w:tcMar>
            <w:vAlign w:val="bottom"/>
          </w:tcPr>
          <w:p w14:paraId="5D513FE3"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6</w:t>
            </w:r>
          </w:p>
        </w:tc>
        <w:tc>
          <w:tcPr>
            <w:tcW w:w="4147" w:type="dxa"/>
            <w:shd w:val="clear" w:color="auto" w:fill="FFFFFF"/>
            <w:tcMar>
              <w:top w:w="20" w:type="dxa"/>
              <w:bottom w:w="20" w:type="dxa"/>
            </w:tcMar>
            <w:vAlign w:val="center"/>
          </w:tcPr>
          <w:p w14:paraId="110CC6B4" w14:textId="77777777" w:rsidR="00E456F1" w:rsidRPr="00647D81" w:rsidRDefault="00E456F1" w:rsidP="00E456F1">
            <w:pPr>
              <w:pStyle w:val="AnnexTableCell"/>
              <w:spacing w:line="240" w:lineRule="auto"/>
              <w:ind w:left="500"/>
              <w:jc w:val="left"/>
              <w:rPr>
                <w:rFonts w:ascii="Helvetica" w:hAnsi="Helvetica"/>
                <w:sz w:val="14"/>
                <w:szCs w:val="14"/>
              </w:rPr>
            </w:pPr>
            <w:r>
              <w:rPr>
                <w:rFonts w:ascii="Helvetica" w:hAnsi="Helvetica"/>
                <w:sz w:val="14"/>
              </w:rPr>
              <w:t>Egenkapitalinstrumenter</w:t>
            </w:r>
          </w:p>
        </w:tc>
        <w:tc>
          <w:tcPr>
            <w:tcW w:w="912" w:type="dxa"/>
            <w:shd w:val="clear" w:color="auto" w:fill="FFFFFF"/>
            <w:tcMar>
              <w:top w:w="20" w:type="dxa"/>
              <w:bottom w:w="20" w:type="dxa"/>
            </w:tcMar>
            <w:vAlign w:val="center"/>
          </w:tcPr>
          <w:p w14:paraId="322F95B3"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668EB13E"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0B3280BA"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2B8113F2"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1E7037C"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67D53FB"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10BBD44"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A68C7EC"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000000" w:themeFill="text1"/>
            <w:vAlign w:val="center"/>
          </w:tcPr>
          <w:p w14:paraId="50CA8A11"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FFFFFF"/>
            <w:vAlign w:val="center"/>
          </w:tcPr>
          <w:p w14:paraId="051F8625"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569F65C"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D1CF4BF"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0AE62E9D" w14:textId="77777777" w:rsidR="00E456F1" w:rsidRPr="00647D81" w:rsidRDefault="00E456F1" w:rsidP="00E456F1">
            <w:pPr>
              <w:pStyle w:val="AnnexTableCell"/>
              <w:spacing w:line="240" w:lineRule="auto"/>
              <w:rPr>
                <w:rFonts w:ascii="Helvetica" w:hAnsi="Helvetica"/>
                <w:sz w:val="14"/>
                <w:szCs w:val="14"/>
              </w:rPr>
            </w:pPr>
          </w:p>
        </w:tc>
      </w:tr>
      <w:tr w:rsidR="00E456F1" w:rsidRPr="00647D81" w14:paraId="67AA87D3" w14:textId="77777777" w:rsidTr="00647D81">
        <w:trPr>
          <w:trHeight w:val="20"/>
        </w:trPr>
        <w:tc>
          <w:tcPr>
            <w:tcW w:w="428" w:type="dxa"/>
            <w:shd w:val="clear" w:color="auto" w:fill="FFFFFF"/>
            <w:tcMar>
              <w:top w:w="20" w:type="dxa"/>
              <w:left w:w="0" w:type="dxa"/>
              <w:bottom w:w="20" w:type="dxa"/>
            </w:tcMar>
            <w:vAlign w:val="bottom"/>
          </w:tcPr>
          <w:p w14:paraId="282E27EB"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7</w:t>
            </w:r>
          </w:p>
        </w:tc>
        <w:tc>
          <w:tcPr>
            <w:tcW w:w="4147" w:type="dxa"/>
            <w:shd w:val="clear" w:color="auto" w:fill="FFFFFF"/>
            <w:tcMar>
              <w:top w:w="20" w:type="dxa"/>
              <w:bottom w:w="20" w:type="dxa"/>
            </w:tcMar>
            <w:vAlign w:val="center"/>
          </w:tcPr>
          <w:p w14:paraId="0DBE36AB" w14:textId="77777777" w:rsidR="005E6B58" w:rsidRPr="00647D81" w:rsidRDefault="005E6B58" w:rsidP="00E456F1">
            <w:pPr>
              <w:pStyle w:val="AnnexTableCell"/>
              <w:spacing w:line="240" w:lineRule="auto"/>
              <w:ind w:left="300"/>
              <w:jc w:val="left"/>
              <w:rPr>
                <w:rFonts w:ascii="Helvetica" w:hAnsi="Helvetica"/>
                <w:b/>
                <w:sz w:val="14"/>
                <w:szCs w:val="14"/>
              </w:rPr>
            </w:pPr>
            <w:r>
              <w:rPr>
                <w:rFonts w:ascii="Helvetica" w:hAnsi="Helvetica"/>
                <w:b/>
                <w:sz w:val="14"/>
              </w:rPr>
              <w:t>Ikke-finansielle foretak</w:t>
            </w:r>
          </w:p>
        </w:tc>
        <w:tc>
          <w:tcPr>
            <w:tcW w:w="912" w:type="dxa"/>
            <w:shd w:val="clear" w:color="auto" w:fill="FFFFFF"/>
            <w:tcMar>
              <w:top w:w="20" w:type="dxa"/>
              <w:bottom w:w="20" w:type="dxa"/>
            </w:tcMar>
            <w:vAlign w:val="center"/>
          </w:tcPr>
          <w:p w14:paraId="5543FEDC"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2C95155D"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E6169A6"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2A1EEF7B"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FD603FE"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0641DF6"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BDE356B"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6B4158D"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45AB873B"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606FC76F"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3B42E7D5"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10C4AF8C"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648F472D"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53B2CECC" w14:textId="77777777" w:rsidTr="00647D81">
        <w:trPr>
          <w:trHeight w:val="20"/>
        </w:trPr>
        <w:tc>
          <w:tcPr>
            <w:tcW w:w="428" w:type="dxa"/>
            <w:shd w:val="clear" w:color="auto" w:fill="FFFFFF"/>
            <w:tcMar>
              <w:top w:w="20" w:type="dxa"/>
              <w:left w:w="0" w:type="dxa"/>
              <w:bottom w:w="20" w:type="dxa"/>
            </w:tcMar>
            <w:vAlign w:val="bottom"/>
          </w:tcPr>
          <w:p w14:paraId="14299ADF"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8</w:t>
            </w:r>
          </w:p>
        </w:tc>
        <w:tc>
          <w:tcPr>
            <w:tcW w:w="4147" w:type="dxa"/>
            <w:shd w:val="clear" w:color="auto" w:fill="FFFFFF"/>
            <w:tcMar>
              <w:top w:w="20" w:type="dxa"/>
              <w:bottom w:w="20" w:type="dxa"/>
            </w:tcMar>
            <w:vAlign w:val="center"/>
          </w:tcPr>
          <w:p w14:paraId="1B272219" w14:textId="77777777" w:rsidR="005E6B58" w:rsidRPr="00647D81" w:rsidRDefault="005E6B58" w:rsidP="00E456F1">
            <w:pPr>
              <w:pStyle w:val="AnnexTableCell"/>
              <w:spacing w:line="240" w:lineRule="auto"/>
              <w:ind w:left="500"/>
              <w:jc w:val="left"/>
              <w:rPr>
                <w:rFonts w:ascii="Helvetica" w:hAnsi="Helvetica"/>
                <w:sz w:val="14"/>
                <w:szCs w:val="14"/>
              </w:rPr>
            </w:pPr>
            <w:r>
              <w:rPr>
                <w:rFonts w:ascii="Helvetica" w:hAnsi="Helvetica"/>
                <w:sz w:val="14"/>
              </w:rPr>
              <w:t>Lån og forskudd</w:t>
            </w:r>
          </w:p>
        </w:tc>
        <w:tc>
          <w:tcPr>
            <w:tcW w:w="912" w:type="dxa"/>
            <w:shd w:val="clear" w:color="auto" w:fill="FFFFFF"/>
            <w:tcMar>
              <w:top w:w="20" w:type="dxa"/>
              <w:bottom w:w="20" w:type="dxa"/>
            </w:tcMar>
            <w:vAlign w:val="center"/>
          </w:tcPr>
          <w:p w14:paraId="4753DEB1"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792FC52"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5CE6D5B1"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EA0C38A"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87A4F9D"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74D02A4"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06B27CB"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9E264E6"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3D459057"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30BF29B4"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30AFBEE6"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13B5598"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3C4F9278"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2A0CE6A2" w14:textId="77777777" w:rsidTr="00647D81">
        <w:trPr>
          <w:trHeight w:val="20"/>
        </w:trPr>
        <w:tc>
          <w:tcPr>
            <w:tcW w:w="428" w:type="dxa"/>
            <w:shd w:val="clear" w:color="auto" w:fill="FFFFFF"/>
            <w:tcMar>
              <w:top w:w="20" w:type="dxa"/>
              <w:left w:w="0" w:type="dxa"/>
              <w:bottom w:w="20" w:type="dxa"/>
            </w:tcMar>
            <w:vAlign w:val="bottom"/>
          </w:tcPr>
          <w:p w14:paraId="0DB453B6"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9</w:t>
            </w:r>
          </w:p>
        </w:tc>
        <w:tc>
          <w:tcPr>
            <w:tcW w:w="4147" w:type="dxa"/>
            <w:shd w:val="clear" w:color="auto" w:fill="FFFFFF"/>
            <w:tcMar>
              <w:top w:w="20" w:type="dxa"/>
              <w:bottom w:w="20" w:type="dxa"/>
            </w:tcMar>
            <w:vAlign w:val="center"/>
          </w:tcPr>
          <w:p w14:paraId="59FC1A4C" w14:textId="77777777" w:rsidR="005E6B58" w:rsidRPr="00647D81" w:rsidRDefault="005E6B58" w:rsidP="00E456F1">
            <w:pPr>
              <w:pStyle w:val="AnnexTableCell"/>
              <w:spacing w:line="240" w:lineRule="auto"/>
              <w:ind w:left="500"/>
              <w:jc w:val="left"/>
              <w:rPr>
                <w:rFonts w:ascii="Helvetica" w:hAnsi="Helvetica"/>
                <w:sz w:val="14"/>
                <w:szCs w:val="14"/>
              </w:rPr>
            </w:pPr>
            <w:r>
              <w:rPr>
                <w:rFonts w:ascii="Helvetica" w:hAnsi="Helvetica"/>
                <w:sz w:val="14"/>
              </w:rPr>
              <w:t>Gjeldsinstrumenter, herunder bruk av proveny</w:t>
            </w:r>
          </w:p>
        </w:tc>
        <w:tc>
          <w:tcPr>
            <w:tcW w:w="912" w:type="dxa"/>
            <w:shd w:val="clear" w:color="auto" w:fill="FFFFFF"/>
            <w:tcMar>
              <w:top w:w="20" w:type="dxa"/>
              <w:bottom w:w="20" w:type="dxa"/>
            </w:tcMar>
            <w:vAlign w:val="center"/>
          </w:tcPr>
          <w:p w14:paraId="3789C3C1"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3B279D67"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79CE4D89"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7A8167CB"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177CDA8"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C198A0F"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AD24E18"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10AD73E"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47F04E59"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68FA8AAA"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6EA68FE5"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06EB32DD"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080B06B4"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430602DC" w14:textId="77777777" w:rsidTr="00647D81">
        <w:trPr>
          <w:trHeight w:val="20"/>
        </w:trPr>
        <w:tc>
          <w:tcPr>
            <w:tcW w:w="428" w:type="dxa"/>
            <w:shd w:val="clear" w:color="auto" w:fill="FFFFFF"/>
            <w:tcMar>
              <w:top w:w="20" w:type="dxa"/>
              <w:left w:w="0" w:type="dxa"/>
              <w:bottom w:w="20" w:type="dxa"/>
            </w:tcMar>
            <w:vAlign w:val="bottom"/>
          </w:tcPr>
          <w:p w14:paraId="4BF89404"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10</w:t>
            </w:r>
          </w:p>
        </w:tc>
        <w:tc>
          <w:tcPr>
            <w:tcW w:w="4147" w:type="dxa"/>
            <w:shd w:val="clear" w:color="auto" w:fill="FFFFFF"/>
            <w:tcMar>
              <w:top w:w="20" w:type="dxa"/>
              <w:bottom w:w="20" w:type="dxa"/>
            </w:tcMar>
            <w:vAlign w:val="center"/>
          </w:tcPr>
          <w:p w14:paraId="1A533C04" w14:textId="77777777" w:rsidR="00E456F1" w:rsidRPr="00647D81" w:rsidRDefault="00E456F1" w:rsidP="00E456F1">
            <w:pPr>
              <w:pStyle w:val="AnnexTableCell"/>
              <w:spacing w:line="240" w:lineRule="auto"/>
              <w:ind w:left="500"/>
              <w:jc w:val="left"/>
              <w:rPr>
                <w:rFonts w:ascii="Helvetica" w:hAnsi="Helvetica"/>
                <w:sz w:val="14"/>
                <w:szCs w:val="14"/>
              </w:rPr>
            </w:pPr>
            <w:r>
              <w:rPr>
                <w:rFonts w:ascii="Helvetica" w:hAnsi="Helvetica"/>
                <w:sz w:val="14"/>
              </w:rPr>
              <w:t>Egenkapitalinstrumenter</w:t>
            </w:r>
          </w:p>
        </w:tc>
        <w:tc>
          <w:tcPr>
            <w:tcW w:w="912" w:type="dxa"/>
            <w:shd w:val="clear" w:color="auto" w:fill="FFFFFF"/>
            <w:tcMar>
              <w:top w:w="20" w:type="dxa"/>
              <w:bottom w:w="20" w:type="dxa"/>
            </w:tcMar>
            <w:vAlign w:val="center"/>
          </w:tcPr>
          <w:p w14:paraId="063221C6"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C4664DF"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4398A4D7"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51F8A02D"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A25B08B"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2F2A84D"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22F69B7"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FF75FDA"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000000" w:themeFill="text1"/>
            <w:tcMar>
              <w:top w:w="20" w:type="dxa"/>
              <w:bottom w:w="20" w:type="dxa"/>
            </w:tcMar>
            <w:vAlign w:val="center"/>
          </w:tcPr>
          <w:p w14:paraId="50252E3F"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FFFFFF"/>
            <w:vAlign w:val="center"/>
          </w:tcPr>
          <w:p w14:paraId="3D6C1110"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75D7550C"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0E69D13"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0A24DB84" w14:textId="77777777" w:rsidR="00E456F1" w:rsidRPr="00647D81" w:rsidRDefault="00E456F1" w:rsidP="00E456F1">
            <w:pPr>
              <w:pStyle w:val="AnnexTableCell"/>
              <w:spacing w:line="240" w:lineRule="auto"/>
              <w:rPr>
                <w:rFonts w:ascii="Helvetica" w:hAnsi="Helvetica"/>
                <w:sz w:val="14"/>
                <w:szCs w:val="14"/>
              </w:rPr>
            </w:pPr>
          </w:p>
        </w:tc>
      </w:tr>
      <w:tr w:rsidR="00E456F1" w:rsidRPr="00647D81" w14:paraId="486ACB54" w14:textId="77777777" w:rsidTr="00647D81">
        <w:trPr>
          <w:trHeight w:val="20"/>
        </w:trPr>
        <w:tc>
          <w:tcPr>
            <w:tcW w:w="428" w:type="dxa"/>
            <w:shd w:val="clear" w:color="auto" w:fill="FFFFFF"/>
            <w:tcMar>
              <w:top w:w="20" w:type="dxa"/>
              <w:left w:w="0" w:type="dxa"/>
              <w:bottom w:w="20" w:type="dxa"/>
            </w:tcMar>
            <w:vAlign w:val="bottom"/>
          </w:tcPr>
          <w:p w14:paraId="58A89CB2"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11</w:t>
            </w:r>
          </w:p>
        </w:tc>
        <w:tc>
          <w:tcPr>
            <w:tcW w:w="4147" w:type="dxa"/>
            <w:shd w:val="clear" w:color="auto" w:fill="FFFFFF"/>
            <w:tcMar>
              <w:top w:w="20" w:type="dxa"/>
              <w:bottom w:w="20" w:type="dxa"/>
            </w:tcMar>
            <w:vAlign w:val="center"/>
          </w:tcPr>
          <w:p w14:paraId="57902C48" w14:textId="77777777" w:rsidR="005E6B58" w:rsidRPr="00647D81" w:rsidRDefault="005E6B58" w:rsidP="00E456F1">
            <w:pPr>
              <w:pStyle w:val="AnnexTableCell"/>
              <w:spacing w:line="240" w:lineRule="auto"/>
              <w:ind w:left="300"/>
              <w:jc w:val="left"/>
              <w:rPr>
                <w:rFonts w:ascii="Helvetica" w:hAnsi="Helvetica"/>
                <w:b/>
                <w:sz w:val="14"/>
                <w:szCs w:val="14"/>
              </w:rPr>
            </w:pPr>
            <w:r>
              <w:rPr>
                <w:rFonts w:ascii="Helvetica" w:hAnsi="Helvetica"/>
                <w:b/>
                <w:sz w:val="14"/>
              </w:rPr>
              <w:t>Husholdninger</w:t>
            </w:r>
          </w:p>
        </w:tc>
        <w:tc>
          <w:tcPr>
            <w:tcW w:w="912" w:type="dxa"/>
            <w:shd w:val="clear" w:color="auto" w:fill="FFFFFF"/>
            <w:tcMar>
              <w:top w:w="20" w:type="dxa"/>
              <w:bottom w:w="20" w:type="dxa"/>
            </w:tcMar>
            <w:vAlign w:val="center"/>
          </w:tcPr>
          <w:p w14:paraId="50FFBB45"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DC01C3B"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4E07FF4A"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23D99D77"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E7AA110"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181E3E9"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1F1160A6"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78B595A5"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693AD6DF"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115213A3"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14C819E7"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5B96638C"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3375C747"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70DE8B88" w14:textId="77777777" w:rsidTr="00647D81">
        <w:trPr>
          <w:trHeight w:val="20"/>
        </w:trPr>
        <w:tc>
          <w:tcPr>
            <w:tcW w:w="428" w:type="dxa"/>
            <w:shd w:val="clear" w:color="auto" w:fill="FFFFFF"/>
            <w:tcMar>
              <w:top w:w="20" w:type="dxa"/>
              <w:left w:w="0" w:type="dxa"/>
              <w:bottom w:w="20" w:type="dxa"/>
            </w:tcMar>
            <w:vAlign w:val="bottom"/>
          </w:tcPr>
          <w:p w14:paraId="44073BDE"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12</w:t>
            </w:r>
          </w:p>
        </w:tc>
        <w:tc>
          <w:tcPr>
            <w:tcW w:w="4147" w:type="dxa"/>
            <w:shd w:val="clear" w:color="auto" w:fill="FFFFFF"/>
            <w:tcMar>
              <w:top w:w="20" w:type="dxa"/>
              <w:bottom w:w="20" w:type="dxa"/>
            </w:tcMar>
            <w:vAlign w:val="center"/>
          </w:tcPr>
          <w:p w14:paraId="64909222" w14:textId="77777777" w:rsidR="005E6B58" w:rsidRPr="00647D81" w:rsidRDefault="005E6B58" w:rsidP="00E456F1">
            <w:pPr>
              <w:pStyle w:val="AnnexTableCell"/>
              <w:spacing w:line="240" w:lineRule="auto"/>
              <w:ind w:left="500"/>
              <w:jc w:val="left"/>
              <w:rPr>
                <w:rFonts w:ascii="Helvetica" w:hAnsi="Helvetica"/>
                <w:sz w:val="14"/>
                <w:szCs w:val="14"/>
              </w:rPr>
            </w:pPr>
            <w:r>
              <w:rPr>
                <w:rFonts w:ascii="Helvetica" w:hAnsi="Helvetica"/>
                <w:sz w:val="14"/>
              </w:rPr>
              <w:t>hvorav lån med sikkerhet i boligeiendommer</w:t>
            </w:r>
          </w:p>
        </w:tc>
        <w:tc>
          <w:tcPr>
            <w:tcW w:w="912" w:type="dxa"/>
            <w:shd w:val="clear" w:color="auto" w:fill="FFFFFF"/>
            <w:tcMar>
              <w:top w:w="20" w:type="dxa"/>
              <w:bottom w:w="20" w:type="dxa"/>
            </w:tcMar>
            <w:vAlign w:val="center"/>
          </w:tcPr>
          <w:p w14:paraId="1942FE11"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3A19923D"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020C139E"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245945A1"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0FD0F1EF"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DDE0A08"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2A33B531"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1CBADBF0"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47945670"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20C4CEC5"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393D2B5E"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7AB579C8"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1F0DD62F"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2455223C" w14:textId="77777777" w:rsidTr="00647D81">
        <w:trPr>
          <w:trHeight w:val="20"/>
        </w:trPr>
        <w:tc>
          <w:tcPr>
            <w:tcW w:w="428" w:type="dxa"/>
            <w:shd w:val="clear" w:color="auto" w:fill="FFFFFF"/>
            <w:tcMar>
              <w:top w:w="20" w:type="dxa"/>
              <w:left w:w="0" w:type="dxa"/>
              <w:bottom w:w="20" w:type="dxa"/>
            </w:tcMar>
            <w:vAlign w:val="bottom"/>
          </w:tcPr>
          <w:p w14:paraId="249BE508"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13</w:t>
            </w:r>
          </w:p>
        </w:tc>
        <w:tc>
          <w:tcPr>
            <w:tcW w:w="4147" w:type="dxa"/>
            <w:shd w:val="clear" w:color="auto" w:fill="FFFFFF"/>
            <w:tcMar>
              <w:top w:w="20" w:type="dxa"/>
              <w:bottom w:w="20" w:type="dxa"/>
            </w:tcMar>
            <w:vAlign w:val="center"/>
          </w:tcPr>
          <w:p w14:paraId="0BAE2ADE" w14:textId="77777777" w:rsidR="005E6B58" w:rsidRPr="00647D81" w:rsidRDefault="005E6B58" w:rsidP="00E456F1">
            <w:pPr>
              <w:pStyle w:val="AnnexTableCell"/>
              <w:spacing w:line="240" w:lineRule="auto"/>
              <w:ind w:left="500"/>
              <w:jc w:val="left"/>
              <w:rPr>
                <w:rFonts w:ascii="Helvetica" w:hAnsi="Helvetica"/>
                <w:sz w:val="14"/>
                <w:szCs w:val="14"/>
              </w:rPr>
            </w:pPr>
            <w:r>
              <w:rPr>
                <w:rFonts w:ascii="Helvetica" w:hAnsi="Helvetica"/>
                <w:sz w:val="14"/>
              </w:rPr>
              <w:t>hvorav lån til byggrenovering</w:t>
            </w:r>
          </w:p>
        </w:tc>
        <w:tc>
          <w:tcPr>
            <w:tcW w:w="912" w:type="dxa"/>
            <w:shd w:val="clear" w:color="auto" w:fill="FFFFFF"/>
            <w:tcMar>
              <w:top w:w="20" w:type="dxa"/>
              <w:bottom w:w="20" w:type="dxa"/>
            </w:tcMar>
            <w:vAlign w:val="center"/>
          </w:tcPr>
          <w:p w14:paraId="33AF3AA6"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6469CE64"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4A1FB53C"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3D788FA5"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552B8668"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1D018FB"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275AF674"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7AD8C7E"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07F3B224"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2B05C5ED"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1786ED71"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2E4FC172"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44BD1180"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3FABE015" w14:textId="77777777" w:rsidTr="00647D81">
        <w:trPr>
          <w:trHeight w:val="20"/>
        </w:trPr>
        <w:tc>
          <w:tcPr>
            <w:tcW w:w="428" w:type="dxa"/>
            <w:shd w:val="clear" w:color="auto" w:fill="FFFFFF"/>
            <w:tcMar>
              <w:top w:w="20" w:type="dxa"/>
              <w:left w:w="0" w:type="dxa"/>
              <w:bottom w:w="20" w:type="dxa"/>
            </w:tcMar>
            <w:vAlign w:val="bottom"/>
          </w:tcPr>
          <w:p w14:paraId="710F1D41" w14:textId="77777777" w:rsidR="005E6B58" w:rsidRPr="00647D81" w:rsidRDefault="005E6B58" w:rsidP="00E456F1">
            <w:pPr>
              <w:pStyle w:val="AnnexTableCell"/>
              <w:spacing w:line="240" w:lineRule="auto"/>
              <w:rPr>
                <w:rFonts w:ascii="Helvetica" w:hAnsi="Helvetica"/>
                <w:sz w:val="14"/>
                <w:szCs w:val="14"/>
              </w:rPr>
            </w:pPr>
            <w:r>
              <w:rPr>
                <w:rFonts w:ascii="Helvetica" w:hAnsi="Helvetica"/>
                <w:sz w:val="14"/>
              </w:rPr>
              <w:t>14</w:t>
            </w:r>
          </w:p>
        </w:tc>
        <w:tc>
          <w:tcPr>
            <w:tcW w:w="4147" w:type="dxa"/>
            <w:shd w:val="clear" w:color="auto" w:fill="FFFFFF"/>
            <w:tcMar>
              <w:top w:w="20" w:type="dxa"/>
              <w:bottom w:w="20" w:type="dxa"/>
            </w:tcMar>
            <w:vAlign w:val="center"/>
          </w:tcPr>
          <w:p w14:paraId="6BE22F10" w14:textId="77777777" w:rsidR="005E6B58" w:rsidRPr="00647D81" w:rsidRDefault="005E6B58" w:rsidP="00E456F1">
            <w:pPr>
              <w:pStyle w:val="AnnexTableCell"/>
              <w:spacing w:line="240" w:lineRule="auto"/>
              <w:ind w:left="500"/>
              <w:jc w:val="left"/>
              <w:rPr>
                <w:rFonts w:ascii="Helvetica" w:hAnsi="Helvetica"/>
                <w:sz w:val="14"/>
                <w:szCs w:val="14"/>
              </w:rPr>
            </w:pPr>
            <w:r>
              <w:rPr>
                <w:rFonts w:ascii="Helvetica" w:hAnsi="Helvetica"/>
                <w:sz w:val="14"/>
              </w:rPr>
              <w:t>hvorav billån</w:t>
            </w:r>
          </w:p>
        </w:tc>
        <w:tc>
          <w:tcPr>
            <w:tcW w:w="912" w:type="dxa"/>
            <w:shd w:val="clear" w:color="auto" w:fill="FFFFFF"/>
            <w:tcMar>
              <w:top w:w="20" w:type="dxa"/>
              <w:bottom w:w="20" w:type="dxa"/>
            </w:tcMar>
            <w:vAlign w:val="center"/>
          </w:tcPr>
          <w:p w14:paraId="5F345ABE" w14:textId="77777777" w:rsidR="005E6B58" w:rsidRPr="00647D81" w:rsidRDefault="005E6B58"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68A1472" w14:textId="77777777" w:rsidR="005E6B58" w:rsidRPr="00647D81" w:rsidRDefault="005E6B58"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2A3F490F" w14:textId="77777777" w:rsidR="005E6B58" w:rsidRPr="00647D81" w:rsidRDefault="005E6B58" w:rsidP="00E456F1">
            <w:pPr>
              <w:pStyle w:val="AnnexTableCell"/>
              <w:spacing w:line="240" w:lineRule="auto"/>
              <w:rPr>
                <w:rFonts w:ascii="Helvetica" w:hAnsi="Helvetica"/>
                <w:sz w:val="14"/>
                <w:szCs w:val="14"/>
              </w:rPr>
            </w:pPr>
          </w:p>
        </w:tc>
        <w:tc>
          <w:tcPr>
            <w:tcW w:w="730" w:type="dxa"/>
            <w:shd w:val="clear" w:color="auto" w:fill="000000" w:themeFill="text1"/>
            <w:tcMar>
              <w:top w:w="20" w:type="dxa"/>
              <w:bottom w:w="20" w:type="dxa"/>
            </w:tcMar>
            <w:vAlign w:val="center"/>
          </w:tcPr>
          <w:p w14:paraId="58E290CD"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06D9E5D6"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705302A7"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3B99BE8C" w14:textId="77777777" w:rsidR="005E6B58" w:rsidRPr="00647D81" w:rsidRDefault="005E6B58"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142FE0B2" w14:textId="77777777" w:rsidR="005E6B58" w:rsidRPr="00647D81" w:rsidRDefault="005E6B58"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0BCBCC5B" w14:textId="77777777" w:rsidR="005E6B58" w:rsidRPr="00647D81" w:rsidRDefault="005E6B58"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246B81AC" w14:textId="77777777" w:rsidR="005E6B58" w:rsidRPr="00647D81" w:rsidRDefault="005E6B58"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4B5A6951" w14:textId="77777777" w:rsidR="005E6B58" w:rsidRPr="00647D81" w:rsidRDefault="005E6B58"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6872D5A" w14:textId="77777777" w:rsidR="005E6B58" w:rsidRPr="00647D81" w:rsidRDefault="005E6B58"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6AE3C93C" w14:textId="77777777" w:rsidR="005E6B58" w:rsidRPr="00647D81" w:rsidRDefault="005E6B58" w:rsidP="00E456F1">
            <w:pPr>
              <w:pStyle w:val="AnnexTableCell"/>
              <w:spacing w:line="240" w:lineRule="auto"/>
              <w:rPr>
                <w:rFonts w:ascii="Helvetica" w:hAnsi="Helvetica"/>
                <w:sz w:val="14"/>
                <w:szCs w:val="14"/>
              </w:rPr>
            </w:pPr>
          </w:p>
        </w:tc>
      </w:tr>
      <w:tr w:rsidR="00E456F1" w:rsidRPr="00647D81" w14:paraId="0974427F" w14:textId="77777777" w:rsidTr="00647D81">
        <w:trPr>
          <w:trHeight w:val="20"/>
        </w:trPr>
        <w:tc>
          <w:tcPr>
            <w:tcW w:w="428" w:type="dxa"/>
            <w:shd w:val="clear" w:color="auto" w:fill="FFFFFF"/>
            <w:tcMar>
              <w:top w:w="20" w:type="dxa"/>
              <w:left w:w="0" w:type="dxa"/>
              <w:bottom w:w="20" w:type="dxa"/>
            </w:tcMar>
            <w:vAlign w:val="bottom"/>
          </w:tcPr>
          <w:p w14:paraId="3FC06503"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15</w:t>
            </w:r>
          </w:p>
        </w:tc>
        <w:tc>
          <w:tcPr>
            <w:tcW w:w="4147" w:type="dxa"/>
            <w:shd w:val="clear" w:color="auto" w:fill="FFFFFF"/>
            <w:tcMar>
              <w:top w:w="20" w:type="dxa"/>
              <w:bottom w:w="20" w:type="dxa"/>
            </w:tcMar>
            <w:vAlign w:val="center"/>
          </w:tcPr>
          <w:p w14:paraId="52F006B2" w14:textId="77777777" w:rsidR="00E456F1" w:rsidRPr="00647D81" w:rsidRDefault="00E456F1" w:rsidP="00E456F1">
            <w:pPr>
              <w:pStyle w:val="AnnexTableCell"/>
              <w:spacing w:line="240" w:lineRule="auto"/>
              <w:ind w:left="300"/>
              <w:jc w:val="left"/>
              <w:rPr>
                <w:rFonts w:ascii="Helvetica" w:hAnsi="Helvetica"/>
                <w:b/>
                <w:sz w:val="14"/>
                <w:szCs w:val="14"/>
              </w:rPr>
            </w:pPr>
            <w:r>
              <w:rPr>
                <w:rFonts w:ascii="Helvetica" w:hAnsi="Helvetica"/>
                <w:b/>
                <w:sz w:val="14"/>
              </w:rPr>
              <w:t>Finansiering til lokale myndigheter</w:t>
            </w:r>
          </w:p>
        </w:tc>
        <w:tc>
          <w:tcPr>
            <w:tcW w:w="912" w:type="dxa"/>
            <w:shd w:val="clear" w:color="auto" w:fill="FFFFFF"/>
            <w:tcMar>
              <w:top w:w="20" w:type="dxa"/>
              <w:bottom w:w="20" w:type="dxa"/>
            </w:tcMar>
            <w:vAlign w:val="center"/>
          </w:tcPr>
          <w:p w14:paraId="5D3DB600"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237C07F3"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849C8F8"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71AFCE2C"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0856666"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8B606A3"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A295BCF"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FB3C2D8"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6E46A1DC"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26BC5EB9"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38AA4F8"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18E775B1"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029AD89A" w14:textId="77777777" w:rsidR="00E456F1" w:rsidRPr="00647D81" w:rsidRDefault="00E456F1" w:rsidP="00E456F1">
            <w:pPr>
              <w:pStyle w:val="AnnexTableCell"/>
              <w:spacing w:line="240" w:lineRule="auto"/>
              <w:rPr>
                <w:rFonts w:ascii="Helvetica" w:hAnsi="Helvetica"/>
                <w:sz w:val="14"/>
                <w:szCs w:val="14"/>
              </w:rPr>
            </w:pPr>
          </w:p>
        </w:tc>
      </w:tr>
      <w:tr w:rsidR="00E456F1" w:rsidRPr="00647D81" w14:paraId="7073BA0D" w14:textId="77777777" w:rsidTr="00647D81">
        <w:trPr>
          <w:trHeight w:val="20"/>
        </w:trPr>
        <w:tc>
          <w:tcPr>
            <w:tcW w:w="428" w:type="dxa"/>
            <w:shd w:val="clear" w:color="auto" w:fill="FFFFFF"/>
            <w:tcMar>
              <w:top w:w="20" w:type="dxa"/>
              <w:left w:w="0" w:type="dxa"/>
              <w:bottom w:w="20" w:type="dxa"/>
            </w:tcMar>
            <w:vAlign w:val="bottom"/>
          </w:tcPr>
          <w:p w14:paraId="4C27BE9B"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16</w:t>
            </w:r>
          </w:p>
        </w:tc>
        <w:tc>
          <w:tcPr>
            <w:tcW w:w="4147" w:type="dxa"/>
            <w:shd w:val="clear" w:color="auto" w:fill="FFFFFF"/>
            <w:tcMar>
              <w:top w:w="20" w:type="dxa"/>
              <w:bottom w:w="20" w:type="dxa"/>
            </w:tcMar>
            <w:vAlign w:val="center"/>
          </w:tcPr>
          <w:p w14:paraId="2BC8212F" w14:textId="77777777" w:rsidR="00E456F1" w:rsidRPr="00647D81" w:rsidRDefault="00E456F1" w:rsidP="00E456F1">
            <w:pPr>
              <w:pStyle w:val="AnnexTableCell"/>
              <w:spacing w:line="240" w:lineRule="auto"/>
              <w:ind w:left="500"/>
              <w:jc w:val="left"/>
              <w:rPr>
                <w:rFonts w:ascii="Helvetica" w:hAnsi="Helvetica"/>
                <w:sz w:val="14"/>
                <w:szCs w:val="14"/>
              </w:rPr>
            </w:pPr>
            <w:r>
              <w:rPr>
                <w:rFonts w:ascii="Helvetica" w:hAnsi="Helvetica"/>
                <w:sz w:val="14"/>
              </w:rPr>
              <w:t>Boligfinansiering</w:t>
            </w:r>
          </w:p>
        </w:tc>
        <w:tc>
          <w:tcPr>
            <w:tcW w:w="912" w:type="dxa"/>
            <w:shd w:val="clear" w:color="auto" w:fill="FFFFFF"/>
            <w:tcMar>
              <w:top w:w="20" w:type="dxa"/>
              <w:bottom w:w="20" w:type="dxa"/>
            </w:tcMar>
            <w:vAlign w:val="center"/>
          </w:tcPr>
          <w:p w14:paraId="37ADCD4F"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21AA233F"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1716EFAC"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65F54D68"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0EA78A44"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C70135E"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02A3CDA0"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11429BF"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5D926E30"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559A0433"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109FED6D"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2641A5B"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3553F1E5" w14:textId="77777777" w:rsidR="00E456F1" w:rsidRPr="00647D81" w:rsidRDefault="00E456F1" w:rsidP="00E456F1">
            <w:pPr>
              <w:pStyle w:val="AnnexTableCell"/>
              <w:spacing w:line="240" w:lineRule="auto"/>
              <w:rPr>
                <w:rFonts w:ascii="Helvetica" w:hAnsi="Helvetica"/>
                <w:sz w:val="14"/>
                <w:szCs w:val="14"/>
              </w:rPr>
            </w:pPr>
          </w:p>
        </w:tc>
      </w:tr>
      <w:tr w:rsidR="00E456F1" w:rsidRPr="00647D81" w14:paraId="5459407D" w14:textId="77777777" w:rsidTr="00647D81">
        <w:trPr>
          <w:trHeight w:val="20"/>
        </w:trPr>
        <w:tc>
          <w:tcPr>
            <w:tcW w:w="428" w:type="dxa"/>
            <w:shd w:val="clear" w:color="auto" w:fill="FFFFFF"/>
            <w:tcMar>
              <w:top w:w="20" w:type="dxa"/>
              <w:left w:w="0" w:type="dxa"/>
              <w:bottom w:w="20" w:type="dxa"/>
            </w:tcMar>
            <w:vAlign w:val="bottom"/>
          </w:tcPr>
          <w:p w14:paraId="22B57917"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17</w:t>
            </w:r>
          </w:p>
        </w:tc>
        <w:tc>
          <w:tcPr>
            <w:tcW w:w="4147" w:type="dxa"/>
            <w:shd w:val="clear" w:color="auto" w:fill="FFFFFF"/>
            <w:tcMar>
              <w:top w:w="20" w:type="dxa"/>
              <w:bottom w:w="20" w:type="dxa"/>
            </w:tcMar>
            <w:vAlign w:val="center"/>
          </w:tcPr>
          <w:p w14:paraId="26F31E48" w14:textId="77777777" w:rsidR="00E456F1" w:rsidRPr="00647D81" w:rsidRDefault="00E456F1" w:rsidP="00E456F1">
            <w:pPr>
              <w:pStyle w:val="AnnexTableCell"/>
              <w:spacing w:line="240" w:lineRule="auto"/>
              <w:ind w:left="500"/>
              <w:jc w:val="left"/>
              <w:rPr>
                <w:rFonts w:ascii="Helvetica" w:hAnsi="Helvetica"/>
                <w:sz w:val="14"/>
                <w:szCs w:val="14"/>
              </w:rPr>
            </w:pPr>
            <w:r>
              <w:rPr>
                <w:rFonts w:ascii="Helvetica" w:hAnsi="Helvetica"/>
                <w:sz w:val="14"/>
              </w:rPr>
              <w:t>Annen finansiering av lokale myndigheter</w:t>
            </w:r>
          </w:p>
        </w:tc>
        <w:tc>
          <w:tcPr>
            <w:tcW w:w="912" w:type="dxa"/>
            <w:shd w:val="clear" w:color="auto" w:fill="FFFFFF"/>
            <w:tcMar>
              <w:top w:w="20" w:type="dxa"/>
              <w:bottom w:w="20" w:type="dxa"/>
            </w:tcMar>
            <w:vAlign w:val="center"/>
          </w:tcPr>
          <w:p w14:paraId="57DD691A"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6415E615"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37289317"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2A9F9C91"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8463DE4"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9C13E27"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57A2E58"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B50A716"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3026A48D"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5583797B"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FD84FBB"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18778FEE"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3DD94C84" w14:textId="77777777" w:rsidR="00E456F1" w:rsidRPr="00647D81" w:rsidRDefault="00E456F1" w:rsidP="00E456F1">
            <w:pPr>
              <w:pStyle w:val="AnnexTableCell"/>
              <w:spacing w:line="240" w:lineRule="auto"/>
              <w:rPr>
                <w:rFonts w:ascii="Helvetica" w:hAnsi="Helvetica"/>
                <w:sz w:val="14"/>
                <w:szCs w:val="14"/>
              </w:rPr>
            </w:pPr>
          </w:p>
        </w:tc>
      </w:tr>
      <w:tr w:rsidR="00E456F1" w:rsidRPr="00647D81" w14:paraId="495823ED" w14:textId="77777777" w:rsidTr="00647D81">
        <w:trPr>
          <w:trHeight w:val="20"/>
        </w:trPr>
        <w:tc>
          <w:tcPr>
            <w:tcW w:w="428" w:type="dxa"/>
            <w:shd w:val="clear" w:color="auto" w:fill="FFFFFF"/>
            <w:tcMar>
              <w:top w:w="20" w:type="dxa"/>
              <w:left w:w="0" w:type="dxa"/>
              <w:bottom w:w="20" w:type="dxa"/>
            </w:tcMar>
            <w:vAlign w:val="bottom"/>
          </w:tcPr>
          <w:p w14:paraId="7F0BE1C2"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18</w:t>
            </w:r>
          </w:p>
        </w:tc>
        <w:tc>
          <w:tcPr>
            <w:tcW w:w="4147" w:type="dxa"/>
            <w:shd w:val="clear" w:color="auto" w:fill="FFFFFF"/>
            <w:tcMar>
              <w:top w:w="20" w:type="dxa"/>
              <w:bottom w:w="20" w:type="dxa"/>
            </w:tcMar>
            <w:vAlign w:val="center"/>
          </w:tcPr>
          <w:p w14:paraId="05E0D454" w14:textId="77777777" w:rsidR="00E456F1" w:rsidRPr="00647D81" w:rsidRDefault="00E456F1" w:rsidP="00E456F1">
            <w:pPr>
              <w:pStyle w:val="AnnexTableCell"/>
              <w:spacing w:line="240" w:lineRule="auto"/>
              <w:ind w:left="160"/>
              <w:jc w:val="left"/>
              <w:rPr>
                <w:rFonts w:ascii="Helvetica" w:hAnsi="Helvetica"/>
                <w:b/>
                <w:sz w:val="14"/>
                <w:szCs w:val="14"/>
              </w:rPr>
            </w:pPr>
            <w:r>
              <w:rPr>
                <w:rFonts w:ascii="Helvetica" w:hAnsi="Helvetica"/>
                <w:b/>
                <w:sz w:val="14"/>
              </w:rPr>
              <w:t>Overtatte sikkerheter: Bolig- og næringseiendommer</w:t>
            </w:r>
          </w:p>
        </w:tc>
        <w:tc>
          <w:tcPr>
            <w:tcW w:w="912" w:type="dxa"/>
            <w:shd w:val="clear" w:color="auto" w:fill="FFFFFF"/>
            <w:tcMar>
              <w:top w:w="20" w:type="dxa"/>
              <w:bottom w:w="20" w:type="dxa"/>
            </w:tcMar>
            <w:vAlign w:val="center"/>
          </w:tcPr>
          <w:p w14:paraId="1D3E4FF1"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A8D9794"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24FD1076"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B6D56E9"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4CABEC87"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A9DE69C"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16A4DA46"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4D565C9C"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052BBAD2"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79AABE36"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650191A"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9DFBB1B"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4719F1A5" w14:textId="77777777" w:rsidR="00E456F1" w:rsidRPr="00647D81" w:rsidRDefault="00E456F1" w:rsidP="00E456F1">
            <w:pPr>
              <w:pStyle w:val="AnnexTableCell"/>
              <w:spacing w:line="240" w:lineRule="auto"/>
              <w:rPr>
                <w:rFonts w:ascii="Helvetica" w:hAnsi="Helvetica"/>
                <w:sz w:val="14"/>
                <w:szCs w:val="14"/>
              </w:rPr>
            </w:pPr>
          </w:p>
        </w:tc>
      </w:tr>
      <w:tr w:rsidR="00E456F1" w:rsidRPr="00647D81" w14:paraId="53490302" w14:textId="77777777" w:rsidTr="00647D81">
        <w:trPr>
          <w:trHeight w:val="20"/>
        </w:trPr>
        <w:tc>
          <w:tcPr>
            <w:tcW w:w="428" w:type="dxa"/>
            <w:shd w:val="clear" w:color="auto" w:fill="FFFFFF"/>
            <w:tcMar>
              <w:top w:w="20" w:type="dxa"/>
              <w:left w:w="0" w:type="dxa"/>
              <w:bottom w:w="20" w:type="dxa"/>
            </w:tcMar>
            <w:vAlign w:val="bottom"/>
          </w:tcPr>
          <w:p w14:paraId="556724E5"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19</w:t>
            </w:r>
          </w:p>
        </w:tc>
        <w:tc>
          <w:tcPr>
            <w:tcW w:w="4147" w:type="dxa"/>
            <w:shd w:val="clear" w:color="auto" w:fill="FFFFFF"/>
            <w:tcMar>
              <w:top w:w="20" w:type="dxa"/>
              <w:bottom w:w="20" w:type="dxa"/>
            </w:tcMar>
            <w:vAlign w:val="center"/>
          </w:tcPr>
          <w:p w14:paraId="70FF514F" w14:textId="77777777" w:rsidR="00E456F1" w:rsidRPr="00647D81" w:rsidRDefault="00E456F1" w:rsidP="00E456F1">
            <w:pPr>
              <w:pStyle w:val="AnnexTableCell"/>
              <w:spacing w:line="240" w:lineRule="auto"/>
              <w:ind w:left="160"/>
              <w:jc w:val="left"/>
              <w:rPr>
                <w:rFonts w:ascii="Helvetica" w:hAnsi="Helvetica"/>
                <w:b/>
                <w:sz w:val="14"/>
                <w:szCs w:val="14"/>
              </w:rPr>
            </w:pPr>
            <w:r>
              <w:rPr>
                <w:rFonts w:ascii="Helvetica" w:hAnsi="Helvetica"/>
                <w:b/>
                <w:sz w:val="14"/>
              </w:rPr>
              <w:t>Eksponeringer som tas med på frivillig grunnlag (4)</w:t>
            </w:r>
          </w:p>
        </w:tc>
        <w:tc>
          <w:tcPr>
            <w:tcW w:w="912" w:type="dxa"/>
            <w:shd w:val="clear" w:color="auto" w:fill="FFFFFF"/>
            <w:tcMar>
              <w:top w:w="20" w:type="dxa"/>
              <w:bottom w:w="20" w:type="dxa"/>
            </w:tcMar>
            <w:vAlign w:val="center"/>
          </w:tcPr>
          <w:p w14:paraId="0DDF4807"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9DADFA0"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CC1E7F8"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65ED160B"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53739510"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42A6453"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39579201"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F88FFA3"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75C3F0CB"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78F9A131"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1BA9C1F9"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FFFFFF"/>
            <w:tcMar>
              <w:top w:w="20" w:type="dxa"/>
              <w:bottom w:w="20" w:type="dxa"/>
              <w:right w:w="0" w:type="dxa"/>
            </w:tcMar>
            <w:vAlign w:val="center"/>
          </w:tcPr>
          <w:p w14:paraId="5A8339F5"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000000" w:themeFill="text1"/>
            <w:vAlign w:val="center"/>
          </w:tcPr>
          <w:p w14:paraId="7753574C" w14:textId="77777777" w:rsidR="00E456F1" w:rsidRPr="00647D81" w:rsidRDefault="00E456F1" w:rsidP="00E456F1">
            <w:pPr>
              <w:pStyle w:val="AnnexTableCell"/>
              <w:spacing w:line="240" w:lineRule="auto"/>
              <w:rPr>
                <w:rFonts w:ascii="Helvetica" w:hAnsi="Helvetica"/>
                <w:sz w:val="14"/>
                <w:szCs w:val="14"/>
              </w:rPr>
            </w:pPr>
          </w:p>
        </w:tc>
      </w:tr>
      <w:tr w:rsidR="00E456F1" w:rsidRPr="00647D81" w14:paraId="00345257" w14:textId="77777777" w:rsidTr="00647D81">
        <w:trPr>
          <w:trHeight w:val="20"/>
        </w:trPr>
        <w:tc>
          <w:tcPr>
            <w:tcW w:w="428" w:type="dxa"/>
            <w:shd w:val="clear" w:color="auto" w:fill="FFFFFF"/>
            <w:tcMar>
              <w:top w:w="20" w:type="dxa"/>
              <w:left w:w="0" w:type="dxa"/>
              <w:bottom w:w="20" w:type="dxa"/>
            </w:tcMar>
            <w:vAlign w:val="bottom"/>
          </w:tcPr>
          <w:p w14:paraId="33053C11" w14:textId="77777777" w:rsidR="00E456F1" w:rsidRPr="00647D81" w:rsidRDefault="00E456F1" w:rsidP="00E456F1">
            <w:pPr>
              <w:pStyle w:val="AnnexTableCell"/>
              <w:spacing w:line="240" w:lineRule="auto"/>
              <w:rPr>
                <w:rFonts w:ascii="Helvetica" w:hAnsi="Helvetica"/>
                <w:sz w:val="14"/>
                <w:szCs w:val="14"/>
              </w:rPr>
            </w:pPr>
            <w:r>
              <w:rPr>
                <w:rFonts w:ascii="Helvetica" w:hAnsi="Helvetica"/>
                <w:sz w:val="14"/>
              </w:rPr>
              <w:t>20</w:t>
            </w:r>
          </w:p>
        </w:tc>
        <w:tc>
          <w:tcPr>
            <w:tcW w:w="4147" w:type="dxa"/>
            <w:shd w:val="clear" w:color="auto" w:fill="D9E1F2"/>
            <w:tcMar>
              <w:top w:w="20" w:type="dxa"/>
              <w:bottom w:w="20" w:type="dxa"/>
            </w:tcMar>
            <w:vAlign w:val="center"/>
          </w:tcPr>
          <w:p w14:paraId="6ADE37EF" w14:textId="77777777" w:rsidR="00E456F1" w:rsidRPr="00647D81" w:rsidRDefault="00E456F1" w:rsidP="00E456F1">
            <w:pPr>
              <w:pStyle w:val="AnnexTableCell"/>
              <w:spacing w:line="240" w:lineRule="auto"/>
              <w:ind w:left="160"/>
              <w:jc w:val="left"/>
              <w:rPr>
                <w:rFonts w:ascii="Helvetica" w:hAnsi="Helvetica"/>
                <w:b/>
                <w:sz w:val="14"/>
                <w:szCs w:val="14"/>
              </w:rPr>
            </w:pPr>
            <w:r>
              <w:rPr>
                <w:rFonts w:ascii="Helvetica" w:hAnsi="Helvetica"/>
                <w:b/>
                <w:sz w:val="14"/>
              </w:rPr>
              <w:t>GAR – Samlet GAR for eiendeler</w:t>
            </w:r>
          </w:p>
        </w:tc>
        <w:tc>
          <w:tcPr>
            <w:tcW w:w="912" w:type="dxa"/>
            <w:shd w:val="clear" w:color="auto" w:fill="D9E1F2"/>
            <w:tcMar>
              <w:top w:w="20" w:type="dxa"/>
              <w:bottom w:w="20" w:type="dxa"/>
            </w:tcMar>
            <w:vAlign w:val="center"/>
          </w:tcPr>
          <w:p w14:paraId="6A14AAE8" w14:textId="77777777" w:rsidR="00E456F1" w:rsidRPr="00647D81" w:rsidRDefault="00E456F1" w:rsidP="00E456F1">
            <w:pPr>
              <w:pStyle w:val="AnnexTableCell"/>
              <w:spacing w:line="240" w:lineRule="auto"/>
              <w:rPr>
                <w:rFonts w:ascii="Helvetica" w:hAnsi="Helvetica"/>
                <w:sz w:val="14"/>
                <w:szCs w:val="14"/>
              </w:rPr>
            </w:pPr>
          </w:p>
        </w:tc>
        <w:tc>
          <w:tcPr>
            <w:tcW w:w="732" w:type="dxa"/>
            <w:shd w:val="clear" w:color="auto" w:fill="D9E1F2"/>
            <w:tcMar>
              <w:top w:w="20" w:type="dxa"/>
              <w:bottom w:w="20" w:type="dxa"/>
            </w:tcMar>
            <w:vAlign w:val="center"/>
          </w:tcPr>
          <w:p w14:paraId="35ED7374" w14:textId="77777777" w:rsidR="00E456F1" w:rsidRPr="00647D81" w:rsidRDefault="00E456F1" w:rsidP="00E456F1">
            <w:pPr>
              <w:pStyle w:val="AnnexTableCell"/>
              <w:spacing w:line="240" w:lineRule="auto"/>
              <w:rPr>
                <w:rFonts w:ascii="Helvetica" w:hAnsi="Helvetica"/>
                <w:sz w:val="14"/>
                <w:szCs w:val="14"/>
              </w:rPr>
            </w:pPr>
          </w:p>
        </w:tc>
        <w:tc>
          <w:tcPr>
            <w:tcW w:w="733" w:type="dxa"/>
            <w:shd w:val="clear" w:color="auto" w:fill="D9E1F2"/>
            <w:tcMar>
              <w:top w:w="20" w:type="dxa"/>
              <w:bottom w:w="20" w:type="dxa"/>
            </w:tcMar>
            <w:vAlign w:val="center"/>
          </w:tcPr>
          <w:p w14:paraId="7172F591" w14:textId="77777777" w:rsidR="00E456F1" w:rsidRPr="00647D81" w:rsidRDefault="00E456F1" w:rsidP="00E456F1">
            <w:pPr>
              <w:pStyle w:val="AnnexTableCell"/>
              <w:spacing w:line="240" w:lineRule="auto"/>
              <w:rPr>
                <w:rFonts w:ascii="Helvetica" w:hAnsi="Helvetica"/>
                <w:sz w:val="14"/>
                <w:szCs w:val="14"/>
              </w:rPr>
            </w:pPr>
          </w:p>
        </w:tc>
        <w:tc>
          <w:tcPr>
            <w:tcW w:w="730" w:type="dxa"/>
            <w:shd w:val="clear" w:color="auto" w:fill="D9E1F2"/>
            <w:tcMar>
              <w:top w:w="20" w:type="dxa"/>
              <w:bottom w:w="20" w:type="dxa"/>
            </w:tcMar>
            <w:vAlign w:val="center"/>
          </w:tcPr>
          <w:p w14:paraId="6243A001"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575E2898"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52482E14"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361C8D75" w14:textId="77777777" w:rsidR="00E456F1" w:rsidRPr="00647D81" w:rsidRDefault="00E456F1" w:rsidP="00E456F1">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006B9354" w14:textId="77777777" w:rsidR="00E456F1" w:rsidRPr="00647D81" w:rsidRDefault="00E456F1" w:rsidP="00E456F1">
            <w:pPr>
              <w:pStyle w:val="AnnexTableCell"/>
              <w:spacing w:line="240" w:lineRule="auto"/>
              <w:rPr>
                <w:rFonts w:ascii="Helvetica" w:hAnsi="Helvetica"/>
                <w:sz w:val="14"/>
                <w:szCs w:val="14"/>
              </w:rPr>
            </w:pPr>
          </w:p>
        </w:tc>
        <w:tc>
          <w:tcPr>
            <w:tcW w:w="771" w:type="dxa"/>
            <w:shd w:val="clear" w:color="auto" w:fill="D9E1F2"/>
            <w:tcMar>
              <w:top w:w="20" w:type="dxa"/>
              <w:bottom w:w="20" w:type="dxa"/>
            </w:tcMar>
            <w:vAlign w:val="center"/>
          </w:tcPr>
          <w:p w14:paraId="39FFBE7B" w14:textId="77777777" w:rsidR="00E456F1" w:rsidRPr="00647D81" w:rsidRDefault="00E456F1" w:rsidP="00E456F1">
            <w:pPr>
              <w:pStyle w:val="AnnexTableCell"/>
              <w:spacing w:line="240" w:lineRule="auto"/>
              <w:rPr>
                <w:rFonts w:ascii="Helvetica" w:hAnsi="Helvetica"/>
                <w:sz w:val="14"/>
                <w:szCs w:val="14"/>
              </w:rPr>
            </w:pPr>
          </w:p>
        </w:tc>
        <w:tc>
          <w:tcPr>
            <w:tcW w:w="795" w:type="dxa"/>
            <w:gridSpan w:val="2"/>
            <w:shd w:val="clear" w:color="auto" w:fill="D9E1F2"/>
            <w:tcMar>
              <w:top w:w="20" w:type="dxa"/>
              <w:bottom w:w="20" w:type="dxa"/>
            </w:tcMar>
            <w:vAlign w:val="center"/>
          </w:tcPr>
          <w:p w14:paraId="233B3AAB" w14:textId="77777777" w:rsidR="00E456F1" w:rsidRPr="00647D81" w:rsidRDefault="00E456F1" w:rsidP="00E456F1">
            <w:pPr>
              <w:pStyle w:val="AnnexTableCell"/>
              <w:spacing w:line="240" w:lineRule="auto"/>
              <w:rPr>
                <w:rFonts w:ascii="Helvetica" w:hAnsi="Helvetica"/>
                <w:sz w:val="14"/>
                <w:szCs w:val="14"/>
              </w:rPr>
            </w:pPr>
          </w:p>
        </w:tc>
        <w:tc>
          <w:tcPr>
            <w:tcW w:w="708" w:type="dxa"/>
            <w:shd w:val="clear" w:color="auto" w:fill="D9E1F2"/>
            <w:tcMar>
              <w:top w:w="20" w:type="dxa"/>
              <w:bottom w:w="20" w:type="dxa"/>
            </w:tcMar>
            <w:vAlign w:val="center"/>
          </w:tcPr>
          <w:p w14:paraId="32468A17" w14:textId="77777777" w:rsidR="00E456F1" w:rsidRPr="00647D81" w:rsidRDefault="00E456F1" w:rsidP="00E456F1">
            <w:pPr>
              <w:pStyle w:val="AnnexTableCell"/>
              <w:spacing w:line="240" w:lineRule="auto"/>
              <w:rPr>
                <w:rFonts w:ascii="Helvetica" w:hAnsi="Helvetica"/>
                <w:sz w:val="14"/>
                <w:szCs w:val="14"/>
              </w:rPr>
            </w:pPr>
          </w:p>
        </w:tc>
        <w:tc>
          <w:tcPr>
            <w:tcW w:w="816" w:type="dxa"/>
            <w:shd w:val="clear" w:color="auto" w:fill="D9E1F2"/>
            <w:tcMar>
              <w:top w:w="20" w:type="dxa"/>
              <w:bottom w:w="20" w:type="dxa"/>
              <w:right w:w="0" w:type="dxa"/>
            </w:tcMar>
            <w:vAlign w:val="center"/>
          </w:tcPr>
          <w:p w14:paraId="572C5145" w14:textId="77777777" w:rsidR="00E456F1" w:rsidRPr="00647D81" w:rsidRDefault="00E456F1" w:rsidP="00E456F1">
            <w:pPr>
              <w:pStyle w:val="AnnexTableCell"/>
              <w:spacing w:line="240" w:lineRule="auto"/>
              <w:rPr>
                <w:rFonts w:ascii="Helvetica" w:hAnsi="Helvetica"/>
                <w:sz w:val="14"/>
                <w:szCs w:val="14"/>
              </w:rPr>
            </w:pPr>
          </w:p>
        </w:tc>
        <w:tc>
          <w:tcPr>
            <w:tcW w:w="672" w:type="dxa"/>
            <w:shd w:val="clear" w:color="auto" w:fill="D9E1F2"/>
            <w:vAlign w:val="center"/>
          </w:tcPr>
          <w:p w14:paraId="5A36B7C1" w14:textId="77777777" w:rsidR="00E456F1" w:rsidRPr="00647D81" w:rsidRDefault="00E456F1" w:rsidP="00E456F1">
            <w:pPr>
              <w:pStyle w:val="AnnexTableCell"/>
              <w:spacing w:line="240" w:lineRule="auto"/>
              <w:rPr>
                <w:rFonts w:ascii="Helvetica" w:hAnsi="Helvetica"/>
                <w:sz w:val="14"/>
                <w:szCs w:val="14"/>
              </w:rPr>
            </w:pPr>
          </w:p>
        </w:tc>
      </w:tr>
    </w:tbl>
    <w:p w14:paraId="7247844E" w14:textId="77777777" w:rsidR="00E456F1" w:rsidRPr="00E456F1" w:rsidRDefault="00E456F1" w:rsidP="00E456F1">
      <w:pPr>
        <w:pStyle w:val="AnnexNormal"/>
        <w:spacing w:before="200" w:after="0"/>
      </w:pPr>
      <w:r>
        <w:t>1. Institusjonen skal i denne malen opplyse om KPI-ene for GAR for eksponeringsbeholdningen beregnet på grunnlag av dataene framlagt i mal 1, om dekkede eiendeler.</w:t>
      </w:r>
    </w:p>
    <w:p w14:paraId="3CABA716" w14:textId="77777777" w:rsidR="00E456F1" w:rsidRPr="00E456F1" w:rsidRDefault="00E456F1" w:rsidP="00E456F1">
      <w:pPr>
        <w:pStyle w:val="AnnexNormal"/>
        <w:spacing w:after="0"/>
      </w:pPr>
      <w:r>
        <w:t>2. Kredittinstitusjoner skal duplisere denne malen for opplysninger basert på omsetning og investeringsutgifter.</w:t>
      </w:r>
    </w:p>
    <w:p w14:paraId="2035DDDF" w14:textId="4F937782" w:rsidR="00E456F1" w:rsidRPr="00E456F1" w:rsidRDefault="00E456F1" w:rsidP="00E456F1">
      <w:pPr>
        <w:pStyle w:val="AnnexNormal"/>
        <w:spacing w:after="0"/>
      </w:pPr>
      <w:r>
        <w:t xml:space="preserve">3. </w:t>
      </w:r>
      <w:r w:rsidR="005605F3">
        <w:t>I</w:t>
      </w:r>
      <w:r>
        <w:t xml:space="preserve"> samsvar med artikkel 7 nr. 8 i denne forordningen</w:t>
      </w:r>
    </w:p>
    <w:p w14:paraId="4D8D768C" w14:textId="68BBA38E" w:rsidR="005E6B58" w:rsidRPr="00E456F1" w:rsidRDefault="00E456F1" w:rsidP="00E456F1">
      <w:pPr>
        <w:pStyle w:val="AnnexNormal"/>
      </w:pPr>
      <w:r>
        <w:t xml:space="preserve">4. </w:t>
      </w:r>
      <w:r w:rsidR="005605F3">
        <w:t>I</w:t>
      </w:r>
      <w:r>
        <w:t xml:space="preserve"> samsvar med artikkel 7 nr. 3 i denne forordningen</w:t>
      </w:r>
    </w:p>
    <w:p w14:paraId="4709BE16" w14:textId="77777777" w:rsidR="005E6B58" w:rsidRPr="00DF4027" w:rsidRDefault="00DF4027" w:rsidP="00DF4027">
      <w:pPr>
        <w:pStyle w:val="TableTitle"/>
        <w:pageBreakBefore/>
        <w:rPr>
          <w:i/>
        </w:rPr>
      </w:pPr>
      <w:r>
        <w:rPr>
          <w:i/>
        </w:rPr>
        <w:lastRenderedPageBreak/>
        <w:t>Mal 4: GAR – KPI for strømmer</w:t>
      </w:r>
    </w:p>
    <w:tbl>
      <w:tblPr>
        <w:tblOverlap w:val="never"/>
        <w:tblW w:w="1430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8"/>
        <w:gridCol w:w="4147"/>
        <w:gridCol w:w="912"/>
        <w:gridCol w:w="732"/>
        <w:gridCol w:w="733"/>
        <w:gridCol w:w="730"/>
        <w:gridCol w:w="715"/>
        <w:gridCol w:w="715"/>
        <w:gridCol w:w="715"/>
        <w:gridCol w:w="715"/>
        <w:gridCol w:w="771"/>
        <w:gridCol w:w="12"/>
        <w:gridCol w:w="783"/>
        <w:gridCol w:w="708"/>
        <w:gridCol w:w="816"/>
        <w:gridCol w:w="672"/>
      </w:tblGrid>
      <w:tr w:rsidR="00DF4027" w:rsidRPr="00647D81" w14:paraId="25F39293" w14:textId="77777777" w:rsidTr="00DF4027">
        <w:trPr>
          <w:trHeight w:val="20"/>
        </w:trPr>
        <w:tc>
          <w:tcPr>
            <w:tcW w:w="428" w:type="dxa"/>
            <w:shd w:val="clear" w:color="auto" w:fill="FFFFFF"/>
            <w:tcMar>
              <w:top w:w="20" w:type="dxa"/>
              <w:left w:w="0" w:type="dxa"/>
              <w:bottom w:w="20" w:type="dxa"/>
            </w:tcMar>
            <w:vAlign w:val="center"/>
          </w:tcPr>
          <w:p w14:paraId="5BCE3B0A" w14:textId="77777777" w:rsidR="00DF4027" w:rsidRPr="00647D81" w:rsidRDefault="00DF4027" w:rsidP="00DF4027">
            <w:pPr>
              <w:pStyle w:val="AnnexTableHeader"/>
              <w:spacing w:line="240" w:lineRule="auto"/>
              <w:rPr>
                <w:rFonts w:ascii="Helvetica" w:hAnsi="Helvetica"/>
                <w:sz w:val="12"/>
                <w:szCs w:val="12"/>
              </w:rPr>
            </w:pPr>
          </w:p>
        </w:tc>
        <w:tc>
          <w:tcPr>
            <w:tcW w:w="4147" w:type="dxa"/>
            <w:shd w:val="clear" w:color="auto" w:fill="FFFFFF"/>
            <w:vAlign w:val="center"/>
          </w:tcPr>
          <w:p w14:paraId="11BBE1CD" w14:textId="77777777" w:rsidR="00DF4027" w:rsidRPr="00647D81" w:rsidRDefault="00DF4027" w:rsidP="00DF4027">
            <w:pPr>
              <w:pStyle w:val="AnnexTableHeader"/>
              <w:spacing w:line="240" w:lineRule="auto"/>
              <w:ind w:left="40"/>
              <w:jc w:val="left"/>
              <w:rPr>
                <w:rFonts w:ascii="Helvetica" w:hAnsi="Helvetica"/>
                <w:sz w:val="12"/>
                <w:szCs w:val="12"/>
              </w:rPr>
            </w:pPr>
            <w:r>
              <w:rPr>
                <w:rFonts w:ascii="Helvetica" w:hAnsi="Helvetica"/>
                <w:sz w:val="12"/>
              </w:rPr>
              <w:t>Referanseperiode for opplysningene T</w:t>
            </w:r>
          </w:p>
        </w:tc>
        <w:tc>
          <w:tcPr>
            <w:tcW w:w="912" w:type="dxa"/>
            <w:shd w:val="clear" w:color="auto" w:fill="FFFFFF"/>
            <w:tcMar>
              <w:top w:w="20" w:type="dxa"/>
              <w:bottom w:w="20" w:type="dxa"/>
            </w:tcMar>
            <w:vAlign w:val="center"/>
          </w:tcPr>
          <w:p w14:paraId="6FD22FEA" w14:textId="77777777" w:rsidR="00DF4027" w:rsidRPr="00647D81" w:rsidRDefault="00DF4027" w:rsidP="00DF4027">
            <w:pPr>
              <w:pStyle w:val="AnnexTableHeader"/>
              <w:spacing w:line="240" w:lineRule="auto"/>
              <w:rPr>
                <w:rFonts w:ascii="Helvetica" w:hAnsi="Helvetica"/>
                <w:sz w:val="12"/>
                <w:szCs w:val="12"/>
              </w:rPr>
            </w:pPr>
          </w:p>
        </w:tc>
        <w:tc>
          <w:tcPr>
            <w:tcW w:w="8817" w:type="dxa"/>
            <w:gridSpan w:val="13"/>
            <w:tcBorders>
              <w:top w:val="nil"/>
              <w:right w:val="nil"/>
            </w:tcBorders>
            <w:shd w:val="clear" w:color="auto" w:fill="FFFFFF"/>
            <w:tcMar>
              <w:top w:w="20" w:type="dxa"/>
              <w:bottom w:w="20" w:type="dxa"/>
              <w:right w:w="0" w:type="dxa"/>
            </w:tcMar>
            <w:vAlign w:val="center"/>
          </w:tcPr>
          <w:p w14:paraId="6D8517EB" w14:textId="77777777" w:rsidR="00DF4027" w:rsidRPr="00647D81" w:rsidRDefault="00DF4027" w:rsidP="00DF4027">
            <w:pPr>
              <w:pStyle w:val="AnnexTableHeader"/>
              <w:spacing w:line="240" w:lineRule="auto"/>
              <w:rPr>
                <w:rFonts w:ascii="Helvetica" w:hAnsi="Helvetica"/>
                <w:sz w:val="12"/>
                <w:szCs w:val="12"/>
              </w:rPr>
            </w:pPr>
          </w:p>
        </w:tc>
      </w:tr>
      <w:tr w:rsidR="00DF4027" w:rsidRPr="00647D81" w14:paraId="7D7D0480" w14:textId="77777777" w:rsidTr="00DF4027">
        <w:trPr>
          <w:trHeight w:val="20"/>
        </w:trPr>
        <w:tc>
          <w:tcPr>
            <w:tcW w:w="4575" w:type="dxa"/>
            <w:gridSpan w:val="2"/>
            <w:vMerge w:val="restart"/>
            <w:shd w:val="clear" w:color="auto" w:fill="FFFFFF"/>
            <w:tcMar>
              <w:top w:w="20" w:type="dxa"/>
              <w:left w:w="0" w:type="dxa"/>
              <w:bottom w:w="20" w:type="dxa"/>
            </w:tcMar>
            <w:vAlign w:val="center"/>
          </w:tcPr>
          <w:p w14:paraId="0C4AE327"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 (i forhold til tilsvarende samlede dekkede eiendeler i nevneren)</w:t>
            </w:r>
          </w:p>
        </w:tc>
        <w:tc>
          <w:tcPr>
            <w:tcW w:w="912" w:type="dxa"/>
            <w:shd w:val="clear" w:color="auto" w:fill="FFFFFF"/>
            <w:tcMar>
              <w:top w:w="20" w:type="dxa"/>
              <w:bottom w:w="20" w:type="dxa"/>
            </w:tcMar>
            <w:vAlign w:val="center"/>
          </w:tcPr>
          <w:p w14:paraId="2FF9092A"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a</w:t>
            </w:r>
          </w:p>
        </w:tc>
        <w:tc>
          <w:tcPr>
            <w:tcW w:w="732" w:type="dxa"/>
            <w:shd w:val="clear" w:color="auto" w:fill="FFFFFF"/>
            <w:tcMar>
              <w:top w:w="20" w:type="dxa"/>
              <w:bottom w:w="20" w:type="dxa"/>
            </w:tcMar>
            <w:vAlign w:val="center"/>
          </w:tcPr>
          <w:p w14:paraId="7FE15A5C"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b</w:t>
            </w:r>
          </w:p>
        </w:tc>
        <w:tc>
          <w:tcPr>
            <w:tcW w:w="733" w:type="dxa"/>
            <w:tcBorders>
              <w:bottom w:val="single" w:sz="4" w:space="0" w:color="auto"/>
            </w:tcBorders>
            <w:shd w:val="clear" w:color="auto" w:fill="FFFFFF"/>
            <w:tcMar>
              <w:top w:w="20" w:type="dxa"/>
              <w:bottom w:w="20" w:type="dxa"/>
            </w:tcMar>
            <w:vAlign w:val="center"/>
          </w:tcPr>
          <w:p w14:paraId="03546DEB"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c</w:t>
            </w:r>
          </w:p>
        </w:tc>
        <w:tc>
          <w:tcPr>
            <w:tcW w:w="730" w:type="dxa"/>
            <w:tcBorders>
              <w:bottom w:val="single" w:sz="4" w:space="0" w:color="auto"/>
            </w:tcBorders>
            <w:shd w:val="clear" w:color="auto" w:fill="FFFFFF"/>
            <w:tcMar>
              <w:top w:w="20" w:type="dxa"/>
              <w:bottom w:w="20" w:type="dxa"/>
            </w:tcMar>
            <w:vAlign w:val="center"/>
          </w:tcPr>
          <w:p w14:paraId="59097276"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d</w:t>
            </w:r>
          </w:p>
        </w:tc>
        <w:tc>
          <w:tcPr>
            <w:tcW w:w="715" w:type="dxa"/>
            <w:tcBorders>
              <w:bottom w:val="single" w:sz="4" w:space="0" w:color="auto"/>
            </w:tcBorders>
            <w:shd w:val="clear" w:color="auto" w:fill="FFFFFF"/>
            <w:tcMar>
              <w:top w:w="20" w:type="dxa"/>
              <w:bottom w:w="20" w:type="dxa"/>
            </w:tcMar>
            <w:vAlign w:val="center"/>
          </w:tcPr>
          <w:p w14:paraId="5A790B82"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e</w:t>
            </w:r>
          </w:p>
        </w:tc>
        <w:tc>
          <w:tcPr>
            <w:tcW w:w="715" w:type="dxa"/>
            <w:tcBorders>
              <w:bottom w:val="single" w:sz="4" w:space="0" w:color="auto"/>
            </w:tcBorders>
            <w:shd w:val="clear" w:color="auto" w:fill="FFFFFF"/>
            <w:tcMar>
              <w:top w:w="20" w:type="dxa"/>
              <w:bottom w:w="20" w:type="dxa"/>
            </w:tcMar>
            <w:vAlign w:val="center"/>
          </w:tcPr>
          <w:p w14:paraId="70BB679F"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f</w:t>
            </w:r>
          </w:p>
        </w:tc>
        <w:tc>
          <w:tcPr>
            <w:tcW w:w="715" w:type="dxa"/>
            <w:tcBorders>
              <w:bottom w:val="single" w:sz="4" w:space="0" w:color="auto"/>
            </w:tcBorders>
            <w:shd w:val="clear" w:color="auto" w:fill="FFFFFF"/>
            <w:tcMar>
              <w:top w:w="20" w:type="dxa"/>
              <w:bottom w:w="20" w:type="dxa"/>
            </w:tcMar>
            <w:vAlign w:val="center"/>
          </w:tcPr>
          <w:p w14:paraId="60832018"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g</w:t>
            </w:r>
          </w:p>
        </w:tc>
        <w:tc>
          <w:tcPr>
            <w:tcW w:w="715" w:type="dxa"/>
            <w:tcBorders>
              <w:bottom w:val="single" w:sz="4" w:space="0" w:color="auto"/>
            </w:tcBorders>
            <w:shd w:val="clear" w:color="auto" w:fill="FFFFFF"/>
            <w:tcMar>
              <w:top w:w="20" w:type="dxa"/>
              <w:bottom w:w="20" w:type="dxa"/>
            </w:tcMar>
            <w:vAlign w:val="center"/>
          </w:tcPr>
          <w:p w14:paraId="217310C3"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h</w:t>
            </w:r>
          </w:p>
        </w:tc>
        <w:tc>
          <w:tcPr>
            <w:tcW w:w="783" w:type="dxa"/>
            <w:gridSpan w:val="2"/>
            <w:shd w:val="clear" w:color="auto" w:fill="FFFFFF"/>
            <w:tcMar>
              <w:top w:w="20" w:type="dxa"/>
              <w:bottom w:w="20" w:type="dxa"/>
            </w:tcMar>
            <w:vAlign w:val="center"/>
          </w:tcPr>
          <w:p w14:paraId="5656CCB9"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i</w:t>
            </w:r>
          </w:p>
        </w:tc>
        <w:tc>
          <w:tcPr>
            <w:tcW w:w="783" w:type="dxa"/>
            <w:shd w:val="clear" w:color="auto" w:fill="FFFFFF"/>
            <w:vAlign w:val="center"/>
          </w:tcPr>
          <w:p w14:paraId="5AF8C4C6"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j</w:t>
            </w:r>
          </w:p>
        </w:tc>
        <w:tc>
          <w:tcPr>
            <w:tcW w:w="708" w:type="dxa"/>
            <w:shd w:val="clear" w:color="auto" w:fill="FFFFFF"/>
            <w:tcMar>
              <w:top w:w="20" w:type="dxa"/>
              <w:bottom w:w="20" w:type="dxa"/>
            </w:tcMar>
            <w:vAlign w:val="center"/>
          </w:tcPr>
          <w:p w14:paraId="14A1CB88"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k</w:t>
            </w:r>
          </w:p>
        </w:tc>
        <w:tc>
          <w:tcPr>
            <w:tcW w:w="816" w:type="dxa"/>
            <w:shd w:val="clear" w:color="auto" w:fill="FFFFFF"/>
            <w:tcMar>
              <w:top w:w="20" w:type="dxa"/>
              <w:bottom w:w="20" w:type="dxa"/>
            </w:tcMar>
            <w:vAlign w:val="center"/>
          </w:tcPr>
          <w:p w14:paraId="1E09CD97"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l</w:t>
            </w:r>
          </w:p>
        </w:tc>
        <w:tc>
          <w:tcPr>
            <w:tcW w:w="672" w:type="dxa"/>
            <w:shd w:val="clear" w:color="auto" w:fill="FFFFFF"/>
            <w:tcMar>
              <w:top w:w="20" w:type="dxa"/>
              <w:bottom w:w="20" w:type="dxa"/>
              <w:right w:w="0" w:type="dxa"/>
            </w:tcMar>
            <w:vAlign w:val="center"/>
          </w:tcPr>
          <w:p w14:paraId="7920E1A2"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m</w:t>
            </w:r>
          </w:p>
        </w:tc>
      </w:tr>
      <w:tr w:rsidR="00DF4027" w:rsidRPr="00647D81" w14:paraId="72914F0B" w14:textId="77777777" w:rsidTr="00DF4027">
        <w:trPr>
          <w:trHeight w:val="20"/>
        </w:trPr>
        <w:tc>
          <w:tcPr>
            <w:tcW w:w="4575" w:type="dxa"/>
            <w:gridSpan w:val="2"/>
            <w:vMerge/>
            <w:shd w:val="clear" w:color="auto" w:fill="FFFFFF"/>
            <w:tcMar>
              <w:top w:w="20" w:type="dxa"/>
              <w:left w:w="0" w:type="dxa"/>
              <w:bottom w:w="20" w:type="dxa"/>
            </w:tcMar>
            <w:vAlign w:val="center"/>
          </w:tcPr>
          <w:p w14:paraId="40229E0F" w14:textId="77777777" w:rsidR="00DF4027" w:rsidRPr="00647D81" w:rsidRDefault="00DF4027" w:rsidP="00DF4027">
            <w:pPr>
              <w:pStyle w:val="AnnexTableHeader"/>
              <w:spacing w:line="240" w:lineRule="auto"/>
              <w:rPr>
                <w:rFonts w:ascii="Helvetica" w:hAnsi="Helvetica"/>
                <w:sz w:val="12"/>
                <w:szCs w:val="12"/>
              </w:rPr>
            </w:pPr>
          </w:p>
        </w:tc>
        <w:tc>
          <w:tcPr>
            <w:tcW w:w="912" w:type="dxa"/>
            <w:vMerge w:val="restart"/>
            <w:shd w:val="clear" w:color="auto" w:fill="FFFFFF"/>
            <w:tcMar>
              <w:top w:w="20" w:type="dxa"/>
              <w:bottom w:w="20" w:type="dxa"/>
            </w:tcMar>
            <w:vAlign w:val="center"/>
          </w:tcPr>
          <w:p w14:paraId="0B166D29"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Omfattet av taksonomien</w:t>
            </w:r>
          </w:p>
        </w:tc>
        <w:tc>
          <w:tcPr>
            <w:tcW w:w="732" w:type="dxa"/>
            <w:vMerge w:val="restart"/>
            <w:tcBorders>
              <w:right w:val="nil"/>
            </w:tcBorders>
            <w:shd w:val="clear" w:color="auto" w:fill="FFFFFF"/>
            <w:tcMar>
              <w:top w:w="20" w:type="dxa"/>
              <w:bottom w:w="20" w:type="dxa"/>
            </w:tcMar>
            <w:vAlign w:val="center"/>
          </w:tcPr>
          <w:p w14:paraId="76666AD9" w14:textId="3708902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Taksonomi</w:t>
            </w:r>
            <w:r w:rsidR="00D0760A">
              <w:rPr>
                <w:rFonts w:ascii="Helvetica" w:hAnsi="Helvetica"/>
                <w:sz w:val="12"/>
              </w:rPr>
              <w:softHyphen/>
            </w:r>
            <w:r>
              <w:rPr>
                <w:rFonts w:ascii="Helvetica" w:hAnsi="Helvetica"/>
                <w:sz w:val="12"/>
              </w:rPr>
              <w:t>forenlige</w:t>
            </w:r>
          </w:p>
        </w:tc>
        <w:tc>
          <w:tcPr>
            <w:tcW w:w="6597" w:type="dxa"/>
            <w:gridSpan w:val="10"/>
            <w:tcBorders>
              <w:left w:val="nil"/>
            </w:tcBorders>
            <w:shd w:val="clear" w:color="auto" w:fill="FFFFFF"/>
            <w:vAlign w:val="center"/>
          </w:tcPr>
          <w:p w14:paraId="521E066F" w14:textId="77777777" w:rsidR="00DF4027" w:rsidRPr="00647D81" w:rsidRDefault="00DF4027" w:rsidP="00DF4027">
            <w:pPr>
              <w:pStyle w:val="AnnexTableHeader"/>
              <w:spacing w:line="240" w:lineRule="auto"/>
              <w:rPr>
                <w:rFonts w:ascii="Helvetica" w:hAnsi="Helvetica"/>
                <w:sz w:val="12"/>
                <w:szCs w:val="12"/>
              </w:rPr>
            </w:pPr>
          </w:p>
        </w:tc>
        <w:tc>
          <w:tcPr>
            <w:tcW w:w="816" w:type="dxa"/>
            <w:vMerge w:val="restart"/>
            <w:shd w:val="clear" w:color="auto" w:fill="FFFFFF"/>
            <w:tcMar>
              <w:top w:w="20" w:type="dxa"/>
              <w:bottom w:w="20" w:type="dxa"/>
            </w:tcMar>
            <w:vAlign w:val="center"/>
          </w:tcPr>
          <w:p w14:paraId="64E9B70D" w14:textId="07784C2D"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Taksonomi</w:t>
            </w:r>
            <w:r w:rsidR="00D0760A">
              <w:rPr>
                <w:rFonts w:ascii="Helvetica" w:hAnsi="Helvetica"/>
                <w:sz w:val="12"/>
              </w:rPr>
              <w:softHyphen/>
            </w:r>
            <w:r>
              <w:rPr>
                <w:rFonts w:ascii="Helvetica" w:hAnsi="Helvetica"/>
                <w:sz w:val="12"/>
              </w:rPr>
              <w:t>forenlig andel i andel som er omfattet av taksonomien</w:t>
            </w:r>
          </w:p>
        </w:tc>
        <w:tc>
          <w:tcPr>
            <w:tcW w:w="672" w:type="dxa"/>
            <w:vMerge w:val="restart"/>
            <w:shd w:val="clear" w:color="auto" w:fill="FFFFFF"/>
            <w:tcMar>
              <w:top w:w="20" w:type="dxa"/>
              <w:bottom w:w="20" w:type="dxa"/>
              <w:right w:w="0" w:type="dxa"/>
            </w:tcMar>
            <w:vAlign w:val="center"/>
          </w:tcPr>
          <w:p w14:paraId="752048AF" w14:textId="2D0F02CF"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Ikke-vurderte ekspone</w:t>
            </w:r>
            <w:r w:rsidR="00D0760A">
              <w:rPr>
                <w:rFonts w:ascii="Helvetica" w:hAnsi="Helvetica"/>
                <w:sz w:val="12"/>
              </w:rPr>
              <w:softHyphen/>
            </w:r>
            <w:r>
              <w:rPr>
                <w:rFonts w:ascii="Helvetica" w:hAnsi="Helvetica"/>
                <w:sz w:val="12"/>
              </w:rPr>
              <w:t>ringer (3)</w:t>
            </w:r>
          </w:p>
        </w:tc>
      </w:tr>
      <w:tr w:rsidR="00DF4027" w:rsidRPr="00647D81" w14:paraId="1D501133" w14:textId="77777777" w:rsidTr="00DF4027">
        <w:trPr>
          <w:trHeight w:val="20"/>
        </w:trPr>
        <w:tc>
          <w:tcPr>
            <w:tcW w:w="4575" w:type="dxa"/>
            <w:gridSpan w:val="2"/>
            <w:vMerge/>
            <w:shd w:val="clear" w:color="auto" w:fill="FFFFFF"/>
            <w:tcMar>
              <w:top w:w="20" w:type="dxa"/>
              <w:left w:w="0" w:type="dxa"/>
              <w:bottom w:w="20" w:type="dxa"/>
            </w:tcMar>
            <w:vAlign w:val="center"/>
          </w:tcPr>
          <w:p w14:paraId="4B92415F" w14:textId="77777777" w:rsidR="00DF4027" w:rsidRPr="00647D81" w:rsidRDefault="00DF4027" w:rsidP="00DF4027">
            <w:pPr>
              <w:pStyle w:val="AnnexTableHeader"/>
              <w:spacing w:line="240" w:lineRule="auto"/>
              <w:rPr>
                <w:rFonts w:ascii="Helvetica" w:hAnsi="Helvetica"/>
                <w:sz w:val="12"/>
                <w:szCs w:val="12"/>
              </w:rPr>
            </w:pPr>
          </w:p>
        </w:tc>
        <w:tc>
          <w:tcPr>
            <w:tcW w:w="912" w:type="dxa"/>
            <w:vMerge/>
            <w:shd w:val="clear" w:color="auto" w:fill="FFFFFF"/>
            <w:tcMar>
              <w:top w:w="20" w:type="dxa"/>
              <w:bottom w:w="20" w:type="dxa"/>
            </w:tcMar>
            <w:vAlign w:val="center"/>
          </w:tcPr>
          <w:p w14:paraId="44E2B466" w14:textId="77777777" w:rsidR="00DF4027" w:rsidRPr="00647D81" w:rsidRDefault="00DF4027" w:rsidP="00DF4027">
            <w:pPr>
              <w:pStyle w:val="AnnexTableHeader"/>
              <w:spacing w:line="240" w:lineRule="auto"/>
              <w:rPr>
                <w:rFonts w:ascii="Helvetica" w:hAnsi="Helvetica"/>
                <w:sz w:val="12"/>
                <w:szCs w:val="12"/>
              </w:rPr>
            </w:pPr>
          </w:p>
        </w:tc>
        <w:tc>
          <w:tcPr>
            <w:tcW w:w="732" w:type="dxa"/>
            <w:vMerge/>
            <w:shd w:val="clear" w:color="auto" w:fill="FFFFFF"/>
            <w:tcMar>
              <w:top w:w="20" w:type="dxa"/>
              <w:bottom w:w="20" w:type="dxa"/>
            </w:tcMar>
            <w:vAlign w:val="center"/>
          </w:tcPr>
          <w:p w14:paraId="482F938E" w14:textId="77777777" w:rsidR="00DF4027" w:rsidRPr="00647D81" w:rsidRDefault="00DF4027" w:rsidP="00DF4027">
            <w:pPr>
              <w:pStyle w:val="AnnexTableHeader"/>
              <w:spacing w:line="240" w:lineRule="auto"/>
              <w:rPr>
                <w:rFonts w:ascii="Helvetica" w:hAnsi="Helvetica"/>
                <w:sz w:val="12"/>
                <w:szCs w:val="12"/>
              </w:rPr>
            </w:pPr>
          </w:p>
        </w:tc>
        <w:tc>
          <w:tcPr>
            <w:tcW w:w="4323" w:type="dxa"/>
            <w:gridSpan w:val="6"/>
            <w:shd w:val="clear" w:color="auto" w:fill="FFFFFF"/>
            <w:tcMar>
              <w:top w:w="20" w:type="dxa"/>
              <w:bottom w:w="20" w:type="dxa"/>
            </w:tcMar>
            <w:vAlign w:val="center"/>
          </w:tcPr>
          <w:p w14:paraId="643C9B01"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Spesifisering etter miljømål</w:t>
            </w:r>
          </w:p>
        </w:tc>
        <w:tc>
          <w:tcPr>
            <w:tcW w:w="771" w:type="dxa"/>
            <w:vMerge w:val="restart"/>
            <w:shd w:val="clear" w:color="auto" w:fill="FFFFFF"/>
            <w:tcMar>
              <w:top w:w="20" w:type="dxa"/>
              <w:bottom w:w="20" w:type="dxa"/>
            </w:tcMar>
            <w:vAlign w:val="center"/>
          </w:tcPr>
          <w:p w14:paraId="04136F33"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Hvorav bruk av proveny</w:t>
            </w:r>
          </w:p>
        </w:tc>
        <w:tc>
          <w:tcPr>
            <w:tcW w:w="795" w:type="dxa"/>
            <w:gridSpan w:val="2"/>
            <w:vMerge w:val="restart"/>
            <w:shd w:val="clear" w:color="auto" w:fill="FFFFFF"/>
            <w:tcMar>
              <w:top w:w="20" w:type="dxa"/>
              <w:bottom w:w="20" w:type="dxa"/>
            </w:tcMar>
            <w:vAlign w:val="center"/>
          </w:tcPr>
          <w:p w14:paraId="789DB856"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Hvorav omstilling</w:t>
            </w:r>
          </w:p>
        </w:tc>
        <w:tc>
          <w:tcPr>
            <w:tcW w:w="708" w:type="dxa"/>
            <w:vMerge w:val="restart"/>
            <w:shd w:val="clear" w:color="auto" w:fill="FFFFFF"/>
            <w:tcMar>
              <w:top w:w="20" w:type="dxa"/>
              <w:bottom w:w="20" w:type="dxa"/>
            </w:tcMar>
            <w:vAlign w:val="center"/>
          </w:tcPr>
          <w:p w14:paraId="55B5C004" w14:textId="580308E0"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Hvorav mulig</w:t>
            </w:r>
            <w:r w:rsidR="00D0760A">
              <w:rPr>
                <w:rFonts w:ascii="Helvetica" w:hAnsi="Helvetica"/>
                <w:sz w:val="12"/>
              </w:rPr>
              <w:softHyphen/>
            </w:r>
            <w:r>
              <w:rPr>
                <w:rFonts w:ascii="Helvetica" w:hAnsi="Helvetica"/>
                <w:sz w:val="12"/>
              </w:rPr>
              <w:t>gjørende</w:t>
            </w:r>
          </w:p>
        </w:tc>
        <w:tc>
          <w:tcPr>
            <w:tcW w:w="816" w:type="dxa"/>
            <w:vMerge/>
            <w:shd w:val="clear" w:color="auto" w:fill="FFFFFF"/>
            <w:tcMar>
              <w:top w:w="20" w:type="dxa"/>
              <w:bottom w:w="20" w:type="dxa"/>
            </w:tcMar>
            <w:vAlign w:val="center"/>
          </w:tcPr>
          <w:p w14:paraId="38942E33" w14:textId="77777777" w:rsidR="00DF4027" w:rsidRPr="00647D81" w:rsidRDefault="00DF4027" w:rsidP="00DF4027">
            <w:pPr>
              <w:pStyle w:val="AnnexTableHeader"/>
              <w:spacing w:line="240" w:lineRule="auto"/>
              <w:rPr>
                <w:rFonts w:ascii="Helvetica" w:hAnsi="Helvetica"/>
                <w:sz w:val="12"/>
                <w:szCs w:val="12"/>
              </w:rPr>
            </w:pPr>
          </w:p>
        </w:tc>
        <w:tc>
          <w:tcPr>
            <w:tcW w:w="672" w:type="dxa"/>
            <w:vMerge/>
            <w:shd w:val="clear" w:color="auto" w:fill="FFFFFF"/>
            <w:tcMar>
              <w:top w:w="20" w:type="dxa"/>
              <w:bottom w:w="20" w:type="dxa"/>
              <w:right w:w="0" w:type="dxa"/>
            </w:tcMar>
            <w:vAlign w:val="center"/>
          </w:tcPr>
          <w:p w14:paraId="27BD1EB7" w14:textId="77777777" w:rsidR="00DF4027" w:rsidRPr="00647D81" w:rsidRDefault="00DF4027" w:rsidP="00DF4027">
            <w:pPr>
              <w:pStyle w:val="AnnexTableHeader"/>
              <w:spacing w:line="240" w:lineRule="auto"/>
              <w:rPr>
                <w:rFonts w:ascii="Helvetica" w:hAnsi="Helvetica"/>
                <w:sz w:val="12"/>
                <w:szCs w:val="12"/>
              </w:rPr>
            </w:pPr>
          </w:p>
        </w:tc>
      </w:tr>
      <w:tr w:rsidR="00DF4027" w:rsidRPr="00647D81" w14:paraId="6A910E6C" w14:textId="77777777" w:rsidTr="00DF4027">
        <w:trPr>
          <w:trHeight w:val="20"/>
        </w:trPr>
        <w:tc>
          <w:tcPr>
            <w:tcW w:w="4575" w:type="dxa"/>
            <w:gridSpan w:val="2"/>
            <w:vMerge/>
            <w:shd w:val="clear" w:color="auto" w:fill="FFFFFF"/>
            <w:tcMar>
              <w:top w:w="20" w:type="dxa"/>
              <w:left w:w="0" w:type="dxa"/>
              <w:bottom w:w="20" w:type="dxa"/>
            </w:tcMar>
            <w:vAlign w:val="center"/>
          </w:tcPr>
          <w:p w14:paraId="23B08647" w14:textId="77777777" w:rsidR="00DF4027" w:rsidRPr="00647D81" w:rsidRDefault="00DF4027" w:rsidP="00DF4027">
            <w:pPr>
              <w:pStyle w:val="AnnexTableHeader"/>
              <w:spacing w:line="240" w:lineRule="auto"/>
              <w:rPr>
                <w:rFonts w:ascii="Helvetica" w:hAnsi="Helvetica"/>
                <w:sz w:val="12"/>
                <w:szCs w:val="12"/>
              </w:rPr>
            </w:pPr>
          </w:p>
        </w:tc>
        <w:tc>
          <w:tcPr>
            <w:tcW w:w="912" w:type="dxa"/>
            <w:vMerge/>
            <w:shd w:val="clear" w:color="auto" w:fill="FFFFFF"/>
            <w:tcMar>
              <w:top w:w="20" w:type="dxa"/>
              <w:bottom w:w="20" w:type="dxa"/>
            </w:tcMar>
            <w:vAlign w:val="center"/>
          </w:tcPr>
          <w:p w14:paraId="461C26D6" w14:textId="77777777" w:rsidR="00DF4027" w:rsidRPr="00647D81" w:rsidRDefault="00DF4027" w:rsidP="00DF4027">
            <w:pPr>
              <w:pStyle w:val="AnnexTableHeader"/>
              <w:spacing w:line="240" w:lineRule="auto"/>
              <w:rPr>
                <w:rFonts w:ascii="Helvetica" w:hAnsi="Helvetica"/>
                <w:sz w:val="12"/>
                <w:szCs w:val="12"/>
              </w:rPr>
            </w:pPr>
          </w:p>
        </w:tc>
        <w:tc>
          <w:tcPr>
            <w:tcW w:w="732" w:type="dxa"/>
            <w:vMerge/>
            <w:shd w:val="clear" w:color="auto" w:fill="FFFFFF"/>
            <w:tcMar>
              <w:top w:w="20" w:type="dxa"/>
              <w:bottom w:w="20" w:type="dxa"/>
            </w:tcMar>
            <w:vAlign w:val="center"/>
          </w:tcPr>
          <w:p w14:paraId="410ABFCD" w14:textId="77777777" w:rsidR="00DF4027" w:rsidRPr="00647D81" w:rsidRDefault="00DF4027" w:rsidP="00DF4027">
            <w:pPr>
              <w:pStyle w:val="AnnexTableHeader"/>
              <w:spacing w:line="240" w:lineRule="auto"/>
              <w:rPr>
                <w:rFonts w:ascii="Helvetica" w:hAnsi="Helvetica"/>
                <w:sz w:val="12"/>
                <w:szCs w:val="12"/>
              </w:rPr>
            </w:pPr>
          </w:p>
        </w:tc>
        <w:tc>
          <w:tcPr>
            <w:tcW w:w="733" w:type="dxa"/>
            <w:shd w:val="clear" w:color="auto" w:fill="FFFFFF"/>
            <w:tcMar>
              <w:top w:w="20" w:type="dxa"/>
              <w:bottom w:w="20" w:type="dxa"/>
            </w:tcMar>
            <w:vAlign w:val="center"/>
          </w:tcPr>
          <w:p w14:paraId="546CF011" w14:textId="2D950C30"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Begrensning av klimaend</w:t>
            </w:r>
            <w:r w:rsidR="00D0760A">
              <w:rPr>
                <w:rFonts w:ascii="Helvetica" w:hAnsi="Helvetica"/>
                <w:sz w:val="12"/>
              </w:rPr>
              <w:softHyphen/>
            </w:r>
            <w:r w:rsidR="00D0760A">
              <w:rPr>
                <w:rFonts w:ascii="Helvetica" w:hAnsi="Helvetica"/>
                <w:sz w:val="12"/>
              </w:rPr>
              <w:softHyphen/>
            </w:r>
            <w:r>
              <w:rPr>
                <w:rFonts w:ascii="Helvetica" w:hAnsi="Helvetica"/>
                <w:sz w:val="12"/>
              </w:rPr>
              <w:t>ringer (CCM)</w:t>
            </w:r>
          </w:p>
        </w:tc>
        <w:tc>
          <w:tcPr>
            <w:tcW w:w="730" w:type="dxa"/>
            <w:shd w:val="clear" w:color="auto" w:fill="FFFFFF"/>
            <w:tcMar>
              <w:top w:w="20" w:type="dxa"/>
              <w:bottom w:w="20" w:type="dxa"/>
            </w:tcMar>
            <w:vAlign w:val="center"/>
          </w:tcPr>
          <w:p w14:paraId="724298C9" w14:textId="4A01512C"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Tilpasning til klimaend</w:t>
            </w:r>
            <w:r w:rsidR="00D0760A">
              <w:rPr>
                <w:rFonts w:ascii="Helvetica" w:hAnsi="Helvetica"/>
                <w:sz w:val="12"/>
              </w:rPr>
              <w:softHyphen/>
            </w:r>
            <w:r>
              <w:rPr>
                <w:rFonts w:ascii="Helvetica" w:hAnsi="Helvetica"/>
                <w:sz w:val="12"/>
              </w:rPr>
              <w:t>ringer (CCA)</w:t>
            </w:r>
          </w:p>
        </w:tc>
        <w:tc>
          <w:tcPr>
            <w:tcW w:w="715" w:type="dxa"/>
            <w:shd w:val="clear" w:color="auto" w:fill="FFFFFF"/>
            <w:tcMar>
              <w:top w:w="20" w:type="dxa"/>
              <w:bottom w:w="20" w:type="dxa"/>
            </w:tcMar>
            <w:vAlign w:val="center"/>
          </w:tcPr>
          <w:p w14:paraId="7FEC4456"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Vann- og havressurser (WTR)</w:t>
            </w:r>
          </w:p>
        </w:tc>
        <w:tc>
          <w:tcPr>
            <w:tcW w:w="715" w:type="dxa"/>
            <w:shd w:val="clear" w:color="auto" w:fill="FFFFFF"/>
            <w:tcMar>
              <w:top w:w="20" w:type="dxa"/>
              <w:bottom w:w="20" w:type="dxa"/>
            </w:tcMar>
            <w:vAlign w:val="center"/>
          </w:tcPr>
          <w:p w14:paraId="2606980C"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Sirkulær økonomi (CE)</w:t>
            </w:r>
          </w:p>
        </w:tc>
        <w:tc>
          <w:tcPr>
            <w:tcW w:w="715" w:type="dxa"/>
            <w:shd w:val="clear" w:color="auto" w:fill="FFFFFF"/>
            <w:tcMar>
              <w:top w:w="20" w:type="dxa"/>
              <w:bottom w:w="20" w:type="dxa"/>
            </w:tcMar>
            <w:vAlign w:val="center"/>
          </w:tcPr>
          <w:p w14:paraId="6603C120" w14:textId="2F93E69E"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Forurens</w:t>
            </w:r>
            <w:r w:rsidR="00D0760A">
              <w:rPr>
                <w:rFonts w:ascii="Helvetica" w:hAnsi="Helvetica"/>
                <w:sz w:val="12"/>
              </w:rPr>
              <w:softHyphen/>
            </w:r>
            <w:r>
              <w:rPr>
                <w:rFonts w:ascii="Helvetica" w:hAnsi="Helvetica"/>
                <w:sz w:val="12"/>
              </w:rPr>
              <w:t>ning (PPC)</w:t>
            </w:r>
          </w:p>
        </w:tc>
        <w:tc>
          <w:tcPr>
            <w:tcW w:w="715" w:type="dxa"/>
            <w:shd w:val="clear" w:color="auto" w:fill="FFFFFF"/>
            <w:tcMar>
              <w:top w:w="20" w:type="dxa"/>
              <w:bottom w:w="20" w:type="dxa"/>
            </w:tcMar>
            <w:vAlign w:val="center"/>
          </w:tcPr>
          <w:p w14:paraId="3914CE61" w14:textId="77777777" w:rsidR="00DF4027" w:rsidRPr="00647D81" w:rsidRDefault="00DF4027" w:rsidP="00DF4027">
            <w:pPr>
              <w:pStyle w:val="AnnexTableHeader"/>
              <w:spacing w:line="240" w:lineRule="auto"/>
              <w:rPr>
                <w:rFonts w:ascii="Helvetica" w:hAnsi="Helvetica"/>
                <w:sz w:val="12"/>
                <w:szCs w:val="12"/>
              </w:rPr>
            </w:pPr>
            <w:r>
              <w:rPr>
                <w:rFonts w:ascii="Helvetica" w:hAnsi="Helvetica"/>
                <w:sz w:val="12"/>
              </w:rPr>
              <w:t>Biologisk mangfold og økosystemer (BIO)</w:t>
            </w:r>
          </w:p>
        </w:tc>
        <w:tc>
          <w:tcPr>
            <w:tcW w:w="771" w:type="dxa"/>
            <w:vMerge/>
            <w:shd w:val="clear" w:color="auto" w:fill="FFFFFF"/>
            <w:tcMar>
              <w:top w:w="20" w:type="dxa"/>
              <w:bottom w:w="20" w:type="dxa"/>
            </w:tcMar>
            <w:vAlign w:val="center"/>
          </w:tcPr>
          <w:p w14:paraId="6E3E2C56" w14:textId="77777777" w:rsidR="00DF4027" w:rsidRPr="00647D81" w:rsidRDefault="00DF4027" w:rsidP="00DF4027">
            <w:pPr>
              <w:pStyle w:val="AnnexTableHeader"/>
              <w:spacing w:line="240" w:lineRule="auto"/>
              <w:rPr>
                <w:rFonts w:ascii="Helvetica" w:hAnsi="Helvetica"/>
                <w:sz w:val="12"/>
                <w:szCs w:val="12"/>
              </w:rPr>
            </w:pPr>
          </w:p>
        </w:tc>
        <w:tc>
          <w:tcPr>
            <w:tcW w:w="795" w:type="dxa"/>
            <w:gridSpan w:val="2"/>
            <w:vMerge/>
            <w:shd w:val="clear" w:color="auto" w:fill="FFFFFF"/>
            <w:tcMar>
              <w:top w:w="20" w:type="dxa"/>
              <w:bottom w:w="20" w:type="dxa"/>
            </w:tcMar>
            <w:vAlign w:val="center"/>
          </w:tcPr>
          <w:p w14:paraId="6237DBEC" w14:textId="77777777" w:rsidR="00DF4027" w:rsidRPr="00647D81" w:rsidRDefault="00DF4027" w:rsidP="00DF4027">
            <w:pPr>
              <w:pStyle w:val="AnnexTableHeader"/>
              <w:spacing w:line="240" w:lineRule="auto"/>
              <w:rPr>
                <w:rFonts w:ascii="Helvetica" w:hAnsi="Helvetica"/>
                <w:sz w:val="12"/>
                <w:szCs w:val="12"/>
              </w:rPr>
            </w:pPr>
          </w:p>
        </w:tc>
        <w:tc>
          <w:tcPr>
            <w:tcW w:w="708" w:type="dxa"/>
            <w:vMerge/>
            <w:shd w:val="clear" w:color="auto" w:fill="FFFFFF"/>
            <w:tcMar>
              <w:top w:w="20" w:type="dxa"/>
              <w:bottom w:w="20" w:type="dxa"/>
            </w:tcMar>
            <w:vAlign w:val="center"/>
          </w:tcPr>
          <w:p w14:paraId="13FCD02B" w14:textId="77777777" w:rsidR="00DF4027" w:rsidRPr="00647D81" w:rsidRDefault="00DF4027" w:rsidP="00DF4027">
            <w:pPr>
              <w:pStyle w:val="AnnexTableHeader"/>
              <w:spacing w:line="240" w:lineRule="auto"/>
              <w:rPr>
                <w:rFonts w:ascii="Helvetica" w:hAnsi="Helvetica"/>
                <w:sz w:val="12"/>
                <w:szCs w:val="12"/>
              </w:rPr>
            </w:pPr>
          </w:p>
        </w:tc>
        <w:tc>
          <w:tcPr>
            <w:tcW w:w="816" w:type="dxa"/>
            <w:vMerge/>
            <w:shd w:val="clear" w:color="auto" w:fill="FFFFFF"/>
            <w:tcMar>
              <w:top w:w="20" w:type="dxa"/>
              <w:bottom w:w="20" w:type="dxa"/>
            </w:tcMar>
            <w:vAlign w:val="center"/>
          </w:tcPr>
          <w:p w14:paraId="64CAB685" w14:textId="77777777" w:rsidR="00DF4027" w:rsidRPr="00647D81" w:rsidRDefault="00DF4027" w:rsidP="00DF4027">
            <w:pPr>
              <w:pStyle w:val="AnnexTableHeader"/>
              <w:spacing w:line="240" w:lineRule="auto"/>
              <w:rPr>
                <w:rFonts w:ascii="Helvetica" w:hAnsi="Helvetica"/>
                <w:sz w:val="12"/>
                <w:szCs w:val="12"/>
              </w:rPr>
            </w:pPr>
          </w:p>
        </w:tc>
        <w:tc>
          <w:tcPr>
            <w:tcW w:w="672" w:type="dxa"/>
            <w:vMerge/>
            <w:shd w:val="clear" w:color="auto" w:fill="FFFFFF"/>
            <w:tcMar>
              <w:top w:w="20" w:type="dxa"/>
              <w:bottom w:w="20" w:type="dxa"/>
              <w:right w:w="0" w:type="dxa"/>
            </w:tcMar>
            <w:vAlign w:val="center"/>
          </w:tcPr>
          <w:p w14:paraId="4FC8EF4C" w14:textId="77777777" w:rsidR="00DF4027" w:rsidRPr="00647D81" w:rsidRDefault="00DF4027" w:rsidP="00DF4027">
            <w:pPr>
              <w:pStyle w:val="AnnexTableHeader"/>
              <w:spacing w:line="240" w:lineRule="auto"/>
              <w:rPr>
                <w:rFonts w:ascii="Helvetica" w:hAnsi="Helvetica"/>
                <w:sz w:val="12"/>
                <w:szCs w:val="12"/>
              </w:rPr>
            </w:pPr>
          </w:p>
        </w:tc>
      </w:tr>
      <w:tr w:rsidR="00DF4027" w:rsidRPr="00647D81" w14:paraId="144A5D41" w14:textId="77777777" w:rsidTr="00DF4027">
        <w:trPr>
          <w:trHeight w:val="20"/>
        </w:trPr>
        <w:tc>
          <w:tcPr>
            <w:tcW w:w="428" w:type="dxa"/>
            <w:shd w:val="clear" w:color="auto" w:fill="FFFFFF"/>
            <w:tcMar>
              <w:top w:w="20" w:type="dxa"/>
              <w:left w:w="0" w:type="dxa"/>
              <w:bottom w:w="20" w:type="dxa"/>
            </w:tcMar>
            <w:vAlign w:val="center"/>
          </w:tcPr>
          <w:p w14:paraId="59E340F1"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w:t>
            </w:r>
          </w:p>
        </w:tc>
        <w:tc>
          <w:tcPr>
            <w:tcW w:w="4147" w:type="dxa"/>
            <w:shd w:val="clear" w:color="auto" w:fill="FFFFFF"/>
            <w:tcMar>
              <w:top w:w="20" w:type="dxa"/>
              <w:bottom w:w="20" w:type="dxa"/>
            </w:tcMar>
            <w:vAlign w:val="center"/>
          </w:tcPr>
          <w:p w14:paraId="7E3F331E" w14:textId="77777777" w:rsidR="00DF4027" w:rsidRPr="00647D81" w:rsidRDefault="00DF4027" w:rsidP="00DF4027">
            <w:pPr>
              <w:pStyle w:val="AnnexTableCell"/>
              <w:spacing w:line="240" w:lineRule="auto"/>
              <w:ind w:left="20"/>
              <w:jc w:val="left"/>
              <w:rPr>
                <w:rFonts w:ascii="Helvetica" w:hAnsi="Helvetica"/>
                <w:b/>
                <w:sz w:val="14"/>
                <w:szCs w:val="14"/>
                <w:u w:val="single"/>
              </w:rPr>
            </w:pPr>
            <w:r>
              <w:rPr>
                <w:rFonts w:ascii="Helvetica" w:hAnsi="Helvetica"/>
                <w:b/>
                <w:sz w:val="14"/>
                <w:u w:val="single"/>
              </w:rPr>
              <w:t>GAR – dekkede eiendeler i både teller og nevner</w:t>
            </w:r>
          </w:p>
        </w:tc>
        <w:tc>
          <w:tcPr>
            <w:tcW w:w="912" w:type="dxa"/>
            <w:shd w:val="clear" w:color="auto" w:fill="FFFFFF"/>
            <w:tcMar>
              <w:top w:w="20" w:type="dxa"/>
              <w:bottom w:w="20" w:type="dxa"/>
            </w:tcMar>
            <w:vAlign w:val="center"/>
          </w:tcPr>
          <w:p w14:paraId="5998F05F"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5B4A4AB2"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4C2074DE"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430393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90F171F"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2F6BF9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F2056E5"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6B28FFF"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5B4AE667"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6375E32B"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3C98DC16"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4F400E4F"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6771D021"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663A0E7F" w14:textId="77777777" w:rsidTr="00DF4027">
        <w:trPr>
          <w:trHeight w:val="20"/>
        </w:trPr>
        <w:tc>
          <w:tcPr>
            <w:tcW w:w="428" w:type="dxa"/>
            <w:shd w:val="clear" w:color="auto" w:fill="FFFFFF"/>
            <w:tcMar>
              <w:top w:w="20" w:type="dxa"/>
              <w:left w:w="0" w:type="dxa"/>
              <w:bottom w:w="20" w:type="dxa"/>
            </w:tcMar>
            <w:vAlign w:val="center"/>
          </w:tcPr>
          <w:p w14:paraId="03E8433C"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2</w:t>
            </w:r>
          </w:p>
        </w:tc>
        <w:tc>
          <w:tcPr>
            <w:tcW w:w="4147" w:type="dxa"/>
            <w:shd w:val="clear" w:color="auto" w:fill="FFFFFF"/>
            <w:tcMar>
              <w:top w:w="20" w:type="dxa"/>
              <w:bottom w:w="20" w:type="dxa"/>
            </w:tcMar>
            <w:vAlign w:val="center"/>
          </w:tcPr>
          <w:p w14:paraId="00680641" w14:textId="77777777" w:rsidR="00DF4027" w:rsidRPr="00647D81" w:rsidRDefault="00DF4027" w:rsidP="00DF4027">
            <w:pPr>
              <w:pStyle w:val="AnnexTableCell"/>
              <w:spacing w:line="240" w:lineRule="auto"/>
              <w:ind w:left="160"/>
              <w:jc w:val="left"/>
              <w:rPr>
                <w:rFonts w:ascii="Helvetica" w:hAnsi="Helvetica"/>
                <w:b/>
                <w:sz w:val="14"/>
                <w:szCs w:val="14"/>
              </w:rPr>
            </w:pPr>
            <w:r>
              <w:rPr>
                <w:rFonts w:ascii="Helvetica" w:hAnsi="Helvetica"/>
                <w:b/>
                <w:sz w:val="14"/>
              </w:rPr>
              <w:t>Lån og forskudd, gjeldsinstrumenter og egenkapitalinstrumenter som ikke innehas for handelsformål, og som inngår i beregningen av GAR</w:t>
            </w:r>
          </w:p>
        </w:tc>
        <w:tc>
          <w:tcPr>
            <w:tcW w:w="912" w:type="dxa"/>
            <w:shd w:val="clear" w:color="auto" w:fill="FFFFFF"/>
            <w:tcMar>
              <w:top w:w="20" w:type="dxa"/>
              <w:bottom w:w="20" w:type="dxa"/>
            </w:tcMar>
            <w:vAlign w:val="center"/>
          </w:tcPr>
          <w:p w14:paraId="31C49A98"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5E6B8EC9"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5F51ADE1"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5B886A0D"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B596258"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F1E99D7"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400BF12"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BAEF9F2"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52B77BAD"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64106F9E"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6596DD15"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7AC62EA"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5B5BA79D"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4625C72C" w14:textId="77777777" w:rsidTr="00DF4027">
        <w:trPr>
          <w:trHeight w:val="20"/>
        </w:trPr>
        <w:tc>
          <w:tcPr>
            <w:tcW w:w="428" w:type="dxa"/>
            <w:shd w:val="clear" w:color="auto" w:fill="FFFFFF"/>
            <w:tcMar>
              <w:top w:w="20" w:type="dxa"/>
              <w:left w:w="0" w:type="dxa"/>
              <w:bottom w:w="20" w:type="dxa"/>
            </w:tcMar>
            <w:vAlign w:val="center"/>
          </w:tcPr>
          <w:p w14:paraId="5C4AFD85"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3</w:t>
            </w:r>
          </w:p>
        </w:tc>
        <w:tc>
          <w:tcPr>
            <w:tcW w:w="4147" w:type="dxa"/>
            <w:shd w:val="clear" w:color="auto" w:fill="FFFFFF"/>
            <w:tcMar>
              <w:top w:w="20" w:type="dxa"/>
              <w:bottom w:w="20" w:type="dxa"/>
            </w:tcMar>
            <w:vAlign w:val="center"/>
          </w:tcPr>
          <w:p w14:paraId="43ECB9EC" w14:textId="77777777" w:rsidR="00DF4027" w:rsidRPr="00647D81" w:rsidRDefault="00DF4027" w:rsidP="00DF4027">
            <w:pPr>
              <w:pStyle w:val="AnnexTableCell"/>
              <w:spacing w:line="240" w:lineRule="auto"/>
              <w:ind w:left="300"/>
              <w:jc w:val="left"/>
              <w:rPr>
                <w:rFonts w:ascii="Helvetica" w:hAnsi="Helvetica"/>
                <w:b/>
                <w:sz w:val="14"/>
                <w:szCs w:val="14"/>
              </w:rPr>
            </w:pPr>
            <w:r>
              <w:rPr>
                <w:rFonts w:ascii="Helvetica" w:hAnsi="Helvetica"/>
                <w:b/>
                <w:sz w:val="14"/>
              </w:rPr>
              <w:t>Finansforetak</w:t>
            </w:r>
          </w:p>
        </w:tc>
        <w:tc>
          <w:tcPr>
            <w:tcW w:w="912" w:type="dxa"/>
            <w:shd w:val="clear" w:color="auto" w:fill="FFFFFF"/>
            <w:tcMar>
              <w:top w:w="20" w:type="dxa"/>
              <w:bottom w:w="20" w:type="dxa"/>
            </w:tcMar>
            <w:vAlign w:val="center"/>
          </w:tcPr>
          <w:p w14:paraId="6BA56E12"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47C927D"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7A0C9940"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5060364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60EBF0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EC3075F"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AFE983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4221B26"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2B7837E1"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3E04799F"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4CBA9C28"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2E058ABE"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25A85731"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010AC089" w14:textId="77777777" w:rsidTr="00DF4027">
        <w:trPr>
          <w:trHeight w:val="20"/>
        </w:trPr>
        <w:tc>
          <w:tcPr>
            <w:tcW w:w="428" w:type="dxa"/>
            <w:shd w:val="clear" w:color="auto" w:fill="FFFFFF"/>
            <w:tcMar>
              <w:top w:w="20" w:type="dxa"/>
              <w:left w:w="0" w:type="dxa"/>
              <w:bottom w:w="20" w:type="dxa"/>
            </w:tcMar>
            <w:vAlign w:val="center"/>
          </w:tcPr>
          <w:p w14:paraId="3256AAB1"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4</w:t>
            </w:r>
          </w:p>
        </w:tc>
        <w:tc>
          <w:tcPr>
            <w:tcW w:w="4147" w:type="dxa"/>
            <w:shd w:val="clear" w:color="auto" w:fill="FFFFFF"/>
            <w:tcMar>
              <w:top w:w="20" w:type="dxa"/>
              <w:bottom w:w="20" w:type="dxa"/>
            </w:tcMar>
            <w:vAlign w:val="center"/>
          </w:tcPr>
          <w:p w14:paraId="41DF1B9F"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Lån og forskudd</w:t>
            </w:r>
          </w:p>
        </w:tc>
        <w:tc>
          <w:tcPr>
            <w:tcW w:w="912" w:type="dxa"/>
            <w:shd w:val="clear" w:color="auto" w:fill="FFFFFF"/>
            <w:tcMar>
              <w:top w:w="20" w:type="dxa"/>
              <w:bottom w:w="20" w:type="dxa"/>
            </w:tcMar>
            <w:vAlign w:val="center"/>
          </w:tcPr>
          <w:p w14:paraId="27337C01"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7D28F2A6"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26F1C4AA"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24127910"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3BB2357"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D47BA3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3BFA25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9C33BF9"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71E06FA2"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4A279230"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6B200A7C"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473F2916"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5D181C83"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36DE021C" w14:textId="77777777" w:rsidTr="00DF4027">
        <w:trPr>
          <w:trHeight w:val="20"/>
        </w:trPr>
        <w:tc>
          <w:tcPr>
            <w:tcW w:w="428" w:type="dxa"/>
            <w:shd w:val="clear" w:color="auto" w:fill="FFFFFF"/>
            <w:tcMar>
              <w:top w:w="20" w:type="dxa"/>
              <w:left w:w="0" w:type="dxa"/>
              <w:bottom w:w="20" w:type="dxa"/>
            </w:tcMar>
            <w:vAlign w:val="center"/>
          </w:tcPr>
          <w:p w14:paraId="1488ED50"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5</w:t>
            </w:r>
          </w:p>
        </w:tc>
        <w:tc>
          <w:tcPr>
            <w:tcW w:w="4147" w:type="dxa"/>
            <w:shd w:val="clear" w:color="auto" w:fill="FFFFFF"/>
            <w:tcMar>
              <w:top w:w="20" w:type="dxa"/>
              <w:bottom w:w="20" w:type="dxa"/>
            </w:tcMar>
            <w:vAlign w:val="center"/>
          </w:tcPr>
          <w:p w14:paraId="6404C99D"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Gjeldsinstrumenter, herunder bruk av proveny</w:t>
            </w:r>
          </w:p>
        </w:tc>
        <w:tc>
          <w:tcPr>
            <w:tcW w:w="912" w:type="dxa"/>
            <w:shd w:val="clear" w:color="auto" w:fill="FFFFFF"/>
            <w:tcMar>
              <w:top w:w="20" w:type="dxa"/>
              <w:bottom w:w="20" w:type="dxa"/>
            </w:tcMar>
            <w:vAlign w:val="center"/>
          </w:tcPr>
          <w:p w14:paraId="26B7702E"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6657524D"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3EFD39A7"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39981CE"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3156FEA"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87320B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3BA51D1"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DE180CA"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0F169243"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6FF5D5C0"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4516168B"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7B6BACA2"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6CCAB065"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64173765" w14:textId="77777777" w:rsidTr="00DF4027">
        <w:trPr>
          <w:trHeight w:val="20"/>
        </w:trPr>
        <w:tc>
          <w:tcPr>
            <w:tcW w:w="428" w:type="dxa"/>
            <w:shd w:val="clear" w:color="auto" w:fill="FFFFFF"/>
            <w:tcMar>
              <w:top w:w="20" w:type="dxa"/>
              <w:left w:w="0" w:type="dxa"/>
              <w:bottom w:w="20" w:type="dxa"/>
            </w:tcMar>
            <w:vAlign w:val="center"/>
          </w:tcPr>
          <w:p w14:paraId="7E03C9E7"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6</w:t>
            </w:r>
          </w:p>
        </w:tc>
        <w:tc>
          <w:tcPr>
            <w:tcW w:w="4147" w:type="dxa"/>
            <w:shd w:val="clear" w:color="auto" w:fill="FFFFFF"/>
            <w:tcMar>
              <w:top w:w="20" w:type="dxa"/>
              <w:bottom w:w="20" w:type="dxa"/>
            </w:tcMar>
            <w:vAlign w:val="center"/>
          </w:tcPr>
          <w:p w14:paraId="7265AC09"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Egenkapitalinstrumenter</w:t>
            </w:r>
          </w:p>
        </w:tc>
        <w:tc>
          <w:tcPr>
            <w:tcW w:w="912" w:type="dxa"/>
            <w:shd w:val="clear" w:color="auto" w:fill="FFFFFF"/>
            <w:tcMar>
              <w:top w:w="20" w:type="dxa"/>
              <w:bottom w:w="20" w:type="dxa"/>
            </w:tcMar>
            <w:vAlign w:val="center"/>
          </w:tcPr>
          <w:p w14:paraId="4185BEB2"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2F17C05"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452F9EFD"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4EF31B3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F67D582"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D76D5D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2F6450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7CC26EDC"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000000" w:themeFill="text1"/>
            <w:vAlign w:val="center"/>
          </w:tcPr>
          <w:p w14:paraId="4A23E7E8"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vAlign w:val="center"/>
          </w:tcPr>
          <w:p w14:paraId="5E847E08"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1BE3CF14"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0D8BE166"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4A52C332"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2B17D777" w14:textId="77777777" w:rsidTr="00DF4027">
        <w:trPr>
          <w:trHeight w:val="20"/>
        </w:trPr>
        <w:tc>
          <w:tcPr>
            <w:tcW w:w="428" w:type="dxa"/>
            <w:shd w:val="clear" w:color="auto" w:fill="FFFFFF"/>
            <w:tcMar>
              <w:top w:w="20" w:type="dxa"/>
              <w:left w:w="0" w:type="dxa"/>
              <w:bottom w:w="20" w:type="dxa"/>
            </w:tcMar>
            <w:vAlign w:val="center"/>
          </w:tcPr>
          <w:p w14:paraId="69B4FC8C"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7</w:t>
            </w:r>
          </w:p>
        </w:tc>
        <w:tc>
          <w:tcPr>
            <w:tcW w:w="4147" w:type="dxa"/>
            <w:shd w:val="clear" w:color="auto" w:fill="FFFFFF"/>
            <w:tcMar>
              <w:top w:w="20" w:type="dxa"/>
              <w:bottom w:w="20" w:type="dxa"/>
            </w:tcMar>
            <w:vAlign w:val="center"/>
          </w:tcPr>
          <w:p w14:paraId="5F498569" w14:textId="77777777" w:rsidR="00DF4027" w:rsidRPr="00647D81" w:rsidRDefault="00DF4027" w:rsidP="00DF4027">
            <w:pPr>
              <w:pStyle w:val="AnnexTableCell"/>
              <w:spacing w:line="240" w:lineRule="auto"/>
              <w:ind w:left="300"/>
              <w:jc w:val="left"/>
              <w:rPr>
                <w:rFonts w:ascii="Helvetica" w:hAnsi="Helvetica"/>
                <w:b/>
                <w:sz w:val="14"/>
                <w:szCs w:val="14"/>
              </w:rPr>
            </w:pPr>
            <w:r>
              <w:rPr>
                <w:rFonts w:ascii="Helvetica" w:hAnsi="Helvetica"/>
                <w:b/>
                <w:sz w:val="14"/>
              </w:rPr>
              <w:t>Ikke-finansielle foretak</w:t>
            </w:r>
          </w:p>
        </w:tc>
        <w:tc>
          <w:tcPr>
            <w:tcW w:w="912" w:type="dxa"/>
            <w:shd w:val="clear" w:color="auto" w:fill="FFFFFF"/>
            <w:tcMar>
              <w:top w:w="20" w:type="dxa"/>
              <w:bottom w:w="20" w:type="dxa"/>
            </w:tcMar>
            <w:vAlign w:val="center"/>
          </w:tcPr>
          <w:p w14:paraId="22900555"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0A294ED8"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DC27A73"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58E080A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7B3FEF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F489549"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E93BF4C"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51EC623"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78A40C8C"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48823CE9"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47679FC5"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6D691C55"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7470EBED"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6683B823" w14:textId="77777777" w:rsidTr="00DF4027">
        <w:trPr>
          <w:trHeight w:val="20"/>
        </w:trPr>
        <w:tc>
          <w:tcPr>
            <w:tcW w:w="428" w:type="dxa"/>
            <w:shd w:val="clear" w:color="auto" w:fill="FFFFFF"/>
            <w:tcMar>
              <w:top w:w="20" w:type="dxa"/>
              <w:left w:w="0" w:type="dxa"/>
              <w:bottom w:w="20" w:type="dxa"/>
            </w:tcMar>
            <w:vAlign w:val="center"/>
          </w:tcPr>
          <w:p w14:paraId="4CB1A727"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8</w:t>
            </w:r>
          </w:p>
        </w:tc>
        <w:tc>
          <w:tcPr>
            <w:tcW w:w="4147" w:type="dxa"/>
            <w:shd w:val="clear" w:color="auto" w:fill="FFFFFF"/>
            <w:tcMar>
              <w:top w:w="20" w:type="dxa"/>
              <w:bottom w:w="20" w:type="dxa"/>
            </w:tcMar>
            <w:vAlign w:val="center"/>
          </w:tcPr>
          <w:p w14:paraId="5666627A"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Lån og forskudd</w:t>
            </w:r>
          </w:p>
        </w:tc>
        <w:tc>
          <w:tcPr>
            <w:tcW w:w="912" w:type="dxa"/>
            <w:shd w:val="clear" w:color="auto" w:fill="FFFFFF"/>
            <w:tcMar>
              <w:top w:w="20" w:type="dxa"/>
              <w:bottom w:w="20" w:type="dxa"/>
            </w:tcMar>
            <w:vAlign w:val="center"/>
          </w:tcPr>
          <w:p w14:paraId="30DCBDF5"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1F703F77"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303F7B71"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0E6F7545"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4F29C0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A5888B7"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181BBF5"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91479ED"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11963D5C"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4BBCB81B"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1EFBACD"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04DE1FE5"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587A4A5D"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09AEC5E3" w14:textId="77777777" w:rsidTr="00DF4027">
        <w:trPr>
          <w:trHeight w:val="20"/>
        </w:trPr>
        <w:tc>
          <w:tcPr>
            <w:tcW w:w="428" w:type="dxa"/>
            <w:shd w:val="clear" w:color="auto" w:fill="FFFFFF"/>
            <w:tcMar>
              <w:top w:w="20" w:type="dxa"/>
              <w:left w:w="0" w:type="dxa"/>
              <w:bottom w:w="20" w:type="dxa"/>
            </w:tcMar>
            <w:vAlign w:val="center"/>
          </w:tcPr>
          <w:p w14:paraId="663BF533"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9</w:t>
            </w:r>
          </w:p>
        </w:tc>
        <w:tc>
          <w:tcPr>
            <w:tcW w:w="4147" w:type="dxa"/>
            <w:shd w:val="clear" w:color="auto" w:fill="FFFFFF"/>
            <w:tcMar>
              <w:top w:w="20" w:type="dxa"/>
              <w:bottom w:w="20" w:type="dxa"/>
            </w:tcMar>
            <w:vAlign w:val="center"/>
          </w:tcPr>
          <w:p w14:paraId="253A813E"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Gjeldsinstrumenter, herunder bruk av proveny</w:t>
            </w:r>
          </w:p>
        </w:tc>
        <w:tc>
          <w:tcPr>
            <w:tcW w:w="912" w:type="dxa"/>
            <w:shd w:val="clear" w:color="auto" w:fill="FFFFFF"/>
            <w:tcMar>
              <w:top w:w="20" w:type="dxa"/>
              <w:bottom w:w="20" w:type="dxa"/>
            </w:tcMar>
            <w:vAlign w:val="center"/>
          </w:tcPr>
          <w:p w14:paraId="507CE796"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62CD4AF1"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78C0FD81"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ECA24AB"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4BED6FB0"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EE29C49"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692853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E0C9F90"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05522D56"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3CA1DD70"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28B8D713"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561FAF05"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188A38B9"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0E7F1DCA" w14:textId="77777777" w:rsidTr="00DF4027">
        <w:trPr>
          <w:trHeight w:val="20"/>
        </w:trPr>
        <w:tc>
          <w:tcPr>
            <w:tcW w:w="428" w:type="dxa"/>
            <w:shd w:val="clear" w:color="auto" w:fill="FFFFFF"/>
            <w:tcMar>
              <w:top w:w="20" w:type="dxa"/>
              <w:left w:w="0" w:type="dxa"/>
              <w:bottom w:w="20" w:type="dxa"/>
            </w:tcMar>
            <w:vAlign w:val="center"/>
          </w:tcPr>
          <w:p w14:paraId="10EA3D2E"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10</w:t>
            </w:r>
          </w:p>
        </w:tc>
        <w:tc>
          <w:tcPr>
            <w:tcW w:w="4147" w:type="dxa"/>
            <w:shd w:val="clear" w:color="auto" w:fill="FFFFFF"/>
            <w:tcMar>
              <w:top w:w="20" w:type="dxa"/>
              <w:bottom w:w="20" w:type="dxa"/>
            </w:tcMar>
            <w:vAlign w:val="center"/>
          </w:tcPr>
          <w:p w14:paraId="0539CB88"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Egenkapitalinstrumenter</w:t>
            </w:r>
          </w:p>
        </w:tc>
        <w:tc>
          <w:tcPr>
            <w:tcW w:w="912" w:type="dxa"/>
            <w:shd w:val="clear" w:color="auto" w:fill="FFFFFF"/>
            <w:tcMar>
              <w:top w:w="20" w:type="dxa"/>
              <w:bottom w:w="20" w:type="dxa"/>
            </w:tcMar>
            <w:vAlign w:val="center"/>
          </w:tcPr>
          <w:p w14:paraId="1541CE44"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1892C07A"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50EEBD85"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71E96FCE"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3731F88"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128D7B40"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8BE0DBB"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E21A3B7"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000000" w:themeFill="text1"/>
            <w:tcMar>
              <w:top w:w="20" w:type="dxa"/>
              <w:bottom w:w="20" w:type="dxa"/>
            </w:tcMar>
            <w:vAlign w:val="center"/>
          </w:tcPr>
          <w:p w14:paraId="3B9262B8"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vAlign w:val="center"/>
          </w:tcPr>
          <w:p w14:paraId="79E2125E"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70E7A512"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01B48660"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0593B478"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7617FA18" w14:textId="77777777" w:rsidTr="00DF4027">
        <w:trPr>
          <w:trHeight w:val="20"/>
        </w:trPr>
        <w:tc>
          <w:tcPr>
            <w:tcW w:w="428" w:type="dxa"/>
            <w:shd w:val="clear" w:color="auto" w:fill="FFFFFF"/>
            <w:tcMar>
              <w:top w:w="20" w:type="dxa"/>
              <w:left w:w="0" w:type="dxa"/>
              <w:bottom w:w="20" w:type="dxa"/>
            </w:tcMar>
            <w:vAlign w:val="center"/>
          </w:tcPr>
          <w:p w14:paraId="3DA68FB6"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11</w:t>
            </w:r>
          </w:p>
        </w:tc>
        <w:tc>
          <w:tcPr>
            <w:tcW w:w="4147" w:type="dxa"/>
            <w:shd w:val="clear" w:color="auto" w:fill="FFFFFF"/>
            <w:tcMar>
              <w:top w:w="20" w:type="dxa"/>
              <w:bottom w:w="20" w:type="dxa"/>
            </w:tcMar>
            <w:vAlign w:val="center"/>
          </w:tcPr>
          <w:p w14:paraId="39E412B2" w14:textId="77777777" w:rsidR="00DF4027" w:rsidRPr="00647D81" w:rsidRDefault="00DF4027" w:rsidP="00DF4027">
            <w:pPr>
              <w:pStyle w:val="AnnexTableCell"/>
              <w:spacing w:line="240" w:lineRule="auto"/>
              <w:ind w:left="300"/>
              <w:jc w:val="left"/>
              <w:rPr>
                <w:rFonts w:ascii="Helvetica" w:hAnsi="Helvetica"/>
                <w:b/>
                <w:sz w:val="14"/>
                <w:szCs w:val="14"/>
              </w:rPr>
            </w:pPr>
            <w:r>
              <w:rPr>
                <w:rFonts w:ascii="Helvetica" w:hAnsi="Helvetica"/>
                <w:b/>
                <w:sz w:val="14"/>
              </w:rPr>
              <w:t>Husholdninger</w:t>
            </w:r>
          </w:p>
        </w:tc>
        <w:tc>
          <w:tcPr>
            <w:tcW w:w="912" w:type="dxa"/>
            <w:shd w:val="clear" w:color="auto" w:fill="FFFFFF"/>
            <w:tcMar>
              <w:top w:w="20" w:type="dxa"/>
              <w:bottom w:w="20" w:type="dxa"/>
            </w:tcMar>
            <w:vAlign w:val="center"/>
          </w:tcPr>
          <w:p w14:paraId="7DAE0316"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17B96DB0"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3FB1B4CE"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F7221B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788381DA"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8198061"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355EF091"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163FB0A9"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24690FE6"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6D93AF7C"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55C02C72"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4875E9C1"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6E9570DE"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7CD792F6" w14:textId="77777777" w:rsidTr="00DF4027">
        <w:trPr>
          <w:trHeight w:val="20"/>
        </w:trPr>
        <w:tc>
          <w:tcPr>
            <w:tcW w:w="428" w:type="dxa"/>
            <w:shd w:val="clear" w:color="auto" w:fill="FFFFFF"/>
            <w:tcMar>
              <w:top w:w="20" w:type="dxa"/>
              <w:left w:w="0" w:type="dxa"/>
              <w:bottom w:w="20" w:type="dxa"/>
            </w:tcMar>
            <w:vAlign w:val="center"/>
          </w:tcPr>
          <w:p w14:paraId="10E257E4"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12</w:t>
            </w:r>
          </w:p>
        </w:tc>
        <w:tc>
          <w:tcPr>
            <w:tcW w:w="4147" w:type="dxa"/>
            <w:shd w:val="clear" w:color="auto" w:fill="FFFFFF"/>
            <w:tcMar>
              <w:top w:w="20" w:type="dxa"/>
              <w:bottom w:w="20" w:type="dxa"/>
            </w:tcMar>
            <w:vAlign w:val="center"/>
          </w:tcPr>
          <w:p w14:paraId="56529254"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hvorav lån med sikkerhet i boligeiendommer</w:t>
            </w:r>
          </w:p>
        </w:tc>
        <w:tc>
          <w:tcPr>
            <w:tcW w:w="912" w:type="dxa"/>
            <w:shd w:val="clear" w:color="auto" w:fill="FFFFFF"/>
            <w:tcMar>
              <w:top w:w="20" w:type="dxa"/>
              <w:bottom w:w="20" w:type="dxa"/>
            </w:tcMar>
            <w:vAlign w:val="center"/>
          </w:tcPr>
          <w:p w14:paraId="38C48BD0"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67348898"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5692DD8"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0F10B6A0"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0F3AD4F8"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F08F47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7596CF1E"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3594AEF4"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2408A6A0"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7AED15BF"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7468477B"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5F8B26B4"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7858AC51"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3C37ADE4" w14:textId="77777777" w:rsidTr="00DF4027">
        <w:trPr>
          <w:trHeight w:val="20"/>
        </w:trPr>
        <w:tc>
          <w:tcPr>
            <w:tcW w:w="428" w:type="dxa"/>
            <w:shd w:val="clear" w:color="auto" w:fill="FFFFFF"/>
            <w:tcMar>
              <w:top w:w="20" w:type="dxa"/>
              <w:left w:w="0" w:type="dxa"/>
              <w:bottom w:w="20" w:type="dxa"/>
            </w:tcMar>
            <w:vAlign w:val="center"/>
          </w:tcPr>
          <w:p w14:paraId="752DEB2A"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13</w:t>
            </w:r>
          </w:p>
        </w:tc>
        <w:tc>
          <w:tcPr>
            <w:tcW w:w="4147" w:type="dxa"/>
            <w:shd w:val="clear" w:color="auto" w:fill="FFFFFF"/>
            <w:tcMar>
              <w:top w:w="20" w:type="dxa"/>
              <w:bottom w:w="20" w:type="dxa"/>
            </w:tcMar>
            <w:vAlign w:val="center"/>
          </w:tcPr>
          <w:p w14:paraId="7DA39793"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hvorav lån til byggrenovering</w:t>
            </w:r>
          </w:p>
        </w:tc>
        <w:tc>
          <w:tcPr>
            <w:tcW w:w="912" w:type="dxa"/>
            <w:shd w:val="clear" w:color="auto" w:fill="FFFFFF"/>
            <w:tcMar>
              <w:top w:w="20" w:type="dxa"/>
              <w:bottom w:w="20" w:type="dxa"/>
            </w:tcMar>
            <w:vAlign w:val="center"/>
          </w:tcPr>
          <w:p w14:paraId="07FAE335"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3EEB2505"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5DF81691"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186AC25"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7686B76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936811F"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2B045D9A"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187A087"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2B26551A"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789B9C29"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04C2C94F"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3FB18B47"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193909BF"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474980E0" w14:textId="77777777" w:rsidTr="00DF4027">
        <w:trPr>
          <w:trHeight w:val="20"/>
        </w:trPr>
        <w:tc>
          <w:tcPr>
            <w:tcW w:w="428" w:type="dxa"/>
            <w:shd w:val="clear" w:color="auto" w:fill="FFFFFF"/>
            <w:tcMar>
              <w:top w:w="20" w:type="dxa"/>
              <w:left w:w="0" w:type="dxa"/>
              <w:bottom w:w="20" w:type="dxa"/>
            </w:tcMar>
            <w:vAlign w:val="center"/>
          </w:tcPr>
          <w:p w14:paraId="3F16E4F0"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14</w:t>
            </w:r>
          </w:p>
        </w:tc>
        <w:tc>
          <w:tcPr>
            <w:tcW w:w="4147" w:type="dxa"/>
            <w:shd w:val="clear" w:color="auto" w:fill="FFFFFF"/>
            <w:tcMar>
              <w:top w:w="20" w:type="dxa"/>
              <w:bottom w:w="20" w:type="dxa"/>
            </w:tcMar>
            <w:vAlign w:val="center"/>
          </w:tcPr>
          <w:p w14:paraId="6C598E3F"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hvorav billån</w:t>
            </w:r>
          </w:p>
        </w:tc>
        <w:tc>
          <w:tcPr>
            <w:tcW w:w="912" w:type="dxa"/>
            <w:shd w:val="clear" w:color="auto" w:fill="FFFFFF"/>
            <w:tcMar>
              <w:top w:w="20" w:type="dxa"/>
              <w:bottom w:w="20" w:type="dxa"/>
            </w:tcMar>
            <w:vAlign w:val="center"/>
          </w:tcPr>
          <w:p w14:paraId="42B2F688"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66A88BC2"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B066ED6"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000000" w:themeFill="text1"/>
            <w:tcMar>
              <w:top w:w="20" w:type="dxa"/>
              <w:bottom w:w="20" w:type="dxa"/>
            </w:tcMar>
            <w:vAlign w:val="center"/>
          </w:tcPr>
          <w:p w14:paraId="70D6EE0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00760D69"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4BED35A8"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63056EE"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783D927"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482E8E33"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3D121CFC"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7AEEBCF2"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33D3821B"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543318C1"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300EBFD5" w14:textId="77777777" w:rsidTr="00DF4027">
        <w:trPr>
          <w:trHeight w:val="20"/>
        </w:trPr>
        <w:tc>
          <w:tcPr>
            <w:tcW w:w="428" w:type="dxa"/>
            <w:shd w:val="clear" w:color="auto" w:fill="FFFFFF"/>
            <w:tcMar>
              <w:top w:w="20" w:type="dxa"/>
              <w:left w:w="0" w:type="dxa"/>
              <w:bottom w:w="20" w:type="dxa"/>
            </w:tcMar>
            <w:vAlign w:val="center"/>
          </w:tcPr>
          <w:p w14:paraId="69E1E644"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15</w:t>
            </w:r>
          </w:p>
        </w:tc>
        <w:tc>
          <w:tcPr>
            <w:tcW w:w="4147" w:type="dxa"/>
            <w:shd w:val="clear" w:color="auto" w:fill="FFFFFF"/>
            <w:tcMar>
              <w:top w:w="20" w:type="dxa"/>
              <w:bottom w:w="20" w:type="dxa"/>
            </w:tcMar>
            <w:vAlign w:val="center"/>
          </w:tcPr>
          <w:p w14:paraId="1A4BB731" w14:textId="77777777" w:rsidR="00DF4027" w:rsidRPr="00647D81" w:rsidRDefault="00DF4027" w:rsidP="00DF4027">
            <w:pPr>
              <w:pStyle w:val="AnnexTableCell"/>
              <w:spacing w:line="240" w:lineRule="auto"/>
              <w:ind w:left="300"/>
              <w:jc w:val="left"/>
              <w:rPr>
                <w:rFonts w:ascii="Helvetica" w:hAnsi="Helvetica"/>
                <w:b/>
                <w:sz w:val="14"/>
                <w:szCs w:val="14"/>
              </w:rPr>
            </w:pPr>
            <w:r>
              <w:rPr>
                <w:rFonts w:ascii="Helvetica" w:hAnsi="Helvetica"/>
                <w:b/>
                <w:sz w:val="14"/>
              </w:rPr>
              <w:t>Finansiering til lokale myndigheter</w:t>
            </w:r>
          </w:p>
        </w:tc>
        <w:tc>
          <w:tcPr>
            <w:tcW w:w="912" w:type="dxa"/>
            <w:shd w:val="clear" w:color="auto" w:fill="FFFFFF"/>
            <w:tcMar>
              <w:top w:w="20" w:type="dxa"/>
              <w:bottom w:w="20" w:type="dxa"/>
            </w:tcMar>
            <w:vAlign w:val="center"/>
          </w:tcPr>
          <w:p w14:paraId="65BF8946"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00021E4C"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C50F13E"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7843DB19"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E39345C"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39A850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69EDAAE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DC1CEC2"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6F25D1D3"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18EF7454"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354E8AEA"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21340907"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644B1919"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45D3A854" w14:textId="77777777" w:rsidTr="00DF4027">
        <w:trPr>
          <w:trHeight w:val="20"/>
        </w:trPr>
        <w:tc>
          <w:tcPr>
            <w:tcW w:w="428" w:type="dxa"/>
            <w:shd w:val="clear" w:color="auto" w:fill="FFFFFF"/>
            <w:tcMar>
              <w:top w:w="20" w:type="dxa"/>
              <w:left w:w="0" w:type="dxa"/>
              <w:bottom w:w="20" w:type="dxa"/>
            </w:tcMar>
            <w:vAlign w:val="center"/>
          </w:tcPr>
          <w:p w14:paraId="40E2097F"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16</w:t>
            </w:r>
          </w:p>
        </w:tc>
        <w:tc>
          <w:tcPr>
            <w:tcW w:w="4147" w:type="dxa"/>
            <w:shd w:val="clear" w:color="auto" w:fill="FFFFFF"/>
            <w:tcMar>
              <w:top w:w="20" w:type="dxa"/>
              <w:bottom w:w="20" w:type="dxa"/>
            </w:tcMar>
            <w:vAlign w:val="center"/>
          </w:tcPr>
          <w:p w14:paraId="3A93330A"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Boligfinansiering</w:t>
            </w:r>
          </w:p>
        </w:tc>
        <w:tc>
          <w:tcPr>
            <w:tcW w:w="912" w:type="dxa"/>
            <w:shd w:val="clear" w:color="auto" w:fill="FFFFFF"/>
            <w:tcMar>
              <w:top w:w="20" w:type="dxa"/>
              <w:bottom w:w="20" w:type="dxa"/>
            </w:tcMar>
            <w:vAlign w:val="center"/>
          </w:tcPr>
          <w:p w14:paraId="3C19E1AC"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7F3518F"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5C8CBF20"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1E8D293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2872B66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53CBCF87"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4CE54688"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12CFBD1B"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4696654A"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12B88F5E"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4D60C790"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14D4C4EB"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41932A89"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2DD5AB63" w14:textId="77777777" w:rsidTr="00DF4027">
        <w:trPr>
          <w:trHeight w:val="20"/>
        </w:trPr>
        <w:tc>
          <w:tcPr>
            <w:tcW w:w="428" w:type="dxa"/>
            <w:shd w:val="clear" w:color="auto" w:fill="FFFFFF"/>
            <w:tcMar>
              <w:top w:w="20" w:type="dxa"/>
              <w:left w:w="0" w:type="dxa"/>
              <w:bottom w:w="20" w:type="dxa"/>
            </w:tcMar>
            <w:vAlign w:val="center"/>
          </w:tcPr>
          <w:p w14:paraId="63ED8132"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17</w:t>
            </w:r>
          </w:p>
        </w:tc>
        <w:tc>
          <w:tcPr>
            <w:tcW w:w="4147" w:type="dxa"/>
            <w:shd w:val="clear" w:color="auto" w:fill="FFFFFF"/>
            <w:tcMar>
              <w:top w:w="20" w:type="dxa"/>
              <w:bottom w:w="20" w:type="dxa"/>
            </w:tcMar>
            <w:vAlign w:val="center"/>
          </w:tcPr>
          <w:p w14:paraId="29823D79" w14:textId="77777777" w:rsidR="00DF4027" w:rsidRPr="00647D81" w:rsidRDefault="00DF4027" w:rsidP="00DF4027">
            <w:pPr>
              <w:pStyle w:val="AnnexTableCell"/>
              <w:spacing w:line="240" w:lineRule="auto"/>
              <w:ind w:left="500"/>
              <w:jc w:val="left"/>
              <w:rPr>
                <w:rFonts w:ascii="Helvetica" w:hAnsi="Helvetica"/>
                <w:sz w:val="14"/>
                <w:szCs w:val="14"/>
              </w:rPr>
            </w:pPr>
            <w:r>
              <w:rPr>
                <w:rFonts w:ascii="Helvetica" w:hAnsi="Helvetica"/>
                <w:sz w:val="14"/>
              </w:rPr>
              <w:t>Annen finansiering av lokale myndigheter</w:t>
            </w:r>
          </w:p>
        </w:tc>
        <w:tc>
          <w:tcPr>
            <w:tcW w:w="912" w:type="dxa"/>
            <w:shd w:val="clear" w:color="auto" w:fill="FFFFFF"/>
            <w:tcMar>
              <w:top w:w="20" w:type="dxa"/>
              <w:bottom w:w="20" w:type="dxa"/>
            </w:tcMar>
            <w:vAlign w:val="center"/>
          </w:tcPr>
          <w:p w14:paraId="047D0A6D"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C05A54E"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0FA37389"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0C940C37"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6A54B5C"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E48D6CC"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B6529CD"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33016135"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56FB0FE2"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789D44F0"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446AA459"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4A2FB93B"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23E1F08A"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3A05625F" w14:textId="77777777" w:rsidTr="00DF4027">
        <w:trPr>
          <w:trHeight w:val="20"/>
        </w:trPr>
        <w:tc>
          <w:tcPr>
            <w:tcW w:w="428" w:type="dxa"/>
            <w:shd w:val="clear" w:color="auto" w:fill="FFFFFF"/>
            <w:tcMar>
              <w:top w:w="20" w:type="dxa"/>
              <w:left w:w="0" w:type="dxa"/>
              <w:bottom w:w="20" w:type="dxa"/>
            </w:tcMar>
            <w:vAlign w:val="center"/>
          </w:tcPr>
          <w:p w14:paraId="791CB2DA"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18</w:t>
            </w:r>
          </w:p>
        </w:tc>
        <w:tc>
          <w:tcPr>
            <w:tcW w:w="4147" w:type="dxa"/>
            <w:shd w:val="clear" w:color="auto" w:fill="FFFFFF"/>
            <w:tcMar>
              <w:top w:w="20" w:type="dxa"/>
              <w:bottom w:w="20" w:type="dxa"/>
            </w:tcMar>
            <w:vAlign w:val="center"/>
          </w:tcPr>
          <w:p w14:paraId="5D0656BF" w14:textId="77777777" w:rsidR="00DF4027" w:rsidRPr="00647D81" w:rsidRDefault="00DF4027" w:rsidP="00DF4027">
            <w:pPr>
              <w:pStyle w:val="AnnexTableCell"/>
              <w:spacing w:line="240" w:lineRule="auto"/>
              <w:ind w:left="160"/>
              <w:jc w:val="left"/>
              <w:rPr>
                <w:rFonts w:ascii="Helvetica" w:hAnsi="Helvetica"/>
                <w:b/>
                <w:sz w:val="14"/>
                <w:szCs w:val="14"/>
              </w:rPr>
            </w:pPr>
            <w:r>
              <w:rPr>
                <w:rFonts w:ascii="Helvetica" w:hAnsi="Helvetica"/>
                <w:b/>
                <w:sz w:val="14"/>
              </w:rPr>
              <w:t>Overtatte sikkerheter: Bolig- og næringseiendommer</w:t>
            </w:r>
          </w:p>
        </w:tc>
        <w:tc>
          <w:tcPr>
            <w:tcW w:w="912" w:type="dxa"/>
            <w:shd w:val="clear" w:color="auto" w:fill="FFFFFF"/>
            <w:tcMar>
              <w:top w:w="20" w:type="dxa"/>
              <w:bottom w:w="20" w:type="dxa"/>
            </w:tcMar>
            <w:vAlign w:val="center"/>
          </w:tcPr>
          <w:p w14:paraId="573AB979"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02EA39DE"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6EBAA421"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093785D2"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32158F33"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00235D11"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67B5F7DE"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4AF2DD4F"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622109DF"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2884989D"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01DF8865"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tcMar>
            <w:vAlign w:val="center"/>
          </w:tcPr>
          <w:p w14:paraId="7780377F"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FFFFFF"/>
            <w:tcMar>
              <w:top w:w="20" w:type="dxa"/>
              <w:bottom w:w="20" w:type="dxa"/>
              <w:right w:w="0" w:type="dxa"/>
            </w:tcMar>
            <w:vAlign w:val="center"/>
          </w:tcPr>
          <w:p w14:paraId="0CDDF4CF"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738ED195" w14:textId="77777777" w:rsidTr="00DF4027">
        <w:trPr>
          <w:trHeight w:val="20"/>
        </w:trPr>
        <w:tc>
          <w:tcPr>
            <w:tcW w:w="428" w:type="dxa"/>
            <w:shd w:val="clear" w:color="auto" w:fill="FFFFFF"/>
            <w:tcMar>
              <w:top w:w="20" w:type="dxa"/>
              <w:left w:w="0" w:type="dxa"/>
              <w:bottom w:w="20" w:type="dxa"/>
            </w:tcMar>
            <w:vAlign w:val="center"/>
          </w:tcPr>
          <w:p w14:paraId="7B9BA0B0"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19</w:t>
            </w:r>
          </w:p>
        </w:tc>
        <w:tc>
          <w:tcPr>
            <w:tcW w:w="4147" w:type="dxa"/>
            <w:shd w:val="clear" w:color="auto" w:fill="FFFFFF"/>
            <w:tcMar>
              <w:top w:w="20" w:type="dxa"/>
              <w:bottom w:w="20" w:type="dxa"/>
            </w:tcMar>
            <w:vAlign w:val="center"/>
          </w:tcPr>
          <w:p w14:paraId="1C707966" w14:textId="77777777" w:rsidR="00DF4027" w:rsidRPr="00647D81" w:rsidRDefault="00DF4027" w:rsidP="00DF4027">
            <w:pPr>
              <w:pStyle w:val="AnnexTableCell"/>
              <w:spacing w:line="240" w:lineRule="auto"/>
              <w:ind w:left="160"/>
              <w:jc w:val="left"/>
              <w:rPr>
                <w:rFonts w:ascii="Helvetica" w:hAnsi="Helvetica"/>
                <w:b/>
                <w:sz w:val="14"/>
                <w:szCs w:val="14"/>
              </w:rPr>
            </w:pPr>
            <w:r>
              <w:rPr>
                <w:rFonts w:ascii="Helvetica" w:hAnsi="Helvetica"/>
                <w:b/>
                <w:sz w:val="14"/>
              </w:rPr>
              <w:t>Eksponeringer som tas med på frivillig grunnlag (4)</w:t>
            </w:r>
          </w:p>
        </w:tc>
        <w:tc>
          <w:tcPr>
            <w:tcW w:w="912" w:type="dxa"/>
            <w:shd w:val="clear" w:color="auto" w:fill="FFFFFF"/>
            <w:tcMar>
              <w:top w:w="20" w:type="dxa"/>
              <w:bottom w:w="20" w:type="dxa"/>
            </w:tcMar>
            <w:vAlign w:val="center"/>
          </w:tcPr>
          <w:p w14:paraId="21EE0277"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FFFFFF"/>
            <w:tcMar>
              <w:top w:w="20" w:type="dxa"/>
              <w:bottom w:w="20" w:type="dxa"/>
            </w:tcMar>
            <w:vAlign w:val="center"/>
          </w:tcPr>
          <w:p w14:paraId="42E162DA"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FFFFFF"/>
            <w:tcMar>
              <w:top w:w="20" w:type="dxa"/>
              <w:bottom w:w="20" w:type="dxa"/>
            </w:tcMar>
            <w:vAlign w:val="center"/>
          </w:tcPr>
          <w:p w14:paraId="5B9A13F2"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FFFFFF"/>
            <w:tcMar>
              <w:top w:w="20" w:type="dxa"/>
              <w:bottom w:w="20" w:type="dxa"/>
            </w:tcMar>
            <w:vAlign w:val="center"/>
          </w:tcPr>
          <w:p w14:paraId="40FC0115"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1EC25820"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FFFFFF"/>
            <w:tcMar>
              <w:top w:w="20" w:type="dxa"/>
              <w:bottom w:w="20" w:type="dxa"/>
            </w:tcMar>
            <w:vAlign w:val="center"/>
          </w:tcPr>
          <w:p w14:paraId="20BB80C5"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5447C16F"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000000" w:themeFill="text1"/>
            <w:tcMar>
              <w:top w:w="20" w:type="dxa"/>
              <w:bottom w:w="20" w:type="dxa"/>
            </w:tcMar>
            <w:vAlign w:val="center"/>
          </w:tcPr>
          <w:p w14:paraId="5FD49E2F"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FFFFFF"/>
            <w:tcMar>
              <w:top w:w="20" w:type="dxa"/>
              <w:bottom w:w="20" w:type="dxa"/>
            </w:tcMar>
            <w:vAlign w:val="center"/>
          </w:tcPr>
          <w:p w14:paraId="7AC54943"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FFFFFF"/>
            <w:tcMar>
              <w:top w:w="20" w:type="dxa"/>
              <w:bottom w:w="20" w:type="dxa"/>
            </w:tcMar>
            <w:vAlign w:val="center"/>
          </w:tcPr>
          <w:p w14:paraId="7D988785"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FFFFFF"/>
            <w:tcMar>
              <w:top w:w="20" w:type="dxa"/>
              <w:bottom w:w="20" w:type="dxa"/>
            </w:tcMar>
            <w:vAlign w:val="center"/>
          </w:tcPr>
          <w:p w14:paraId="5F940701"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FFFFFF"/>
            <w:tcMar>
              <w:top w:w="20" w:type="dxa"/>
              <w:bottom w:w="20" w:type="dxa"/>
              <w:right w:w="0" w:type="dxa"/>
            </w:tcMar>
            <w:vAlign w:val="center"/>
          </w:tcPr>
          <w:p w14:paraId="4CDD9DC9"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000000" w:themeFill="text1"/>
            <w:vAlign w:val="center"/>
          </w:tcPr>
          <w:p w14:paraId="6CFAFB7D" w14:textId="77777777" w:rsidR="00DF4027" w:rsidRPr="00647D81" w:rsidRDefault="00DF4027" w:rsidP="00DF4027">
            <w:pPr>
              <w:pStyle w:val="AnnexTableCell"/>
              <w:spacing w:line="240" w:lineRule="auto"/>
              <w:rPr>
                <w:rFonts w:ascii="Helvetica" w:hAnsi="Helvetica"/>
                <w:sz w:val="14"/>
                <w:szCs w:val="14"/>
              </w:rPr>
            </w:pPr>
          </w:p>
        </w:tc>
      </w:tr>
      <w:tr w:rsidR="00DF4027" w:rsidRPr="00647D81" w14:paraId="2EDAC728" w14:textId="77777777" w:rsidTr="00DF4027">
        <w:trPr>
          <w:trHeight w:val="20"/>
        </w:trPr>
        <w:tc>
          <w:tcPr>
            <w:tcW w:w="428" w:type="dxa"/>
            <w:shd w:val="clear" w:color="auto" w:fill="FFFFFF"/>
            <w:tcMar>
              <w:top w:w="20" w:type="dxa"/>
              <w:left w:w="0" w:type="dxa"/>
              <w:bottom w:w="20" w:type="dxa"/>
            </w:tcMar>
            <w:vAlign w:val="center"/>
          </w:tcPr>
          <w:p w14:paraId="490B45FA" w14:textId="77777777" w:rsidR="00DF4027" w:rsidRPr="00647D81" w:rsidRDefault="00DF4027" w:rsidP="00DF4027">
            <w:pPr>
              <w:pStyle w:val="AnnexTableCell"/>
              <w:spacing w:line="240" w:lineRule="auto"/>
              <w:rPr>
                <w:rFonts w:ascii="Helvetica" w:hAnsi="Helvetica"/>
                <w:sz w:val="14"/>
                <w:szCs w:val="14"/>
              </w:rPr>
            </w:pPr>
            <w:r>
              <w:rPr>
                <w:rFonts w:ascii="Helvetica" w:hAnsi="Helvetica"/>
                <w:sz w:val="14"/>
              </w:rPr>
              <w:t>20</w:t>
            </w:r>
          </w:p>
        </w:tc>
        <w:tc>
          <w:tcPr>
            <w:tcW w:w="4147" w:type="dxa"/>
            <w:shd w:val="clear" w:color="auto" w:fill="D9E1F2"/>
            <w:tcMar>
              <w:top w:w="20" w:type="dxa"/>
              <w:bottom w:w="20" w:type="dxa"/>
            </w:tcMar>
            <w:vAlign w:val="center"/>
          </w:tcPr>
          <w:p w14:paraId="5088639B" w14:textId="77777777" w:rsidR="00DF4027" w:rsidRPr="00647D81" w:rsidRDefault="00DF4027" w:rsidP="00DF4027">
            <w:pPr>
              <w:pStyle w:val="AnnexTableCell"/>
              <w:spacing w:line="240" w:lineRule="auto"/>
              <w:ind w:left="160"/>
              <w:jc w:val="left"/>
              <w:rPr>
                <w:rFonts w:ascii="Helvetica" w:hAnsi="Helvetica"/>
                <w:b/>
                <w:sz w:val="14"/>
                <w:szCs w:val="14"/>
              </w:rPr>
            </w:pPr>
            <w:r>
              <w:rPr>
                <w:rFonts w:ascii="Helvetica" w:hAnsi="Helvetica"/>
                <w:b/>
                <w:sz w:val="14"/>
              </w:rPr>
              <w:t>GAR – Samlet GAR for eiendeler</w:t>
            </w:r>
          </w:p>
        </w:tc>
        <w:tc>
          <w:tcPr>
            <w:tcW w:w="912" w:type="dxa"/>
            <w:shd w:val="clear" w:color="auto" w:fill="D9E1F2"/>
            <w:tcMar>
              <w:top w:w="20" w:type="dxa"/>
              <w:bottom w:w="20" w:type="dxa"/>
            </w:tcMar>
            <w:vAlign w:val="center"/>
          </w:tcPr>
          <w:p w14:paraId="1B621EB5" w14:textId="77777777" w:rsidR="00DF4027" w:rsidRPr="00647D81" w:rsidRDefault="00DF4027" w:rsidP="00DF4027">
            <w:pPr>
              <w:pStyle w:val="AnnexTableCell"/>
              <w:spacing w:line="240" w:lineRule="auto"/>
              <w:rPr>
                <w:rFonts w:ascii="Helvetica" w:hAnsi="Helvetica"/>
                <w:sz w:val="14"/>
                <w:szCs w:val="14"/>
              </w:rPr>
            </w:pPr>
          </w:p>
        </w:tc>
        <w:tc>
          <w:tcPr>
            <w:tcW w:w="732" w:type="dxa"/>
            <w:shd w:val="clear" w:color="auto" w:fill="D9E1F2"/>
            <w:tcMar>
              <w:top w:w="20" w:type="dxa"/>
              <w:bottom w:w="20" w:type="dxa"/>
            </w:tcMar>
            <w:vAlign w:val="center"/>
          </w:tcPr>
          <w:p w14:paraId="1E40C0BA" w14:textId="77777777" w:rsidR="00DF4027" w:rsidRPr="00647D81" w:rsidRDefault="00DF4027" w:rsidP="00DF4027">
            <w:pPr>
              <w:pStyle w:val="AnnexTableCell"/>
              <w:spacing w:line="240" w:lineRule="auto"/>
              <w:rPr>
                <w:rFonts w:ascii="Helvetica" w:hAnsi="Helvetica"/>
                <w:sz w:val="14"/>
                <w:szCs w:val="14"/>
              </w:rPr>
            </w:pPr>
          </w:p>
        </w:tc>
        <w:tc>
          <w:tcPr>
            <w:tcW w:w="733" w:type="dxa"/>
            <w:shd w:val="clear" w:color="auto" w:fill="D9E1F2"/>
            <w:tcMar>
              <w:top w:w="20" w:type="dxa"/>
              <w:bottom w:w="20" w:type="dxa"/>
            </w:tcMar>
            <w:vAlign w:val="center"/>
          </w:tcPr>
          <w:p w14:paraId="352E512D" w14:textId="77777777" w:rsidR="00DF4027" w:rsidRPr="00647D81" w:rsidRDefault="00DF4027" w:rsidP="00DF4027">
            <w:pPr>
              <w:pStyle w:val="AnnexTableCell"/>
              <w:spacing w:line="240" w:lineRule="auto"/>
              <w:rPr>
                <w:rFonts w:ascii="Helvetica" w:hAnsi="Helvetica"/>
                <w:sz w:val="14"/>
                <w:szCs w:val="14"/>
              </w:rPr>
            </w:pPr>
          </w:p>
        </w:tc>
        <w:tc>
          <w:tcPr>
            <w:tcW w:w="730" w:type="dxa"/>
            <w:shd w:val="clear" w:color="auto" w:fill="D9E1F2"/>
            <w:tcMar>
              <w:top w:w="20" w:type="dxa"/>
              <w:bottom w:w="20" w:type="dxa"/>
            </w:tcMar>
            <w:vAlign w:val="center"/>
          </w:tcPr>
          <w:p w14:paraId="4CECE84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37974608"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416665C4"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105AE746" w14:textId="77777777" w:rsidR="00DF4027" w:rsidRPr="00647D81" w:rsidRDefault="00DF4027" w:rsidP="00DF4027">
            <w:pPr>
              <w:pStyle w:val="AnnexTableCell"/>
              <w:spacing w:line="240" w:lineRule="auto"/>
              <w:rPr>
                <w:rFonts w:ascii="Helvetica" w:hAnsi="Helvetica"/>
                <w:sz w:val="14"/>
                <w:szCs w:val="14"/>
              </w:rPr>
            </w:pPr>
          </w:p>
        </w:tc>
        <w:tc>
          <w:tcPr>
            <w:tcW w:w="715" w:type="dxa"/>
            <w:shd w:val="clear" w:color="auto" w:fill="D9E1F2"/>
            <w:tcMar>
              <w:top w:w="20" w:type="dxa"/>
              <w:bottom w:w="20" w:type="dxa"/>
            </w:tcMar>
            <w:vAlign w:val="center"/>
          </w:tcPr>
          <w:p w14:paraId="0A671E75" w14:textId="77777777" w:rsidR="00DF4027" w:rsidRPr="00647D81" w:rsidRDefault="00DF4027" w:rsidP="00DF4027">
            <w:pPr>
              <w:pStyle w:val="AnnexTableCell"/>
              <w:spacing w:line="240" w:lineRule="auto"/>
              <w:rPr>
                <w:rFonts w:ascii="Helvetica" w:hAnsi="Helvetica"/>
                <w:sz w:val="14"/>
                <w:szCs w:val="14"/>
              </w:rPr>
            </w:pPr>
          </w:p>
        </w:tc>
        <w:tc>
          <w:tcPr>
            <w:tcW w:w="771" w:type="dxa"/>
            <w:shd w:val="clear" w:color="auto" w:fill="D9E1F2"/>
            <w:tcMar>
              <w:top w:w="20" w:type="dxa"/>
              <w:bottom w:w="20" w:type="dxa"/>
            </w:tcMar>
            <w:vAlign w:val="center"/>
          </w:tcPr>
          <w:p w14:paraId="3108208F" w14:textId="77777777" w:rsidR="00DF4027" w:rsidRPr="00647D81" w:rsidRDefault="00DF4027" w:rsidP="00DF4027">
            <w:pPr>
              <w:pStyle w:val="AnnexTableCell"/>
              <w:spacing w:line="240" w:lineRule="auto"/>
              <w:rPr>
                <w:rFonts w:ascii="Helvetica" w:hAnsi="Helvetica"/>
                <w:sz w:val="14"/>
                <w:szCs w:val="14"/>
              </w:rPr>
            </w:pPr>
          </w:p>
        </w:tc>
        <w:tc>
          <w:tcPr>
            <w:tcW w:w="795" w:type="dxa"/>
            <w:gridSpan w:val="2"/>
            <w:shd w:val="clear" w:color="auto" w:fill="D9E1F2"/>
            <w:tcMar>
              <w:top w:w="20" w:type="dxa"/>
              <w:bottom w:w="20" w:type="dxa"/>
            </w:tcMar>
            <w:vAlign w:val="center"/>
          </w:tcPr>
          <w:p w14:paraId="1FD5CE51" w14:textId="77777777" w:rsidR="00DF4027" w:rsidRPr="00647D81" w:rsidRDefault="00DF4027" w:rsidP="00DF4027">
            <w:pPr>
              <w:pStyle w:val="AnnexTableCell"/>
              <w:spacing w:line="240" w:lineRule="auto"/>
              <w:rPr>
                <w:rFonts w:ascii="Helvetica" w:hAnsi="Helvetica"/>
                <w:sz w:val="14"/>
                <w:szCs w:val="14"/>
              </w:rPr>
            </w:pPr>
          </w:p>
        </w:tc>
        <w:tc>
          <w:tcPr>
            <w:tcW w:w="708" w:type="dxa"/>
            <w:shd w:val="clear" w:color="auto" w:fill="D9E1F2"/>
            <w:tcMar>
              <w:top w:w="20" w:type="dxa"/>
              <w:bottom w:w="20" w:type="dxa"/>
            </w:tcMar>
            <w:vAlign w:val="center"/>
          </w:tcPr>
          <w:p w14:paraId="6858AE06" w14:textId="77777777" w:rsidR="00DF4027" w:rsidRPr="00647D81" w:rsidRDefault="00DF4027" w:rsidP="00DF4027">
            <w:pPr>
              <w:pStyle w:val="AnnexTableCell"/>
              <w:spacing w:line="240" w:lineRule="auto"/>
              <w:rPr>
                <w:rFonts w:ascii="Helvetica" w:hAnsi="Helvetica"/>
                <w:sz w:val="14"/>
                <w:szCs w:val="14"/>
              </w:rPr>
            </w:pPr>
          </w:p>
        </w:tc>
        <w:tc>
          <w:tcPr>
            <w:tcW w:w="816" w:type="dxa"/>
            <w:shd w:val="clear" w:color="auto" w:fill="D9E1F2"/>
            <w:tcMar>
              <w:top w:w="20" w:type="dxa"/>
              <w:bottom w:w="20" w:type="dxa"/>
              <w:right w:w="0" w:type="dxa"/>
            </w:tcMar>
            <w:vAlign w:val="center"/>
          </w:tcPr>
          <w:p w14:paraId="2D1909A7" w14:textId="77777777" w:rsidR="00DF4027" w:rsidRPr="00647D81" w:rsidRDefault="00DF4027" w:rsidP="00DF4027">
            <w:pPr>
              <w:pStyle w:val="AnnexTableCell"/>
              <w:spacing w:line="240" w:lineRule="auto"/>
              <w:rPr>
                <w:rFonts w:ascii="Helvetica" w:hAnsi="Helvetica"/>
                <w:sz w:val="14"/>
                <w:szCs w:val="14"/>
              </w:rPr>
            </w:pPr>
          </w:p>
        </w:tc>
        <w:tc>
          <w:tcPr>
            <w:tcW w:w="672" w:type="dxa"/>
            <w:shd w:val="clear" w:color="auto" w:fill="D9E1F2"/>
            <w:vAlign w:val="center"/>
          </w:tcPr>
          <w:p w14:paraId="34940D9B" w14:textId="77777777" w:rsidR="00DF4027" w:rsidRPr="00647D81" w:rsidRDefault="00DF4027" w:rsidP="00DF4027">
            <w:pPr>
              <w:pStyle w:val="AnnexTableCell"/>
              <w:spacing w:line="240" w:lineRule="auto"/>
              <w:rPr>
                <w:rFonts w:ascii="Helvetica" w:hAnsi="Helvetica"/>
                <w:sz w:val="14"/>
                <w:szCs w:val="14"/>
              </w:rPr>
            </w:pPr>
          </w:p>
        </w:tc>
      </w:tr>
    </w:tbl>
    <w:p w14:paraId="1A1706D3" w14:textId="70D9609D" w:rsidR="006D5517" w:rsidRPr="006D5517" w:rsidRDefault="006D5517" w:rsidP="006D5517">
      <w:pPr>
        <w:pStyle w:val="AnnexNormal"/>
        <w:spacing w:before="200" w:after="0"/>
      </w:pPr>
      <w:r>
        <w:t>1. Institusjonen skal i denne malen opplyse om KPI-ene for GAR for strømmen av nye lån</w:t>
      </w:r>
      <w:r w:rsidR="00D0760A">
        <w:t xml:space="preserve"> </w:t>
      </w:r>
      <w:r>
        <w:t>og forskudd, gjeldsinstrumenter, egenkapitalinstrumenter og overtatte sikkerheter det siste året forut for referansedatoen for opplysningene, beregnet på grunnlag av dataene framlagt i mal 1, om dekkede eiendeler.</w:t>
      </w:r>
    </w:p>
    <w:p w14:paraId="006D9676" w14:textId="77777777" w:rsidR="006D5517" w:rsidRPr="006D5517" w:rsidRDefault="006D5517" w:rsidP="006D5517">
      <w:pPr>
        <w:pStyle w:val="AnnexNormal"/>
        <w:spacing w:after="0"/>
      </w:pPr>
      <w:r>
        <w:t>2. Kredittinstitusjoner skal duplisere denne malen for opplysninger basert på omsetning og investeringsutgifter.</w:t>
      </w:r>
    </w:p>
    <w:p w14:paraId="0731DD20" w14:textId="6C06C63C" w:rsidR="006D5517" w:rsidRPr="006D5517" w:rsidRDefault="006D5517" w:rsidP="006D5517">
      <w:pPr>
        <w:pStyle w:val="AnnexNormal"/>
        <w:spacing w:after="0"/>
      </w:pPr>
      <w:r>
        <w:t xml:space="preserve">3. </w:t>
      </w:r>
      <w:r w:rsidR="005605F3">
        <w:t>I</w:t>
      </w:r>
      <w:r>
        <w:t xml:space="preserve"> samsvar med artikkel 7 nr. 8 i denne forordningen</w:t>
      </w:r>
    </w:p>
    <w:p w14:paraId="6272EC2B" w14:textId="3F0752B0" w:rsidR="005E6B58" w:rsidRDefault="006D5517" w:rsidP="00966BC8">
      <w:pPr>
        <w:pStyle w:val="AnnexNormal"/>
        <w:spacing w:after="0"/>
      </w:pPr>
      <w:r>
        <w:t xml:space="preserve">4. </w:t>
      </w:r>
      <w:r w:rsidR="005605F3">
        <w:t>I</w:t>
      </w:r>
      <w:r>
        <w:t xml:space="preserve"> samsvar med artikkel 7 nr. 3 i denne forordningen</w:t>
      </w:r>
    </w:p>
    <w:p w14:paraId="6DDB20BF" w14:textId="77777777" w:rsidR="005E6B58" w:rsidRPr="006D5517" w:rsidRDefault="006D5517" w:rsidP="006D5517">
      <w:pPr>
        <w:pStyle w:val="TableTitle"/>
        <w:pageBreakBefore/>
        <w:rPr>
          <w:i/>
        </w:rPr>
      </w:pPr>
      <w:r>
        <w:rPr>
          <w:i/>
        </w:rPr>
        <w:lastRenderedPageBreak/>
        <w:t>Mal 5: KPI for eksponeringer utenfor balansen</w:t>
      </w:r>
    </w:p>
    <w:tbl>
      <w:tblPr>
        <w:tblOverlap w:val="never"/>
        <w:tblW w:w="14327" w:type="dxa"/>
        <w:tblInd w:w="-6" w:type="dxa"/>
        <w:tblLayout w:type="fixed"/>
        <w:tblCellMar>
          <w:left w:w="10" w:type="dxa"/>
          <w:right w:w="10" w:type="dxa"/>
        </w:tblCellMar>
        <w:tblLook w:val="0000" w:firstRow="0" w:lastRow="0" w:firstColumn="0" w:lastColumn="0" w:noHBand="0" w:noVBand="0"/>
      </w:tblPr>
      <w:tblGrid>
        <w:gridCol w:w="238"/>
        <w:gridCol w:w="4249"/>
        <w:gridCol w:w="840"/>
        <w:gridCol w:w="936"/>
        <w:gridCol w:w="876"/>
        <w:gridCol w:w="924"/>
        <w:gridCol w:w="900"/>
        <w:gridCol w:w="864"/>
        <w:gridCol w:w="672"/>
        <w:gridCol w:w="804"/>
        <w:gridCol w:w="696"/>
        <w:gridCol w:w="792"/>
        <w:gridCol w:w="684"/>
        <w:gridCol w:w="852"/>
      </w:tblGrid>
      <w:tr w:rsidR="006D5517" w:rsidRPr="00647D81" w14:paraId="6F8AC642" w14:textId="77777777" w:rsidTr="006D5517">
        <w:trPr>
          <w:trHeight w:val="20"/>
        </w:trPr>
        <w:tc>
          <w:tcPr>
            <w:tcW w:w="238" w:type="dxa"/>
            <w:tcBorders>
              <w:top w:val="single" w:sz="4" w:space="0" w:color="auto"/>
              <w:left w:val="single" w:sz="4" w:space="0" w:color="auto"/>
            </w:tcBorders>
            <w:shd w:val="clear" w:color="auto" w:fill="FFFFFF"/>
            <w:tcMar>
              <w:top w:w="40" w:type="dxa"/>
              <w:left w:w="0" w:type="dxa"/>
              <w:bottom w:w="40" w:type="dxa"/>
            </w:tcMar>
            <w:vAlign w:val="center"/>
          </w:tcPr>
          <w:p w14:paraId="0A842FEF" w14:textId="77777777" w:rsidR="006D5517" w:rsidRPr="00647D81" w:rsidRDefault="006D5517" w:rsidP="006D5517">
            <w:pPr>
              <w:pStyle w:val="AnnexTableHeader"/>
              <w:spacing w:line="240" w:lineRule="auto"/>
              <w:rPr>
                <w:rFonts w:ascii="Helvetica" w:hAnsi="Helvetica"/>
                <w:sz w:val="12"/>
                <w:szCs w:val="12"/>
              </w:rPr>
            </w:pPr>
          </w:p>
        </w:tc>
        <w:tc>
          <w:tcPr>
            <w:tcW w:w="4249" w:type="dxa"/>
            <w:tcBorders>
              <w:top w:val="single" w:sz="4" w:space="0" w:color="auto"/>
              <w:left w:val="single" w:sz="4" w:space="0" w:color="auto"/>
            </w:tcBorders>
            <w:shd w:val="clear" w:color="auto" w:fill="FFFFFF"/>
            <w:vAlign w:val="center"/>
          </w:tcPr>
          <w:p w14:paraId="0C2F90B6" w14:textId="77777777" w:rsidR="006D5517" w:rsidRPr="00647D81" w:rsidRDefault="006D5517" w:rsidP="00B310F8">
            <w:pPr>
              <w:pStyle w:val="AnnexTableHeader"/>
              <w:spacing w:line="240" w:lineRule="auto"/>
              <w:ind w:left="40"/>
              <w:rPr>
                <w:rFonts w:ascii="Helvetica" w:hAnsi="Helvetica"/>
                <w:sz w:val="12"/>
                <w:szCs w:val="12"/>
              </w:rPr>
            </w:pPr>
            <w:r>
              <w:rPr>
                <w:rFonts w:ascii="Helvetica" w:hAnsi="Helvetica"/>
                <w:sz w:val="12"/>
              </w:rPr>
              <w:t>Referansedato/-periode for opplysningene t</w:t>
            </w:r>
          </w:p>
        </w:tc>
        <w:tc>
          <w:tcPr>
            <w:tcW w:w="840" w:type="dxa"/>
            <w:tcBorders>
              <w:top w:val="single" w:sz="4" w:space="0" w:color="auto"/>
              <w:left w:val="single" w:sz="4" w:space="0" w:color="auto"/>
            </w:tcBorders>
            <w:shd w:val="clear" w:color="auto" w:fill="FFFFFF"/>
            <w:tcMar>
              <w:top w:w="40" w:type="dxa"/>
              <w:bottom w:w="40" w:type="dxa"/>
            </w:tcMar>
            <w:vAlign w:val="center"/>
          </w:tcPr>
          <w:p w14:paraId="17CF4207" w14:textId="77777777" w:rsidR="006D5517" w:rsidRPr="00647D81" w:rsidRDefault="006D5517" w:rsidP="006D5517">
            <w:pPr>
              <w:pStyle w:val="AnnexTableHeader"/>
              <w:spacing w:line="240" w:lineRule="auto"/>
              <w:rPr>
                <w:rFonts w:ascii="Helvetica" w:hAnsi="Helvetica"/>
                <w:sz w:val="12"/>
                <w:szCs w:val="12"/>
              </w:rPr>
            </w:pPr>
          </w:p>
        </w:tc>
        <w:tc>
          <w:tcPr>
            <w:tcW w:w="9000" w:type="dxa"/>
            <w:gridSpan w:val="11"/>
            <w:tcBorders>
              <w:left w:val="single" w:sz="4" w:space="0" w:color="auto"/>
            </w:tcBorders>
            <w:shd w:val="clear" w:color="auto" w:fill="FFFFFF"/>
            <w:tcMar>
              <w:top w:w="40" w:type="dxa"/>
              <w:bottom w:w="40" w:type="dxa"/>
              <w:right w:w="0" w:type="dxa"/>
            </w:tcMar>
            <w:vAlign w:val="center"/>
          </w:tcPr>
          <w:p w14:paraId="0524CAF5" w14:textId="77777777" w:rsidR="006D5517" w:rsidRPr="00647D81" w:rsidRDefault="006D5517" w:rsidP="006D5517">
            <w:pPr>
              <w:pStyle w:val="AnnexTableHeader"/>
              <w:spacing w:line="240" w:lineRule="auto"/>
              <w:rPr>
                <w:rFonts w:ascii="Helvetica" w:hAnsi="Helvetica"/>
                <w:sz w:val="12"/>
                <w:szCs w:val="12"/>
              </w:rPr>
            </w:pPr>
          </w:p>
        </w:tc>
      </w:tr>
      <w:tr w:rsidR="006D5517" w:rsidRPr="00647D81" w14:paraId="31FF8B03" w14:textId="77777777" w:rsidTr="006D5517">
        <w:trPr>
          <w:trHeight w:val="20"/>
        </w:trPr>
        <w:tc>
          <w:tcPr>
            <w:tcW w:w="4487" w:type="dxa"/>
            <w:gridSpan w:val="2"/>
            <w:vMerge w:val="restart"/>
            <w:tcBorders>
              <w:top w:val="single" w:sz="4" w:space="0" w:color="auto"/>
              <w:left w:val="single" w:sz="4" w:space="0" w:color="auto"/>
            </w:tcBorders>
            <w:shd w:val="clear" w:color="auto" w:fill="FFFFFF"/>
            <w:tcMar>
              <w:top w:w="40" w:type="dxa"/>
              <w:left w:w="0" w:type="dxa"/>
              <w:bottom w:w="40" w:type="dxa"/>
            </w:tcMar>
            <w:vAlign w:val="center"/>
          </w:tcPr>
          <w:p w14:paraId="39E4C717"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 (i forhold til tilsvarende samlede eiendeler utenfor balansen)</w:t>
            </w:r>
          </w:p>
        </w:tc>
        <w:tc>
          <w:tcPr>
            <w:tcW w:w="840" w:type="dxa"/>
            <w:tcBorders>
              <w:top w:val="single" w:sz="4" w:space="0" w:color="auto"/>
              <w:left w:val="single" w:sz="4" w:space="0" w:color="auto"/>
            </w:tcBorders>
            <w:shd w:val="clear" w:color="auto" w:fill="FFFFFF"/>
            <w:tcMar>
              <w:top w:w="40" w:type="dxa"/>
              <w:bottom w:w="40" w:type="dxa"/>
            </w:tcMar>
            <w:vAlign w:val="center"/>
          </w:tcPr>
          <w:p w14:paraId="18B6939A"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a</w:t>
            </w:r>
          </w:p>
        </w:tc>
        <w:tc>
          <w:tcPr>
            <w:tcW w:w="936" w:type="dxa"/>
            <w:tcBorders>
              <w:top w:val="single" w:sz="4" w:space="0" w:color="auto"/>
              <w:left w:val="single" w:sz="4" w:space="0" w:color="auto"/>
            </w:tcBorders>
            <w:shd w:val="clear" w:color="auto" w:fill="FFFFFF"/>
            <w:tcMar>
              <w:top w:w="40" w:type="dxa"/>
              <w:bottom w:w="40" w:type="dxa"/>
            </w:tcMar>
            <w:vAlign w:val="center"/>
          </w:tcPr>
          <w:p w14:paraId="2F49310B"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b</w:t>
            </w:r>
          </w:p>
        </w:tc>
        <w:tc>
          <w:tcPr>
            <w:tcW w:w="876" w:type="dxa"/>
            <w:tcBorders>
              <w:top w:val="single" w:sz="4" w:space="0" w:color="auto"/>
              <w:left w:val="single" w:sz="4" w:space="0" w:color="auto"/>
            </w:tcBorders>
            <w:shd w:val="clear" w:color="auto" w:fill="FFFFFF"/>
            <w:tcMar>
              <w:top w:w="40" w:type="dxa"/>
              <w:bottom w:w="40" w:type="dxa"/>
            </w:tcMar>
            <w:vAlign w:val="center"/>
          </w:tcPr>
          <w:p w14:paraId="25EB5262"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c</w:t>
            </w:r>
          </w:p>
        </w:tc>
        <w:tc>
          <w:tcPr>
            <w:tcW w:w="924" w:type="dxa"/>
            <w:tcBorders>
              <w:top w:val="single" w:sz="4" w:space="0" w:color="auto"/>
              <w:left w:val="single" w:sz="4" w:space="0" w:color="auto"/>
            </w:tcBorders>
            <w:shd w:val="clear" w:color="auto" w:fill="FFFFFF"/>
            <w:tcMar>
              <w:top w:w="40" w:type="dxa"/>
              <w:bottom w:w="40" w:type="dxa"/>
            </w:tcMar>
            <w:vAlign w:val="center"/>
          </w:tcPr>
          <w:p w14:paraId="4FC435D8"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d</w:t>
            </w:r>
          </w:p>
        </w:tc>
        <w:tc>
          <w:tcPr>
            <w:tcW w:w="900" w:type="dxa"/>
            <w:tcBorders>
              <w:top w:val="single" w:sz="4" w:space="0" w:color="auto"/>
              <w:left w:val="single" w:sz="4" w:space="0" w:color="auto"/>
            </w:tcBorders>
            <w:shd w:val="clear" w:color="auto" w:fill="FFFFFF"/>
            <w:tcMar>
              <w:top w:w="40" w:type="dxa"/>
              <w:bottom w:w="40" w:type="dxa"/>
            </w:tcMar>
            <w:vAlign w:val="center"/>
          </w:tcPr>
          <w:p w14:paraId="35527ACF"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e</w:t>
            </w:r>
          </w:p>
        </w:tc>
        <w:tc>
          <w:tcPr>
            <w:tcW w:w="864" w:type="dxa"/>
            <w:tcBorders>
              <w:top w:val="single" w:sz="4" w:space="0" w:color="auto"/>
              <w:left w:val="single" w:sz="4" w:space="0" w:color="auto"/>
            </w:tcBorders>
            <w:shd w:val="clear" w:color="auto" w:fill="FFFFFF"/>
            <w:tcMar>
              <w:top w:w="40" w:type="dxa"/>
              <w:bottom w:w="40" w:type="dxa"/>
            </w:tcMar>
            <w:vAlign w:val="center"/>
          </w:tcPr>
          <w:p w14:paraId="383E1AC9"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f</w:t>
            </w:r>
          </w:p>
        </w:tc>
        <w:tc>
          <w:tcPr>
            <w:tcW w:w="672" w:type="dxa"/>
            <w:tcBorders>
              <w:top w:val="single" w:sz="4" w:space="0" w:color="auto"/>
              <w:left w:val="single" w:sz="4" w:space="0" w:color="auto"/>
            </w:tcBorders>
            <w:shd w:val="clear" w:color="auto" w:fill="FFFFFF"/>
            <w:tcMar>
              <w:top w:w="40" w:type="dxa"/>
              <w:bottom w:w="40" w:type="dxa"/>
            </w:tcMar>
            <w:vAlign w:val="center"/>
          </w:tcPr>
          <w:p w14:paraId="419664B7"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g</w:t>
            </w:r>
          </w:p>
        </w:tc>
        <w:tc>
          <w:tcPr>
            <w:tcW w:w="804" w:type="dxa"/>
            <w:tcBorders>
              <w:top w:val="single" w:sz="4" w:space="0" w:color="auto"/>
              <w:left w:val="single" w:sz="4" w:space="0" w:color="auto"/>
            </w:tcBorders>
            <w:shd w:val="clear" w:color="auto" w:fill="FFFFFF"/>
            <w:tcMar>
              <w:top w:w="40" w:type="dxa"/>
              <w:bottom w:w="40" w:type="dxa"/>
            </w:tcMar>
            <w:vAlign w:val="center"/>
          </w:tcPr>
          <w:p w14:paraId="41A29633"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w:t>
            </w:r>
          </w:p>
        </w:tc>
        <w:tc>
          <w:tcPr>
            <w:tcW w:w="696" w:type="dxa"/>
            <w:tcBorders>
              <w:top w:val="single" w:sz="4" w:space="0" w:color="auto"/>
              <w:left w:val="single" w:sz="4" w:space="0" w:color="auto"/>
            </w:tcBorders>
            <w:shd w:val="clear" w:color="auto" w:fill="FFFFFF"/>
            <w:tcMar>
              <w:top w:w="40" w:type="dxa"/>
              <w:bottom w:w="40" w:type="dxa"/>
            </w:tcMar>
            <w:vAlign w:val="center"/>
          </w:tcPr>
          <w:p w14:paraId="1568F494"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i</w:t>
            </w:r>
          </w:p>
        </w:tc>
        <w:tc>
          <w:tcPr>
            <w:tcW w:w="792" w:type="dxa"/>
            <w:tcBorders>
              <w:top w:val="single" w:sz="4" w:space="0" w:color="auto"/>
              <w:left w:val="single" w:sz="4" w:space="0" w:color="auto"/>
            </w:tcBorders>
            <w:shd w:val="clear" w:color="auto" w:fill="FFFFFF"/>
            <w:tcMar>
              <w:top w:w="40" w:type="dxa"/>
              <w:bottom w:w="40" w:type="dxa"/>
            </w:tcMar>
            <w:vAlign w:val="center"/>
          </w:tcPr>
          <w:p w14:paraId="767B8144"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j</w:t>
            </w:r>
          </w:p>
        </w:tc>
        <w:tc>
          <w:tcPr>
            <w:tcW w:w="684" w:type="dxa"/>
            <w:tcBorders>
              <w:top w:val="single" w:sz="4" w:space="0" w:color="auto"/>
              <w:left w:val="single" w:sz="4" w:space="0" w:color="auto"/>
            </w:tcBorders>
            <w:shd w:val="clear" w:color="auto" w:fill="FFFFFF"/>
            <w:tcMar>
              <w:top w:w="40" w:type="dxa"/>
              <w:bottom w:w="40" w:type="dxa"/>
            </w:tcMar>
            <w:vAlign w:val="center"/>
          </w:tcPr>
          <w:p w14:paraId="7B1B140C"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k</w:t>
            </w:r>
          </w:p>
        </w:tc>
        <w:tc>
          <w:tcPr>
            <w:tcW w:w="852" w:type="dxa"/>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58DD046C"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l</w:t>
            </w:r>
          </w:p>
        </w:tc>
      </w:tr>
      <w:tr w:rsidR="006D5517" w:rsidRPr="00647D81" w14:paraId="2F584BD5" w14:textId="77777777" w:rsidTr="006D5517">
        <w:trPr>
          <w:trHeight w:val="20"/>
        </w:trPr>
        <w:tc>
          <w:tcPr>
            <w:tcW w:w="4487" w:type="dxa"/>
            <w:gridSpan w:val="2"/>
            <w:vMerge/>
            <w:tcBorders>
              <w:left w:val="single" w:sz="4" w:space="0" w:color="auto"/>
            </w:tcBorders>
            <w:shd w:val="clear" w:color="auto" w:fill="FFFFFF"/>
            <w:tcMar>
              <w:top w:w="40" w:type="dxa"/>
              <w:left w:w="0" w:type="dxa"/>
              <w:bottom w:w="40" w:type="dxa"/>
            </w:tcMar>
            <w:vAlign w:val="center"/>
          </w:tcPr>
          <w:p w14:paraId="3384BB85" w14:textId="77777777" w:rsidR="006D5517" w:rsidRPr="00647D81" w:rsidRDefault="006D5517" w:rsidP="006D5517">
            <w:pPr>
              <w:pStyle w:val="AnnexTableHeader"/>
              <w:spacing w:line="240" w:lineRule="auto"/>
              <w:rPr>
                <w:rFonts w:ascii="Helvetica" w:hAnsi="Helvetica"/>
                <w:sz w:val="12"/>
                <w:szCs w:val="12"/>
              </w:rPr>
            </w:pPr>
          </w:p>
        </w:tc>
        <w:tc>
          <w:tcPr>
            <w:tcW w:w="840" w:type="dxa"/>
            <w:vMerge w:val="restart"/>
            <w:tcBorders>
              <w:top w:val="single" w:sz="4" w:space="0" w:color="auto"/>
              <w:left w:val="single" w:sz="4" w:space="0" w:color="auto"/>
            </w:tcBorders>
            <w:shd w:val="clear" w:color="auto" w:fill="FFFFFF"/>
            <w:tcMar>
              <w:top w:w="40" w:type="dxa"/>
              <w:bottom w:w="40" w:type="dxa"/>
            </w:tcMar>
            <w:vAlign w:val="center"/>
          </w:tcPr>
          <w:p w14:paraId="061AB776"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Omfattet av taksonomien</w:t>
            </w:r>
          </w:p>
        </w:tc>
        <w:tc>
          <w:tcPr>
            <w:tcW w:w="936" w:type="dxa"/>
            <w:tcBorders>
              <w:top w:val="single" w:sz="4" w:space="0" w:color="auto"/>
              <w:left w:val="single" w:sz="4" w:space="0" w:color="auto"/>
            </w:tcBorders>
            <w:shd w:val="clear" w:color="auto" w:fill="FFFFFF"/>
            <w:tcMar>
              <w:top w:w="40" w:type="dxa"/>
              <w:bottom w:w="40" w:type="dxa"/>
            </w:tcMar>
            <w:vAlign w:val="center"/>
          </w:tcPr>
          <w:p w14:paraId="49FCCAAF" w14:textId="77777777" w:rsidR="006D5517" w:rsidRPr="00647D81" w:rsidRDefault="006D5517" w:rsidP="006D5517">
            <w:pPr>
              <w:pStyle w:val="AnnexTableHeader"/>
              <w:spacing w:line="240" w:lineRule="auto"/>
              <w:rPr>
                <w:rFonts w:ascii="Helvetica" w:hAnsi="Helvetica"/>
                <w:sz w:val="12"/>
                <w:szCs w:val="12"/>
              </w:rPr>
            </w:pPr>
          </w:p>
        </w:tc>
        <w:tc>
          <w:tcPr>
            <w:tcW w:w="7212" w:type="dxa"/>
            <w:gridSpan w:val="9"/>
            <w:tcBorders>
              <w:top w:val="single" w:sz="4" w:space="0" w:color="auto"/>
            </w:tcBorders>
            <w:shd w:val="clear" w:color="auto" w:fill="FFFFFF"/>
            <w:tcMar>
              <w:top w:w="40" w:type="dxa"/>
              <w:bottom w:w="40" w:type="dxa"/>
            </w:tcMar>
            <w:vAlign w:val="center"/>
          </w:tcPr>
          <w:p w14:paraId="01F88AD9" w14:textId="77777777" w:rsidR="006D5517" w:rsidRPr="00647D81" w:rsidRDefault="006D5517" w:rsidP="006D5517">
            <w:pPr>
              <w:pStyle w:val="AnnexTableHeader"/>
              <w:spacing w:line="240" w:lineRule="auto"/>
              <w:rPr>
                <w:rFonts w:ascii="Helvetica" w:hAnsi="Helvetica"/>
                <w:sz w:val="12"/>
                <w:szCs w:val="12"/>
              </w:rPr>
            </w:pPr>
          </w:p>
        </w:tc>
        <w:tc>
          <w:tcPr>
            <w:tcW w:w="852" w:type="dxa"/>
            <w:vMerge w:val="restart"/>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36F35031"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Ikke-vurderte eksponeringer (4)</w:t>
            </w:r>
          </w:p>
        </w:tc>
      </w:tr>
      <w:tr w:rsidR="006D5517" w:rsidRPr="00647D81" w14:paraId="5771F090" w14:textId="77777777" w:rsidTr="006D5517">
        <w:trPr>
          <w:trHeight w:val="20"/>
        </w:trPr>
        <w:tc>
          <w:tcPr>
            <w:tcW w:w="4487" w:type="dxa"/>
            <w:gridSpan w:val="2"/>
            <w:vMerge/>
            <w:tcBorders>
              <w:left w:val="single" w:sz="4" w:space="0" w:color="auto"/>
            </w:tcBorders>
            <w:shd w:val="clear" w:color="auto" w:fill="FFFFFF"/>
            <w:tcMar>
              <w:top w:w="40" w:type="dxa"/>
              <w:left w:w="0" w:type="dxa"/>
              <w:bottom w:w="40" w:type="dxa"/>
            </w:tcMar>
            <w:vAlign w:val="center"/>
          </w:tcPr>
          <w:p w14:paraId="696207AA" w14:textId="77777777" w:rsidR="006D5517" w:rsidRPr="00647D81" w:rsidRDefault="006D5517" w:rsidP="006D5517">
            <w:pPr>
              <w:pStyle w:val="AnnexTableHeader"/>
              <w:spacing w:line="240" w:lineRule="auto"/>
              <w:rPr>
                <w:rFonts w:ascii="Helvetica" w:hAnsi="Helvetica"/>
                <w:sz w:val="12"/>
                <w:szCs w:val="12"/>
              </w:rPr>
            </w:pPr>
          </w:p>
        </w:tc>
        <w:tc>
          <w:tcPr>
            <w:tcW w:w="840" w:type="dxa"/>
            <w:vMerge/>
            <w:tcBorders>
              <w:left w:val="single" w:sz="4" w:space="0" w:color="auto"/>
            </w:tcBorders>
            <w:shd w:val="clear" w:color="auto" w:fill="FFFFFF"/>
            <w:tcMar>
              <w:top w:w="40" w:type="dxa"/>
              <w:bottom w:w="40" w:type="dxa"/>
            </w:tcMar>
            <w:vAlign w:val="center"/>
          </w:tcPr>
          <w:p w14:paraId="70CCE410" w14:textId="77777777" w:rsidR="006D5517" w:rsidRPr="00647D81" w:rsidRDefault="006D5517" w:rsidP="006D5517">
            <w:pPr>
              <w:pStyle w:val="AnnexTableHeader"/>
              <w:spacing w:line="240" w:lineRule="auto"/>
              <w:rPr>
                <w:rFonts w:ascii="Helvetica" w:hAnsi="Helvetica"/>
                <w:sz w:val="12"/>
                <w:szCs w:val="12"/>
              </w:rPr>
            </w:pPr>
          </w:p>
        </w:tc>
        <w:tc>
          <w:tcPr>
            <w:tcW w:w="936" w:type="dxa"/>
            <w:vMerge w:val="restart"/>
            <w:tcBorders>
              <w:left w:val="single" w:sz="4" w:space="0" w:color="auto"/>
            </w:tcBorders>
            <w:shd w:val="clear" w:color="auto" w:fill="FFFFFF"/>
            <w:tcMar>
              <w:top w:w="40" w:type="dxa"/>
              <w:bottom w:w="40" w:type="dxa"/>
            </w:tcMar>
            <w:vAlign w:val="center"/>
          </w:tcPr>
          <w:p w14:paraId="7F563BCF" w14:textId="15B2D1CC"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Taksonomi</w:t>
            </w:r>
            <w:r w:rsidR="00D0760A">
              <w:rPr>
                <w:rFonts w:ascii="Helvetica" w:hAnsi="Helvetica"/>
                <w:sz w:val="12"/>
              </w:rPr>
              <w:softHyphen/>
            </w:r>
            <w:r w:rsidR="00D0760A">
              <w:rPr>
                <w:rFonts w:ascii="Helvetica" w:hAnsi="Helvetica"/>
                <w:sz w:val="12"/>
              </w:rPr>
              <w:softHyphen/>
            </w:r>
            <w:r>
              <w:rPr>
                <w:rFonts w:ascii="Helvetica" w:hAnsi="Helvetica"/>
                <w:sz w:val="12"/>
              </w:rPr>
              <w:t>forenlige</w:t>
            </w:r>
          </w:p>
        </w:tc>
        <w:tc>
          <w:tcPr>
            <w:tcW w:w="5040" w:type="dxa"/>
            <w:gridSpan w:val="6"/>
            <w:tcBorders>
              <w:top w:val="single" w:sz="4" w:space="0" w:color="auto"/>
              <w:left w:val="single" w:sz="4" w:space="0" w:color="auto"/>
            </w:tcBorders>
            <w:shd w:val="clear" w:color="auto" w:fill="FFFFFF"/>
            <w:tcMar>
              <w:top w:w="40" w:type="dxa"/>
              <w:bottom w:w="40" w:type="dxa"/>
            </w:tcMar>
            <w:vAlign w:val="center"/>
          </w:tcPr>
          <w:p w14:paraId="2A417A19"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Spesifisering etter miljømål</w:t>
            </w:r>
          </w:p>
        </w:tc>
        <w:tc>
          <w:tcPr>
            <w:tcW w:w="696" w:type="dxa"/>
            <w:vMerge w:val="restart"/>
            <w:tcBorders>
              <w:top w:val="single" w:sz="4" w:space="0" w:color="auto"/>
              <w:left w:val="single" w:sz="4" w:space="0" w:color="auto"/>
            </w:tcBorders>
            <w:shd w:val="clear" w:color="auto" w:fill="FFFFFF"/>
            <w:tcMar>
              <w:top w:w="40" w:type="dxa"/>
              <w:bottom w:w="40" w:type="dxa"/>
            </w:tcMar>
            <w:vAlign w:val="center"/>
          </w:tcPr>
          <w:p w14:paraId="2CF5DB56"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Hvorav bruk av proveny</w:t>
            </w:r>
          </w:p>
        </w:tc>
        <w:tc>
          <w:tcPr>
            <w:tcW w:w="792" w:type="dxa"/>
            <w:vMerge w:val="restart"/>
            <w:tcBorders>
              <w:top w:val="single" w:sz="4" w:space="0" w:color="auto"/>
              <w:left w:val="single" w:sz="4" w:space="0" w:color="auto"/>
            </w:tcBorders>
            <w:shd w:val="clear" w:color="auto" w:fill="FFFFFF"/>
            <w:tcMar>
              <w:top w:w="40" w:type="dxa"/>
              <w:bottom w:w="40" w:type="dxa"/>
            </w:tcMar>
            <w:vAlign w:val="center"/>
          </w:tcPr>
          <w:p w14:paraId="6EEC4C4E"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Hvorav omstilling</w:t>
            </w:r>
          </w:p>
        </w:tc>
        <w:tc>
          <w:tcPr>
            <w:tcW w:w="684" w:type="dxa"/>
            <w:vMerge w:val="restart"/>
            <w:tcBorders>
              <w:top w:val="single" w:sz="4" w:space="0" w:color="auto"/>
              <w:left w:val="single" w:sz="4" w:space="0" w:color="auto"/>
            </w:tcBorders>
            <w:shd w:val="clear" w:color="auto" w:fill="FFFFFF"/>
            <w:tcMar>
              <w:top w:w="40" w:type="dxa"/>
              <w:bottom w:w="40" w:type="dxa"/>
            </w:tcMar>
            <w:vAlign w:val="center"/>
          </w:tcPr>
          <w:p w14:paraId="7A3832E9" w14:textId="6181E509"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Hvorav mulig</w:t>
            </w:r>
            <w:r w:rsidR="00D0760A">
              <w:rPr>
                <w:rFonts w:ascii="Helvetica" w:hAnsi="Helvetica"/>
                <w:sz w:val="12"/>
              </w:rPr>
              <w:softHyphen/>
            </w:r>
            <w:r>
              <w:rPr>
                <w:rFonts w:ascii="Helvetica" w:hAnsi="Helvetica"/>
                <w:sz w:val="12"/>
              </w:rPr>
              <w:t>gjørende</w:t>
            </w:r>
          </w:p>
        </w:tc>
        <w:tc>
          <w:tcPr>
            <w:tcW w:w="852" w:type="dxa"/>
            <w:vMerge/>
            <w:tcBorders>
              <w:left w:val="single" w:sz="4" w:space="0" w:color="auto"/>
              <w:right w:val="single" w:sz="4" w:space="0" w:color="auto"/>
            </w:tcBorders>
            <w:shd w:val="clear" w:color="auto" w:fill="FFFFFF"/>
            <w:tcMar>
              <w:top w:w="40" w:type="dxa"/>
              <w:bottom w:w="40" w:type="dxa"/>
              <w:right w:w="0" w:type="dxa"/>
            </w:tcMar>
            <w:vAlign w:val="center"/>
          </w:tcPr>
          <w:p w14:paraId="5906081C" w14:textId="77777777" w:rsidR="006D5517" w:rsidRPr="00647D81" w:rsidRDefault="006D5517" w:rsidP="006D5517">
            <w:pPr>
              <w:pStyle w:val="AnnexTableHeader"/>
              <w:spacing w:line="240" w:lineRule="auto"/>
              <w:rPr>
                <w:rFonts w:ascii="Helvetica" w:hAnsi="Helvetica"/>
                <w:sz w:val="12"/>
                <w:szCs w:val="12"/>
              </w:rPr>
            </w:pPr>
          </w:p>
        </w:tc>
      </w:tr>
      <w:tr w:rsidR="006D5517" w:rsidRPr="00647D81" w14:paraId="1CFEED76" w14:textId="77777777" w:rsidTr="006D5517">
        <w:trPr>
          <w:trHeight w:val="20"/>
        </w:trPr>
        <w:tc>
          <w:tcPr>
            <w:tcW w:w="4487" w:type="dxa"/>
            <w:gridSpan w:val="2"/>
            <w:vMerge/>
            <w:tcBorders>
              <w:left w:val="single" w:sz="4" w:space="0" w:color="auto"/>
            </w:tcBorders>
            <w:shd w:val="clear" w:color="auto" w:fill="FFFFFF"/>
            <w:tcMar>
              <w:top w:w="40" w:type="dxa"/>
              <w:left w:w="0" w:type="dxa"/>
              <w:bottom w:w="40" w:type="dxa"/>
            </w:tcMar>
            <w:vAlign w:val="center"/>
          </w:tcPr>
          <w:p w14:paraId="4926AEB6" w14:textId="77777777" w:rsidR="006D5517" w:rsidRPr="00647D81" w:rsidRDefault="006D5517" w:rsidP="006D5517">
            <w:pPr>
              <w:pStyle w:val="AnnexTableHeader"/>
              <w:spacing w:line="240" w:lineRule="auto"/>
              <w:rPr>
                <w:rFonts w:ascii="Helvetica" w:hAnsi="Helvetica"/>
                <w:sz w:val="12"/>
                <w:szCs w:val="12"/>
              </w:rPr>
            </w:pPr>
          </w:p>
        </w:tc>
        <w:tc>
          <w:tcPr>
            <w:tcW w:w="840" w:type="dxa"/>
            <w:vMerge/>
            <w:tcBorders>
              <w:left w:val="single" w:sz="4" w:space="0" w:color="auto"/>
            </w:tcBorders>
            <w:shd w:val="clear" w:color="auto" w:fill="FFFFFF"/>
            <w:tcMar>
              <w:top w:w="40" w:type="dxa"/>
              <w:bottom w:w="40" w:type="dxa"/>
            </w:tcMar>
            <w:vAlign w:val="center"/>
          </w:tcPr>
          <w:p w14:paraId="6C095342" w14:textId="77777777" w:rsidR="006D5517" w:rsidRPr="00647D81" w:rsidRDefault="006D5517" w:rsidP="006D5517">
            <w:pPr>
              <w:pStyle w:val="AnnexTableHeader"/>
              <w:spacing w:line="240" w:lineRule="auto"/>
              <w:rPr>
                <w:rFonts w:ascii="Helvetica" w:hAnsi="Helvetica"/>
                <w:sz w:val="12"/>
                <w:szCs w:val="12"/>
              </w:rPr>
            </w:pPr>
          </w:p>
        </w:tc>
        <w:tc>
          <w:tcPr>
            <w:tcW w:w="936" w:type="dxa"/>
            <w:vMerge/>
            <w:tcBorders>
              <w:left w:val="single" w:sz="4" w:space="0" w:color="auto"/>
            </w:tcBorders>
            <w:shd w:val="clear" w:color="auto" w:fill="FFFFFF"/>
            <w:tcMar>
              <w:top w:w="40" w:type="dxa"/>
              <w:bottom w:w="40" w:type="dxa"/>
            </w:tcMar>
            <w:vAlign w:val="center"/>
          </w:tcPr>
          <w:p w14:paraId="3CCBEE55" w14:textId="77777777" w:rsidR="006D5517" w:rsidRPr="00647D81" w:rsidRDefault="006D5517" w:rsidP="006D5517">
            <w:pPr>
              <w:pStyle w:val="AnnexTableHeader"/>
              <w:spacing w:line="240" w:lineRule="auto"/>
              <w:rPr>
                <w:rFonts w:ascii="Helvetica" w:hAnsi="Helvetica"/>
                <w:sz w:val="12"/>
                <w:szCs w:val="12"/>
              </w:rPr>
            </w:pPr>
          </w:p>
        </w:tc>
        <w:tc>
          <w:tcPr>
            <w:tcW w:w="876" w:type="dxa"/>
            <w:tcBorders>
              <w:top w:val="single" w:sz="4" w:space="0" w:color="auto"/>
              <w:left w:val="single" w:sz="4" w:space="0" w:color="auto"/>
            </w:tcBorders>
            <w:shd w:val="clear" w:color="auto" w:fill="FFFFFF"/>
            <w:tcMar>
              <w:top w:w="40" w:type="dxa"/>
              <w:bottom w:w="40" w:type="dxa"/>
            </w:tcMar>
            <w:vAlign w:val="center"/>
          </w:tcPr>
          <w:p w14:paraId="76830752"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Begrensning av klimaendringer (CCM)</w:t>
            </w:r>
          </w:p>
        </w:tc>
        <w:tc>
          <w:tcPr>
            <w:tcW w:w="924" w:type="dxa"/>
            <w:tcBorders>
              <w:top w:val="single" w:sz="4" w:space="0" w:color="auto"/>
              <w:left w:val="single" w:sz="4" w:space="0" w:color="auto"/>
            </w:tcBorders>
            <w:shd w:val="clear" w:color="auto" w:fill="FFFFFF"/>
            <w:tcMar>
              <w:top w:w="40" w:type="dxa"/>
              <w:bottom w:w="40" w:type="dxa"/>
            </w:tcMar>
            <w:vAlign w:val="center"/>
          </w:tcPr>
          <w:p w14:paraId="1BBCC9D4"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Tilpasning til klimaendringer (CCA)</w:t>
            </w:r>
          </w:p>
        </w:tc>
        <w:tc>
          <w:tcPr>
            <w:tcW w:w="900" w:type="dxa"/>
            <w:tcBorders>
              <w:top w:val="single" w:sz="4" w:space="0" w:color="auto"/>
              <w:left w:val="single" w:sz="4" w:space="0" w:color="auto"/>
            </w:tcBorders>
            <w:shd w:val="clear" w:color="auto" w:fill="FFFFFF"/>
            <w:tcMar>
              <w:top w:w="40" w:type="dxa"/>
              <w:bottom w:w="40" w:type="dxa"/>
            </w:tcMar>
            <w:vAlign w:val="center"/>
          </w:tcPr>
          <w:p w14:paraId="3497995E"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Vann- og havressurser (WTR)</w:t>
            </w:r>
          </w:p>
        </w:tc>
        <w:tc>
          <w:tcPr>
            <w:tcW w:w="864" w:type="dxa"/>
            <w:tcBorders>
              <w:top w:val="single" w:sz="4" w:space="0" w:color="auto"/>
              <w:left w:val="single" w:sz="4" w:space="0" w:color="auto"/>
            </w:tcBorders>
            <w:shd w:val="clear" w:color="auto" w:fill="FFFFFF"/>
            <w:tcMar>
              <w:top w:w="40" w:type="dxa"/>
              <w:bottom w:w="40" w:type="dxa"/>
            </w:tcMar>
            <w:vAlign w:val="center"/>
          </w:tcPr>
          <w:p w14:paraId="36E36C56"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Sirkulær økonomi (CE)</w:t>
            </w:r>
          </w:p>
        </w:tc>
        <w:tc>
          <w:tcPr>
            <w:tcW w:w="672" w:type="dxa"/>
            <w:tcBorders>
              <w:top w:val="single" w:sz="4" w:space="0" w:color="auto"/>
              <w:left w:val="single" w:sz="4" w:space="0" w:color="auto"/>
            </w:tcBorders>
            <w:shd w:val="clear" w:color="auto" w:fill="FFFFFF"/>
            <w:tcMar>
              <w:top w:w="40" w:type="dxa"/>
              <w:bottom w:w="40" w:type="dxa"/>
            </w:tcMar>
            <w:vAlign w:val="center"/>
          </w:tcPr>
          <w:p w14:paraId="4DBFFA21" w14:textId="082729F9"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Forurens</w:t>
            </w:r>
            <w:r w:rsidR="00D0760A">
              <w:rPr>
                <w:rFonts w:ascii="Helvetica" w:hAnsi="Helvetica"/>
                <w:sz w:val="12"/>
              </w:rPr>
              <w:softHyphen/>
            </w:r>
            <w:r>
              <w:rPr>
                <w:rFonts w:ascii="Helvetica" w:hAnsi="Helvetica"/>
                <w:sz w:val="12"/>
              </w:rPr>
              <w:t>ning (PPC)</w:t>
            </w:r>
          </w:p>
        </w:tc>
        <w:tc>
          <w:tcPr>
            <w:tcW w:w="804" w:type="dxa"/>
            <w:tcBorders>
              <w:top w:val="single" w:sz="4" w:space="0" w:color="auto"/>
              <w:left w:val="single" w:sz="4" w:space="0" w:color="auto"/>
            </w:tcBorders>
            <w:shd w:val="clear" w:color="auto" w:fill="FFFFFF"/>
            <w:tcMar>
              <w:top w:w="40" w:type="dxa"/>
              <w:bottom w:w="40" w:type="dxa"/>
            </w:tcMar>
            <w:vAlign w:val="center"/>
          </w:tcPr>
          <w:p w14:paraId="58EBAA7D"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Biologisk mangfold og økosystemer (BIO)</w:t>
            </w:r>
          </w:p>
        </w:tc>
        <w:tc>
          <w:tcPr>
            <w:tcW w:w="696" w:type="dxa"/>
            <w:vMerge/>
            <w:tcBorders>
              <w:left w:val="single" w:sz="4" w:space="0" w:color="auto"/>
            </w:tcBorders>
            <w:shd w:val="clear" w:color="auto" w:fill="FFFFFF"/>
            <w:tcMar>
              <w:top w:w="40" w:type="dxa"/>
              <w:bottom w:w="40" w:type="dxa"/>
            </w:tcMar>
            <w:vAlign w:val="center"/>
          </w:tcPr>
          <w:p w14:paraId="63F869D4" w14:textId="77777777" w:rsidR="006D5517" w:rsidRPr="00647D81" w:rsidRDefault="006D5517" w:rsidP="006D5517">
            <w:pPr>
              <w:pStyle w:val="AnnexTableHeader"/>
              <w:spacing w:line="240" w:lineRule="auto"/>
              <w:rPr>
                <w:rFonts w:ascii="Helvetica" w:hAnsi="Helvetica"/>
                <w:sz w:val="12"/>
                <w:szCs w:val="12"/>
              </w:rPr>
            </w:pPr>
          </w:p>
        </w:tc>
        <w:tc>
          <w:tcPr>
            <w:tcW w:w="792" w:type="dxa"/>
            <w:vMerge/>
            <w:tcBorders>
              <w:left w:val="single" w:sz="4" w:space="0" w:color="auto"/>
            </w:tcBorders>
            <w:shd w:val="clear" w:color="auto" w:fill="FFFFFF"/>
            <w:tcMar>
              <w:top w:w="40" w:type="dxa"/>
              <w:bottom w:w="40" w:type="dxa"/>
            </w:tcMar>
            <w:vAlign w:val="center"/>
          </w:tcPr>
          <w:p w14:paraId="4C00E3D9" w14:textId="77777777" w:rsidR="006D5517" w:rsidRPr="00647D81" w:rsidRDefault="006D5517" w:rsidP="006D5517">
            <w:pPr>
              <w:pStyle w:val="AnnexTableHeader"/>
              <w:spacing w:line="240" w:lineRule="auto"/>
              <w:rPr>
                <w:rFonts w:ascii="Helvetica" w:hAnsi="Helvetica"/>
                <w:sz w:val="12"/>
                <w:szCs w:val="12"/>
              </w:rPr>
            </w:pPr>
          </w:p>
        </w:tc>
        <w:tc>
          <w:tcPr>
            <w:tcW w:w="684" w:type="dxa"/>
            <w:vMerge/>
            <w:tcBorders>
              <w:left w:val="single" w:sz="4" w:space="0" w:color="auto"/>
            </w:tcBorders>
            <w:shd w:val="clear" w:color="auto" w:fill="FFFFFF"/>
            <w:tcMar>
              <w:top w:w="40" w:type="dxa"/>
              <w:bottom w:w="40" w:type="dxa"/>
            </w:tcMar>
            <w:vAlign w:val="center"/>
          </w:tcPr>
          <w:p w14:paraId="5931E302" w14:textId="77777777" w:rsidR="006D5517" w:rsidRPr="00647D81" w:rsidRDefault="006D5517" w:rsidP="006D5517">
            <w:pPr>
              <w:pStyle w:val="AnnexTableHeader"/>
              <w:spacing w:line="240" w:lineRule="auto"/>
              <w:rPr>
                <w:rFonts w:ascii="Helvetica" w:hAnsi="Helvetica"/>
                <w:sz w:val="12"/>
                <w:szCs w:val="12"/>
              </w:rPr>
            </w:pPr>
          </w:p>
        </w:tc>
        <w:tc>
          <w:tcPr>
            <w:tcW w:w="852" w:type="dxa"/>
            <w:vMerge/>
            <w:tcBorders>
              <w:left w:val="single" w:sz="4" w:space="0" w:color="auto"/>
              <w:right w:val="single" w:sz="4" w:space="0" w:color="auto"/>
            </w:tcBorders>
            <w:shd w:val="clear" w:color="auto" w:fill="FFFFFF"/>
            <w:tcMar>
              <w:top w:w="40" w:type="dxa"/>
              <w:bottom w:w="40" w:type="dxa"/>
              <w:right w:w="0" w:type="dxa"/>
            </w:tcMar>
            <w:vAlign w:val="center"/>
          </w:tcPr>
          <w:p w14:paraId="69DEA222" w14:textId="77777777" w:rsidR="006D5517" w:rsidRPr="00647D81" w:rsidRDefault="006D5517" w:rsidP="006D5517">
            <w:pPr>
              <w:pStyle w:val="AnnexTableHeader"/>
              <w:spacing w:line="240" w:lineRule="auto"/>
              <w:rPr>
                <w:rFonts w:ascii="Helvetica" w:hAnsi="Helvetica"/>
                <w:sz w:val="12"/>
                <w:szCs w:val="12"/>
              </w:rPr>
            </w:pPr>
          </w:p>
        </w:tc>
      </w:tr>
      <w:tr w:rsidR="006D5517" w:rsidRPr="00647D81" w14:paraId="23EDBD81" w14:textId="77777777" w:rsidTr="006D5517">
        <w:trPr>
          <w:trHeight w:val="20"/>
        </w:trPr>
        <w:tc>
          <w:tcPr>
            <w:tcW w:w="238" w:type="dxa"/>
            <w:tcBorders>
              <w:top w:val="single" w:sz="4" w:space="0" w:color="auto"/>
              <w:left w:val="single" w:sz="4" w:space="0" w:color="auto"/>
            </w:tcBorders>
            <w:shd w:val="clear" w:color="auto" w:fill="FFFFFF"/>
            <w:tcMar>
              <w:top w:w="40" w:type="dxa"/>
              <w:left w:w="0" w:type="dxa"/>
              <w:bottom w:w="40" w:type="dxa"/>
            </w:tcMar>
            <w:vAlign w:val="center"/>
          </w:tcPr>
          <w:p w14:paraId="7AE88C0C" w14:textId="77777777" w:rsidR="006D5517" w:rsidRPr="00647D81" w:rsidRDefault="006D5517" w:rsidP="006D5517">
            <w:pPr>
              <w:pStyle w:val="AnnexTableCellLeft"/>
              <w:spacing w:line="240" w:lineRule="auto"/>
              <w:jc w:val="center"/>
              <w:rPr>
                <w:rFonts w:ascii="Helvetica" w:hAnsi="Helvetica"/>
                <w:sz w:val="14"/>
                <w:szCs w:val="14"/>
              </w:rPr>
            </w:pPr>
            <w:r>
              <w:rPr>
                <w:rFonts w:ascii="Helvetica" w:hAnsi="Helvetica"/>
                <w:sz w:val="14"/>
              </w:rPr>
              <w:t>1</w:t>
            </w:r>
          </w:p>
        </w:tc>
        <w:tc>
          <w:tcPr>
            <w:tcW w:w="4249" w:type="dxa"/>
            <w:tcBorders>
              <w:top w:val="single" w:sz="4" w:space="0" w:color="auto"/>
              <w:left w:val="single" w:sz="4" w:space="0" w:color="auto"/>
            </w:tcBorders>
            <w:shd w:val="clear" w:color="auto" w:fill="FFFFFF"/>
            <w:tcMar>
              <w:top w:w="40" w:type="dxa"/>
              <w:bottom w:w="40" w:type="dxa"/>
            </w:tcMar>
            <w:vAlign w:val="center"/>
          </w:tcPr>
          <w:p w14:paraId="4651B3CD" w14:textId="77777777" w:rsidR="006D5517" w:rsidRPr="00647D81" w:rsidRDefault="006D5517" w:rsidP="006D5517">
            <w:pPr>
              <w:pStyle w:val="AnnexTableCellLeft"/>
              <w:spacing w:line="240" w:lineRule="auto"/>
              <w:ind w:left="40"/>
              <w:jc w:val="left"/>
              <w:rPr>
                <w:rFonts w:ascii="Helvetica" w:hAnsi="Helvetica"/>
                <w:sz w:val="14"/>
                <w:szCs w:val="14"/>
              </w:rPr>
            </w:pPr>
            <w:r>
              <w:rPr>
                <w:rFonts w:ascii="Helvetica" w:hAnsi="Helvetica"/>
                <w:sz w:val="14"/>
              </w:rPr>
              <w:t>Finansielle garantier (KPI for FinGuar)</w:t>
            </w:r>
          </w:p>
        </w:tc>
        <w:tc>
          <w:tcPr>
            <w:tcW w:w="840" w:type="dxa"/>
            <w:tcBorders>
              <w:top w:val="single" w:sz="4" w:space="0" w:color="auto"/>
              <w:left w:val="single" w:sz="4" w:space="0" w:color="auto"/>
            </w:tcBorders>
            <w:shd w:val="clear" w:color="auto" w:fill="FFFFFF"/>
            <w:tcMar>
              <w:top w:w="40" w:type="dxa"/>
              <w:bottom w:w="40" w:type="dxa"/>
            </w:tcMar>
            <w:vAlign w:val="center"/>
          </w:tcPr>
          <w:p w14:paraId="476B9AA9" w14:textId="77777777" w:rsidR="006D5517" w:rsidRPr="00647D81" w:rsidRDefault="006D5517" w:rsidP="006D5517">
            <w:pPr>
              <w:pStyle w:val="AnnexTableCellLeft"/>
              <w:spacing w:line="240" w:lineRule="auto"/>
              <w:jc w:val="center"/>
              <w:rPr>
                <w:rFonts w:ascii="Helvetica" w:hAnsi="Helvetica"/>
                <w:sz w:val="14"/>
                <w:szCs w:val="14"/>
              </w:rPr>
            </w:pPr>
          </w:p>
        </w:tc>
        <w:tc>
          <w:tcPr>
            <w:tcW w:w="936" w:type="dxa"/>
            <w:tcBorders>
              <w:top w:val="single" w:sz="4" w:space="0" w:color="auto"/>
              <w:left w:val="single" w:sz="4" w:space="0" w:color="auto"/>
            </w:tcBorders>
            <w:shd w:val="clear" w:color="auto" w:fill="FFFFFF"/>
            <w:tcMar>
              <w:top w:w="40" w:type="dxa"/>
              <w:bottom w:w="40" w:type="dxa"/>
            </w:tcMar>
            <w:vAlign w:val="center"/>
          </w:tcPr>
          <w:p w14:paraId="06192169" w14:textId="77777777" w:rsidR="006D5517" w:rsidRPr="00647D81" w:rsidRDefault="006D5517" w:rsidP="006D5517">
            <w:pPr>
              <w:pStyle w:val="AnnexTableCellLeft"/>
              <w:spacing w:line="240" w:lineRule="auto"/>
              <w:jc w:val="center"/>
              <w:rPr>
                <w:rFonts w:ascii="Helvetica" w:hAnsi="Helvetica"/>
                <w:sz w:val="14"/>
                <w:szCs w:val="14"/>
              </w:rPr>
            </w:pPr>
          </w:p>
        </w:tc>
        <w:tc>
          <w:tcPr>
            <w:tcW w:w="876" w:type="dxa"/>
            <w:tcBorders>
              <w:top w:val="single" w:sz="4" w:space="0" w:color="auto"/>
              <w:left w:val="single" w:sz="4" w:space="0" w:color="auto"/>
            </w:tcBorders>
            <w:shd w:val="clear" w:color="auto" w:fill="FFFFFF"/>
            <w:tcMar>
              <w:top w:w="40" w:type="dxa"/>
              <w:bottom w:w="40" w:type="dxa"/>
            </w:tcMar>
            <w:vAlign w:val="center"/>
          </w:tcPr>
          <w:p w14:paraId="0D236EB9" w14:textId="77777777" w:rsidR="006D5517" w:rsidRPr="00647D81" w:rsidRDefault="006D5517" w:rsidP="006D5517">
            <w:pPr>
              <w:pStyle w:val="AnnexTableCellLeft"/>
              <w:spacing w:line="240" w:lineRule="auto"/>
              <w:jc w:val="center"/>
              <w:rPr>
                <w:rFonts w:ascii="Helvetica" w:hAnsi="Helvetica"/>
                <w:sz w:val="14"/>
                <w:szCs w:val="14"/>
              </w:rPr>
            </w:pPr>
          </w:p>
        </w:tc>
        <w:tc>
          <w:tcPr>
            <w:tcW w:w="924" w:type="dxa"/>
            <w:tcBorders>
              <w:top w:val="single" w:sz="4" w:space="0" w:color="auto"/>
              <w:left w:val="single" w:sz="4" w:space="0" w:color="auto"/>
            </w:tcBorders>
            <w:shd w:val="clear" w:color="auto" w:fill="FFFFFF"/>
            <w:tcMar>
              <w:top w:w="40" w:type="dxa"/>
              <w:bottom w:w="40" w:type="dxa"/>
            </w:tcMar>
            <w:vAlign w:val="center"/>
          </w:tcPr>
          <w:p w14:paraId="235B5DD1" w14:textId="77777777" w:rsidR="006D5517" w:rsidRPr="00647D81" w:rsidRDefault="006D5517" w:rsidP="006D5517">
            <w:pPr>
              <w:pStyle w:val="AnnexTableCellLeft"/>
              <w:spacing w:line="240" w:lineRule="auto"/>
              <w:jc w:val="center"/>
              <w:rPr>
                <w:rFonts w:ascii="Helvetica" w:hAnsi="Helvetica"/>
                <w:sz w:val="14"/>
                <w:szCs w:val="14"/>
              </w:rPr>
            </w:pPr>
          </w:p>
        </w:tc>
        <w:tc>
          <w:tcPr>
            <w:tcW w:w="900" w:type="dxa"/>
            <w:tcBorders>
              <w:top w:val="single" w:sz="4" w:space="0" w:color="auto"/>
              <w:left w:val="single" w:sz="4" w:space="0" w:color="auto"/>
            </w:tcBorders>
            <w:shd w:val="clear" w:color="auto" w:fill="FFFFFF"/>
            <w:tcMar>
              <w:top w:w="40" w:type="dxa"/>
              <w:bottom w:w="40" w:type="dxa"/>
            </w:tcMar>
            <w:vAlign w:val="center"/>
          </w:tcPr>
          <w:p w14:paraId="032ACDA8" w14:textId="77777777" w:rsidR="006D5517" w:rsidRPr="00647D81" w:rsidRDefault="006D5517" w:rsidP="006D5517">
            <w:pPr>
              <w:pStyle w:val="AnnexTableCellLeft"/>
              <w:spacing w:line="240" w:lineRule="auto"/>
              <w:jc w:val="center"/>
              <w:rPr>
                <w:rFonts w:ascii="Helvetica" w:hAnsi="Helvetica"/>
                <w:sz w:val="14"/>
                <w:szCs w:val="14"/>
              </w:rPr>
            </w:pPr>
          </w:p>
        </w:tc>
        <w:tc>
          <w:tcPr>
            <w:tcW w:w="864" w:type="dxa"/>
            <w:tcBorders>
              <w:top w:val="single" w:sz="4" w:space="0" w:color="auto"/>
              <w:left w:val="single" w:sz="4" w:space="0" w:color="auto"/>
            </w:tcBorders>
            <w:shd w:val="clear" w:color="auto" w:fill="FFFFFF"/>
            <w:tcMar>
              <w:top w:w="40" w:type="dxa"/>
              <w:bottom w:w="40" w:type="dxa"/>
            </w:tcMar>
            <w:vAlign w:val="center"/>
          </w:tcPr>
          <w:p w14:paraId="1C205863" w14:textId="77777777" w:rsidR="006D5517" w:rsidRPr="00647D81" w:rsidRDefault="006D5517" w:rsidP="006D5517">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tcBorders>
            <w:shd w:val="clear" w:color="auto" w:fill="FFFFFF"/>
            <w:tcMar>
              <w:top w:w="40" w:type="dxa"/>
              <w:bottom w:w="40" w:type="dxa"/>
            </w:tcMar>
            <w:vAlign w:val="center"/>
          </w:tcPr>
          <w:p w14:paraId="1FEB83D8" w14:textId="77777777" w:rsidR="006D5517" w:rsidRPr="00647D81" w:rsidRDefault="006D5517" w:rsidP="006D5517">
            <w:pPr>
              <w:pStyle w:val="AnnexTableCellLeft"/>
              <w:spacing w:line="240" w:lineRule="auto"/>
              <w:jc w:val="center"/>
              <w:rPr>
                <w:rFonts w:ascii="Helvetica" w:hAnsi="Helvetica"/>
                <w:sz w:val="14"/>
                <w:szCs w:val="14"/>
              </w:rPr>
            </w:pPr>
          </w:p>
        </w:tc>
        <w:tc>
          <w:tcPr>
            <w:tcW w:w="804" w:type="dxa"/>
            <w:tcBorders>
              <w:top w:val="single" w:sz="4" w:space="0" w:color="auto"/>
              <w:left w:val="single" w:sz="4" w:space="0" w:color="auto"/>
            </w:tcBorders>
            <w:shd w:val="clear" w:color="auto" w:fill="FFFFFF"/>
            <w:tcMar>
              <w:top w:w="40" w:type="dxa"/>
              <w:bottom w:w="40" w:type="dxa"/>
            </w:tcMar>
            <w:vAlign w:val="center"/>
          </w:tcPr>
          <w:p w14:paraId="292DB097" w14:textId="77777777" w:rsidR="006D5517" w:rsidRPr="00647D81" w:rsidRDefault="006D5517" w:rsidP="006D5517">
            <w:pPr>
              <w:pStyle w:val="AnnexTableCellLeft"/>
              <w:spacing w:line="240" w:lineRule="auto"/>
              <w:jc w:val="center"/>
              <w:rPr>
                <w:rFonts w:ascii="Helvetica" w:hAnsi="Helvetica"/>
                <w:sz w:val="14"/>
                <w:szCs w:val="14"/>
              </w:rPr>
            </w:pPr>
          </w:p>
        </w:tc>
        <w:tc>
          <w:tcPr>
            <w:tcW w:w="696" w:type="dxa"/>
            <w:tcBorders>
              <w:top w:val="single" w:sz="4" w:space="0" w:color="auto"/>
              <w:left w:val="single" w:sz="4" w:space="0" w:color="auto"/>
            </w:tcBorders>
            <w:shd w:val="clear" w:color="auto" w:fill="FFFFFF"/>
            <w:tcMar>
              <w:top w:w="40" w:type="dxa"/>
              <w:bottom w:w="40" w:type="dxa"/>
            </w:tcMar>
            <w:vAlign w:val="center"/>
          </w:tcPr>
          <w:p w14:paraId="58DC5065" w14:textId="77777777" w:rsidR="006D5517" w:rsidRPr="00647D81" w:rsidRDefault="006D5517" w:rsidP="006D5517">
            <w:pPr>
              <w:pStyle w:val="AnnexTableCellLeft"/>
              <w:spacing w:line="240" w:lineRule="auto"/>
              <w:jc w:val="center"/>
              <w:rPr>
                <w:rFonts w:ascii="Helvetica" w:hAnsi="Helvetica"/>
                <w:sz w:val="14"/>
                <w:szCs w:val="14"/>
              </w:rPr>
            </w:pPr>
          </w:p>
        </w:tc>
        <w:tc>
          <w:tcPr>
            <w:tcW w:w="792" w:type="dxa"/>
            <w:tcBorders>
              <w:top w:val="single" w:sz="4" w:space="0" w:color="auto"/>
              <w:left w:val="single" w:sz="4" w:space="0" w:color="auto"/>
            </w:tcBorders>
            <w:shd w:val="clear" w:color="auto" w:fill="FFFFFF"/>
            <w:tcMar>
              <w:top w:w="40" w:type="dxa"/>
              <w:bottom w:w="40" w:type="dxa"/>
            </w:tcMar>
            <w:vAlign w:val="center"/>
          </w:tcPr>
          <w:p w14:paraId="17050DBB" w14:textId="77777777" w:rsidR="006D5517" w:rsidRPr="00647D81" w:rsidRDefault="006D5517" w:rsidP="006D5517">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tcBorders>
            <w:shd w:val="clear" w:color="auto" w:fill="FFFFFF"/>
            <w:tcMar>
              <w:top w:w="40" w:type="dxa"/>
              <w:bottom w:w="40" w:type="dxa"/>
            </w:tcMar>
            <w:vAlign w:val="center"/>
          </w:tcPr>
          <w:p w14:paraId="37EC8D02" w14:textId="77777777" w:rsidR="006D5517" w:rsidRPr="00647D81" w:rsidRDefault="006D5517" w:rsidP="006D5517">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08EA69E9" w14:textId="77777777" w:rsidR="006D5517" w:rsidRPr="00647D81" w:rsidRDefault="006D5517" w:rsidP="006D5517">
            <w:pPr>
              <w:pStyle w:val="AnnexTableCellLeft"/>
              <w:spacing w:line="240" w:lineRule="auto"/>
              <w:jc w:val="center"/>
              <w:rPr>
                <w:rFonts w:ascii="Helvetica" w:hAnsi="Helvetica"/>
                <w:sz w:val="14"/>
                <w:szCs w:val="14"/>
              </w:rPr>
            </w:pPr>
          </w:p>
        </w:tc>
      </w:tr>
      <w:tr w:rsidR="006D5517" w:rsidRPr="00647D81" w14:paraId="39B97D2A" w14:textId="77777777" w:rsidTr="006D5517">
        <w:trPr>
          <w:trHeight w:val="20"/>
        </w:trPr>
        <w:tc>
          <w:tcPr>
            <w:tcW w:w="238" w:type="dxa"/>
            <w:tcBorders>
              <w:top w:val="single" w:sz="4" w:space="0" w:color="auto"/>
              <w:left w:val="single" w:sz="4" w:space="0" w:color="auto"/>
              <w:bottom w:val="single" w:sz="4" w:space="0" w:color="auto"/>
            </w:tcBorders>
            <w:shd w:val="clear" w:color="auto" w:fill="FFFFFF"/>
            <w:tcMar>
              <w:top w:w="40" w:type="dxa"/>
              <w:left w:w="0" w:type="dxa"/>
              <w:bottom w:w="40" w:type="dxa"/>
            </w:tcMar>
            <w:vAlign w:val="center"/>
          </w:tcPr>
          <w:p w14:paraId="728BB7A1" w14:textId="77777777" w:rsidR="006D5517" w:rsidRPr="00647D81" w:rsidRDefault="006D5517" w:rsidP="006D5517">
            <w:pPr>
              <w:pStyle w:val="AnnexTableCellLeft"/>
              <w:spacing w:line="240" w:lineRule="auto"/>
              <w:jc w:val="center"/>
              <w:rPr>
                <w:rFonts w:ascii="Helvetica" w:hAnsi="Helvetica"/>
                <w:sz w:val="14"/>
                <w:szCs w:val="14"/>
              </w:rPr>
            </w:pPr>
            <w:r>
              <w:rPr>
                <w:rFonts w:ascii="Helvetica" w:hAnsi="Helvetica"/>
                <w:sz w:val="14"/>
              </w:rPr>
              <w:t>2</w:t>
            </w:r>
          </w:p>
        </w:tc>
        <w:tc>
          <w:tcPr>
            <w:tcW w:w="4249"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75109D69" w14:textId="77777777" w:rsidR="006D5517" w:rsidRPr="00647D81" w:rsidRDefault="006D5517" w:rsidP="006D5517">
            <w:pPr>
              <w:pStyle w:val="AnnexTableCellLeft"/>
              <w:spacing w:line="240" w:lineRule="auto"/>
              <w:ind w:left="40"/>
              <w:jc w:val="left"/>
              <w:rPr>
                <w:rFonts w:ascii="Helvetica" w:hAnsi="Helvetica"/>
                <w:sz w:val="14"/>
                <w:szCs w:val="14"/>
              </w:rPr>
            </w:pPr>
            <w:r>
              <w:rPr>
                <w:rFonts w:ascii="Helvetica" w:hAnsi="Helvetica"/>
                <w:sz w:val="14"/>
              </w:rPr>
              <w:t>Eiendeler under forvaltning (KPI for AuM)</w:t>
            </w:r>
          </w:p>
        </w:tc>
        <w:tc>
          <w:tcPr>
            <w:tcW w:w="840"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1973C427" w14:textId="77777777" w:rsidR="006D5517" w:rsidRPr="00647D81" w:rsidRDefault="006D5517" w:rsidP="006D5517">
            <w:pPr>
              <w:pStyle w:val="AnnexTableCellLeft"/>
              <w:spacing w:line="240" w:lineRule="auto"/>
              <w:jc w:val="center"/>
              <w:rPr>
                <w:rFonts w:ascii="Helvetica" w:hAnsi="Helvetica"/>
                <w:sz w:val="14"/>
                <w:szCs w:val="14"/>
              </w:rPr>
            </w:pPr>
          </w:p>
        </w:tc>
        <w:tc>
          <w:tcPr>
            <w:tcW w:w="93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0938BB27" w14:textId="77777777" w:rsidR="006D5517" w:rsidRPr="00647D81" w:rsidRDefault="006D5517" w:rsidP="006D5517">
            <w:pPr>
              <w:pStyle w:val="AnnexTableCellLeft"/>
              <w:spacing w:line="240" w:lineRule="auto"/>
              <w:jc w:val="center"/>
              <w:rPr>
                <w:rFonts w:ascii="Helvetica" w:hAnsi="Helvetica"/>
                <w:sz w:val="14"/>
                <w:szCs w:val="14"/>
              </w:rPr>
            </w:pPr>
          </w:p>
        </w:tc>
        <w:tc>
          <w:tcPr>
            <w:tcW w:w="87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6070765F" w14:textId="77777777" w:rsidR="006D5517" w:rsidRPr="00647D81" w:rsidRDefault="006D5517" w:rsidP="006D5517">
            <w:pPr>
              <w:pStyle w:val="AnnexTableCellLeft"/>
              <w:spacing w:line="240" w:lineRule="auto"/>
              <w:jc w:val="center"/>
              <w:rPr>
                <w:rFonts w:ascii="Helvetica" w:hAnsi="Helvetica"/>
                <w:sz w:val="14"/>
                <w:szCs w:val="14"/>
              </w:rPr>
            </w:pPr>
          </w:p>
        </w:tc>
        <w:tc>
          <w:tcPr>
            <w:tcW w:w="92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57A04FC" w14:textId="77777777" w:rsidR="006D5517" w:rsidRPr="00647D81" w:rsidRDefault="006D5517" w:rsidP="006D5517">
            <w:pPr>
              <w:pStyle w:val="AnnexTableCellLeft"/>
              <w:spacing w:line="240" w:lineRule="auto"/>
              <w:jc w:val="center"/>
              <w:rPr>
                <w:rFonts w:ascii="Helvetica" w:hAnsi="Helvetica"/>
                <w:sz w:val="14"/>
                <w:szCs w:val="14"/>
              </w:rPr>
            </w:pPr>
          </w:p>
        </w:tc>
        <w:tc>
          <w:tcPr>
            <w:tcW w:w="900"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451E15A8" w14:textId="77777777" w:rsidR="006D5517" w:rsidRPr="00647D81" w:rsidRDefault="006D5517" w:rsidP="006D5517">
            <w:pPr>
              <w:pStyle w:val="AnnexTableCellLeft"/>
              <w:spacing w:line="240" w:lineRule="auto"/>
              <w:jc w:val="center"/>
              <w:rPr>
                <w:rFonts w:ascii="Helvetica" w:hAnsi="Helvetica"/>
                <w:sz w:val="14"/>
                <w:szCs w:val="14"/>
              </w:rPr>
            </w:pPr>
          </w:p>
        </w:tc>
        <w:tc>
          <w:tcPr>
            <w:tcW w:w="86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2E31AD44" w14:textId="77777777" w:rsidR="006D5517" w:rsidRPr="00647D81" w:rsidRDefault="006D5517" w:rsidP="006D5517">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42D0DE5F" w14:textId="77777777" w:rsidR="006D5517" w:rsidRPr="00647D81" w:rsidRDefault="006D5517" w:rsidP="006D5517">
            <w:pPr>
              <w:pStyle w:val="AnnexTableCellLeft"/>
              <w:spacing w:line="240" w:lineRule="auto"/>
              <w:jc w:val="center"/>
              <w:rPr>
                <w:rFonts w:ascii="Helvetica" w:hAnsi="Helvetica"/>
                <w:sz w:val="14"/>
                <w:szCs w:val="14"/>
              </w:rPr>
            </w:pPr>
          </w:p>
        </w:tc>
        <w:tc>
          <w:tcPr>
            <w:tcW w:w="80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61EFC617" w14:textId="77777777" w:rsidR="006D5517" w:rsidRPr="00647D81" w:rsidRDefault="006D5517" w:rsidP="006D5517">
            <w:pPr>
              <w:pStyle w:val="AnnexTableCellLeft"/>
              <w:spacing w:line="240" w:lineRule="auto"/>
              <w:jc w:val="center"/>
              <w:rPr>
                <w:rFonts w:ascii="Helvetica" w:hAnsi="Helvetica"/>
                <w:sz w:val="14"/>
                <w:szCs w:val="14"/>
              </w:rPr>
            </w:pPr>
          </w:p>
        </w:tc>
        <w:tc>
          <w:tcPr>
            <w:tcW w:w="69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468F498E" w14:textId="77777777" w:rsidR="006D5517" w:rsidRPr="00647D81" w:rsidRDefault="006D5517" w:rsidP="006D5517">
            <w:pPr>
              <w:pStyle w:val="AnnexTableCellLeft"/>
              <w:spacing w:line="240" w:lineRule="auto"/>
              <w:jc w:val="center"/>
              <w:rPr>
                <w:rFonts w:ascii="Helvetica" w:hAnsi="Helvetica"/>
                <w:sz w:val="14"/>
                <w:szCs w:val="14"/>
              </w:rPr>
            </w:pPr>
          </w:p>
        </w:tc>
        <w:tc>
          <w:tcPr>
            <w:tcW w:w="792"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0205A754" w14:textId="77777777" w:rsidR="006D5517" w:rsidRPr="00647D81" w:rsidRDefault="006D5517" w:rsidP="006D5517">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2DF0F3B8" w14:textId="77777777" w:rsidR="006D5517" w:rsidRPr="00647D81" w:rsidRDefault="006D5517" w:rsidP="006D5517">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40" w:type="dxa"/>
              <w:bottom w:w="40" w:type="dxa"/>
              <w:right w:w="0" w:type="dxa"/>
            </w:tcMar>
            <w:vAlign w:val="center"/>
          </w:tcPr>
          <w:p w14:paraId="0FC2A826" w14:textId="77777777" w:rsidR="006D5517" w:rsidRPr="00647D81" w:rsidRDefault="006D5517" w:rsidP="006D5517">
            <w:pPr>
              <w:pStyle w:val="AnnexTableCellLeft"/>
              <w:spacing w:line="240" w:lineRule="auto"/>
              <w:jc w:val="center"/>
              <w:rPr>
                <w:rFonts w:ascii="Helvetica" w:hAnsi="Helvetica"/>
                <w:sz w:val="14"/>
                <w:szCs w:val="14"/>
              </w:rPr>
            </w:pPr>
          </w:p>
        </w:tc>
      </w:tr>
    </w:tbl>
    <w:p w14:paraId="1C03996A" w14:textId="77777777" w:rsidR="006D5517" w:rsidRPr="006D5517" w:rsidRDefault="006D5517" w:rsidP="006D5517">
      <w:pPr>
        <w:pStyle w:val="AnnexNormal"/>
        <w:spacing w:before="200" w:after="0"/>
      </w:pPr>
      <w:r>
        <w:t>1. Institusjonen skal i denne malen opplyse om KPI-ene for eksponeringer utenfor balansen (finansielle garantier og eiendeler under forvaltning) beregnet på grunnlag av dataene framlagt i mal 1, om dekkede eiendeler.</w:t>
      </w:r>
    </w:p>
    <w:p w14:paraId="5121333A" w14:textId="77777777" w:rsidR="006D5517" w:rsidRPr="006D5517" w:rsidRDefault="006D5517" w:rsidP="006D5517">
      <w:pPr>
        <w:pStyle w:val="AnnexNormal"/>
        <w:spacing w:after="0"/>
      </w:pPr>
      <w:r>
        <w:t>2. Institusjonen skal duplisere denne malen for å offentliggjøre KPI-er for beholdninger og strømmer for eksponeringer utenfor balansen.</w:t>
      </w:r>
    </w:p>
    <w:p w14:paraId="01B708FF" w14:textId="77777777" w:rsidR="006D5517" w:rsidRPr="006D5517" w:rsidRDefault="006D5517" w:rsidP="006D5517">
      <w:pPr>
        <w:pStyle w:val="AnnexNormal"/>
        <w:spacing w:after="0"/>
      </w:pPr>
      <w:r>
        <w:t>3. Kredittinstitusjoner skal duplisere denne malen for opplysninger basert på omsetning og investeringsutgifter.</w:t>
      </w:r>
    </w:p>
    <w:p w14:paraId="65E0D8B4" w14:textId="5DDED2D1" w:rsidR="006D5517" w:rsidRPr="006D5517" w:rsidRDefault="006D5517" w:rsidP="006D5517">
      <w:pPr>
        <w:pStyle w:val="AnnexNormal"/>
        <w:spacing w:after="0"/>
      </w:pPr>
      <w:r>
        <w:t xml:space="preserve">4. </w:t>
      </w:r>
      <w:r w:rsidR="005605F3">
        <w:t>I</w:t>
      </w:r>
      <w:r>
        <w:t xml:space="preserve"> samsvar med artikkel 7 nr. 8 i denne forordningen</w:t>
      </w:r>
    </w:p>
    <w:p w14:paraId="7DE668D3" w14:textId="77777777" w:rsidR="006D5517" w:rsidRPr="006D5517" w:rsidRDefault="006D5517" w:rsidP="006D5517">
      <w:pPr>
        <w:pStyle w:val="TableTitle"/>
        <w:pageBreakBefore/>
        <w:rPr>
          <w:i/>
        </w:rPr>
      </w:pPr>
      <w:r>
        <w:rPr>
          <w:i/>
        </w:rPr>
        <w:lastRenderedPageBreak/>
        <w:t>Mal 6: KPI for gebyr- og provisjonsinntekter fra andre tjenester enn utlån og kapitalforvaltning</w:t>
      </w:r>
    </w:p>
    <w:tbl>
      <w:tblPr>
        <w:tblOverlap w:val="never"/>
        <w:tblW w:w="14327" w:type="dxa"/>
        <w:tblInd w:w="-6" w:type="dxa"/>
        <w:tblLayout w:type="fixed"/>
        <w:tblCellMar>
          <w:left w:w="10" w:type="dxa"/>
          <w:right w:w="10" w:type="dxa"/>
        </w:tblCellMar>
        <w:tblLook w:val="0000" w:firstRow="0" w:lastRow="0" w:firstColumn="0" w:lastColumn="0" w:noHBand="0" w:noVBand="0"/>
      </w:tblPr>
      <w:tblGrid>
        <w:gridCol w:w="238"/>
        <w:gridCol w:w="3553"/>
        <w:gridCol w:w="696"/>
        <w:gridCol w:w="840"/>
        <w:gridCol w:w="936"/>
        <w:gridCol w:w="876"/>
        <w:gridCol w:w="924"/>
        <w:gridCol w:w="900"/>
        <w:gridCol w:w="864"/>
        <w:gridCol w:w="672"/>
        <w:gridCol w:w="804"/>
        <w:gridCol w:w="696"/>
        <w:gridCol w:w="792"/>
        <w:gridCol w:w="684"/>
        <w:gridCol w:w="852"/>
      </w:tblGrid>
      <w:tr w:rsidR="006D5517" w:rsidRPr="00647D81" w14:paraId="509470F3" w14:textId="77777777" w:rsidTr="006D5517">
        <w:trPr>
          <w:trHeight w:val="20"/>
        </w:trPr>
        <w:tc>
          <w:tcPr>
            <w:tcW w:w="238" w:type="dxa"/>
            <w:tcBorders>
              <w:top w:val="single" w:sz="4" w:space="0" w:color="auto"/>
              <w:left w:val="single" w:sz="4" w:space="0" w:color="auto"/>
            </w:tcBorders>
            <w:shd w:val="clear" w:color="auto" w:fill="FFFFFF"/>
            <w:tcMar>
              <w:top w:w="40" w:type="dxa"/>
              <w:left w:w="0" w:type="dxa"/>
              <w:bottom w:w="40" w:type="dxa"/>
            </w:tcMar>
            <w:vAlign w:val="center"/>
          </w:tcPr>
          <w:p w14:paraId="0B506C07" w14:textId="77777777" w:rsidR="006D5517" w:rsidRPr="00647D81" w:rsidRDefault="006D5517" w:rsidP="004A2CAF">
            <w:pPr>
              <w:pStyle w:val="AnnexTableHeader"/>
              <w:spacing w:line="240" w:lineRule="auto"/>
              <w:rPr>
                <w:rFonts w:ascii="Helvetica" w:hAnsi="Helvetica"/>
                <w:sz w:val="12"/>
                <w:szCs w:val="12"/>
              </w:rPr>
            </w:pPr>
          </w:p>
        </w:tc>
        <w:tc>
          <w:tcPr>
            <w:tcW w:w="3553" w:type="dxa"/>
            <w:tcBorders>
              <w:top w:val="single" w:sz="4" w:space="0" w:color="auto"/>
              <w:left w:val="single" w:sz="4" w:space="0" w:color="auto"/>
            </w:tcBorders>
            <w:shd w:val="clear" w:color="auto" w:fill="FFFFFF"/>
            <w:vAlign w:val="center"/>
          </w:tcPr>
          <w:p w14:paraId="274D084F" w14:textId="77777777" w:rsidR="006D5517" w:rsidRPr="00647D81" w:rsidRDefault="006D5517" w:rsidP="004A2CAF">
            <w:pPr>
              <w:pStyle w:val="AnnexTableHeader"/>
              <w:spacing w:line="240" w:lineRule="auto"/>
              <w:ind w:left="40"/>
              <w:jc w:val="left"/>
              <w:rPr>
                <w:rFonts w:ascii="Helvetica" w:hAnsi="Helvetica"/>
                <w:sz w:val="12"/>
                <w:szCs w:val="12"/>
              </w:rPr>
            </w:pPr>
            <w:r>
              <w:rPr>
                <w:rFonts w:ascii="Helvetica" w:hAnsi="Helvetica"/>
                <w:sz w:val="12"/>
              </w:rPr>
              <w:t>Referanseperiode for opplysningene T</w:t>
            </w:r>
          </w:p>
        </w:tc>
        <w:tc>
          <w:tcPr>
            <w:tcW w:w="696" w:type="dxa"/>
            <w:tcBorders>
              <w:top w:val="single" w:sz="4" w:space="0" w:color="auto"/>
              <w:left w:val="single" w:sz="4" w:space="0" w:color="auto"/>
              <w:bottom w:val="single" w:sz="4" w:space="0" w:color="auto"/>
            </w:tcBorders>
            <w:shd w:val="clear" w:color="auto" w:fill="FFFFFF"/>
            <w:vAlign w:val="center"/>
          </w:tcPr>
          <w:p w14:paraId="51448847" w14:textId="77777777" w:rsidR="006D5517" w:rsidRPr="00647D81" w:rsidRDefault="006D5517" w:rsidP="004A2CAF">
            <w:pPr>
              <w:pStyle w:val="AnnexTableHeader"/>
              <w:spacing w:line="240" w:lineRule="auto"/>
              <w:ind w:left="40"/>
              <w:jc w:val="left"/>
              <w:rPr>
                <w:rFonts w:ascii="Helvetica" w:hAnsi="Helvetica"/>
                <w:sz w:val="12"/>
                <w:szCs w:val="12"/>
              </w:rPr>
            </w:pPr>
          </w:p>
        </w:tc>
        <w:tc>
          <w:tcPr>
            <w:tcW w:w="9840" w:type="dxa"/>
            <w:gridSpan w:val="12"/>
            <w:tcBorders>
              <w:left w:val="single" w:sz="4" w:space="0" w:color="auto"/>
            </w:tcBorders>
            <w:shd w:val="clear" w:color="auto" w:fill="FFFFFF"/>
            <w:tcMar>
              <w:top w:w="40" w:type="dxa"/>
              <w:bottom w:w="40" w:type="dxa"/>
            </w:tcMar>
            <w:vAlign w:val="center"/>
          </w:tcPr>
          <w:p w14:paraId="4D2CF3DE" w14:textId="77777777" w:rsidR="006D5517" w:rsidRPr="00647D81" w:rsidRDefault="006D5517" w:rsidP="004A2CAF">
            <w:pPr>
              <w:pStyle w:val="AnnexTableHeader"/>
              <w:spacing w:line="240" w:lineRule="auto"/>
              <w:rPr>
                <w:rFonts w:ascii="Helvetica" w:hAnsi="Helvetica"/>
                <w:sz w:val="12"/>
                <w:szCs w:val="12"/>
              </w:rPr>
            </w:pPr>
          </w:p>
        </w:tc>
      </w:tr>
      <w:tr w:rsidR="006D5517" w:rsidRPr="00647D81" w14:paraId="3CF20100" w14:textId="77777777" w:rsidTr="006D5517">
        <w:trPr>
          <w:trHeight w:val="20"/>
        </w:trPr>
        <w:tc>
          <w:tcPr>
            <w:tcW w:w="3791" w:type="dxa"/>
            <w:gridSpan w:val="2"/>
            <w:vMerge w:val="restart"/>
            <w:tcBorders>
              <w:top w:val="single" w:sz="4" w:space="0" w:color="auto"/>
              <w:left w:val="single" w:sz="4" w:space="0" w:color="auto"/>
            </w:tcBorders>
            <w:shd w:val="clear" w:color="auto" w:fill="FFFFFF"/>
            <w:tcMar>
              <w:top w:w="40" w:type="dxa"/>
              <w:left w:w="0" w:type="dxa"/>
              <w:bottom w:w="40" w:type="dxa"/>
            </w:tcMar>
            <w:vAlign w:val="center"/>
          </w:tcPr>
          <w:p w14:paraId="69BE0A4B"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KPI for gebyrer og provisjoner</w:t>
            </w:r>
          </w:p>
        </w:tc>
        <w:tc>
          <w:tcPr>
            <w:tcW w:w="696" w:type="dxa"/>
            <w:tcBorders>
              <w:top w:val="single" w:sz="4" w:space="0" w:color="auto"/>
              <w:left w:val="single" w:sz="4" w:space="0" w:color="auto"/>
              <w:bottom w:val="single" w:sz="4" w:space="0" w:color="auto"/>
            </w:tcBorders>
            <w:shd w:val="clear" w:color="auto" w:fill="FFFFFF"/>
            <w:vAlign w:val="center"/>
          </w:tcPr>
          <w:p w14:paraId="3A9DCE4A"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a</w:t>
            </w:r>
          </w:p>
        </w:tc>
        <w:tc>
          <w:tcPr>
            <w:tcW w:w="840" w:type="dxa"/>
            <w:tcBorders>
              <w:top w:val="single" w:sz="4" w:space="0" w:color="auto"/>
              <w:left w:val="single" w:sz="4" w:space="0" w:color="auto"/>
            </w:tcBorders>
            <w:shd w:val="clear" w:color="auto" w:fill="FFFFFF"/>
            <w:tcMar>
              <w:top w:w="40" w:type="dxa"/>
              <w:bottom w:w="40" w:type="dxa"/>
            </w:tcMar>
            <w:vAlign w:val="center"/>
          </w:tcPr>
          <w:p w14:paraId="52FFCE10"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b</w:t>
            </w:r>
          </w:p>
        </w:tc>
        <w:tc>
          <w:tcPr>
            <w:tcW w:w="936" w:type="dxa"/>
            <w:tcBorders>
              <w:top w:val="single" w:sz="4" w:space="0" w:color="auto"/>
              <w:left w:val="single" w:sz="4" w:space="0" w:color="auto"/>
            </w:tcBorders>
            <w:shd w:val="clear" w:color="auto" w:fill="FFFFFF"/>
            <w:tcMar>
              <w:top w:w="40" w:type="dxa"/>
              <w:bottom w:w="40" w:type="dxa"/>
            </w:tcMar>
            <w:vAlign w:val="center"/>
          </w:tcPr>
          <w:p w14:paraId="3A912C35"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c</w:t>
            </w:r>
          </w:p>
        </w:tc>
        <w:tc>
          <w:tcPr>
            <w:tcW w:w="876" w:type="dxa"/>
            <w:tcBorders>
              <w:top w:val="single" w:sz="4" w:space="0" w:color="auto"/>
              <w:left w:val="single" w:sz="4" w:space="0" w:color="auto"/>
            </w:tcBorders>
            <w:shd w:val="clear" w:color="auto" w:fill="FFFFFF"/>
            <w:tcMar>
              <w:top w:w="40" w:type="dxa"/>
              <w:bottom w:w="40" w:type="dxa"/>
            </w:tcMar>
            <w:vAlign w:val="center"/>
          </w:tcPr>
          <w:p w14:paraId="6E59B269"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d</w:t>
            </w:r>
          </w:p>
        </w:tc>
        <w:tc>
          <w:tcPr>
            <w:tcW w:w="924" w:type="dxa"/>
            <w:tcBorders>
              <w:top w:val="single" w:sz="4" w:space="0" w:color="auto"/>
              <w:left w:val="single" w:sz="4" w:space="0" w:color="auto"/>
            </w:tcBorders>
            <w:shd w:val="clear" w:color="auto" w:fill="FFFFFF"/>
            <w:tcMar>
              <w:top w:w="40" w:type="dxa"/>
              <w:bottom w:w="40" w:type="dxa"/>
            </w:tcMar>
            <w:vAlign w:val="center"/>
          </w:tcPr>
          <w:p w14:paraId="021E5917"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e</w:t>
            </w:r>
          </w:p>
        </w:tc>
        <w:tc>
          <w:tcPr>
            <w:tcW w:w="900" w:type="dxa"/>
            <w:tcBorders>
              <w:top w:val="single" w:sz="4" w:space="0" w:color="auto"/>
              <w:left w:val="single" w:sz="4" w:space="0" w:color="auto"/>
            </w:tcBorders>
            <w:shd w:val="clear" w:color="auto" w:fill="FFFFFF"/>
            <w:tcMar>
              <w:top w:w="40" w:type="dxa"/>
              <w:bottom w:w="40" w:type="dxa"/>
            </w:tcMar>
            <w:vAlign w:val="center"/>
          </w:tcPr>
          <w:p w14:paraId="614C6D0B"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f</w:t>
            </w:r>
          </w:p>
        </w:tc>
        <w:tc>
          <w:tcPr>
            <w:tcW w:w="864" w:type="dxa"/>
            <w:tcBorders>
              <w:top w:val="single" w:sz="4" w:space="0" w:color="auto"/>
              <w:left w:val="single" w:sz="4" w:space="0" w:color="auto"/>
            </w:tcBorders>
            <w:shd w:val="clear" w:color="auto" w:fill="FFFFFF"/>
            <w:tcMar>
              <w:top w:w="40" w:type="dxa"/>
              <w:bottom w:w="40" w:type="dxa"/>
            </w:tcMar>
            <w:vAlign w:val="center"/>
          </w:tcPr>
          <w:p w14:paraId="4C0026D9"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g</w:t>
            </w:r>
          </w:p>
        </w:tc>
        <w:tc>
          <w:tcPr>
            <w:tcW w:w="672" w:type="dxa"/>
            <w:tcBorders>
              <w:top w:val="single" w:sz="4" w:space="0" w:color="auto"/>
              <w:left w:val="single" w:sz="4" w:space="0" w:color="auto"/>
            </w:tcBorders>
            <w:shd w:val="clear" w:color="auto" w:fill="FFFFFF"/>
            <w:tcMar>
              <w:top w:w="40" w:type="dxa"/>
              <w:bottom w:w="40" w:type="dxa"/>
            </w:tcMar>
            <w:vAlign w:val="center"/>
          </w:tcPr>
          <w:p w14:paraId="3CDF3A3C"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w:t>
            </w:r>
          </w:p>
        </w:tc>
        <w:tc>
          <w:tcPr>
            <w:tcW w:w="804" w:type="dxa"/>
            <w:tcBorders>
              <w:top w:val="single" w:sz="4" w:space="0" w:color="auto"/>
              <w:left w:val="single" w:sz="4" w:space="0" w:color="auto"/>
            </w:tcBorders>
            <w:shd w:val="clear" w:color="auto" w:fill="FFFFFF"/>
            <w:tcMar>
              <w:top w:w="40" w:type="dxa"/>
              <w:bottom w:w="40" w:type="dxa"/>
            </w:tcMar>
            <w:vAlign w:val="center"/>
          </w:tcPr>
          <w:p w14:paraId="5AC9DCBF"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i</w:t>
            </w:r>
          </w:p>
        </w:tc>
        <w:tc>
          <w:tcPr>
            <w:tcW w:w="696" w:type="dxa"/>
            <w:tcBorders>
              <w:top w:val="single" w:sz="4" w:space="0" w:color="auto"/>
              <w:left w:val="single" w:sz="4" w:space="0" w:color="auto"/>
            </w:tcBorders>
            <w:shd w:val="clear" w:color="auto" w:fill="FFFFFF"/>
            <w:tcMar>
              <w:top w:w="40" w:type="dxa"/>
              <w:bottom w:w="40" w:type="dxa"/>
            </w:tcMar>
            <w:vAlign w:val="center"/>
          </w:tcPr>
          <w:p w14:paraId="0D267A22"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j</w:t>
            </w:r>
          </w:p>
        </w:tc>
        <w:tc>
          <w:tcPr>
            <w:tcW w:w="792" w:type="dxa"/>
            <w:tcBorders>
              <w:top w:val="single" w:sz="4" w:space="0" w:color="auto"/>
              <w:left w:val="single" w:sz="4" w:space="0" w:color="auto"/>
            </w:tcBorders>
            <w:shd w:val="clear" w:color="auto" w:fill="FFFFFF"/>
            <w:tcMar>
              <w:top w:w="40" w:type="dxa"/>
              <w:bottom w:w="40" w:type="dxa"/>
            </w:tcMar>
            <w:vAlign w:val="center"/>
          </w:tcPr>
          <w:p w14:paraId="18282FAA"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k</w:t>
            </w:r>
          </w:p>
        </w:tc>
        <w:tc>
          <w:tcPr>
            <w:tcW w:w="684" w:type="dxa"/>
            <w:tcBorders>
              <w:top w:val="single" w:sz="4" w:space="0" w:color="auto"/>
              <w:left w:val="single" w:sz="4" w:space="0" w:color="auto"/>
            </w:tcBorders>
            <w:shd w:val="clear" w:color="auto" w:fill="FFFFFF"/>
            <w:tcMar>
              <w:top w:w="40" w:type="dxa"/>
              <w:bottom w:w="40" w:type="dxa"/>
            </w:tcMar>
            <w:vAlign w:val="center"/>
          </w:tcPr>
          <w:p w14:paraId="58B940E8"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l</w:t>
            </w:r>
          </w:p>
        </w:tc>
        <w:tc>
          <w:tcPr>
            <w:tcW w:w="852" w:type="dxa"/>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55FBEE4E"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m</w:t>
            </w:r>
          </w:p>
        </w:tc>
      </w:tr>
      <w:tr w:rsidR="006D5517" w:rsidRPr="00647D81" w14:paraId="69915608" w14:textId="77777777" w:rsidTr="006D5517">
        <w:trPr>
          <w:trHeight w:val="20"/>
        </w:trPr>
        <w:tc>
          <w:tcPr>
            <w:tcW w:w="3791" w:type="dxa"/>
            <w:gridSpan w:val="2"/>
            <w:vMerge/>
            <w:tcBorders>
              <w:left w:val="single" w:sz="4" w:space="0" w:color="auto"/>
            </w:tcBorders>
            <w:shd w:val="clear" w:color="auto" w:fill="FFFFFF"/>
            <w:tcMar>
              <w:top w:w="40" w:type="dxa"/>
              <w:left w:w="0" w:type="dxa"/>
              <w:bottom w:w="40" w:type="dxa"/>
            </w:tcMar>
            <w:vAlign w:val="center"/>
          </w:tcPr>
          <w:p w14:paraId="2B1D2E99" w14:textId="77777777" w:rsidR="006D5517" w:rsidRPr="00647D81" w:rsidRDefault="006D5517" w:rsidP="006D5517">
            <w:pPr>
              <w:pStyle w:val="AnnexTableHeader"/>
              <w:spacing w:line="240" w:lineRule="auto"/>
              <w:rPr>
                <w:rFonts w:ascii="Helvetica" w:hAnsi="Helvetica"/>
                <w:sz w:val="12"/>
                <w:szCs w:val="12"/>
              </w:rPr>
            </w:pPr>
          </w:p>
        </w:tc>
        <w:tc>
          <w:tcPr>
            <w:tcW w:w="696" w:type="dxa"/>
            <w:vMerge w:val="restart"/>
            <w:tcBorders>
              <w:left w:val="single" w:sz="4" w:space="0" w:color="auto"/>
            </w:tcBorders>
            <w:shd w:val="clear" w:color="auto" w:fill="FFFFFF"/>
            <w:vAlign w:val="center"/>
          </w:tcPr>
          <w:p w14:paraId="19917601"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Sum</w:t>
            </w:r>
          </w:p>
        </w:tc>
        <w:tc>
          <w:tcPr>
            <w:tcW w:w="840" w:type="dxa"/>
            <w:vMerge w:val="restart"/>
            <w:tcBorders>
              <w:top w:val="single" w:sz="4" w:space="0" w:color="auto"/>
              <w:left w:val="single" w:sz="4" w:space="0" w:color="auto"/>
            </w:tcBorders>
            <w:shd w:val="clear" w:color="auto" w:fill="FFFFFF"/>
            <w:tcMar>
              <w:top w:w="40" w:type="dxa"/>
              <w:bottom w:w="40" w:type="dxa"/>
            </w:tcMar>
            <w:vAlign w:val="center"/>
          </w:tcPr>
          <w:p w14:paraId="7C68D6B5"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Omfattet av taksonomien</w:t>
            </w:r>
          </w:p>
        </w:tc>
        <w:tc>
          <w:tcPr>
            <w:tcW w:w="936" w:type="dxa"/>
            <w:tcBorders>
              <w:top w:val="single" w:sz="4" w:space="0" w:color="auto"/>
              <w:left w:val="single" w:sz="4" w:space="0" w:color="auto"/>
            </w:tcBorders>
            <w:shd w:val="clear" w:color="auto" w:fill="FFFFFF"/>
            <w:tcMar>
              <w:top w:w="40" w:type="dxa"/>
              <w:bottom w:w="40" w:type="dxa"/>
            </w:tcMar>
            <w:vAlign w:val="center"/>
          </w:tcPr>
          <w:p w14:paraId="5D01CF7E" w14:textId="77777777" w:rsidR="006D5517" w:rsidRPr="00647D81" w:rsidRDefault="006D5517" w:rsidP="006D5517">
            <w:pPr>
              <w:pStyle w:val="AnnexTableHeader"/>
              <w:spacing w:line="240" w:lineRule="auto"/>
              <w:rPr>
                <w:rFonts w:ascii="Helvetica" w:hAnsi="Helvetica"/>
                <w:sz w:val="12"/>
                <w:szCs w:val="12"/>
              </w:rPr>
            </w:pPr>
          </w:p>
        </w:tc>
        <w:tc>
          <w:tcPr>
            <w:tcW w:w="7212" w:type="dxa"/>
            <w:gridSpan w:val="9"/>
            <w:tcBorders>
              <w:top w:val="single" w:sz="4" w:space="0" w:color="auto"/>
            </w:tcBorders>
            <w:shd w:val="clear" w:color="auto" w:fill="FFFFFF"/>
            <w:tcMar>
              <w:top w:w="40" w:type="dxa"/>
              <w:bottom w:w="40" w:type="dxa"/>
            </w:tcMar>
            <w:vAlign w:val="center"/>
          </w:tcPr>
          <w:p w14:paraId="29820ACA" w14:textId="77777777" w:rsidR="006D5517" w:rsidRPr="00647D81" w:rsidRDefault="006D5517" w:rsidP="006D5517">
            <w:pPr>
              <w:pStyle w:val="AnnexTableHeader"/>
              <w:spacing w:line="240" w:lineRule="auto"/>
              <w:rPr>
                <w:rFonts w:ascii="Helvetica" w:hAnsi="Helvetica"/>
                <w:sz w:val="12"/>
                <w:szCs w:val="12"/>
              </w:rPr>
            </w:pPr>
          </w:p>
        </w:tc>
        <w:tc>
          <w:tcPr>
            <w:tcW w:w="852" w:type="dxa"/>
            <w:vMerge w:val="restart"/>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7CE49E14" w14:textId="24CFE3A2"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Hvorav ikke-vurderte gebyr- og provisjons</w:t>
            </w:r>
            <w:r w:rsidR="00D0760A">
              <w:rPr>
                <w:rFonts w:ascii="Helvetica" w:hAnsi="Helvetica"/>
                <w:sz w:val="12"/>
              </w:rPr>
              <w:softHyphen/>
            </w:r>
            <w:r>
              <w:rPr>
                <w:rFonts w:ascii="Helvetica" w:hAnsi="Helvetica"/>
                <w:sz w:val="12"/>
              </w:rPr>
              <w:t>inntekter (3)</w:t>
            </w:r>
          </w:p>
        </w:tc>
      </w:tr>
      <w:tr w:rsidR="006D5517" w:rsidRPr="00647D81" w14:paraId="4C60FE57" w14:textId="77777777" w:rsidTr="006D5517">
        <w:trPr>
          <w:trHeight w:val="20"/>
        </w:trPr>
        <w:tc>
          <w:tcPr>
            <w:tcW w:w="3791" w:type="dxa"/>
            <w:gridSpan w:val="2"/>
            <w:vMerge/>
            <w:tcBorders>
              <w:left w:val="single" w:sz="4" w:space="0" w:color="auto"/>
            </w:tcBorders>
            <w:shd w:val="clear" w:color="auto" w:fill="FFFFFF"/>
            <w:tcMar>
              <w:top w:w="40" w:type="dxa"/>
              <w:left w:w="0" w:type="dxa"/>
              <w:bottom w:w="40" w:type="dxa"/>
            </w:tcMar>
            <w:vAlign w:val="center"/>
          </w:tcPr>
          <w:p w14:paraId="079E58FC" w14:textId="77777777" w:rsidR="006D5517" w:rsidRPr="00647D81" w:rsidRDefault="006D5517" w:rsidP="006D5517">
            <w:pPr>
              <w:pStyle w:val="AnnexTableHeader"/>
              <w:spacing w:line="240" w:lineRule="auto"/>
              <w:rPr>
                <w:rFonts w:ascii="Helvetica" w:hAnsi="Helvetica"/>
                <w:sz w:val="12"/>
                <w:szCs w:val="12"/>
              </w:rPr>
            </w:pPr>
          </w:p>
        </w:tc>
        <w:tc>
          <w:tcPr>
            <w:tcW w:w="696" w:type="dxa"/>
            <w:vMerge/>
            <w:tcBorders>
              <w:left w:val="single" w:sz="4" w:space="0" w:color="auto"/>
            </w:tcBorders>
            <w:shd w:val="clear" w:color="auto" w:fill="FFFFFF"/>
            <w:vAlign w:val="center"/>
          </w:tcPr>
          <w:p w14:paraId="60C87A7C" w14:textId="77777777" w:rsidR="006D5517" w:rsidRPr="00647D81" w:rsidRDefault="006D5517" w:rsidP="006D5517">
            <w:pPr>
              <w:pStyle w:val="AnnexTableHeader"/>
              <w:spacing w:line="240" w:lineRule="auto"/>
              <w:rPr>
                <w:rFonts w:ascii="Helvetica" w:hAnsi="Helvetica"/>
                <w:sz w:val="12"/>
                <w:szCs w:val="12"/>
              </w:rPr>
            </w:pPr>
          </w:p>
        </w:tc>
        <w:tc>
          <w:tcPr>
            <w:tcW w:w="840" w:type="dxa"/>
            <w:vMerge/>
            <w:tcBorders>
              <w:left w:val="single" w:sz="4" w:space="0" w:color="auto"/>
            </w:tcBorders>
            <w:shd w:val="clear" w:color="auto" w:fill="FFFFFF"/>
            <w:tcMar>
              <w:top w:w="40" w:type="dxa"/>
              <w:bottom w:w="40" w:type="dxa"/>
            </w:tcMar>
            <w:vAlign w:val="center"/>
          </w:tcPr>
          <w:p w14:paraId="060FD712" w14:textId="77777777" w:rsidR="006D5517" w:rsidRPr="00647D81" w:rsidRDefault="006D5517" w:rsidP="006D5517">
            <w:pPr>
              <w:pStyle w:val="AnnexTableHeader"/>
              <w:spacing w:line="240" w:lineRule="auto"/>
              <w:rPr>
                <w:rFonts w:ascii="Helvetica" w:hAnsi="Helvetica"/>
                <w:sz w:val="12"/>
                <w:szCs w:val="12"/>
              </w:rPr>
            </w:pPr>
          </w:p>
        </w:tc>
        <w:tc>
          <w:tcPr>
            <w:tcW w:w="936" w:type="dxa"/>
            <w:vMerge w:val="restart"/>
            <w:tcBorders>
              <w:left w:val="single" w:sz="4" w:space="0" w:color="auto"/>
            </w:tcBorders>
            <w:shd w:val="clear" w:color="auto" w:fill="FFFFFF"/>
            <w:tcMar>
              <w:top w:w="40" w:type="dxa"/>
              <w:bottom w:w="40" w:type="dxa"/>
            </w:tcMar>
            <w:vAlign w:val="center"/>
          </w:tcPr>
          <w:p w14:paraId="28BA6FDC" w14:textId="4F3C7138"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Taksonomi</w:t>
            </w:r>
            <w:r w:rsidR="00D0760A">
              <w:rPr>
                <w:rFonts w:ascii="Helvetica" w:hAnsi="Helvetica"/>
                <w:sz w:val="12"/>
              </w:rPr>
              <w:softHyphen/>
            </w:r>
            <w:r>
              <w:rPr>
                <w:rFonts w:ascii="Helvetica" w:hAnsi="Helvetica"/>
                <w:sz w:val="12"/>
              </w:rPr>
              <w:t>forenlige</w:t>
            </w:r>
          </w:p>
        </w:tc>
        <w:tc>
          <w:tcPr>
            <w:tcW w:w="5040" w:type="dxa"/>
            <w:gridSpan w:val="6"/>
            <w:tcBorders>
              <w:top w:val="single" w:sz="4" w:space="0" w:color="auto"/>
              <w:left w:val="single" w:sz="4" w:space="0" w:color="auto"/>
            </w:tcBorders>
            <w:shd w:val="clear" w:color="auto" w:fill="FFFFFF"/>
            <w:tcMar>
              <w:top w:w="40" w:type="dxa"/>
              <w:bottom w:w="40" w:type="dxa"/>
            </w:tcMar>
            <w:vAlign w:val="center"/>
          </w:tcPr>
          <w:p w14:paraId="136205BE"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Spesifisering etter miljømål</w:t>
            </w:r>
          </w:p>
        </w:tc>
        <w:tc>
          <w:tcPr>
            <w:tcW w:w="696" w:type="dxa"/>
            <w:vMerge w:val="restart"/>
            <w:tcBorders>
              <w:top w:val="single" w:sz="4" w:space="0" w:color="auto"/>
              <w:left w:val="single" w:sz="4" w:space="0" w:color="auto"/>
            </w:tcBorders>
            <w:shd w:val="clear" w:color="auto" w:fill="FFFFFF"/>
            <w:tcMar>
              <w:top w:w="40" w:type="dxa"/>
              <w:bottom w:w="40" w:type="dxa"/>
            </w:tcMar>
            <w:vAlign w:val="center"/>
          </w:tcPr>
          <w:p w14:paraId="3283140E"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Hvorav bruk av proveny</w:t>
            </w:r>
          </w:p>
        </w:tc>
        <w:tc>
          <w:tcPr>
            <w:tcW w:w="792" w:type="dxa"/>
            <w:vMerge w:val="restart"/>
            <w:tcBorders>
              <w:top w:val="single" w:sz="4" w:space="0" w:color="auto"/>
              <w:left w:val="single" w:sz="4" w:space="0" w:color="auto"/>
            </w:tcBorders>
            <w:shd w:val="clear" w:color="auto" w:fill="FFFFFF"/>
            <w:tcMar>
              <w:top w:w="40" w:type="dxa"/>
              <w:bottom w:w="40" w:type="dxa"/>
            </w:tcMar>
            <w:vAlign w:val="center"/>
          </w:tcPr>
          <w:p w14:paraId="69A5223E"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Hvorav omstilling</w:t>
            </w:r>
          </w:p>
        </w:tc>
        <w:tc>
          <w:tcPr>
            <w:tcW w:w="684" w:type="dxa"/>
            <w:vMerge w:val="restart"/>
            <w:tcBorders>
              <w:top w:val="single" w:sz="4" w:space="0" w:color="auto"/>
              <w:left w:val="single" w:sz="4" w:space="0" w:color="auto"/>
            </w:tcBorders>
            <w:shd w:val="clear" w:color="auto" w:fill="FFFFFF"/>
            <w:tcMar>
              <w:top w:w="40" w:type="dxa"/>
              <w:bottom w:w="40" w:type="dxa"/>
            </w:tcMar>
            <w:vAlign w:val="center"/>
          </w:tcPr>
          <w:p w14:paraId="7F1F9776" w14:textId="412E35B9"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Hvorav mulig</w:t>
            </w:r>
            <w:r w:rsidR="00D0760A">
              <w:rPr>
                <w:rFonts w:ascii="Helvetica" w:hAnsi="Helvetica"/>
                <w:sz w:val="12"/>
              </w:rPr>
              <w:softHyphen/>
            </w:r>
            <w:r>
              <w:rPr>
                <w:rFonts w:ascii="Helvetica" w:hAnsi="Helvetica"/>
                <w:sz w:val="12"/>
              </w:rPr>
              <w:t>gjørende</w:t>
            </w:r>
          </w:p>
        </w:tc>
        <w:tc>
          <w:tcPr>
            <w:tcW w:w="852" w:type="dxa"/>
            <w:vMerge/>
            <w:tcBorders>
              <w:left w:val="single" w:sz="4" w:space="0" w:color="auto"/>
              <w:right w:val="single" w:sz="4" w:space="0" w:color="auto"/>
            </w:tcBorders>
            <w:shd w:val="clear" w:color="auto" w:fill="FFFFFF"/>
            <w:tcMar>
              <w:top w:w="40" w:type="dxa"/>
              <w:bottom w:w="40" w:type="dxa"/>
              <w:right w:w="0" w:type="dxa"/>
            </w:tcMar>
            <w:vAlign w:val="center"/>
          </w:tcPr>
          <w:p w14:paraId="7A027C21" w14:textId="77777777" w:rsidR="006D5517" w:rsidRPr="00647D81" w:rsidRDefault="006D5517" w:rsidP="006D5517">
            <w:pPr>
              <w:pStyle w:val="AnnexTableHeader"/>
              <w:spacing w:line="240" w:lineRule="auto"/>
              <w:rPr>
                <w:rFonts w:ascii="Helvetica" w:hAnsi="Helvetica"/>
                <w:sz w:val="12"/>
                <w:szCs w:val="12"/>
              </w:rPr>
            </w:pPr>
          </w:p>
        </w:tc>
      </w:tr>
      <w:tr w:rsidR="006D5517" w:rsidRPr="00647D81" w14:paraId="2F50D236" w14:textId="77777777" w:rsidTr="006D5517">
        <w:trPr>
          <w:trHeight w:val="20"/>
        </w:trPr>
        <w:tc>
          <w:tcPr>
            <w:tcW w:w="3791" w:type="dxa"/>
            <w:gridSpan w:val="2"/>
            <w:vMerge/>
            <w:tcBorders>
              <w:left w:val="single" w:sz="4" w:space="0" w:color="auto"/>
            </w:tcBorders>
            <w:shd w:val="clear" w:color="auto" w:fill="FFFFFF"/>
            <w:tcMar>
              <w:top w:w="40" w:type="dxa"/>
              <w:left w:w="0" w:type="dxa"/>
              <w:bottom w:w="40" w:type="dxa"/>
            </w:tcMar>
            <w:vAlign w:val="center"/>
          </w:tcPr>
          <w:p w14:paraId="400A2F4A" w14:textId="77777777" w:rsidR="006D5517" w:rsidRPr="00647D81" w:rsidRDefault="006D5517" w:rsidP="006D5517">
            <w:pPr>
              <w:pStyle w:val="AnnexTableHeader"/>
              <w:spacing w:line="240" w:lineRule="auto"/>
              <w:rPr>
                <w:rFonts w:ascii="Helvetica" w:hAnsi="Helvetica"/>
                <w:sz w:val="12"/>
                <w:szCs w:val="12"/>
              </w:rPr>
            </w:pPr>
          </w:p>
        </w:tc>
        <w:tc>
          <w:tcPr>
            <w:tcW w:w="696" w:type="dxa"/>
            <w:vMerge/>
            <w:tcBorders>
              <w:left w:val="single" w:sz="4" w:space="0" w:color="auto"/>
            </w:tcBorders>
            <w:shd w:val="clear" w:color="auto" w:fill="FFFFFF"/>
            <w:vAlign w:val="center"/>
          </w:tcPr>
          <w:p w14:paraId="61C501FF" w14:textId="77777777" w:rsidR="006D5517" w:rsidRPr="00647D81" w:rsidRDefault="006D5517" w:rsidP="006D5517">
            <w:pPr>
              <w:pStyle w:val="AnnexTableHeader"/>
              <w:spacing w:line="240" w:lineRule="auto"/>
              <w:rPr>
                <w:rFonts w:ascii="Helvetica" w:hAnsi="Helvetica"/>
                <w:sz w:val="12"/>
                <w:szCs w:val="12"/>
              </w:rPr>
            </w:pPr>
          </w:p>
        </w:tc>
        <w:tc>
          <w:tcPr>
            <w:tcW w:w="840" w:type="dxa"/>
            <w:vMerge/>
            <w:tcBorders>
              <w:left w:val="single" w:sz="4" w:space="0" w:color="auto"/>
            </w:tcBorders>
            <w:shd w:val="clear" w:color="auto" w:fill="FFFFFF"/>
            <w:tcMar>
              <w:top w:w="40" w:type="dxa"/>
              <w:bottom w:w="40" w:type="dxa"/>
            </w:tcMar>
            <w:vAlign w:val="center"/>
          </w:tcPr>
          <w:p w14:paraId="5DEA84DA" w14:textId="77777777" w:rsidR="006D5517" w:rsidRPr="00647D81" w:rsidRDefault="006D5517" w:rsidP="006D5517">
            <w:pPr>
              <w:pStyle w:val="AnnexTableHeader"/>
              <w:spacing w:line="240" w:lineRule="auto"/>
              <w:rPr>
                <w:rFonts w:ascii="Helvetica" w:hAnsi="Helvetica"/>
                <w:sz w:val="12"/>
                <w:szCs w:val="12"/>
              </w:rPr>
            </w:pPr>
          </w:p>
        </w:tc>
        <w:tc>
          <w:tcPr>
            <w:tcW w:w="936" w:type="dxa"/>
            <w:vMerge/>
            <w:tcBorders>
              <w:left w:val="single" w:sz="4" w:space="0" w:color="auto"/>
            </w:tcBorders>
            <w:shd w:val="clear" w:color="auto" w:fill="FFFFFF"/>
            <w:tcMar>
              <w:top w:w="40" w:type="dxa"/>
              <w:bottom w:w="40" w:type="dxa"/>
            </w:tcMar>
            <w:vAlign w:val="center"/>
          </w:tcPr>
          <w:p w14:paraId="08F78AA5" w14:textId="77777777" w:rsidR="006D5517" w:rsidRPr="00647D81" w:rsidRDefault="006D5517" w:rsidP="006D5517">
            <w:pPr>
              <w:pStyle w:val="AnnexTableHeader"/>
              <w:spacing w:line="240" w:lineRule="auto"/>
              <w:rPr>
                <w:rFonts w:ascii="Helvetica" w:hAnsi="Helvetica"/>
                <w:sz w:val="12"/>
                <w:szCs w:val="12"/>
              </w:rPr>
            </w:pPr>
          </w:p>
        </w:tc>
        <w:tc>
          <w:tcPr>
            <w:tcW w:w="876" w:type="dxa"/>
            <w:tcBorders>
              <w:top w:val="single" w:sz="4" w:space="0" w:color="auto"/>
              <w:left w:val="single" w:sz="4" w:space="0" w:color="auto"/>
            </w:tcBorders>
            <w:shd w:val="clear" w:color="auto" w:fill="FFFFFF"/>
            <w:tcMar>
              <w:top w:w="40" w:type="dxa"/>
              <w:bottom w:w="40" w:type="dxa"/>
            </w:tcMar>
            <w:vAlign w:val="center"/>
          </w:tcPr>
          <w:p w14:paraId="1B8EA18D"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Begrensning av klimaendringer (CCM)</w:t>
            </w:r>
          </w:p>
        </w:tc>
        <w:tc>
          <w:tcPr>
            <w:tcW w:w="924" w:type="dxa"/>
            <w:tcBorders>
              <w:top w:val="single" w:sz="4" w:space="0" w:color="auto"/>
              <w:left w:val="single" w:sz="4" w:space="0" w:color="auto"/>
            </w:tcBorders>
            <w:shd w:val="clear" w:color="auto" w:fill="FFFFFF"/>
            <w:tcMar>
              <w:top w:w="40" w:type="dxa"/>
              <w:bottom w:w="40" w:type="dxa"/>
            </w:tcMar>
            <w:vAlign w:val="center"/>
          </w:tcPr>
          <w:p w14:paraId="49D86E3F"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Tilpasning til klimaendringer (CCA)</w:t>
            </w:r>
          </w:p>
        </w:tc>
        <w:tc>
          <w:tcPr>
            <w:tcW w:w="900" w:type="dxa"/>
            <w:tcBorders>
              <w:top w:val="single" w:sz="4" w:space="0" w:color="auto"/>
              <w:left w:val="single" w:sz="4" w:space="0" w:color="auto"/>
            </w:tcBorders>
            <w:shd w:val="clear" w:color="auto" w:fill="FFFFFF"/>
            <w:tcMar>
              <w:top w:w="40" w:type="dxa"/>
              <w:bottom w:w="40" w:type="dxa"/>
            </w:tcMar>
            <w:vAlign w:val="center"/>
          </w:tcPr>
          <w:p w14:paraId="0F0A406E"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Vann- og havressurser (WTR)</w:t>
            </w:r>
          </w:p>
        </w:tc>
        <w:tc>
          <w:tcPr>
            <w:tcW w:w="864" w:type="dxa"/>
            <w:tcBorders>
              <w:top w:val="single" w:sz="4" w:space="0" w:color="auto"/>
              <w:left w:val="single" w:sz="4" w:space="0" w:color="auto"/>
            </w:tcBorders>
            <w:shd w:val="clear" w:color="auto" w:fill="FFFFFF"/>
            <w:tcMar>
              <w:top w:w="40" w:type="dxa"/>
              <w:bottom w:w="40" w:type="dxa"/>
            </w:tcMar>
            <w:vAlign w:val="center"/>
          </w:tcPr>
          <w:p w14:paraId="175671C3"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Sirkulær økonomi (CE)</w:t>
            </w:r>
          </w:p>
        </w:tc>
        <w:tc>
          <w:tcPr>
            <w:tcW w:w="672" w:type="dxa"/>
            <w:tcBorders>
              <w:top w:val="single" w:sz="4" w:space="0" w:color="auto"/>
              <w:left w:val="single" w:sz="4" w:space="0" w:color="auto"/>
            </w:tcBorders>
            <w:shd w:val="clear" w:color="auto" w:fill="FFFFFF"/>
            <w:tcMar>
              <w:top w:w="40" w:type="dxa"/>
              <w:bottom w:w="40" w:type="dxa"/>
            </w:tcMar>
            <w:vAlign w:val="center"/>
          </w:tcPr>
          <w:p w14:paraId="6A570959" w14:textId="5CD06136"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Forurens</w:t>
            </w:r>
            <w:r w:rsidR="00D0760A">
              <w:rPr>
                <w:rFonts w:ascii="Helvetica" w:hAnsi="Helvetica"/>
                <w:sz w:val="12"/>
              </w:rPr>
              <w:softHyphen/>
            </w:r>
            <w:r>
              <w:rPr>
                <w:rFonts w:ascii="Helvetica" w:hAnsi="Helvetica"/>
                <w:sz w:val="12"/>
              </w:rPr>
              <w:t>ning (PPC)</w:t>
            </w:r>
          </w:p>
        </w:tc>
        <w:tc>
          <w:tcPr>
            <w:tcW w:w="804" w:type="dxa"/>
            <w:tcBorders>
              <w:top w:val="single" w:sz="4" w:space="0" w:color="auto"/>
              <w:left w:val="single" w:sz="4" w:space="0" w:color="auto"/>
            </w:tcBorders>
            <w:shd w:val="clear" w:color="auto" w:fill="FFFFFF"/>
            <w:tcMar>
              <w:top w:w="40" w:type="dxa"/>
              <w:bottom w:w="40" w:type="dxa"/>
            </w:tcMar>
            <w:vAlign w:val="center"/>
          </w:tcPr>
          <w:p w14:paraId="280E8E6C" w14:textId="77777777" w:rsidR="006D5517" w:rsidRPr="00647D81" w:rsidRDefault="006D5517" w:rsidP="006D5517">
            <w:pPr>
              <w:pStyle w:val="AnnexTableHeader"/>
              <w:spacing w:line="240" w:lineRule="auto"/>
              <w:rPr>
                <w:rFonts w:ascii="Helvetica" w:hAnsi="Helvetica"/>
                <w:sz w:val="12"/>
                <w:szCs w:val="12"/>
              </w:rPr>
            </w:pPr>
            <w:r>
              <w:rPr>
                <w:rFonts w:ascii="Helvetica" w:hAnsi="Helvetica"/>
                <w:sz w:val="12"/>
              </w:rPr>
              <w:t>Biologisk mangfold og økosystemer (BIO)</w:t>
            </w:r>
          </w:p>
        </w:tc>
        <w:tc>
          <w:tcPr>
            <w:tcW w:w="696" w:type="dxa"/>
            <w:vMerge/>
            <w:tcBorders>
              <w:left w:val="single" w:sz="4" w:space="0" w:color="auto"/>
            </w:tcBorders>
            <w:shd w:val="clear" w:color="auto" w:fill="FFFFFF"/>
            <w:tcMar>
              <w:top w:w="40" w:type="dxa"/>
              <w:bottom w:w="40" w:type="dxa"/>
            </w:tcMar>
            <w:vAlign w:val="center"/>
          </w:tcPr>
          <w:p w14:paraId="517A9F13" w14:textId="77777777" w:rsidR="006D5517" w:rsidRPr="00647D81" w:rsidRDefault="006D5517" w:rsidP="006D5517">
            <w:pPr>
              <w:pStyle w:val="AnnexTableHeader"/>
              <w:spacing w:line="240" w:lineRule="auto"/>
              <w:rPr>
                <w:rFonts w:ascii="Helvetica" w:hAnsi="Helvetica"/>
                <w:sz w:val="12"/>
                <w:szCs w:val="12"/>
              </w:rPr>
            </w:pPr>
          </w:p>
        </w:tc>
        <w:tc>
          <w:tcPr>
            <w:tcW w:w="792" w:type="dxa"/>
            <w:vMerge/>
            <w:tcBorders>
              <w:left w:val="single" w:sz="4" w:space="0" w:color="auto"/>
            </w:tcBorders>
            <w:shd w:val="clear" w:color="auto" w:fill="FFFFFF"/>
            <w:tcMar>
              <w:top w:w="40" w:type="dxa"/>
              <w:bottom w:w="40" w:type="dxa"/>
            </w:tcMar>
            <w:vAlign w:val="center"/>
          </w:tcPr>
          <w:p w14:paraId="68356D92" w14:textId="77777777" w:rsidR="006D5517" w:rsidRPr="00647D81" w:rsidRDefault="006D5517" w:rsidP="006D5517">
            <w:pPr>
              <w:pStyle w:val="AnnexTableHeader"/>
              <w:spacing w:line="240" w:lineRule="auto"/>
              <w:rPr>
                <w:rFonts w:ascii="Helvetica" w:hAnsi="Helvetica"/>
                <w:sz w:val="12"/>
                <w:szCs w:val="12"/>
              </w:rPr>
            </w:pPr>
          </w:p>
        </w:tc>
        <w:tc>
          <w:tcPr>
            <w:tcW w:w="684" w:type="dxa"/>
            <w:vMerge/>
            <w:tcBorders>
              <w:left w:val="single" w:sz="4" w:space="0" w:color="auto"/>
            </w:tcBorders>
            <w:shd w:val="clear" w:color="auto" w:fill="FFFFFF"/>
            <w:tcMar>
              <w:top w:w="40" w:type="dxa"/>
              <w:bottom w:w="40" w:type="dxa"/>
            </w:tcMar>
            <w:vAlign w:val="center"/>
          </w:tcPr>
          <w:p w14:paraId="64B979CA" w14:textId="77777777" w:rsidR="006D5517" w:rsidRPr="00647D81" w:rsidRDefault="006D5517" w:rsidP="006D5517">
            <w:pPr>
              <w:pStyle w:val="AnnexTableHeader"/>
              <w:spacing w:line="240" w:lineRule="auto"/>
              <w:rPr>
                <w:rFonts w:ascii="Helvetica" w:hAnsi="Helvetica"/>
                <w:sz w:val="12"/>
                <w:szCs w:val="12"/>
              </w:rPr>
            </w:pPr>
          </w:p>
        </w:tc>
        <w:tc>
          <w:tcPr>
            <w:tcW w:w="852" w:type="dxa"/>
            <w:vMerge/>
            <w:tcBorders>
              <w:left w:val="single" w:sz="4" w:space="0" w:color="auto"/>
              <w:right w:val="single" w:sz="4" w:space="0" w:color="auto"/>
            </w:tcBorders>
            <w:shd w:val="clear" w:color="auto" w:fill="FFFFFF"/>
            <w:tcMar>
              <w:top w:w="40" w:type="dxa"/>
              <w:bottom w:w="40" w:type="dxa"/>
              <w:right w:w="0" w:type="dxa"/>
            </w:tcMar>
            <w:vAlign w:val="center"/>
          </w:tcPr>
          <w:p w14:paraId="3A822EF9" w14:textId="77777777" w:rsidR="006D5517" w:rsidRPr="00647D81" w:rsidRDefault="006D5517" w:rsidP="006D5517">
            <w:pPr>
              <w:pStyle w:val="AnnexTableHeader"/>
              <w:spacing w:line="240" w:lineRule="auto"/>
              <w:rPr>
                <w:rFonts w:ascii="Helvetica" w:hAnsi="Helvetica"/>
                <w:sz w:val="12"/>
                <w:szCs w:val="12"/>
              </w:rPr>
            </w:pPr>
          </w:p>
        </w:tc>
      </w:tr>
      <w:tr w:rsidR="006D5517" w:rsidRPr="00647D81" w14:paraId="71B3D4B0" w14:textId="77777777" w:rsidTr="004A2CAF">
        <w:trPr>
          <w:trHeight w:val="20"/>
        </w:trPr>
        <w:tc>
          <w:tcPr>
            <w:tcW w:w="3791" w:type="dxa"/>
            <w:gridSpan w:val="2"/>
            <w:vMerge/>
            <w:tcBorders>
              <w:left w:val="single" w:sz="4" w:space="0" w:color="auto"/>
            </w:tcBorders>
            <w:shd w:val="clear" w:color="auto" w:fill="FFFFFF"/>
            <w:tcMar>
              <w:top w:w="40" w:type="dxa"/>
              <w:left w:w="0" w:type="dxa"/>
              <w:bottom w:w="40" w:type="dxa"/>
            </w:tcMar>
            <w:vAlign w:val="center"/>
          </w:tcPr>
          <w:p w14:paraId="4A9D2D98" w14:textId="77777777" w:rsidR="006D5517" w:rsidRPr="00647D81" w:rsidRDefault="006D5517" w:rsidP="006D5517">
            <w:pPr>
              <w:pStyle w:val="AnnexTableCellLeft"/>
              <w:spacing w:line="240" w:lineRule="auto"/>
              <w:ind w:left="40"/>
              <w:jc w:val="left"/>
              <w:rPr>
                <w:rFonts w:ascii="Helvetica" w:hAnsi="Helvetica"/>
                <w:sz w:val="12"/>
                <w:szCs w:val="12"/>
              </w:rPr>
            </w:pPr>
          </w:p>
        </w:tc>
        <w:tc>
          <w:tcPr>
            <w:tcW w:w="696" w:type="dxa"/>
            <w:tcBorders>
              <w:top w:val="single" w:sz="4" w:space="0" w:color="auto"/>
              <w:left w:val="single" w:sz="4" w:space="0" w:color="auto"/>
            </w:tcBorders>
            <w:shd w:val="clear" w:color="auto" w:fill="FFFFFF"/>
            <w:vAlign w:val="center"/>
          </w:tcPr>
          <w:p w14:paraId="0AEB011B" w14:textId="77777777" w:rsidR="006D5517" w:rsidRPr="00647D81" w:rsidRDefault="006D5517" w:rsidP="006D5517">
            <w:pPr>
              <w:pStyle w:val="AnnexTableCellLeft"/>
              <w:spacing w:line="240" w:lineRule="auto"/>
              <w:ind w:left="40"/>
              <w:jc w:val="center"/>
              <w:rPr>
                <w:rFonts w:ascii="Helvetica" w:hAnsi="Helvetica"/>
                <w:sz w:val="12"/>
                <w:szCs w:val="12"/>
              </w:rPr>
            </w:pPr>
            <w:r>
              <w:rPr>
                <w:rFonts w:ascii="Helvetica" w:hAnsi="Helvetica"/>
                <w:sz w:val="12"/>
              </w:rPr>
              <w:t>Millioner euro</w:t>
            </w:r>
          </w:p>
        </w:tc>
        <w:tc>
          <w:tcPr>
            <w:tcW w:w="840" w:type="dxa"/>
            <w:tcBorders>
              <w:top w:val="single" w:sz="4" w:space="0" w:color="auto"/>
              <w:left w:val="single" w:sz="4" w:space="0" w:color="auto"/>
            </w:tcBorders>
            <w:shd w:val="clear" w:color="auto" w:fill="FFFFFF"/>
            <w:tcMar>
              <w:top w:w="40" w:type="dxa"/>
              <w:bottom w:w="40" w:type="dxa"/>
            </w:tcMar>
            <w:vAlign w:val="center"/>
          </w:tcPr>
          <w:p w14:paraId="749616F6"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936" w:type="dxa"/>
            <w:tcBorders>
              <w:top w:val="single" w:sz="4" w:space="0" w:color="auto"/>
              <w:left w:val="single" w:sz="4" w:space="0" w:color="auto"/>
            </w:tcBorders>
            <w:shd w:val="clear" w:color="auto" w:fill="FFFFFF"/>
            <w:tcMar>
              <w:top w:w="40" w:type="dxa"/>
              <w:bottom w:w="40" w:type="dxa"/>
            </w:tcMar>
            <w:vAlign w:val="center"/>
          </w:tcPr>
          <w:p w14:paraId="3CFBD760"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876" w:type="dxa"/>
            <w:tcBorders>
              <w:top w:val="single" w:sz="4" w:space="0" w:color="auto"/>
              <w:left w:val="single" w:sz="4" w:space="0" w:color="auto"/>
            </w:tcBorders>
            <w:shd w:val="clear" w:color="auto" w:fill="FFFFFF"/>
            <w:tcMar>
              <w:top w:w="40" w:type="dxa"/>
              <w:bottom w:w="40" w:type="dxa"/>
            </w:tcMar>
            <w:vAlign w:val="center"/>
          </w:tcPr>
          <w:p w14:paraId="24824908"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924" w:type="dxa"/>
            <w:tcBorders>
              <w:top w:val="single" w:sz="4" w:space="0" w:color="auto"/>
              <w:left w:val="single" w:sz="4" w:space="0" w:color="auto"/>
            </w:tcBorders>
            <w:shd w:val="clear" w:color="auto" w:fill="FFFFFF"/>
            <w:tcMar>
              <w:top w:w="40" w:type="dxa"/>
              <w:bottom w:w="40" w:type="dxa"/>
            </w:tcMar>
            <w:vAlign w:val="center"/>
          </w:tcPr>
          <w:p w14:paraId="35387280"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900" w:type="dxa"/>
            <w:tcBorders>
              <w:top w:val="single" w:sz="4" w:space="0" w:color="auto"/>
              <w:left w:val="single" w:sz="4" w:space="0" w:color="auto"/>
            </w:tcBorders>
            <w:shd w:val="clear" w:color="auto" w:fill="FFFFFF"/>
            <w:tcMar>
              <w:top w:w="40" w:type="dxa"/>
              <w:bottom w:w="40" w:type="dxa"/>
            </w:tcMar>
            <w:vAlign w:val="center"/>
          </w:tcPr>
          <w:p w14:paraId="518D73FD"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864" w:type="dxa"/>
            <w:tcBorders>
              <w:top w:val="single" w:sz="4" w:space="0" w:color="auto"/>
              <w:left w:val="single" w:sz="4" w:space="0" w:color="auto"/>
            </w:tcBorders>
            <w:shd w:val="clear" w:color="auto" w:fill="FFFFFF"/>
            <w:tcMar>
              <w:top w:w="40" w:type="dxa"/>
              <w:bottom w:w="40" w:type="dxa"/>
            </w:tcMar>
            <w:vAlign w:val="center"/>
          </w:tcPr>
          <w:p w14:paraId="3AA7826F"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672" w:type="dxa"/>
            <w:tcBorders>
              <w:top w:val="single" w:sz="4" w:space="0" w:color="auto"/>
              <w:left w:val="single" w:sz="4" w:space="0" w:color="auto"/>
            </w:tcBorders>
            <w:shd w:val="clear" w:color="auto" w:fill="FFFFFF"/>
            <w:tcMar>
              <w:top w:w="40" w:type="dxa"/>
              <w:bottom w:w="40" w:type="dxa"/>
            </w:tcMar>
            <w:vAlign w:val="center"/>
          </w:tcPr>
          <w:p w14:paraId="4743A7C7"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804" w:type="dxa"/>
            <w:tcBorders>
              <w:top w:val="single" w:sz="4" w:space="0" w:color="auto"/>
              <w:left w:val="single" w:sz="4" w:space="0" w:color="auto"/>
            </w:tcBorders>
            <w:shd w:val="clear" w:color="auto" w:fill="FFFFFF"/>
            <w:tcMar>
              <w:top w:w="40" w:type="dxa"/>
              <w:bottom w:w="40" w:type="dxa"/>
            </w:tcMar>
            <w:vAlign w:val="center"/>
          </w:tcPr>
          <w:p w14:paraId="098853C4"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696" w:type="dxa"/>
            <w:tcBorders>
              <w:top w:val="single" w:sz="4" w:space="0" w:color="auto"/>
              <w:left w:val="single" w:sz="4" w:space="0" w:color="auto"/>
            </w:tcBorders>
            <w:shd w:val="clear" w:color="auto" w:fill="FFFFFF"/>
            <w:tcMar>
              <w:top w:w="40" w:type="dxa"/>
              <w:bottom w:w="40" w:type="dxa"/>
            </w:tcMar>
            <w:vAlign w:val="center"/>
          </w:tcPr>
          <w:p w14:paraId="4E022AD8"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792" w:type="dxa"/>
            <w:tcBorders>
              <w:top w:val="single" w:sz="4" w:space="0" w:color="auto"/>
              <w:left w:val="single" w:sz="4" w:space="0" w:color="auto"/>
            </w:tcBorders>
            <w:shd w:val="clear" w:color="auto" w:fill="FFFFFF"/>
            <w:tcMar>
              <w:top w:w="40" w:type="dxa"/>
              <w:bottom w:w="40" w:type="dxa"/>
            </w:tcMar>
            <w:vAlign w:val="center"/>
          </w:tcPr>
          <w:p w14:paraId="4432737D"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684" w:type="dxa"/>
            <w:tcBorders>
              <w:top w:val="single" w:sz="4" w:space="0" w:color="auto"/>
              <w:left w:val="single" w:sz="4" w:space="0" w:color="auto"/>
            </w:tcBorders>
            <w:shd w:val="clear" w:color="auto" w:fill="FFFFFF"/>
            <w:tcMar>
              <w:top w:w="40" w:type="dxa"/>
              <w:bottom w:w="40" w:type="dxa"/>
            </w:tcMar>
            <w:vAlign w:val="center"/>
          </w:tcPr>
          <w:p w14:paraId="5E856623"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c>
          <w:tcPr>
            <w:tcW w:w="852" w:type="dxa"/>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3EAC43DA" w14:textId="77777777" w:rsidR="006D5517" w:rsidRPr="00647D81" w:rsidRDefault="006D5517" w:rsidP="006D5517">
            <w:pPr>
              <w:pStyle w:val="AnnexTableCellLeft"/>
              <w:spacing w:line="240" w:lineRule="auto"/>
              <w:jc w:val="center"/>
              <w:rPr>
                <w:rFonts w:ascii="Helvetica" w:hAnsi="Helvetica"/>
                <w:sz w:val="12"/>
                <w:szCs w:val="12"/>
              </w:rPr>
            </w:pPr>
            <w:r>
              <w:rPr>
                <w:rFonts w:ascii="Helvetica" w:hAnsi="Helvetica"/>
                <w:sz w:val="12"/>
              </w:rPr>
              <w:t>%</w:t>
            </w:r>
          </w:p>
        </w:tc>
      </w:tr>
      <w:tr w:rsidR="006D5517" w:rsidRPr="00647D81" w14:paraId="43C783EB" w14:textId="77777777" w:rsidTr="004A2CAF">
        <w:trPr>
          <w:trHeight w:val="20"/>
        </w:trPr>
        <w:tc>
          <w:tcPr>
            <w:tcW w:w="238" w:type="dxa"/>
            <w:tcBorders>
              <w:top w:val="single" w:sz="4" w:space="0" w:color="auto"/>
              <w:left w:val="single" w:sz="4" w:space="0" w:color="auto"/>
            </w:tcBorders>
            <w:shd w:val="clear" w:color="auto" w:fill="FFFFFF"/>
            <w:tcMar>
              <w:top w:w="40" w:type="dxa"/>
              <w:left w:w="0" w:type="dxa"/>
              <w:bottom w:w="40" w:type="dxa"/>
            </w:tcMar>
            <w:vAlign w:val="center"/>
          </w:tcPr>
          <w:p w14:paraId="1AF3639E" w14:textId="77777777" w:rsidR="006D5517" w:rsidRPr="00647D81" w:rsidRDefault="006D5517" w:rsidP="004A2CAF">
            <w:pPr>
              <w:pStyle w:val="AnnexTableCellLeft"/>
              <w:spacing w:line="240" w:lineRule="auto"/>
              <w:jc w:val="center"/>
              <w:rPr>
                <w:rFonts w:ascii="Helvetica" w:hAnsi="Helvetica"/>
                <w:sz w:val="14"/>
                <w:szCs w:val="14"/>
              </w:rPr>
            </w:pPr>
            <w:r>
              <w:rPr>
                <w:rFonts w:ascii="Helvetica" w:hAnsi="Helvetica"/>
                <w:sz w:val="14"/>
              </w:rPr>
              <w:t>1</w:t>
            </w:r>
          </w:p>
        </w:tc>
        <w:tc>
          <w:tcPr>
            <w:tcW w:w="3553" w:type="dxa"/>
            <w:tcBorders>
              <w:top w:val="single" w:sz="4" w:space="0" w:color="auto"/>
              <w:left w:val="single" w:sz="4" w:space="0" w:color="auto"/>
            </w:tcBorders>
            <w:shd w:val="clear" w:color="auto" w:fill="FFFFFF"/>
            <w:tcMar>
              <w:top w:w="40" w:type="dxa"/>
              <w:bottom w:w="40" w:type="dxa"/>
            </w:tcMar>
            <w:vAlign w:val="center"/>
          </w:tcPr>
          <w:p w14:paraId="06416BA9" w14:textId="77777777" w:rsidR="006D5517" w:rsidRPr="00647D81" w:rsidRDefault="006D5517" w:rsidP="006D5517">
            <w:pPr>
              <w:pStyle w:val="AnnexTableCellLeft"/>
              <w:spacing w:line="240" w:lineRule="auto"/>
              <w:ind w:left="40"/>
              <w:jc w:val="left"/>
              <w:rPr>
                <w:rFonts w:ascii="Helvetica" w:hAnsi="Helvetica"/>
                <w:b/>
                <w:sz w:val="14"/>
                <w:szCs w:val="14"/>
                <w:u w:val="single"/>
              </w:rPr>
            </w:pPr>
            <w:r>
              <w:rPr>
                <w:rFonts w:ascii="Helvetica" w:hAnsi="Helvetica"/>
                <w:b/>
                <w:sz w:val="14"/>
                <w:u w:val="single"/>
              </w:rPr>
              <w:t>Gebyr- og provisjonsinntekter fra foretak som er omfattet av direktivet om virksomheters bærekraftsrapportering – Andre tjenester enn utlån</w:t>
            </w:r>
          </w:p>
        </w:tc>
        <w:tc>
          <w:tcPr>
            <w:tcW w:w="696" w:type="dxa"/>
            <w:tcBorders>
              <w:top w:val="single" w:sz="4" w:space="0" w:color="auto"/>
              <w:left w:val="single" w:sz="4" w:space="0" w:color="auto"/>
            </w:tcBorders>
            <w:shd w:val="clear" w:color="auto" w:fill="FFFFFF"/>
            <w:vAlign w:val="center"/>
          </w:tcPr>
          <w:p w14:paraId="16CBDBE8" w14:textId="77777777" w:rsidR="006D5517" w:rsidRPr="00647D81" w:rsidRDefault="006D5517" w:rsidP="006D5517">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40" w:type="dxa"/>
              <w:bottom w:w="40" w:type="dxa"/>
            </w:tcMar>
            <w:vAlign w:val="center"/>
          </w:tcPr>
          <w:p w14:paraId="25C01EE3" w14:textId="77777777" w:rsidR="006D5517" w:rsidRPr="00647D81" w:rsidRDefault="006D5517" w:rsidP="006D5517">
            <w:pPr>
              <w:pStyle w:val="AnnexTableCellLeft"/>
              <w:spacing w:line="240" w:lineRule="auto"/>
              <w:jc w:val="center"/>
              <w:rPr>
                <w:rFonts w:ascii="Helvetica" w:hAnsi="Helvetica"/>
                <w:sz w:val="14"/>
                <w:szCs w:val="14"/>
              </w:rPr>
            </w:pPr>
          </w:p>
        </w:tc>
        <w:tc>
          <w:tcPr>
            <w:tcW w:w="936" w:type="dxa"/>
            <w:tcBorders>
              <w:top w:val="single" w:sz="4" w:space="0" w:color="auto"/>
              <w:left w:val="single" w:sz="4" w:space="0" w:color="auto"/>
            </w:tcBorders>
            <w:shd w:val="clear" w:color="auto" w:fill="FFFFFF"/>
            <w:tcMar>
              <w:top w:w="40" w:type="dxa"/>
              <w:bottom w:w="40" w:type="dxa"/>
            </w:tcMar>
            <w:vAlign w:val="center"/>
          </w:tcPr>
          <w:p w14:paraId="566DA881" w14:textId="77777777" w:rsidR="006D5517" w:rsidRPr="00647D81" w:rsidRDefault="006D5517" w:rsidP="006D5517">
            <w:pPr>
              <w:pStyle w:val="AnnexTableCellLeft"/>
              <w:spacing w:line="240" w:lineRule="auto"/>
              <w:jc w:val="center"/>
              <w:rPr>
                <w:rFonts w:ascii="Helvetica" w:hAnsi="Helvetica"/>
                <w:sz w:val="14"/>
                <w:szCs w:val="14"/>
              </w:rPr>
            </w:pPr>
          </w:p>
        </w:tc>
        <w:tc>
          <w:tcPr>
            <w:tcW w:w="876" w:type="dxa"/>
            <w:tcBorders>
              <w:top w:val="single" w:sz="4" w:space="0" w:color="auto"/>
              <w:left w:val="single" w:sz="4" w:space="0" w:color="auto"/>
            </w:tcBorders>
            <w:shd w:val="clear" w:color="auto" w:fill="FFFFFF"/>
            <w:tcMar>
              <w:top w:w="40" w:type="dxa"/>
              <w:bottom w:w="40" w:type="dxa"/>
            </w:tcMar>
            <w:vAlign w:val="center"/>
          </w:tcPr>
          <w:p w14:paraId="47E645FD" w14:textId="77777777" w:rsidR="006D5517" w:rsidRPr="00647D81" w:rsidRDefault="006D5517" w:rsidP="006D5517">
            <w:pPr>
              <w:pStyle w:val="AnnexTableCellLeft"/>
              <w:spacing w:line="240" w:lineRule="auto"/>
              <w:jc w:val="center"/>
              <w:rPr>
                <w:rFonts w:ascii="Helvetica" w:hAnsi="Helvetica"/>
                <w:sz w:val="14"/>
                <w:szCs w:val="14"/>
              </w:rPr>
            </w:pPr>
          </w:p>
        </w:tc>
        <w:tc>
          <w:tcPr>
            <w:tcW w:w="924" w:type="dxa"/>
            <w:tcBorders>
              <w:top w:val="single" w:sz="4" w:space="0" w:color="auto"/>
              <w:left w:val="single" w:sz="4" w:space="0" w:color="auto"/>
            </w:tcBorders>
            <w:shd w:val="clear" w:color="auto" w:fill="FFFFFF"/>
            <w:tcMar>
              <w:top w:w="40" w:type="dxa"/>
              <w:bottom w:w="40" w:type="dxa"/>
            </w:tcMar>
            <w:vAlign w:val="center"/>
          </w:tcPr>
          <w:p w14:paraId="6817CEAE" w14:textId="77777777" w:rsidR="006D5517" w:rsidRPr="00647D81" w:rsidRDefault="006D5517" w:rsidP="006D5517">
            <w:pPr>
              <w:pStyle w:val="AnnexTableCellLeft"/>
              <w:spacing w:line="240" w:lineRule="auto"/>
              <w:jc w:val="center"/>
              <w:rPr>
                <w:rFonts w:ascii="Helvetica" w:hAnsi="Helvetica"/>
                <w:sz w:val="14"/>
                <w:szCs w:val="14"/>
              </w:rPr>
            </w:pPr>
          </w:p>
        </w:tc>
        <w:tc>
          <w:tcPr>
            <w:tcW w:w="900" w:type="dxa"/>
            <w:tcBorders>
              <w:top w:val="single" w:sz="4" w:space="0" w:color="auto"/>
              <w:left w:val="single" w:sz="4" w:space="0" w:color="auto"/>
            </w:tcBorders>
            <w:shd w:val="clear" w:color="auto" w:fill="FFFFFF"/>
            <w:tcMar>
              <w:top w:w="40" w:type="dxa"/>
              <w:bottom w:w="40" w:type="dxa"/>
            </w:tcMar>
            <w:vAlign w:val="center"/>
          </w:tcPr>
          <w:p w14:paraId="7460C5E5" w14:textId="77777777" w:rsidR="006D5517" w:rsidRPr="00647D81" w:rsidRDefault="006D5517" w:rsidP="006D5517">
            <w:pPr>
              <w:pStyle w:val="AnnexTableCellLeft"/>
              <w:spacing w:line="240" w:lineRule="auto"/>
              <w:jc w:val="center"/>
              <w:rPr>
                <w:rFonts w:ascii="Helvetica" w:hAnsi="Helvetica"/>
                <w:sz w:val="14"/>
                <w:szCs w:val="14"/>
              </w:rPr>
            </w:pPr>
          </w:p>
        </w:tc>
        <w:tc>
          <w:tcPr>
            <w:tcW w:w="864" w:type="dxa"/>
            <w:tcBorders>
              <w:top w:val="single" w:sz="4" w:space="0" w:color="auto"/>
              <w:left w:val="single" w:sz="4" w:space="0" w:color="auto"/>
            </w:tcBorders>
            <w:shd w:val="clear" w:color="auto" w:fill="FFFFFF"/>
            <w:tcMar>
              <w:top w:w="40" w:type="dxa"/>
              <w:bottom w:w="40" w:type="dxa"/>
            </w:tcMar>
            <w:vAlign w:val="center"/>
          </w:tcPr>
          <w:p w14:paraId="3F94D67B" w14:textId="77777777" w:rsidR="006D5517" w:rsidRPr="00647D81" w:rsidRDefault="006D5517" w:rsidP="006D5517">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tcBorders>
            <w:shd w:val="clear" w:color="auto" w:fill="FFFFFF"/>
            <w:tcMar>
              <w:top w:w="40" w:type="dxa"/>
              <w:bottom w:w="40" w:type="dxa"/>
            </w:tcMar>
            <w:vAlign w:val="center"/>
          </w:tcPr>
          <w:p w14:paraId="4BF502ED" w14:textId="77777777" w:rsidR="006D5517" w:rsidRPr="00647D81" w:rsidRDefault="006D5517" w:rsidP="006D5517">
            <w:pPr>
              <w:pStyle w:val="AnnexTableCellLeft"/>
              <w:spacing w:line="240" w:lineRule="auto"/>
              <w:jc w:val="center"/>
              <w:rPr>
                <w:rFonts w:ascii="Helvetica" w:hAnsi="Helvetica"/>
                <w:sz w:val="14"/>
                <w:szCs w:val="14"/>
              </w:rPr>
            </w:pPr>
          </w:p>
        </w:tc>
        <w:tc>
          <w:tcPr>
            <w:tcW w:w="804" w:type="dxa"/>
            <w:tcBorders>
              <w:top w:val="single" w:sz="4" w:space="0" w:color="auto"/>
              <w:left w:val="single" w:sz="4" w:space="0" w:color="auto"/>
            </w:tcBorders>
            <w:shd w:val="clear" w:color="auto" w:fill="FFFFFF"/>
            <w:tcMar>
              <w:top w:w="40" w:type="dxa"/>
              <w:bottom w:w="40" w:type="dxa"/>
            </w:tcMar>
            <w:vAlign w:val="center"/>
          </w:tcPr>
          <w:p w14:paraId="117E1A90" w14:textId="77777777" w:rsidR="006D5517" w:rsidRPr="00647D81" w:rsidRDefault="006D5517" w:rsidP="006D5517">
            <w:pPr>
              <w:pStyle w:val="AnnexTableCellLeft"/>
              <w:spacing w:line="240" w:lineRule="auto"/>
              <w:jc w:val="center"/>
              <w:rPr>
                <w:rFonts w:ascii="Helvetica" w:hAnsi="Helvetica"/>
                <w:sz w:val="14"/>
                <w:szCs w:val="14"/>
              </w:rPr>
            </w:pPr>
          </w:p>
        </w:tc>
        <w:tc>
          <w:tcPr>
            <w:tcW w:w="696" w:type="dxa"/>
            <w:tcBorders>
              <w:top w:val="single" w:sz="4" w:space="0" w:color="auto"/>
              <w:left w:val="single" w:sz="4" w:space="0" w:color="auto"/>
            </w:tcBorders>
            <w:shd w:val="clear" w:color="auto" w:fill="FFFFFF"/>
            <w:tcMar>
              <w:top w:w="40" w:type="dxa"/>
              <w:bottom w:w="40" w:type="dxa"/>
            </w:tcMar>
            <w:vAlign w:val="center"/>
          </w:tcPr>
          <w:p w14:paraId="2DCDBF56" w14:textId="77777777" w:rsidR="006D5517" w:rsidRPr="00647D81" w:rsidRDefault="006D5517" w:rsidP="006D5517">
            <w:pPr>
              <w:pStyle w:val="AnnexTableCellLeft"/>
              <w:spacing w:line="240" w:lineRule="auto"/>
              <w:jc w:val="center"/>
              <w:rPr>
                <w:rFonts w:ascii="Helvetica" w:hAnsi="Helvetica"/>
                <w:sz w:val="14"/>
                <w:szCs w:val="14"/>
              </w:rPr>
            </w:pPr>
          </w:p>
        </w:tc>
        <w:tc>
          <w:tcPr>
            <w:tcW w:w="792" w:type="dxa"/>
            <w:tcBorders>
              <w:top w:val="single" w:sz="4" w:space="0" w:color="auto"/>
              <w:left w:val="single" w:sz="4" w:space="0" w:color="auto"/>
            </w:tcBorders>
            <w:shd w:val="clear" w:color="auto" w:fill="FFFFFF"/>
            <w:tcMar>
              <w:top w:w="40" w:type="dxa"/>
              <w:bottom w:w="40" w:type="dxa"/>
            </w:tcMar>
            <w:vAlign w:val="center"/>
          </w:tcPr>
          <w:p w14:paraId="4932027C" w14:textId="77777777" w:rsidR="006D5517" w:rsidRPr="00647D81" w:rsidRDefault="006D5517" w:rsidP="006D5517">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tcBorders>
            <w:shd w:val="clear" w:color="auto" w:fill="FFFFFF"/>
            <w:tcMar>
              <w:top w:w="40" w:type="dxa"/>
              <w:bottom w:w="40" w:type="dxa"/>
            </w:tcMar>
            <w:vAlign w:val="center"/>
          </w:tcPr>
          <w:p w14:paraId="1E962A63" w14:textId="77777777" w:rsidR="006D5517" w:rsidRPr="00647D81" w:rsidRDefault="006D5517" w:rsidP="006D5517">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01E4DB8E" w14:textId="77777777" w:rsidR="006D5517" w:rsidRPr="00647D81" w:rsidRDefault="006D5517" w:rsidP="006D5517">
            <w:pPr>
              <w:pStyle w:val="AnnexTableCellLeft"/>
              <w:spacing w:line="240" w:lineRule="auto"/>
              <w:jc w:val="center"/>
              <w:rPr>
                <w:rFonts w:ascii="Helvetica" w:hAnsi="Helvetica"/>
                <w:sz w:val="14"/>
                <w:szCs w:val="14"/>
              </w:rPr>
            </w:pPr>
          </w:p>
        </w:tc>
      </w:tr>
      <w:tr w:rsidR="006D5517" w:rsidRPr="00647D81" w14:paraId="7DF79120" w14:textId="77777777" w:rsidTr="004A2CAF">
        <w:trPr>
          <w:trHeight w:val="20"/>
        </w:trPr>
        <w:tc>
          <w:tcPr>
            <w:tcW w:w="238" w:type="dxa"/>
            <w:tcBorders>
              <w:top w:val="single" w:sz="4" w:space="0" w:color="auto"/>
              <w:left w:val="single" w:sz="4" w:space="0" w:color="auto"/>
              <w:bottom w:val="single" w:sz="4" w:space="0" w:color="auto"/>
            </w:tcBorders>
            <w:shd w:val="clear" w:color="auto" w:fill="FFFFFF"/>
            <w:tcMar>
              <w:top w:w="40" w:type="dxa"/>
              <w:left w:w="0" w:type="dxa"/>
              <w:bottom w:w="40" w:type="dxa"/>
            </w:tcMar>
            <w:vAlign w:val="center"/>
          </w:tcPr>
          <w:p w14:paraId="581CA417" w14:textId="77777777" w:rsidR="006D5517" w:rsidRPr="00647D81" w:rsidRDefault="006D5517" w:rsidP="004A2CAF">
            <w:pPr>
              <w:pStyle w:val="AnnexTableCellLeft"/>
              <w:spacing w:line="240" w:lineRule="auto"/>
              <w:jc w:val="center"/>
              <w:rPr>
                <w:rFonts w:ascii="Helvetica" w:hAnsi="Helvetica"/>
                <w:sz w:val="14"/>
                <w:szCs w:val="14"/>
              </w:rPr>
            </w:pPr>
            <w:r>
              <w:rPr>
                <w:rFonts w:ascii="Helvetica" w:hAnsi="Helvetica"/>
                <w:sz w:val="14"/>
              </w:rPr>
              <w:t>2</w:t>
            </w:r>
          </w:p>
        </w:tc>
        <w:tc>
          <w:tcPr>
            <w:tcW w:w="3553"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DCFEF67" w14:textId="77777777" w:rsidR="006D5517" w:rsidRPr="00647D81" w:rsidRDefault="006D5517" w:rsidP="006D5517">
            <w:pPr>
              <w:pStyle w:val="AnnexTableCellLeft"/>
              <w:spacing w:line="240" w:lineRule="auto"/>
              <w:ind w:left="300"/>
              <w:jc w:val="left"/>
              <w:rPr>
                <w:rFonts w:ascii="Helvetica" w:hAnsi="Helvetica"/>
                <w:b/>
                <w:sz w:val="14"/>
                <w:szCs w:val="14"/>
              </w:rPr>
            </w:pPr>
            <w:r>
              <w:rPr>
                <w:rFonts w:ascii="Helvetica" w:hAnsi="Helvetica"/>
                <w:b/>
                <w:sz w:val="14"/>
              </w:rPr>
              <w:t>Tjenester rettet mot finansforetak</w:t>
            </w:r>
          </w:p>
        </w:tc>
        <w:tc>
          <w:tcPr>
            <w:tcW w:w="696" w:type="dxa"/>
            <w:tcBorders>
              <w:top w:val="single" w:sz="4" w:space="0" w:color="auto"/>
              <w:left w:val="single" w:sz="4" w:space="0" w:color="auto"/>
              <w:bottom w:val="single" w:sz="4" w:space="0" w:color="auto"/>
            </w:tcBorders>
            <w:shd w:val="clear" w:color="auto" w:fill="FFFFFF"/>
            <w:vAlign w:val="center"/>
          </w:tcPr>
          <w:p w14:paraId="0D203596" w14:textId="77777777" w:rsidR="006D5517" w:rsidRPr="00647D81" w:rsidRDefault="006D5517" w:rsidP="006D5517">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27B475F0" w14:textId="77777777" w:rsidR="006D5517" w:rsidRPr="00647D81" w:rsidRDefault="006D5517" w:rsidP="006D5517">
            <w:pPr>
              <w:pStyle w:val="AnnexTableCellLeft"/>
              <w:spacing w:line="240" w:lineRule="auto"/>
              <w:jc w:val="center"/>
              <w:rPr>
                <w:rFonts w:ascii="Helvetica" w:hAnsi="Helvetica"/>
                <w:sz w:val="14"/>
                <w:szCs w:val="14"/>
              </w:rPr>
            </w:pPr>
          </w:p>
        </w:tc>
        <w:tc>
          <w:tcPr>
            <w:tcW w:w="93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11D45BD" w14:textId="77777777" w:rsidR="006D5517" w:rsidRPr="00647D81" w:rsidRDefault="006D5517" w:rsidP="006D5517">
            <w:pPr>
              <w:pStyle w:val="AnnexTableCellLeft"/>
              <w:spacing w:line="240" w:lineRule="auto"/>
              <w:jc w:val="center"/>
              <w:rPr>
                <w:rFonts w:ascii="Helvetica" w:hAnsi="Helvetica"/>
                <w:sz w:val="14"/>
                <w:szCs w:val="14"/>
              </w:rPr>
            </w:pPr>
          </w:p>
        </w:tc>
        <w:tc>
          <w:tcPr>
            <w:tcW w:w="87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6B093D6C" w14:textId="77777777" w:rsidR="006D5517" w:rsidRPr="00647D81" w:rsidRDefault="006D5517" w:rsidP="006D5517">
            <w:pPr>
              <w:pStyle w:val="AnnexTableCellLeft"/>
              <w:spacing w:line="240" w:lineRule="auto"/>
              <w:jc w:val="center"/>
              <w:rPr>
                <w:rFonts w:ascii="Helvetica" w:hAnsi="Helvetica"/>
                <w:sz w:val="14"/>
                <w:szCs w:val="14"/>
              </w:rPr>
            </w:pPr>
          </w:p>
        </w:tc>
        <w:tc>
          <w:tcPr>
            <w:tcW w:w="92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C86494D" w14:textId="77777777" w:rsidR="006D5517" w:rsidRPr="00647D81" w:rsidRDefault="006D5517" w:rsidP="006D5517">
            <w:pPr>
              <w:pStyle w:val="AnnexTableCellLeft"/>
              <w:spacing w:line="240" w:lineRule="auto"/>
              <w:jc w:val="center"/>
              <w:rPr>
                <w:rFonts w:ascii="Helvetica" w:hAnsi="Helvetica"/>
                <w:sz w:val="14"/>
                <w:szCs w:val="14"/>
              </w:rPr>
            </w:pPr>
          </w:p>
        </w:tc>
        <w:tc>
          <w:tcPr>
            <w:tcW w:w="900"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26B6EC8F" w14:textId="77777777" w:rsidR="006D5517" w:rsidRPr="00647D81" w:rsidRDefault="006D5517" w:rsidP="006D5517">
            <w:pPr>
              <w:pStyle w:val="AnnexTableCellLeft"/>
              <w:spacing w:line="240" w:lineRule="auto"/>
              <w:jc w:val="center"/>
              <w:rPr>
                <w:rFonts w:ascii="Helvetica" w:hAnsi="Helvetica"/>
                <w:sz w:val="14"/>
                <w:szCs w:val="14"/>
              </w:rPr>
            </w:pPr>
          </w:p>
        </w:tc>
        <w:tc>
          <w:tcPr>
            <w:tcW w:w="86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29DFEC4" w14:textId="77777777" w:rsidR="006D5517" w:rsidRPr="00647D81" w:rsidRDefault="006D5517" w:rsidP="006D5517">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124396B9" w14:textId="77777777" w:rsidR="006D5517" w:rsidRPr="00647D81" w:rsidRDefault="006D5517" w:rsidP="006D5517">
            <w:pPr>
              <w:pStyle w:val="AnnexTableCellLeft"/>
              <w:spacing w:line="240" w:lineRule="auto"/>
              <w:jc w:val="center"/>
              <w:rPr>
                <w:rFonts w:ascii="Helvetica" w:hAnsi="Helvetica"/>
                <w:sz w:val="14"/>
                <w:szCs w:val="14"/>
              </w:rPr>
            </w:pPr>
          </w:p>
        </w:tc>
        <w:tc>
          <w:tcPr>
            <w:tcW w:w="80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45F9F1CD" w14:textId="77777777" w:rsidR="006D5517" w:rsidRPr="00647D81" w:rsidRDefault="006D5517" w:rsidP="006D5517">
            <w:pPr>
              <w:pStyle w:val="AnnexTableCellLeft"/>
              <w:spacing w:line="240" w:lineRule="auto"/>
              <w:jc w:val="center"/>
              <w:rPr>
                <w:rFonts w:ascii="Helvetica" w:hAnsi="Helvetica"/>
                <w:sz w:val="14"/>
                <w:szCs w:val="14"/>
              </w:rPr>
            </w:pPr>
          </w:p>
        </w:tc>
        <w:tc>
          <w:tcPr>
            <w:tcW w:w="69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20BE20F6" w14:textId="77777777" w:rsidR="006D5517" w:rsidRPr="00647D81" w:rsidRDefault="006D5517" w:rsidP="006D5517">
            <w:pPr>
              <w:pStyle w:val="AnnexTableCellLeft"/>
              <w:spacing w:line="240" w:lineRule="auto"/>
              <w:jc w:val="center"/>
              <w:rPr>
                <w:rFonts w:ascii="Helvetica" w:hAnsi="Helvetica"/>
                <w:sz w:val="14"/>
                <w:szCs w:val="14"/>
              </w:rPr>
            </w:pPr>
          </w:p>
        </w:tc>
        <w:tc>
          <w:tcPr>
            <w:tcW w:w="792"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39034EE4" w14:textId="77777777" w:rsidR="006D5517" w:rsidRPr="00647D81" w:rsidRDefault="006D5517" w:rsidP="006D5517">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4EF64C48" w14:textId="77777777" w:rsidR="006D5517" w:rsidRPr="00647D81" w:rsidRDefault="006D5517" w:rsidP="006D5517">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auto"/>
              <w:right w:val="single" w:sz="4" w:space="0" w:color="auto"/>
            </w:tcBorders>
            <w:shd w:val="clear" w:color="auto" w:fill="FFFFFF"/>
            <w:tcMar>
              <w:top w:w="40" w:type="dxa"/>
              <w:bottom w:w="40" w:type="dxa"/>
              <w:right w:w="0" w:type="dxa"/>
            </w:tcMar>
            <w:vAlign w:val="center"/>
          </w:tcPr>
          <w:p w14:paraId="59D93C9F" w14:textId="77777777" w:rsidR="006D5517" w:rsidRPr="00647D81" w:rsidRDefault="006D5517" w:rsidP="006D5517">
            <w:pPr>
              <w:pStyle w:val="AnnexTableCellLeft"/>
              <w:spacing w:line="240" w:lineRule="auto"/>
              <w:jc w:val="center"/>
              <w:rPr>
                <w:rFonts w:ascii="Helvetica" w:hAnsi="Helvetica"/>
                <w:sz w:val="14"/>
                <w:szCs w:val="14"/>
              </w:rPr>
            </w:pPr>
          </w:p>
        </w:tc>
      </w:tr>
      <w:tr w:rsidR="006D5517" w:rsidRPr="00647D81" w14:paraId="70C5F450" w14:textId="77777777" w:rsidTr="006D5517">
        <w:trPr>
          <w:trHeight w:val="20"/>
        </w:trPr>
        <w:tc>
          <w:tcPr>
            <w:tcW w:w="238" w:type="dxa"/>
            <w:tcBorders>
              <w:top w:val="single" w:sz="4" w:space="0" w:color="auto"/>
              <w:left w:val="single" w:sz="4" w:space="0" w:color="auto"/>
            </w:tcBorders>
            <w:shd w:val="clear" w:color="auto" w:fill="FFFFFF"/>
            <w:tcMar>
              <w:top w:w="40" w:type="dxa"/>
              <w:left w:w="0" w:type="dxa"/>
              <w:bottom w:w="40" w:type="dxa"/>
            </w:tcMar>
            <w:vAlign w:val="center"/>
          </w:tcPr>
          <w:p w14:paraId="1D877203" w14:textId="77777777" w:rsidR="006D5517" w:rsidRPr="00647D81" w:rsidRDefault="006D5517" w:rsidP="006D5517">
            <w:pPr>
              <w:pStyle w:val="AnnexTableCellLeft"/>
              <w:spacing w:line="240" w:lineRule="auto"/>
              <w:jc w:val="center"/>
              <w:rPr>
                <w:rFonts w:ascii="Helvetica" w:hAnsi="Helvetica"/>
                <w:sz w:val="14"/>
                <w:szCs w:val="14"/>
              </w:rPr>
            </w:pPr>
            <w:r>
              <w:rPr>
                <w:rFonts w:ascii="Helvetica" w:hAnsi="Helvetica"/>
                <w:sz w:val="14"/>
              </w:rPr>
              <w:t>3</w:t>
            </w:r>
          </w:p>
        </w:tc>
        <w:tc>
          <w:tcPr>
            <w:tcW w:w="3553" w:type="dxa"/>
            <w:tcBorders>
              <w:top w:val="single" w:sz="4" w:space="0" w:color="auto"/>
              <w:left w:val="single" w:sz="4" w:space="0" w:color="auto"/>
            </w:tcBorders>
            <w:shd w:val="clear" w:color="auto" w:fill="FFFFFF"/>
            <w:tcMar>
              <w:top w:w="40" w:type="dxa"/>
              <w:bottom w:w="40" w:type="dxa"/>
            </w:tcMar>
            <w:vAlign w:val="center"/>
          </w:tcPr>
          <w:p w14:paraId="702D9A74" w14:textId="77777777" w:rsidR="006D5517" w:rsidRPr="00647D81" w:rsidRDefault="006D5517" w:rsidP="006D5517">
            <w:pPr>
              <w:pStyle w:val="AnnexTableCellLeft"/>
              <w:spacing w:line="240" w:lineRule="auto"/>
              <w:ind w:left="300"/>
              <w:jc w:val="left"/>
              <w:rPr>
                <w:rFonts w:ascii="Helvetica" w:hAnsi="Helvetica"/>
                <w:b/>
                <w:sz w:val="14"/>
                <w:szCs w:val="14"/>
              </w:rPr>
            </w:pPr>
            <w:r>
              <w:rPr>
                <w:rFonts w:ascii="Helvetica" w:hAnsi="Helvetica"/>
                <w:b/>
                <w:sz w:val="14"/>
              </w:rPr>
              <w:t>Ikke-finansielle foretak</w:t>
            </w:r>
          </w:p>
        </w:tc>
        <w:tc>
          <w:tcPr>
            <w:tcW w:w="696" w:type="dxa"/>
            <w:tcBorders>
              <w:top w:val="single" w:sz="4" w:space="0" w:color="auto"/>
              <w:left w:val="single" w:sz="4" w:space="0" w:color="auto"/>
            </w:tcBorders>
            <w:shd w:val="clear" w:color="auto" w:fill="FFFFFF"/>
            <w:vAlign w:val="center"/>
          </w:tcPr>
          <w:p w14:paraId="208B4B47" w14:textId="77777777" w:rsidR="006D5517" w:rsidRPr="00647D81" w:rsidRDefault="006D5517" w:rsidP="006D5517">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40" w:type="dxa"/>
              <w:bottom w:w="40" w:type="dxa"/>
            </w:tcMar>
            <w:vAlign w:val="center"/>
          </w:tcPr>
          <w:p w14:paraId="1AD3B571" w14:textId="77777777" w:rsidR="006D5517" w:rsidRPr="00647D81" w:rsidRDefault="006D5517" w:rsidP="006D5517">
            <w:pPr>
              <w:pStyle w:val="AnnexTableCellLeft"/>
              <w:spacing w:line="240" w:lineRule="auto"/>
              <w:jc w:val="center"/>
              <w:rPr>
                <w:rFonts w:ascii="Helvetica" w:hAnsi="Helvetica"/>
                <w:sz w:val="14"/>
                <w:szCs w:val="14"/>
              </w:rPr>
            </w:pPr>
          </w:p>
        </w:tc>
        <w:tc>
          <w:tcPr>
            <w:tcW w:w="936" w:type="dxa"/>
            <w:tcBorders>
              <w:top w:val="single" w:sz="4" w:space="0" w:color="auto"/>
              <w:left w:val="single" w:sz="4" w:space="0" w:color="auto"/>
            </w:tcBorders>
            <w:shd w:val="clear" w:color="auto" w:fill="FFFFFF"/>
            <w:tcMar>
              <w:top w:w="40" w:type="dxa"/>
              <w:bottom w:w="40" w:type="dxa"/>
            </w:tcMar>
            <w:vAlign w:val="center"/>
          </w:tcPr>
          <w:p w14:paraId="46E470F0" w14:textId="77777777" w:rsidR="006D5517" w:rsidRPr="00647D81" w:rsidRDefault="006D5517" w:rsidP="006D5517">
            <w:pPr>
              <w:pStyle w:val="AnnexTableCellLeft"/>
              <w:spacing w:line="240" w:lineRule="auto"/>
              <w:jc w:val="center"/>
              <w:rPr>
                <w:rFonts w:ascii="Helvetica" w:hAnsi="Helvetica"/>
                <w:sz w:val="14"/>
                <w:szCs w:val="14"/>
              </w:rPr>
            </w:pPr>
          </w:p>
        </w:tc>
        <w:tc>
          <w:tcPr>
            <w:tcW w:w="876" w:type="dxa"/>
            <w:tcBorders>
              <w:top w:val="single" w:sz="4" w:space="0" w:color="auto"/>
              <w:left w:val="single" w:sz="4" w:space="0" w:color="auto"/>
            </w:tcBorders>
            <w:shd w:val="clear" w:color="auto" w:fill="FFFFFF"/>
            <w:tcMar>
              <w:top w:w="40" w:type="dxa"/>
              <w:bottom w:w="40" w:type="dxa"/>
            </w:tcMar>
            <w:vAlign w:val="center"/>
          </w:tcPr>
          <w:p w14:paraId="44CD8C91" w14:textId="77777777" w:rsidR="006D5517" w:rsidRPr="00647D81" w:rsidRDefault="006D5517" w:rsidP="006D5517">
            <w:pPr>
              <w:pStyle w:val="AnnexTableCellLeft"/>
              <w:spacing w:line="240" w:lineRule="auto"/>
              <w:jc w:val="center"/>
              <w:rPr>
                <w:rFonts w:ascii="Helvetica" w:hAnsi="Helvetica"/>
                <w:sz w:val="14"/>
                <w:szCs w:val="14"/>
              </w:rPr>
            </w:pPr>
          </w:p>
        </w:tc>
        <w:tc>
          <w:tcPr>
            <w:tcW w:w="924" w:type="dxa"/>
            <w:tcBorders>
              <w:top w:val="single" w:sz="4" w:space="0" w:color="auto"/>
              <w:left w:val="single" w:sz="4" w:space="0" w:color="auto"/>
            </w:tcBorders>
            <w:shd w:val="clear" w:color="auto" w:fill="FFFFFF"/>
            <w:tcMar>
              <w:top w:w="40" w:type="dxa"/>
              <w:bottom w:w="40" w:type="dxa"/>
            </w:tcMar>
            <w:vAlign w:val="center"/>
          </w:tcPr>
          <w:p w14:paraId="1C96674D" w14:textId="77777777" w:rsidR="006D5517" w:rsidRPr="00647D81" w:rsidRDefault="006D5517" w:rsidP="006D5517">
            <w:pPr>
              <w:pStyle w:val="AnnexTableCellLeft"/>
              <w:spacing w:line="240" w:lineRule="auto"/>
              <w:jc w:val="center"/>
              <w:rPr>
                <w:rFonts w:ascii="Helvetica" w:hAnsi="Helvetica"/>
                <w:sz w:val="14"/>
                <w:szCs w:val="14"/>
              </w:rPr>
            </w:pPr>
          </w:p>
        </w:tc>
        <w:tc>
          <w:tcPr>
            <w:tcW w:w="900" w:type="dxa"/>
            <w:tcBorders>
              <w:top w:val="single" w:sz="4" w:space="0" w:color="auto"/>
              <w:left w:val="single" w:sz="4" w:space="0" w:color="auto"/>
            </w:tcBorders>
            <w:shd w:val="clear" w:color="auto" w:fill="FFFFFF"/>
            <w:tcMar>
              <w:top w:w="40" w:type="dxa"/>
              <w:bottom w:w="40" w:type="dxa"/>
            </w:tcMar>
            <w:vAlign w:val="center"/>
          </w:tcPr>
          <w:p w14:paraId="5105B988" w14:textId="77777777" w:rsidR="006D5517" w:rsidRPr="00647D81" w:rsidRDefault="006D5517" w:rsidP="006D5517">
            <w:pPr>
              <w:pStyle w:val="AnnexTableCellLeft"/>
              <w:spacing w:line="240" w:lineRule="auto"/>
              <w:jc w:val="center"/>
              <w:rPr>
                <w:rFonts w:ascii="Helvetica" w:hAnsi="Helvetica"/>
                <w:sz w:val="14"/>
                <w:szCs w:val="14"/>
              </w:rPr>
            </w:pPr>
          </w:p>
        </w:tc>
        <w:tc>
          <w:tcPr>
            <w:tcW w:w="864" w:type="dxa"/>
            <w:tcBorders>
              <w:top w:val="single" w:sz="4" w:space="0" w:color="auto"/>
              <w:left w:val="single" w:sz="4" w:space="0" w:color="auto"/>
            </w:tcBorders>
            <w:shd w:val="clear" w:color="auto" w:fill="FFFFFF"/>
            <w:tcMar>
              <w:top w:w="40" w:type="dxa"/>
              <w:bottom w:w="40" w:type="dxa"/>
            </w:tcMar>
            <w:vAlign w:val="center"/>
          </w:tcPr>
          <w:p w14:paraId="63AB77F6" w14:textId="77777777" w:rsidR="006D5517" w:rsidRPr="00647D81" w:rsidRDefault="006D5517" w:rsidP="006D5517">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tcBorders>
            <w:shd w:val="clear" w:color="auto" w:fill="FFFFFF"/>
            <w:tcMar>
              <w:top w:w="40" w:type="dxa"/>
              <w:bottom w:w="40" w:type="dxa"/>
            </w:tcMar>
            <w:vAlign w:val="center"/>
          </w:tcPr>
          <w:p w14:paraId="4426053D" w14:textId="77777777" w:rsidR="006D5517" w:rsidRPr="00647D81" w:rsidRDefault="006D5517" w:rsidP="006D5517">
            <w:pPr>
              <w:pStyle w:val="AnnexTableCellLeft"/>
              <w:spacing w:line="240" w:lineRule="auto"/>
              <w:jc w:val="center"/>
              <w:rPr>
                <w:rFonts w:ascii="Helvetica" w:hAnsi="Helvetica"/>
                <w:sz w:val="14"/>
                <w:szCs w:val="14"/>
              </w:rPr>
            </w:pPr>
          </w:p>
        </w:tc>
        <w:tc>
          <w:tcPr>
            <w:tcW w:w="804" w:type="dxa"/>
            <w:tcBorders>
              <w:top w:val="single" w:sz="4" w:space="0" w:color="auto"/>
              <w:left w:val="single" w:sz="4" w:space="0" w:color="auto"/>
            </w:tcBorders>
            <w:shd w:val="clear" w:color="auto" w:fill="FFFFFF"/>
            <w:tcMar>
              <w:top w:w="40" w:type="dxa"/>
              <w:bottom w:w="40" w:type="dxa"/>
            </w:tcMar>
            <w:vAlign w:val="center"/>
          </w:tcPr>
          <w:p w14:paraId="01A3CC15" w14:textId="77777777" w:rsidR="006D5517" w:rsidRPr="00647D81" w:rsidRDefault="006D5517" w:rsidP="006D5517">
            <w:pPr>
              <w:pStyle w:val="AnnexTableCellLeft"/>
              <w:spacing w:line="240" w:lineRule="auto"/>
              <w:jc w:val="center"/>
              <w:rPr>
                <w:rFonts w:ascii="Helvetica" w:hAnsi="Helvetica"/>
                <w:sz w:val="14"/>
                <w:szCs w:val="14"/>
              </w:rPr>
            </w:pPr>
          </w:p>
        </w:tc>
        <w:tc>
          <w:tcPr>
            <w:tcW w:w="696" w:type="dxa"/>
            <w:tcBorders>
              <w:top w:val="single" w:sz="4" w:space="0" w:color="auto"/>
              <w:left w:val="single" w:sz="4" w:space="0" w:color="auto"/>
            </w:tcBorders>
            <w:shd w:val="clear" w:color="auto" w:fill="FFFFFF"/>
            <w:tcMar>
              <w:top w:w="40" w:type="dxa"/>
              <w:bottom w:w="40" w:type="dxa"/>
            </w:tcMar>
            <w:vAlign w:val="center"/>
          </w:tcPr>
          <w:p w14:paraId="03D8E9B8" w14:textId="77777777" w:rsidR="006D5517" w:rsidRPr="00647D81" w:rsidRDefault="006D5517" w:rsidP="006D5517">
            <w:pPr>
              <w:pStyle w:val="AnnexTableCellLeft"/>
              <w:spacing w:line="240" w:lineRule="auto"/>
              <w:jc w:val="center"/>
              <w:rPr>
                <w:rFonts w:ascii="Helvetica" w:hAnsi="Helvetica"/>
                <w:sz w:val="14"/>
                <w:szCs w:val="14"/>
              </w:rPr>
            </w:pPr>
          </w:p>
        </w:tc>
        <w:tc>
          <w:tcPr>
            <w:tcW w:w="792" w:type="dxa"/>
            <w:tcBorders>
              <w:top w:val="single" w:sz="4" w:space="0" w:color="auto"/>
              <w:left w:val="single" w:sz="4" w:space="0" w:color="auto"/>
            </w:tcBorders>
            <w:shd w:val="clear" w:color="auto" w:fill="FFFFFF"/>
            <w:tcMar>
              <w:top w:w="40" w:type="dxa"/>
              <w:bottom w:w="40" w:type="dxa"/>
            </w:tcMar>
            <w:vAlign w:val="center"/>
          </w:tcPr>
          <w:p w14:paraId="338AF224" w14:textId="77777777" w:rsidR="006D5517" w:rsidRPr="00647D81" w:rsidRDefault="006D5517" w:rsidP="006D5517">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tcBorders>
            <w:shd w:val="clear" w:color="auto" w:fill="FFFFFF"/>
            <w:tcMar>
              <w:top w:w="40" w:type="dxa"/>
              <w:bottom w:w="40" w:type="dxa"/>
            </w:tcMar>
            <w:vAlign w:val="center"/>
          </w:tcPr>
          <w:p w14:paraId="74781A30" w14:textId="77777777" w:rsidR="006D5517" w:rsidRPr="00647D81" w:rsidRDefault="006D5517" w:rsidP="006D5517">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3E918C73" w14:textId="77777777" w:rsidR="006D5517" w:rsidRPr="00647D81" w:rsidRDefault="006D5517" w:rsidP="006D5517">
            <w:pPr>
              <w:pStyle w:val="AnnexTableCellLeft"/>
              <w:spacing w:line="240" w:lineRule="auto"/>
              <w:jc w:val="center"/>
              <w:rPr>
                <w:rFonts w:ascii="Helvetica" w:hAnsi="Helvetica"/>
                <w:sz w:val="14"/>
                <w:szCs w:val="14"/>
              </w:rPr>
            </w:pPr>
          </w:p>
        </w:tc>
      </w:tr>
      <w:tr w:rsidR="006D5517" w:rsidRPr="00647D81" w14:paraId="7A2E583F" w14:textId="77777777" w:rsidTr="006D5517">
        <w:trPr>
          <w:trHeight w:val="20"/>
        </w:trPr>
        <w:tc>
          <w:tcPr>
            <w:tcW w:w="238" w:type="dxa"/>
            <w:tcBorders>
              <w:top w:val="single" w:sz="4" w:space="0" w:color="auto"/>
              <w:left w:val="single" w:sz="4" w:space="0" w:color="auto"/>
              <w:bottom w:val="single" w:sz="4" w:space="0" w:color="auto"/>
            </w:tcBorders>
            <w:shd w:val="clear" w:color="auto" w:fill="FFFFFF"/>
            <w:tcMar>
              <w:top w:w="40" w:type="dxa"/>
              <w:left w:w="0" w:type="dxa"/>
              <w:bottom w:w="40" w:type="dxa"/>
            </w:tcMar>
            <w:vAlign w:val="center"/>
          </w:tcPr>
          <w:p w14:paraId="753A8769" w14:textId="77777777" w:rsidR="006D5517" w:rsidRPr="00647D81" w:rsidRDefault="006D5517" w:rsidP="006D5517">
            <w:pPr>
              <w:pStyle w:val="AnnexTableCellLeft"/>
              <w:spacing w:line="240" w:lineRule="auto"/>
              <w:jc w:val="center"/>
              <w:rPr>
                <w:rFonts w:ascii="Helvetica" w:hAnsi="Helvetica"/>
                <w:sz w:val="14"/>
                <w:szCs w:val="14"/>
              </w:rPr>
            </w:pPr>
            <w:r>
              <w:rPr>
                <w:rFonts w:ascii="Helvetica" w:hAnsi="Helvetica"/>
                <w:sz w:val="14"/>
              </w:rPr>
              <w:t>4</w:t>
            </w:r>
          </w:p>
        </w:tc>
        <w:tc>
          <w:tcPr>
            <w:tcW w:w="3553"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6169CC24" w14:textId="77777777" w:rsidR="006D5517" w:rsidRPr="00647D81" w:rsidRDefault="006D5517" w:rsidP="006D5517">
            <w:pPr>
              <w:pStyle w:val="AnnexTableCellLeft"/>
              <w:spacing w:line="240" w:lineRule="auto"/>
              <w:ind w:left="40"/>
              <w:jc w:val="left"/>
              <w:rPr>
                <w:rFonts w:ascii="Helvetica" w:hAnsi="Helvetica"/>
                <w:b/>
                <w:sz w:val="14"/>
                <w:szCs w:val="14"/>
                <w:u w:val="single"/>
              </w:rPr>
            </w:pPr>
            <w:r>
              <w:rPr>
                <w:rFonts w:ascii="Helvetica" w:hAnsi="Helvetica"/>
                <w:b/>
                <w:sz w:val="14"/>
                <w:u w:val="single"/>
              </w:rPr>
              <w:t>Motparter som ikke er omfattet av opplysningsplikten i direktivet om virksomheters bærekraftsrapportering, herunder motparter i tredjeland</w:t>
            </w:r>
          </w:p>
        </w:tc>
        <w:tc>
          <w:tcPr>
            <w:tcW w:w="696" w:type="dxa"/>
            <w:tcBorders>
              <w:top w:val="single" w:sz="4" w:space="0" w:color="auto"/>
              <w:left w:val="single" w:sz="4" w:space="0" w:color="auto"/>
              <w:bottom w:val="single" w:sz="4" w:space="0" w:color="auto"/>
            </w:tcBorders>
            <w:shd w:val="clear" w:color="auto" w:fill="FFFFFF"/>
            <w:vAlign w:val="center"/>
          </w:tcPr>
          <w:p w14:paraId="32C96ACE" w14:textId="77777777" w:rsidR="006D5517" w:rsidRPr="00647D81" w:rsidRDefault="006D5517" w:rsidP="006D5517">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74131F9F" w14:textId="77777777" w:rsidR="006D5517" w:rsidRPr="00647D81" w:rsidRDefault="006D5517" w:rsidP="006D5517">
            <w:pPr>
              <w:pStyle w:val="AnnexTableCellLeft"/>
              <w:spacing w:line="240" w:lineRule="auto"/>
              <w:jc w:val="center"/>
              <w:rPr>
                <w:rFonts w:ascii="Helvetica" w:hAnsi="Helvetica"/>
                <w:sz w:val="14"/>
                <w:szCs w:val="14"/>
              </w:rPr>
            </w:pPr>
          </w:p>
        </w:tc>
        <w:tc>
          <w:tcPr>
            <w:tcW w:w="936"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1CB11F35" w14:textId="77777777" w:rsidR="006D5517" w:rsidRPr="00647D81" w:rsidRDefault="006D5517" w:rsidP="006D5517">
            <w:pPr>
              <w:pStyle w:val="AnnexTableCellLeft"/>
              <w:spacing w:line="240" w:lineRule="auto"/>
              <w:jc w:val="center"/>
              <w:rPr>
                <w:rFonts w:ascii="Helvetica" w:hAnsi="Helvetica"/>
                <w:sz w:val="14"/>
                <w:szCs w:val="14"/>
              </w:rPr>
            </w:pPr>
          </w:p>
        </w:tc>
        <w:tc>
          <w:tcPr>
            <w:tcW w:w="876"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52070540" w14:textId="77777777" w:rsidR="006D5517" w:rsidRPr="00647D81" w:rsidRDefault="006D5517" w:rsidP="006D5517">
            <w:pPr>
              <w:pStyle w:val="AnnexTableCellLeft"/>
              <w:spacing w:line="240" w:lineRule="auto"/>
              <w:jc w:val="center"/>
              <w:rPr>
                <w:rFonts w:ascii="Helvetica" w:hAnsi="Helvetica"/>
                <w:sz w:val="14"/>
                <w:szCs w:val="14"/>
              </w:rPr>
            </w:pPr>
          </w:p>
        </w:tc>
        <w:tc>
          <w:tcPr>
            <w:tcW w:w="924"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72614FA6" w14:textId="77777777" w:rsidR="006D5517" w:rsidRPr="00647D81" w:rsidRDefault="006D5517" w:rsidP="006D5517">
            <w:pPr>
              <w:pStyle w:val="AnnexTableCellLeft"/>
              <w:spacing w:line="240" w:lineRule="auto"/>
              <w:jc w:val="center"/>
              <w:rPr>
                <w:rFonts w:ascii="Helvetica" w:hAnsi="Helvetica"/>
                <w:sz w:val="14"/>
                <w:szCs w:val="14"/>
              </w:rPr>
            </w:pPr>
          </w:p>
        </w:tc>
        <w:tc>
          <w:tcPr>
            <w:tcW w:w="900"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1A39869F" w14:textId="77777777" w:rsidR="006D5517" w:rsidRPr="00647D81" w:rsidRDefault="006D5517" w:rsidP="006D5517">
            <w:pPr>
              <w:pStyle w:val="AnnexTableCellLeft"/>
              <w:spacing w:line="240" w:lineRule="auto"/>
              <w:jc w:val="center"/>
              <w:rPr>
                <w:rFonts w:ascii="Helvetica" w:hAnsi="Helvetica"/>
                <w:sz w:val="14"/>
                <w:szCs w:val="14"/>
              </w:rPr>
            </w:pPr>
          </w:p>
        </w:tc>
        <w:tc>
          <w:tcPr>
            <w:tcW w:w="864"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2BEE4A38" w14:textId="77777777" w:rsidR="006D5517" w:rsidRPr="00647D81" w:rsidRDefault="006D5517" w:rsidP="006D5517">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6FA2129E" w14:textId="77777777" w:rsidR="006D5517" w:rsidRPr="00647D81" w:rsidRDefault="006D5517" w:rsidP="006D5517">
            <w:pPr>
              <w:pStyle w:val="AnnexTableCellLeft"/>
              <w:spacing w:line="240" w:lineRule="auto"/>
              <w:jc w:val="center"/>
              <w:rPr>
                <w:rFonts w:ascii="Helvetica" w:hAnsi="Helvetica"/>
                <w:sz w:val="14"/>
                <w:szCs w:val="14"/>
              </w:rPr>
            </w:pPr>
          </w:p>
        </w:tc>
        <w:tc>
          <w:tcPr>
            <w:tcW w:w="804"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37B13428" w14:textId="77777777" w:rsidR="006D5517" w:rsidRPr="00647D81" w:rsidRDefault="006D5517" w:rsidP="006D5517">
            <w:pPr>
              <w:pStyle w:val="AnnexTableCellLeft"/>
              <w:spacing w:line="240" w:lineRule="auto"/>
              <w:jc w:val="center"/>
              <w:rPr>
                <w:rFonts w:ascii="Helvetica" w:hAnsi="Helvetica"/>
                <w:sz w:val="14"/>
                <w:szCs w:val="14"/>
              </w:rPr>
            </w:pPr>
          </w:p>
        </w:tc>
        <w:tc>
          <w:tcPr>
            <w:tcW w:w="696"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242AA6A5" w14:textId="77777777" w:rsidR="006D5517" w:rsidRPr="00647D81" w:rsidRDefault="006D5517" w:rsidP="006D5517">
            <w:pPr>
              <w:pStyle w:val="AnnexTableCellLeft"/>
              <w:spacing w:line="240" w:lineRule="auto"/>
              <w:jc w:val="center"/>
              <w:rPr>
                <w:rFonts w:ascii="Helvetica" w:hAnsi="Helvetica"/>
                <w:sz w:val="14"/>
                <w:szCs w:val="14"/>
              </w:rPr>
            </w:pPr>
          </w:p>
        </w:tc>
        <w:tc>
          <w:tcPr>
            <w:tcW w:w="792"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1347BFB1" w14:textId="77777777" w:rsidR="006D5517" w:rsidRPr="00647D81" w:rsidRDefault="006D5517" w:rsidP="006D5517">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bottom w:val="single" w:sz="4" w:space="0" w:color="auto"/>
            </w:tcBorders>
            <w:shd w:val="clear" w:color="auto" w:fill="000000" w:themeFill="text1"/>
            <w:tcMar>
              <w:top w:w="40" w:type="dxa"/>
              <w:bottom w:w="40" w:type="dxa"/>
            </w:tcMar>
            <w:vAlign w:val="center"/>
          </w:tcPr>
          <w:p w14:paraId="4291A22C" w14:textId="77777777" w:rsidR="006D5517" w:rsidRPr="00647D81" w:rsidRDefault="006D5517" w:rsidP="006D5517">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auto"/>
              <w:right w:val="single" w:sz="4" w:space="0" w:color="auto"/>
            </w:tcBorders>
            <w:shd w:val="clear" w:color="auto" w:fill="000000" w:themeFill="text1"/>
            <w:tcMar>
              <w:top w:w="40" w:type="dxa"/>
              <w:bottom w:w="40" w:type="dxa"/>
              <w:right w:w="0" w:type="dxa"/>
            </w:tcMar>
            <w:vAlign w:val="center"/>
          </w:tcPr>
          <w:p w14:paraId="680746A7" w14:textId="77777777" w:rsidR="006D5517" w:rsidRPr="00647D81" w:rsidRDefault="006D5517" w:rsidP="006D5517">
            <w:pPr>
              <w:pStyle w:val="AnnexTableCellLeft"/>
              <w:spacing w:line="240" w:lineRule="auto"/>
              <w:jc w:val="center"/>
              <w:rPr>
                <w:rFonts w:ascii="Helvetica" w:hAnsi="Helvetica"/>
                <w:sz w:val="14"/>
                <w:szCs w:val="14"/>
              </w:rPr>
            </w:pPr>
          </w:p>
        </w:tc>
      </w:tr>
    </w:tbl>
    <w:p w14:paraId="5EFC5216" w14:textId="77777777" w:rsidR="006D5517" w:rsidRPr="006D5517" w:rsidRDefault="006D5517" w:rsidP="006D5517">
      <w:pPr>
        <w:pStyle w:val="AnnexNormal"/>
        <w:spacing w:before="200" w:after="0"/>
      </w:pPr>
      <w:r>
        <w:t>1. Institusjoner skal i denne malen opplyse om hvor stor prosentdel (%) av gebyr- og provisjonsinntektene som knytter seg til taksonomirelevante sektorer og taksonomiforenlige aktiviteter (spesifisert etter omstillingsaktiviteter og muliggjørende aktiviteter) i forhold til samlede gebyr- og provisjonsinntekter fra foretak som er omfattet av direktivet om virksomheters bærekraftsrapportering, for andre tjenester enn utlån og kapitalforvaltning.</w:t>
      </w:r>
    </w:p>
    <w:p w14:paraId="10E5F0BC" w14:textId="77777777" w:rsidR="006D5517" w:rsidRPr="006D5517" w:rsidRDefault="006D5517" w:rsidP="006D5517">
      <w:pPr>
        <w:pStyle w:val="AnnexNormal"/>
        <w:spacing w:after="0"/>
      </w:pPr>
      <w:r>
        <w:t>2. Kredittinstitusjoner skal duplisere denne malen for opplysninger basert på omsetning og investeringsutgifter.</w:t>
      </w:r>
    </w:p>
    <w:p w14:paraId="60510E7F" w14:textId="6CD98342" w:rsidR="006D5517" w:rsidRPr="006D5517" w:rsidRDefault="006D5517" w:rsidP="006D5517">
      <w:pPr>
        <w:pStyle w:val="AnnexNormal"/>
      </w:pPr>
      <w:r>
        <w:t xml:space="preserve">3. </w:t>
      </w:r>
      <w:r w:rsidR="005605F3">
        <w:t>I</w:t>
      </w:r>
      <w:r>
        <w:t xml:space="preserve"> samsvar med artikkel 7 nr. 8 i denne forordningen</w:t>
      </w:r>
    </w:p>
    <w:p w14:paraId="20A612CD" w14:textId="77777777" w:rsidR="006D5517" w:rsidRDefault="006D5517">
      <w:pPr>
        <w:shd w:val="clear" w:color="auto" w:fill="auto"/>
        <w:spacing w:line="0" w:lineRule="auto"/>
        <w:jc w:val="left"/>
        <w:rPr>
          <w:color w:val="auto"/>
          <w14:ligatures w14:val="standard"/>
        </w:rPr>
      </w:pPr>
      <w:r>
        <w:br w:type="page"/>
      </w:r>
    </w:p>
    <w:p w14:paraId="1E2C1532" w14:textId="77777777" w:rsidR="006D5517" w:rsidRPr="00FC0CD2" w:rsidRDefault="00FC0CD2" w:rsidP="00FC0CD2">
      <w:pPr>
        <w:pStyle w:val="TableTitle"/>
        <w:pageBreakBefore/>
        <w:rPr>
          <w:i/>
        </w:rPr>
      </w:pPr>
      <w:r>
        <w:rPr>
          <w:i/>
        </w:rPr>
        <w:lastRenderedPageBreak/>
        <w:t>Mal 7: KPI for handelsporteføljen</w:t>
      </w:r>
    </w:p>
    <w:tbl>
      <w:tblPr>
        <w:tblOverlap w:val="never"/>
        <w:tblW w:w="14326" w:type="dxa"/>
        <w:tblLayout w:type="fixed"/>
        <w:tblCellMar>
          <w:left w:w="10" w:type="dxa"/>
          <w:right w:w="10" w:type="dxa"/>
        </w:tblCellMar>
        <w:tblLook w:val="0000" w:firstRow="0" w:lastRow="0" w:firstColumn="0" w:lastColumn="0" w:noHBand="0" w:noVBand="0"/>
      </w:tblPr>
      <w:tblGrid>
        <w:gridCol w:w="238"/>
        <w:gridCol w:w="3693"/>
        <w:gridCol w:w="663"/>
        <w:gridCol w:w="792"/>
        <w:gridCol w:w="732"/>
        <w:gridCol w:w="744"/>
        <w:gridCol w:w="792"/>
        <w:gridCol w:w="756"/>
        <w:gridCol w:w="708"/>
        <w:gridCol w:w="792"/>
        <w:gridCol w:w="804"/>
        <w:gridCol w:w="516"/>
        <w:gridCol w:w="564"/>
        <w:gridCol w:w="600"/>
        <w:gridCol w:w="492"/>
        <w:gridCol w:w="528"/>
        <w:gridCol w:w="456"/>
        <w:gridCol w:w="456"/>
      </w:tblGrid>
      <w:tr w:rsidR="00FC0CD2" w:rsidRPr="00647D81" w14:paraId="616A16F4" w14:textId="77777777" w:rsidTr="004A2CAF">
        <w:trPr>
          <w:trHeight w:val="125"/>
        </w:trPr>
        <w:tc>
          <w:tcPr>
            <w:tcW w:w="238" w:type="dxa"/>
            <w:vMerge w:val="restart"/>
            <w:shd w:val="clear" w:color="auto" w:fill="FFFFFF"/>
            <w:tcMar>
              <w:top w:w="20" w:type="dxa"/>
              <w:bottom w:w="20" w:type="dxa"/>
            </w:tcMar>
            <w:vAlign w:val="center"/>
          </w:tcPr>
          <w:p w14:paraId="1C35E706" w14:textId="77777777" w:rsidR="00FC0CD2" w:rsidRPr="00647D81" w:rsidRDefault="00FC0CD2" w:rsidP="00FC0CD2">
            <w:pPr>
              <w:pStyle w:val="AnnexTableHeader"/>
              <w:spacing w:line="240" w:lineRule="auto"/>
              <w:rPr>
                <w:rFonts w:ascii="Helvetica" w:hAnsi="Helvetica"/>
                <w:sz w:val="12"/>
                <w:szCs w:val="12"/>
              </w:rPr>
            </w:pPr>
          </w:p>
        </w:tc>
        <w:tc>
          <w:tcPr>
            <w:tcW w:w="3693" w:type="dxa"/>
            <w:tcBorders>
              <w:top w:val="single" w:sz="4" w:space="0" w:color="auto"/>
              <w:left w:val="single" w:sz="4" w:space="0" w:color="auto"/>
            </w:tcBorders>
            <w:shd w:val="clear" w:color="auto" w:fill="FFFFFF"/>
            <w:tcMar>
              <w:top w:w="20" w:type="dxa"/>
              <w:bottom w:w="20" w:type="dxa"/>
            </w:tcMar>
            <w:vAlign w:val="center"/>
          </w:tcPr>
          <w:p w14:paraId="5AEC8C12" w14:textId="77777777" w:rsidR="00FC0CD2" w:rsidRPr="00647D81" w:rsidRDefault="00FC0CD2" w:rsidP="00CF19A5">
            <w:pPr>
              <w:pStyle w:val="AnnexTableHeader"/>
              <w:spacing w:line="240" w:lineRule="auto"/>
              <w:ind w:left="40"/>
              <w:jc w:val="left"/>
              <w:rPr>
                <w:rFonts w:ascii="Helvetica" w:hAnsi="Helvetica"/>
                <w:sz w:val="12"/>
                <w:szCs w:val="12"/>
              </w:rPr>
            </w:pPr>
            <w:r>
              <w:rPr>
                <w:rFonts w:ascii="Helvetica" w:hAnsi="Helvetica"/>
                <w:sz w:val="12"/>
              </w:rPr>
              <w:t>Referanseperiode for opplysningene T</w:t>
            </w:r>
          </w:p>
        </w:tc>
        <w:tc>
          <w:tcPr>
            <w:tcW w:w="663" w:type="dxa"/>
            <w:tcBorders>
              <w:top w:val="single" w:sz="4" w:space="0" w:color="auto"/>
              <w:left w:val="single" w:sz="4" w:space="0" w:color="auto"/>
              <w:bottom w:val="single" w:sz="4" w:space="0" w:color="000000"/>
            </w:tcBorders>
            <w:shd w:val="clear" w:color="auto" w:fill="FFFFFF"/>
            <w:tcMar>
              <w:top w:w="20" w:type="dxa"/>
              <w:bottom w:w="20" w:type="dxa"/>
            </w:tcMar>
            <w:vAlign w:val="center"/>
          </w:tcPr>
          <w:p w14:paraId="3FC685E6" w14:textId="77777777" w:rsidR="00FC0CD2" w:rsidRPr="00647D81" w:rsidRDefault="00FC0CD2" w:rsidP="00FC0CD2">
            <w:pPr>
              <w:pStyle w:val="AnnexTableHeader"/>
              <w:spacing w:line="240" w:lineRule="auto"/>
              <w:rPr>
                <w:rFonts w:ascii="Helvetica" w:hAnsi="Helvetica"/>
                <w:sz w:val="12"/>
                <w:szCs w:val="12"/>
              </w:rPr>
            </w:pPr>
          </w:p>
        </w:tc>
        <w:tc>
          <w:tcPr>
            <w:tcW w:w="9732" w:type="dxa"/>
            <w:gridSpan w:val="15"/>
            <w:tcBorders>
              <w:left w:val="single" w:sz="4" w:space="0" w:color="auto"/>
              <w:bottom w:val="single" w:sz="4" w:space="0" w:color="000000"/>
            </w:tcBorders>
            <w:shd w:val="clear" w:color="auto" w:fill="FFFFFF"/>
            <w:tcMar>
              <w:top w:w="20" w:type="dxa"/>
              <w:bottom w:w="20" w:type="dxa"/>
            </w:tcMar>
            <w:vAlign w:val="center"/>
          </w:tcPr>
          <w:p w14:paraId="3E0BAFF5" w14:textId="77777777" w:rsidR="00FC0CD2" w:rsidRPr="00647D81" w:rsidRDefault="00FC0CD2" w:rsidP="00FC0CD2">
            <w:pPr>
              <w:pStyle w:val="AnnexTableHeader"/>
              <w:spacing w:line="240" w:lineRule="auto"/>
              <w:rPr>
                <w:rFonts w:ascii="Helvetica" w:hAnsi="Helvetica"/>
                <w:sz w:val="12"/>
                <w:szCs w:val="12"/>
              </w:rPr>
            </w:pPr>
          </w:p>
        </w:tc>
      </w:tr>
      <w:tr w:rsidR="00FC0CD2" w:rsidRPr="00647D81" w14:paraId="3915C639" w14:textId="77777777" w:rsidTr="004A2CAF">
        <w:trPr>
          <w:trHeight w:val="120"/>
        </w:trPr>
        <w:tc>
          <w:tcPr>
            <w:tcW w:w="238" w:type="dxa"/>
            <w:vMerge/>
            <w:shd w:val="clear" w:color="auto" w:fill="FFFFFF"/>
            <w:tcMar>
              <w:top w:w="20" w:type="dxa"/>
              <w:bottom w:w="20" w:type="dxa"/>
            </w:tcMar>
            <w:vAlign w:val="center"/>
          </w:tcPr>
          <w:p w14:paraId="3DFF7D63" w14:textId="77777777" w:rsidR="00FC0CD2" w:rsidRPr="00647D81" w:rsidRDefault="00FC0CD2" w:rsidP="00FC0CD2">
            <w:pPr>
              <w:pStyle w:val="AnnexTableHeader"/>
              <w:spacing w:line="240" w:lineRule="auto"/>
              <w:rPr>
                <w:rFonts w:ascii="Helvetica" w:hAnsi="Helvetica"/>
                <w:sz w:val="12"/>
                <w:szCs w:val="12"/>
              </w:rPr>
            </w:pPr>
          </w:p>
        </w:tc>
        <w:tc>
          <w:tcPr>
            <w:tcW w:w="3693" w:type="dxa"/>
            <w:vMerge w:val="restart"/>
            <w:tcBorders>
              <w:top w:val="single" w:sz="4" w:space="0" w:color="auto"/>
              <w:left w:val="single" w:sz="4" w:space="0" w:color="auto"/>
              <w:right w:val="single" w:sz="4" w:space="0" w:color="000000"/>
            </w:tcBorders>
            <w:shd w:val="clear" w:color="auto" w:fill="FFFFFF"/>
            <w:tcMar>
              <w:top w:w="20" w:type="dxa"/>
              <w:bottom w:w="20" w:type="dxa"/>
            </w:tcMar>
            <w:vAlign w:val="center"/>
          </w:tcPr>
          <w:p w14:paraId="0D7A0447" w14:textId="77777777" w:rsidR="00FC0CD2" w:rsidRPr="00647D81" w:rsidRDefault="00FC0CD2" w:rsidP="00FC0CD2">
            <w:pPr>
              <w:pStyle w:val="AnnexTableHeader"/>
              <w:spacing w:line="240" w:lineRule="auto"/>
              <w:rPr>
                <w:rFonts w:ascii="Helvetica" w:hAnsi="Helvetica"/>
                <w:sz w:val="12"/>
                <w:szCs w:val="12"/>
                <w:lang w:val="en-US"/>
              </w:rPr>
            </w:pP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1D02CBF2"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a</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0F56C694"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b</w:t>
            </w: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0F0CD012"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c</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7996EDC5"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d</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2E2C975A"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e</w:t>
            </w: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7FB72A0A"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f</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30D4B360"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g</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6AF23985"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6995A6BD"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i</w:t>
            </w: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2D2A9194"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j</w:t>
            </w:r>
          </w:p>
        </w:tc>
        <w:tc>
          <w:tcPr>
            <w:tcW w:w="56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551FAA57"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k</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3AD6A1B3"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mallCaps/>
                <w:sz w:val="12"/>
              </w:rPr>
              <w:t>l</w:t>
            </w:r>
          </w:p>
        </w:tc>
        <w:tc>
          <w:tcPr>
            <w:tcW w:w="4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57061E8D"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m</w:t>
            </w:r>
          </w:p>
        </w:tc>
        <w:tc>
          <w:tcPr>
            <w:tcW w:w="52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20CEEEDA"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n</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3DADDCB0"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o</w:t>
            </w: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vAlign w:val="center"/>
          </w:tcPr>
          <w:p w14:paraId="51F82E51"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p</w:t>
            </w:r>
          </w:p>
        </w:tc>
      </w:tr>
      <w:tr w:rsidR="00FC0CD2" w:rsidRPr="00647D81" w14:paraId="4F60FA49" w14:textId="77777777" w:rsidTr="004A2CAF">
        <w:trPr>
          <w:trHeight w:val="254"/>
        </w:trPr>
        <w:tc>
          <w:tcPr>
            <w:tcW w:w="238" w:type="dxa"/>
            <w:vMerge/>
            <w:shd w:val="clear" w:color="auto" w:fill="FFFFFF"/>
            <w:tcMar>
              <w:top w:w="20" w:type="dxa"/>
              <w:bottom w:w="20" w:type="dxa"/>
            </w:tcMar>
            <w:vAlign w:val="center"/>
          </w:tcPr>
          <w:p w14:paraId="136248A9" w14:textId="77777777" w:rsidR="00FC0CD2" w:rsidRPr="00647D81" w:rsidRDefault="00FC0CD2" w:rsidP="00FC0CD2">
            <w:pPr>
              <w:pStyle w:val="AnnexTableHeader"/>
              <w:spacing w:line="240" w:lineRule="auto"/>
              <w:rPr>
                <w:rFonts w:ascii="Helvetica" w:hAnsi="Helvetica"/>
                <w:sz w:val="12"/>
                <w:szCs w:val="12"/>
              </w:rPr>
            </w:pPr>
          </w:p>
        </w:tc>
        <w:tc>
          <w:tcPr>
            <w:tcW w:w="3693" w:type="dxa"/>
            <w:vMerge/>
            <w:tcBorders>
              <w:left w:val="single" w:sz="4" w:space="0" w:color="auto"/>
            </w:tcBorders>
            <w:shd w:val="clear" w:color="auto" w:fill="FFFFFF"/>
            <w:tcMar>
              <w:top w:w="20" w:type="dxa"/>
              <w:bottom w:w="20" w:type="dxa"/>
            </w:tcMar>
            <w:vAlign w:val="center"/>
          </w:tcPr>
          <w:p w14:paraId="3C8A279A" w14:textId="77777777" w:rsidR="00FC0CD2" w:rsidRPr="00647D81" w:rsidRDefault="00FC0CD2" w:rsidP="00FC0CD2">
            <w:pPr>
              <w:pStyle w:val="AnnexTableHeader"/>
              <w:spacing w:line="240" w:lineRule="auto"/>
              <w:rPr>
                <w:rFonts w:ascii="Helvetica" w:hAnsi="Helvetica"/>
                <w:sz w:val="12"/>
                <w:szCs w:val="12"/>
              </w:rPr>
            </w:pPr>
          </w:p>
        </w:tc>
        <w:tc>
          <w:tcPr>
            <w:tcW w:w="6783" w:type="dxa"/>
            <w:gridSpan w:val="9"/>
            <w:tcBorders>
              <w:top w:val="single" w:sz="4" w:space="0" w:color="000000"/>
              <w:left w:val="single" w:sz="4" w:space="0" w:color="auto"/>
            </w:tcBorders>
            <w:shd w:val="clear" w:color="auto" w:fill="FFFFFF"/>
            <w:tcMar>
              <w:top w:w="20" w:type="dxa"/>
              <w:bottom w:w="20" w:type="dxa"/>
            </w:tcMar>
            <w:vAlign w:val="center"/>
          </w:tcPr>
          <w:p w14:paraId="1B1E1F3B" w14:textId="77777777" w:rsidR="00FC0CD2" w:rsidRPr="00647D81" w:rsidRDefault="00FC0CD2" w:rsidP="00FC0CD2">
            <w:pPr>
              <w:pStyle w:val="AnnexTableHeader"/>
              <w:spacing w:line="240" w:lineRule="auto"/>
              <w:ind w:left="40"/>
              <w:jc w:val="left"/>
              <w:rPr>
                <w:rFonts w:ascii="Helvetica" w:hAnsi="Helvetica"/>
                <w:sz w:val="12"/>
                <w:szCs w:val="12"/>
              </w:rPr>
            </w:pPr>
            <w:r>
              <w:rPr>
                <w:rFonts w:ascii="Helvetica" w:hAnsi="Helvetica"/>
                <w:sz w:val="12"/>
              </w:rPr>
              <w:t>Absolutte kjøp pluss absolutte salg (virkelig verdi)</w:t>
            </w:r>
          </w:p>
        </w:tc>
        <w:tc>
          <w:tcPr>
            <w:tcW w:w="3612" w:type="dxa"/>
            <w:gridSpan w:val="7"/>
            <w:vMerge w:val="restart"/>
            <w:tcBorders>
              <w:top w:val="single" w:sz="4" w:space="0" w:color="000000"/>
              <w:left w:val="single" w:sz="4" w:space="0" w:color="auto"/>
              <w:right w:val="single" w:sz="4" w:space="0" w:color="auto"/>
            </w:tcBorders>
            <w:shd w:val="clear" w:color="auto" w:fill="FFFFFF"/>
            <w:tcMar>
              <w:top w:w="20" w:type="dxa"/>
              <w:bottom w:w="20" w:type="dxa"/>
            </w:tcMar>
            <w:vAlign w:val="center"/>
          </w:tcPr>
          <w:p w14:paraId="6DA0DD91" w14:textId="77777777" w:rsidR="00FC0CD2" w:rsidRPr="00647D81" w:rsidRDefault="00FC0CD2" w:rsidP="00FC0CD2">
            <w:pPr>
              <w:pStyle w:val="AnnexTableHeader"/>
              <w:spacing w:line="240" w:lineRule="auto"/>
              <w:ind w:left="40"/>
              <w:jc w:val="left"/>
              <w:rPr>
                <w:rFonts w:ascii="Helvetica" w:hAnsi="Helvetica"/>
                <w:sz w:val="12"/>
                <w:szCs w:val="12"/>
              </w:rPr>
            </w:pPr>
            <w:r>
              <w:rPr>
                <w:rFonts w:ascii="Helvetica" w:hAnsi="Helvetica"/>
                <w:sz w:val="12"/>
              </w:rPr>
              <w:t>KPI for handel</w:t>
            </w:r>
          </w:p>
        </w:tc>
      </w:tr>
      <w:tr w:rsidR="00FC0CD2" w:rsidRPr="00647D81" w14:paraId="3D228810" w14:textId="77777777" w:rsidTr="0039753E">
        <w:trPr>
          <w:trHeight w:val="302"/>
        </w:trPr>
        <w:tc>
          <w:tcPr>
            <w:tcW w:w="238" w:type="dxa"/>
            <w:vMerge/>
            <w:shd w:val="clear" w:color="auto" w:fill="FFFFFF"/>
            <w:tcMar>
              <w:top w:w="20" w:type="dxa"/>
              <w:bottom w:w="20" w:type="dxa"/>
            </w:tcMar>
            <w:vAlign w:val="center"/>
          </w:tcPr>
          <w:p w14:paraId="566EB10A" w14:textId="77777777" w:rsidR="00FC0CD2" w:rsidRPr="00647D81" w:rsidRDefault="00FC0CD2" w:rsidP="00FC0CD2">
            <w:pPr>
              <w:pStyle w:val="AnnexTableHeader"/>
              <w:spacing w:line="240" w:lineRule="auto"/>
              <w:rPr>
                <w:rFonts w:ascii="Helvetica" w:hAnsi="Helvetica"/>
                <w:sz w:val="12"/>
                <w:szCs w:val="12"/>
              </w:rPr>
            </w:pPr>
          </w:p>
        </w:tc>
        <w:tc>
          <w:tcPr>
            <w:tcW w:w="3693" w:type="dxa"/>
            <w:vMerge/>
            <w:tcBorders>
              <w:left w:val="single" w:sz="4" w:space="0" w:color="auto"/>
            </w:tcBorders>
            <w:shd w:val="clear" w:color="auto" w:fill="FFFFFF"/>
            <w:tcMar>
              <w:top w:w="20" w:type="dxa"/>
              <w:bottom w:w="20" w:type="dxa"/>
            </w:tcMar>
            <w:vAlign w:val="center"/>
          </w:tcPr>
          <w:p w14:paraId="6F8AA366" w14:textId="77777777" w:rsidR="00FC0CD2" w:rsidRPr="00647D81" w:rsidRDefault="00FC0CD2" w:rsidP="00FC0CD2">
            <w:pPr>
              <w:pStyle w:val="AnnexTableHeader"/>
              <w:spacing w:line="240" w:lineRule="auto"/>
              <w:rPr>
                <w:rFonts w:ascii="Helvetica" w:hAnsi="Helvetica"/>
                <w:sz w:val="12"/>
                <w:szCs w:val="12"/>
              </w:rPr>
            </w:pPr>
          </w:p>
        </w:tc>
        <w:tc>
          <w:tcPr>
            <w:tcW w:w="663" w:type="dxa"/>
            <w:vMerge w:val="restart"/>
            <w:tcBorders>
              <w:left w:val="single" w:sz="4" w:space="0" w:color="auto"/>
            </w:tcBorders>
            <w:shd w:val="clear" w:color="auto" w:fill="FFFFFF"/>
            <w:tcMar>
              <w:top w:w="20" w:type="dxa"/>
              <w:bottom w:w="20" w:type="dxa"/>
            </w:tcMar>
            <w:vAlign w:val="center"/>
          </w:tcPr>
          <w:p w14:paraId="34AB66EF" w14:textId="77777777" w:rsidR="00FC0CD2" w:rsidRPr="00647D81" w:rsidRDefault="00FC0CD2" w:rsidP="00FC0CD2">
            <w:pPr>
              <w:pStyle w:val="AnnexTableHeader"/>
              <w:spacing w:line="240" w:lineRule="auto"/>
              <w:rPr>
                <w:rFonts w:ascii="Helvetica" w:hAnsi="Helvetica"/>
                <w:sz w:val="12"/>
                <w:szCs w:val="12"/>
              </w:rPr>
            </w:pPr>
          </w:p>
        </w:tc>
        <w:tc>
          <w:tcPr>
            <w:tcW w:w="792" w:type="dxa"/>
            <w:vMerge w:val="restart"/>
            <w:tcBorders>
              <w:top w:val="single" w:sz="4" w:space="0" w:color="auto"/>
              <w:left w:val="single" w:sz="4" w:space="0" w:color="auto"/>
            </w:tcBorders>
            <w:shd w:val="clear" w:color="auto" w:fill="FFFFFF"/>
            <w:tcMar>
              <w:top w:w="20" w:type="dxa"/>
              <w:bottom w:w="20" w:type="dxa"/>
            </w:tcMar>
            <w:vAlign w:val="center"/>
          </w:tcPr>
          <w:p w14:paraId="2E98A170"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ikke-vurderte eksponeringer (2)</w:t>
            </w:r>
          </w:p>
        </w:tc>
        <w:tc>
          <w:tcPr>
            <w:tcW w:w="5328" w:type="dxa"/>
            <w:gridSpan w:val="7"/>
            <w:tcBorders>
              <w:top w:val="single" w:sz="4" w:space="0" w:color="auto"/>
              <w:left w:val="single" w:sz="4" w:space="0" w:color="auto"/>
            </w:tcBorders>
            <w:shd w:val="clear" w:color="auto" w:fill="FFFFFF"/>
            <w:tcMar>
              <w:top w:w="20" w:type="dxa"/>
              <w:bottom w:w="20" w:type="dxa"/>
            </w:tcMar>
            <w:vAlign w:val="center"/>
          </w:tcPr>
          <w:p w14:paraId="30760B86" w14:textId="77777777" w:rsidR="00FC0CD2" w:rsidRPr="00647D81" w:rsidRDefault="00FC0CD2" w:rsidP="00FC0CD2">
            <w:pPr>
              <w:pStyle w:val="AnnexTableHeader"/>
              <w:spacing w:line="240" w:lineRule="auto"/>
              <w:ind w:left="40"/>
              <w:jc w:val="left"/>
              <w:rPr>
                <w:rFonts w:ascii="Helvetica" w:hAnsi="Helvetica"/>
                <w:sz w:val="12"/>
                <w:szCs w:val="12"/>
              </w:rPr>
            </w:pPr>
            <w:r>
              <w:rPr>
                <w:rFonts w:ascii="Helvetica" w:hAnsi="Helvetica"/>
                <w:sz w:val="12"/>
              </w:rPr>
              <w:t>Hvorav taksonomiforenlige</w:t>
            </w:r>
          </w:p>
        </w:tc>
        <w:tc>
          <w:tcPr>
            <w:tcW w:w="3612" w:type="dxa"/>
            <w:gridSpan w:val="7"/>
            <w:vMerge/>
            <w:tcBorders>
              <w:left w:val="single" w:sz="4" w:space="0" w:color="auto"/>
              <w:right w:val="single" w:sz="4" w:space="0" w:color="auto"/>
            </w:tcBorders>
            <w:shd w:val="clear" w:color="auto" w:fill="FFFFFF"/>
            <w:tcMar>
              <w:top w:w="20" w:type="dxa"/>
              <w:bottom w:w="20" w:type="dxa"/>
            </w:tcMar>
            <w:vAlign w:val="center"/>
          </w:tcPr>
          <w:p w14:paraId="3BA4D23F" w14:textId="77777777" w:rsidR="00FC0CD2" w:rsidRPr="00647D81" w:rsidRDefault="00FC0CD2" w:rsidP="00FC0CD2">
            <w:pPr>
              <w:pStyle w:val="AnnexTableHeader"/>
              <w:spacing w:line="240" w:lineRule="auto"/>
              <w:rPr>
                <w:rFonts w:ascii="Helvetica" w:hAnsi="Helvetica"/>
                <w:sz w:val="12"/>
                <w:szCs w:val="12"/>
              </w:rPr>
            </w:pPr>
          </w:p>
        </w:tc>
      </w:tr>
      <w:tr w:rsidR="00FC0CD2" w:rsidRPr="00647D81" w14:paraId="616DA942" w14:textId="77777777" w:rsidTr="0039753E">
        <w:trPr>
          <w:trHeight w:val="269"/>
        </w:trPr>
        <w:tc>
          <w:tcPr>
            <w:tcW w:w="238" w:type="dxa"/>
            <w:vMerge/>
            <w:shd w:val="clear" w:color="auto" w:fill="FFFFFF"/>
            <w:tcMar>
              <w:top w:w="20" w:type="dxa"/>
              <w:bottom w:w="20" w:type="dxa"/>
            </w:tcMar>
            <w:vAlign w:val="center"/>
          </w:tcPr>
          <w:p w14:paraId="70CAAB18" w14:textId="77777777" w:rsidR="00FC0CD2" w:rsidRPr="00647D81" w:rsidRDefault="00FC0CD2" w:rsidP="00FC0CD2">
            <w:pPr>
              <w:pStyle w:val="AnnexTableHeader"/>
              <w:spacing w:line="240" w:lineRule="auto"/>
              <w:rPr>
                <w:rFonts w:ascii="Helvetica" w:hAnsi="Helvetica"/>
                <w:sz w:val="12"/>
                <w:szCs w:val="12"/>
              </w:rPr>
            </w:pPr>
          </w:p>
        </w:tc>
        <w:tc>
          <w:tcPr>
            <w:tcW w:w="3693" w:type="dxa"/>
            <w:vMerge/>
            <w:tcBorders>
              <w:left w:val="single" w:sz="4" w:space="0" w:color="auto"/>
            </w:tcBorders>
            <w:shd w:val="clear" w:color="auto" w:fill="FFFFFF"/>
            <w:tcMar>
              <w:top w:w="20" w:type="dxa"/>
              <w:bottom w:w="20" w:type="dxa"/>
            </w:tcMar>
            <w:vAlign w:val="center"/>
          </w:tcPr>
          <w:p w14:paraId="2A12BD64" w14:textId="77777777" w:rsidR="00FC0CD2" w:rsidRPr="00647D81" w:rsidRDefault="00FC0CD2" w:rsidP="00FC0CD2">
            <w:pPr>
              <w:pStyle w:val="AnnexTableHeader"/>
              <w:spacing w:line="240" w:lineRule="auto"/>
              <w:rPr>
                <w:rFonts w:ascii="Helvetica" w:hAnsi="Helvetica"/>
                <w:sz w:val="12"/>
                <w:szCs w:val="12"/>
              </w:rPr>
            </w:pPr>
          </w:p>
        </w:tc>
        <w:tc>
          <w:tcPr>
            <w:tcW w:w="663" w:type="dxa"/>
            <w:vMerge/>
            <w:tcBorders>
              <w:left w:val="single" w:sz="4" w:space="0" w:color="auto"/>
            </w:tcBorders>
            <w:shd w:val="clear" w:color="auto" w:fill="FFFFFF"/>
            <w:tcMar>
              <w:top w:w="20" w:type="dxa"/>
              <w:bottom w:w="20" w:type="dxa"/>
            </w:tcMar>
            <w:vAlign w:val="center"/>
          </w:tcPr>
          <w:p w14:paraId="2BF880F8" w14:textId="77777777" w:rsidR="00FC0CD2" w:rsidRPr="00647D81" w:rsidRDefault="00FC0CD2" w:rsidP="00FC0CD2">
            <w:pPr>
              <w:pStyle w:val="AnnexTableHeader"/>
              <w:spacing w:line="240" w:lineRule="auto"/>
              <w:rPr>
                <w:rFonts w:ascii="Helvetica" w:hAnsi="Helvetica"/>
                <w:sz w:val="12"/>
                <w:szCs w:val="12"/>
              </w:rPr>
            </w:pPr>
          </w:p>
        </w:tc>
        <w:tc>
          <w:tcPr>
            <w:tcW w:w="792" w:type="dxa"/>
            <w:vMerge/>
            <w:tcBorders>
              <w:left w:val="single" w:sz="4" w:space="0" w:color="auto"/>
            </w:tcBorders>
            <w:shd w:val="clear" w:color="auto" w:fill="FFFFFF"/>
            <w:tcMar>
              <w:top w:w="20" w:type="dxa"/>
              <w:bottom w:w="20" w:type="dxa"/>
            </w:tcMar>
            <w:vAlign w:val="center"/>
          </w:tcPr>
          <w:p w14:paraId="77786330" w14:textId="77777777" w:rsidR="00FC0CD2" w:rsidRPr="00647D81" w:rsidRDefault="00FC0CD2" w:rsidP="00FC0CD2">
            <w:pPr>
              <w:pStyle w:val="AnnexTableHeader"/>
              <w:spacing w:line="240" w:lineRule="auto"/>
              <w:rPr>
                <w:rFonts w:ascii="Helvetica" w:hAnsi="Helvetica"/>
                <w:sz w:val="12"/>
                <w:szCs w:val="12"/>
              </w:rPr>
            </w:pPr>
          </w:p>
        </w:tc>
        <w:tc>
          <w:tcPr>
            <w:tcW w:w="732" w:type="dxa"/>
            <w:tcBorders>
              <w:left w:val="single" w:sz="4" w:space="0" w:color="auto"/>
            </w:tcBorders>
            <w:shd w:val="clear" w:color="auto" w:fill="FFFFFF"/>
            <w:tcMar>
              <w:top w:w="20" w:type="dxa"/>
              <w:bottom w:w="20" w:type="dxa"/>
            </w:tcMar>
            <w:vAlign w:val="center"/>
          </w:tcPr>
          <w:p w14:paraId="60821203" w14:textId="77777777" w:rsidR="00FC0CD2" w:rsidRPr="00647D81" w:rsidRDefault="00FC0CD2" w:rsidP="00FC0CD2">
            <w:pPr>
              <w:pStyle w:val="AnnexTableHeader"/>
              <w:spacing w:line="240" w:lineRule="auto"/>
              <w:rPr>
                <w:rFonts w:ascii="Helvetica" w:hAnsi="Helvetica"/>
                <w:sz w:val="12"/>
                <w:szCs w:val="12"/>
              </w:rPr>
            </w:pPr>
          </w:p>
        </w:tc>
        <w:tc>
          <w:tcPr>
            <w:tcW w:w="744" w:type="dxa"/>
            <w:tcBorders>
              <w:top w:val="single" w:sz="4" w:space="0" w:color="auto"/>
              <w:left w:val="single" w:sz="4" w:space="0" w:color="auto"/>
            </w:tcBorders>
            <w:shd w:val="clear" w:color="auto" w:fill="FFFFFF"/>
            <w:tcMar>
              <w:top w:w="20" w:type="dxa"/>
              <w:bottom w:w="20" w:type="dxa"/>
            </w:tcMar>
            <w:vAlign w:val="center"/>
          </w:tcPr>
          <w:p w14:paraId="78F9D461"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CCM</w:t>
            </w:r>
          </w:p>
        </w:tc>
        <w:tc>
          <w:tcPr>
            <w:tcW w:w="792" w:type="dxa"/>
            <w:tcBorders>
              <w:top w:val="single" w:sz="4" w:space="0" w:color="auto"/>
              <w:left w:val="single" w:sz="4" w:space="0" w:color="auto"/>
            </w:tcBorders>
            <w:shd w:val="clear" w:color="auto" w:fill="FFFFFF"/>
            <w:tcMar>
              <w:top w:w="20" w:type="dxa"/>
              <w:bottom w:w="20" w:type="dxa"/>
            </w:tcMar>
            <w:vAlign w:val="center"/>
          </w:tcPr>
          <w:p w14:paraId="23557E88"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CCA</w:t>
            </w:r>
          </w:p>
        </w:tc>
        <w:tc>
          <w:tcPr>
            <w:tcW w:w="756" w:type="dxa"/>
            <w:tcBorders>
              <w:top w:val="single" w:sz="4" w:space="0" w:color="auto"/>
              <w:left w:val="single" w:sz="4" w:space="0" w:color="auto"/>
            </w:tcBorders>
            <w:shd w:val="clear" w:color="auto" w:fill="FFFFFF"/>
            <w:tcMar>
              <w:top w:w="20" w:type="dxa"/>
              <w:bottom w:w="20" w:type="dxa"/>
            </w:tcMar>
            <w:vAlign w:val="center"/>
          </w:tcPr>
          <w:p w14:paraId="21E3F376"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WTR</w:t>
            </w:r>
          </w:p>
        </w:tc>
        <w:tc>
          <w:tcPr>
            <w:tcW w:w="708" w:type="dxa"/>
            <w:tcBorders>
              <w:top w:val="single" w:sz="4" w:space="0" w:color="auto"/>
              <w:left w:val="single" w:sz="4" w:space="0" w:color="auto"/>
            </w:tcBorders>
            <w:shd w:val="clear" w:color="auto" w:fill="FFFFFF"/>
            <w:tcMar>
              <w:top w:w="20" w:type="dxa"/>
              <w:bottom w:w="20" w:type="dxa"/>
            </w:tcMar>
            <w:vAlign w:val="center"/>
          </w:tcPr>
          <w:p w14:paraId="40FFB75B"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CE</w:t>
            </w:r>
          </w:p>
        </w:tc>
        <w:tc>
          <w:tcPr>
            <w:tcW w:w="792" w:type="dxa"/>
            <w:tcBorders>
              <w:top w:val="single" w:sz="4" w:space="0" w:color="auto"/>
              <w:left w:val="single" w:sz="4" w:space="0" w:color="auto"/>
            </w:tcBorders>
            <w:shd w:val="clear" w:color="auto" w:fill="FFFFFF"/>
            <w:tcMar>
              <w:top w:w="20" w:type="dxa"/>
              <w:bottom w:w="20" w:type="dxa"/>
            </w:tcMar>
            <w:vAlign w:val="center"/>
          </w:tcPr>
          <w:p w14:paraId="2D29EE75"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PPC</w:t>
            </w:r>
          </w:p>
        </w:tc>
        <w:tc>
          <w:tcPr>
            <w:tcW w:w="804" w:type="dxa"/>
            <w:tcBorders>
              <w:top w:val="single" w:sz="4" w:space="0" w:color="auto"/>
              <w:left w:val="single" w:sz="4" w:space="0" w:color="auto"/>
            </w:tcBorders>
            <w:shd w:val="clear" w:color="auto" w:fill="FFFFFF"/>
            <w:tcMar>
              <w:top w:w="20" w:type="dxa"/>
              <w:bottom w:w="20" w:type="dxa"/>
            </w:tcMar>
            <w:vAlign w:val="center"/>
          </w:tcPr>
          <w:p w14:paraId="3CADD486"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BIO</w:t>
            </w:r>
          </w:p>
        </w:tc>
        <w:tc>
          <w:tcPr>
            <w:tcW w:w="516" w:type="dxa"/>
            <w:tcBorders>
              <w:left w:val="single" w:sz="4" w:space="0" w:color="auto"/>
            </w:tcBorders>
            <w:shd w:val="clear" w:color="auto" w:fill="FFFFFF"/>
            <w:tcMar>
              <w:top w:w="20" w:type="dxa"/>
              <w:bottom w:w="20" w:type="dxa"/>
            </w:tcMar>
            <w:vAlign w:val="center"/>
          </w:tcPr>
          <w:p w14:paraId="73BEE03C" w14:textId="77777777" w:rsidR="00FC0CD2" w:rsidRPr="00647D81" w:rsidRDefault="00FC0CD2" w:rsidP="00FC0CD2">
            <w:pPr>
              <w:pStyle w:val="AnnexTableHeader"/>
              <w:spacing w:line="240" w:lineRule="auto"/>
              <w:rPr>
                <w:rFonts w:ascii="Helvetica" w:hAnsi="Helvetica"/>
                <w:sz w:val="12"/>
                <w:szCs w:val="12"/>
              </w:rPr>
            </w:pPr>
          </w:p>
        </w:tc>
        <w:tc>
          <w:tcPr>
            <w:tcW w:w="564" w:type="dxa"/>
            <w:tcBorders>
              <w:top w:val="single" w:sz="4" w:space="0" w:color="auto"/>
              <w:left w:val="single" w:sz="4" w:space="0" w:color="auto"/>
            </w:tcBorders>
            <w:shd w:val="clear" w:color="auto" w:fill="FFFFFF"/>
            <w:tcMar>
              <w:top w:w="20" w:type="dxa"/>
              <w:bottom w:w="20" w:type="dxa"/>
            </w:tcMar>
            <w:vAlign w:val="center"/>
          </w:tcPr>
          <w:p w14:paraId="7CAD498A"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CCM</w:t>
            </w:r>
          </w:p>
        </w:tc>
        <w:tc>
          <w:tcPr>
            <w:tcW w:w="600" w:type="dxa"/>
            <w:tcBorders>
              <w:top w:val="single" w:sz="4" w:space="0" w:color="auto"/>
              <w:left w:val="single" w:sz="4" w:space="0" w:color="auto"/>
            </w:tcBorders>
            <w:shd w:val="clear" w:color="auto" w:fill="FFFFFF"/>
            <w:tcMar>
              <w:top w:w="20" w:type="dxa"/>
              <w:bottom w:w="20" w:type="dxa"/>
            </w:tcMar>
            <w:vAlign w:val="center"/>
          </w:tcPr>
          <w:p w14:paraId="1EEB3B21"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CCA</w:t>
            </w:r>
          </w:p>
        </w:tc>
        <w:tc>
          <w:tcPr>
            <w:tcW w:w="492" w:type="dxa"/>
            <w:tcBorders>
              <w:top w:val="single" w:sz="4" w:space="0" w:color="auto"/>
              <w:left w:val="single" w:sz="4" w:space="0" w:color="auto"/>
            </w:tcBorders>
            <w:shd w:val="clear" w:color="auto" w:fill="FFFFFF"/>
            <w:tcMar>
              <w:top w:w="20" w:type="dxa"/>
              <w:bottom w:w="20" w:type="dxa"/>
            </w:tcMar>
            <w:vAlign w:val="center"/>
          </w:tcPr>
          <w:p w14:paraId="41482E8A"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WTR</w:t>
            </w:r>
          </w:p>
        </w:tc>
        <w:tc>
          <w:tcPr>
            <w:tcW w:w="528" w:type="dxa"/>
            <w:tcBorders>
              <w:top w:val="single" w:sz="4" w:space="0" w:color="auto"/>
              <w:left w:val="single" w:sz="4" w:space="0" w:color="auto"/>
            </w:tcBorders>
            <w:shd w:val="clear" w:color="auto" w:fill="FFFFFF"/>
            <w:tcMar>
              <w:top w:w="20" w:type="dxa"/>
              <w:bottom w:w="20" w:type="dxa"/>
            </w:tcMar>
            <w:vAlign w:val="center"/>
          </w:tcPr>
          <w:p w14:paraId="092E3DE7"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CE</w:t>
            </w:r>
          </w:p>
        </w:tc>
        <w:tc>
          <w:tcPr>
            <w:tcW w:w="456" w:type="dxa"/>
            <w:tcBorders>
              <w:top w:val="single" w:sz="4" w:space="0" w:color="auto"/>
              <w:left w:val="single" w:sz="4" w:space="0" w:color="auto"/>
            </w:tcBorders>
            <w:shd w:val="clear" w:color="auto" w:fill="FFFFFF"/>
            <w:tcMar>
              <w:top w:w="20" w:type="dxa"/>
              <w:bottom w:w="20" w:type="dxa"/>
            </w:tcMar>
            <w:vAlign w:val="center"/>
          </w:tcPr>
          <w:p w14:paraId="4E096B42"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PPC</w:t>
            </w:r>
          </w:p>
        </w:tc>
        <w:tc>
          <w:tcPr>
            <w:tcW w:w="456" w:type="dxa"/>
            <w:tcBorders>
              <w:top w:val="single" w:sz="4" w:space="0" w:color="auto"/>
              <w:left w:val="single" w:sz="4" w:space="0" w:color="auto"/>
              <w:right w:val="single" w:sz="4" w:space="0" w:color="auto"/>
            </w:tcBorders>
            <w:shd w:val="clear" w:color="auto" w:fill="FFFFFF"/>
            <w:tcMar>
              <w:top w:w="20" w:type="dxa"/>
              <w:bottom w:w="20" w:type="dxa"/>
            </w:tcMar>
            <w:vAlign w:val="center"/>
          </w:tcPr>
          <w:p w14:paraId="5A64A07C" w14:textId="77777777" w:rsidR="00FC0CD2" w:rsidRPr="00647D81" w:rsidRDefault="00FC0CD2" w:rsidP="00FC0CD2">
            <w:pPr>
              <w:pStyle w:val="AnnexTableHeader"/>
              <w:spacing w:line="240" w:lineRule="auto"/>
              <w:rPr>
                <w:rFonts w:ascii="Helvetica" w:hAnsi="Helvetica"/>
                <w:sz w:val="12"/>
                <w:szCs w:val="12"/>
              </w:rPr>
            </w:pPr>
            <w:r>
              <w:rPr>
                <w:rFonts w:ascii="Helvetica" w:hAnsi="Helvetica"/>
                <w:sz w:val="12"/>
              </w:rPr>
              <w:t>Hvorav BIO</w:t>
            </w:r>
          </w:p>
        </w:tc>
      </w:tr>
      <w:tr w:rsidR="00FC0CD2" w:rsidRPr="00647D81" w14:paraId="080C6B40" w14:textId="77777777" w:rsidTr="00FC0CD2">
        <w:trPr>
          <w:trHeight w:val="182"/>
        </w:trPr>
        <w:tc>
          <w:tcPr>
            <w:tcW w:w="238" w:type="dxa"/>
            <w:vMerge w:val="restart"/>
            <w:tcBorders>
              <w:top w:val="single" w:sz="4" w:space="0" w:color="auto"/>
              <w:left w:val="single" w:sz="4" w:space="0" w:color="auto"/>
            </w:tcBorders>
            <w:shd w:val="clear" w:color="auto" w:fill="FFFFFF"/>
            <w:tcMar>
              <w:top w:w="20" w:type="dxa"/>
              <w:bottom w:w="20" w:type="dxa"/>
            </w:tcMar>
            <w:vAlign w:val="bottom"/>
          </w:tcPr>
          <w:p w14:paraId="47033E9D"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1</w:t>
            </w:r>
          </w:p>
        </w:tc>
        <w:tc>
          <w:tcPr>
            <w:tcW w:w="3693" w:type="dxa"/>
            <w:tcBorders>
              <w:top w:val="single" w:sz="4" w:space="0" w:color="auto"/>
              <w:left w:val="single" w:sz="4" w:space="0" w:color="auto"/>
            </w:tcBorders>
            <w:shd w:val="clear" w:color="auto" w:fill="FFFFFF"/>
            <w:tcMar>
              <w:top w:w="20" w:type="dxa"/>
              <w:bottom w:w="20" w:type="dxa"/>
            </w:tcMar>
            <w:vAlign w:val="bottom"/>
          </w:tcPr>
          <w:p w14:paraId="6285ED9E" w14:textId="77777777" w:rsidR="00FC0CD2" w:rsidRPr="00647D81" w:rsidRDefault="00FC0CD2" w:rsidP="00FC0CD2">
            <w:pPr>
              <w:pStyle w:val="AnnexTableCellLeft"/>
              <w:spacing w:line="240" w:lineRule="auto"/>
              <w:ind w:left="40"/>
              <w:rPr>
                <w:rFonts w:ascii="Helvetica" w:hAnsi="Helvetica"/>
                <w:b/>
                <w:sz w:val="14"/>
                <w:szCs w:val="14"/>
                <w:u w:val="single"/>
              </w:rPr>
            </w:pPr>
            <w:r>
              <w:rPr>
                <w:rFonts w:ascii="Helvetica" w:hAnsi="Helvetica"/>
                <w:b/>
                <w:sz w:val="14"/>
                <w:u w:val="single"/>
              </w:rPr>
              <w:t>Finansielle eiendeler som innehas for handelsformål (gjeldsinstrumenter og egenkapitalbeholdninger) – Foretak som er omfattet av direktivet om virksomheters bærekraftsrapportering</w:t>
            </w:r>
          </w:p>
        </w:tc>
        <w:tc>
          <w:tcPr>
            <w:tcW w:w="663" w:type="dxa"/>
            <w:vMerge w:val="restart"/>
            <w:tcBorders>
              <w:top w:val="single" w:sz="4" w:space="0" w:color="auto"/>
              <w:left w:val="single" w:sz="4" w:space="0" w:color="auto"/>
            </w:tcBorders>
            <w:shd w:val="clear" w:color="auto" w:fill="FFFFFF"/>
            <w:tcMar>
              <w:top w:w="20" w:type="dxa"/>
              <w:bottom w:w="20" w:type="dxa"/>
            </w:tcMar>
          </w:tcPr>
          <w:p w14:paraId="46F9A568" w14:textId="77777777" w:rsidR="00FC0CD2" w:rsidRPr="00647D81" w:rsidRDefault="00FC0CD2" w:rsidP="00FC0CD2">
            <w:pPr>
              <w:pStyle w:val="AnnexTableCellLeft"/>
              <w:spacing w:line="240" w:lineRule="auto"/>
              <w:rPr>
                <w:rFonts w:ascii="Helvetica" w:hAnsi="Helvetica"/>
                <w:sz w:val="14"/>
                <w:szCs w:val="14"/>
              </w:rPr>
            </w:pPr>
          </w:p>
        </w:tc>
        <w:tc>
          <w:tcPr>
            <w:tcW w:w="792" w:type="dxa"/>
            <w:vMerge w:val="restart"/>
            <w:tcBorders>
              <w:top w:val="single" w:sz="4" w:space="0" w:color="auto"/>
              <w:left w:val="single" w:sz="4" w:space="0" w:color="auto"/>
            </w:tcBorders>
            <w:shd w:val="clear" w:color="auto" w:fill="FFFFFF"/>
            <w:tcMar>
              <w:top w:w="20" w:type="dxa"/>
              <w:bottom w:w="20" w:type="dxa"/>
            </w:tcMar>
          </w:tcPr>
          <w:p w14:paraId="724B6CE8" w14:textId="77777777" w:rsidR="00FC0CD2" w:rsidRPr="00647D81" w:rsidRDefault="00FC0CD2" w:rsidP="00FC0CD2">
            <w:pPr>
              <w:pStyle w:val="AnnexTableCellLeft"/>
              <w:spacing w:line="240" w:lineRule="auto"/>
              <w:rPr>
                <w:rFonts w:ascii="Helvetica" w:hAnsi="Helvetica"/>
                <w:sz w:val="14"/>
                <w:szCs w:val="14"/>
              </w:rPr>
            </w:pPr>
          </w:p>
        </w:tc>
        <w:tc>
          <w:tcPr>
            <w:tcW w:w="732" w:type="dxa"/>
            <w:vMerge w:val="restart"/>
            <w:tcBorders>
              <w:top w:val="single" w:sz="4" w:space="0" w:color="auto"/>
              <w:left w:val="single" w:sz="4" w:space="0" w:color="auto"/>
            </w:tcBorders>
            <w:shd w:val="clear" w:color="auto" w:fill="FFFFFF"/>
            <w:tcMar>
              <w:top w:w="20" w:type="dxa"/>
              <w:bottom w:w="20" w:type="dxa"/>
            </w:tcMar>
          </w:tcPr>
          <w:p w14:paraId="529DF039" w14:textId="77777777" w:rsidR="00FC0CD2" w:rsidRPr="00647D81" w:rsidRDefault="00FC0CD2" w:rsidP="00FC0CD2">
            <w:pPr>
              <w:pStyle w:val="AnnexTableCellLeft"/>
              <w:spacing w:line="240" w:lineRule="auto"/>
              <w:rPr>
                <w:rFonts w:ascii="Helvetica" w:hAnsi="Helvetica"/>
                <w:sz w:val="14"/>
                <w:szCs w:val="14"/>
              </w:rPr>
            </w:pPr>
          </w:p>
        </w:tc>
        <w:tc>
          <w:tcPr>
            <w:tcW w:w="744" w:type="dxa"/>
            <w:vMerge w:val="restart"/>
            <w:tcBorders>
              <w:top w:val="single" w:sz="4" w:space="0" w:color="auto"/>
              <w:left w:val="single" w:sz="4" w:space="0" w:color="auto"/>
            </w:tcBorders>
            <w:shd w:val="clear" w:color="auto" w:fill="FFFFFF"/>
            <w:tcMar>
              <w:top w:w="20" w:type="dxa"/>
              <w:bottom w:w="20" w:type="dxa"/>
            </w:tcMar>
          </w:tcPr>
          <w:p w14:paraId="1015A2EF" w14:textId="77777777" w:rsidR="00FC0CD2" w:rsidRPr="00647D81" w:rsidRDefault="00FC0CD2" w:rsidP="00FC0CD2">
            <w:pPr>
              <w:pStyle w:val="AnnexTableCellLeft"/>
              <w:spacing w:line="240" w:lineRule="auto"/>
              <w:rPr>
                <w:rFonts w:ascii="Helvetica" w:hAnsi="Helvetica"/>
                <w:sz w:val="14"/>
                <w:szCs w:val="14"/>
              </w:rPr>
            </w:pPr>
          </w:p>
        </w:tc>
        <w:tc>
          <w:tcPr>
            <w:tcW w:w="792" w:type="dxa"/>
            <w:vMerge w:val="restart"/>
            <w:tcBorders>
              <w:top w:val="single" w:sz="4" w:space="0" w:color="auto"/>
              <w:left w:val="single" w:sz="4" w:space="0" w:color="auto"/>
            </w:tcBorders>
            <w:shd w:val="clear" w:color="auto" w:fill="FFFFFF"/>
            <w:tcMar>
              <w:top w:w="20" w:type="dxa"/>
              <w:bottom w:w="20" w:type="dxa"/>
            </w:tcMar>
          </w:tcPr>
          <w:p w14:paraId="291877B4" w14:textId="77777777" w:rsidR="00FC0CD2" w:rsidRPr="00647D81" w:rsidRDefault="00FC0CD2" w:rsidP="00FC0CD2">
            <w:pPr>
              <w:pStyle w:val="AnnexTableCellLeft"/>
              <w:spacing w:line="240" w:lineRule="auto"/>
              <w:rPr>
                <w:rFonts w:ascii="Helvetica" w:hAnsi="Helvetica"/>
                <w:sz w:val="14"/>
                <w:szCs w:val="14"/>
              </w:rPr>
            </w:pPr>
          </w:p>
        </w:tc>
        <w:tc>
          <w:tcPr>
            <w:tcW w:w="756" w:type="dxa"/>
            <w:vMerge w:val="restart"/>
            <w:tcBorders>
              <w:top w:val="single" w:sz="4" w:space="0" w:color="auto"/>
              <w:left w:val="single" w:sz="4" w:space="0" w:color="auto"/>
            </w:tcBorders>
            <w:shd w:val="clear" w:color="auto" w:fill="FFFFFF"/>
            <w:tcMar>
              <w:top w:w="20" w:type="dxa"/>
              <w:bottom w:w="20" w:type="dxa"/>
            </w:tcMar>
          </w:tcPr>
          <w:p w14:paraId="2AB4F5CE" w14:textId="77777777" w:rsidR="00FC0CD2" w:rsidRPr="00647D81" w:rsidRDefault="00FC0CD2" w:rsidP="00FC0CD2">
            <w:pPr>
              <w:pStyle w:val="AnnexTableCellLeft"/>
              <w:spacing w:line="240" w:lineRule="auto"/>
              <w:rPr>
                <w:rFonts w:ascii="Helvetica" w:hAnsi="Helvetica"/>
                <w:sz w:val="14"/>
                <w:szCs w:val="14"/>
              </w:rPr>
            </w:pPr>
          </w:p>
        </w:tc>
        <w:tc>
          <w:tcPr>
            <w:tcW w:w="708" w:type="dxa"/>
            <w:vMerge w:val="restart"/>
            <w:tcBorders>
              <w:top w:val="single" w:sz="4" w:space="0" w:color="auto"/>
              <w:left w:val="single" w:sz="4" w:space="0" w:color="auto"/>
            </w:tcBorders>
            <w:shd w:val="clear" w:color="auto" w:fill="FFFFFF"/>
            <w:tcMar>
              <w:top w:w="20" w:type="dxa"/>
              <w:bottom w:w="20" w:type="dxa"/>
            </w:tcMar>
          </w:tcPr>
          <w:p w14:paraId="7B46A943" w14:textId="77777777" w:rsidR="00FC0CD2" w:rsidRPr="00647D81" w:rsidRDefault="00FC0CD2" w:rsidP="00FC0CD2">
            <w:pPr>
              <w:pStyle w:val="AnnexTableCellLeft"/>
              <w:spacing w:line="240" w:lineRule="auto"/>
              <w:rPr>
                <w:rFonts w:ascii="Helvetica" w:hAnsi="Helvetica"/>
                <w:sz w:val="14"/>
                <w:szCs w:val="14"/>
              </w:rPr>
            </w:pPr>
          </w:p>
        </w:tc>
        <w:tc>
          <w:tcPr>
            <w:tcW w:w="792" w:type="dxa"/>
            <w:vMerge w:val="restart"/>
            <w:tcBorders>
              <w:top w:val="single" w:sz="4" w:space="0" w:color="auto"/>
              <w:left w:val="single" w:sz="4" w:space="0" w:color="auto"/>
            </w:tcBorders>
            <w:shd w:val="clear" w:color="auto" w:fill="FFFFFF"/>
            <w:tcMar>
              <w:top w:w="20" w:type="dxa"/>
              <w:bottom w:w="20" w:type="dxa"/>
            </w:tcMar>
          </w:tcPr>
          <w:p w14:paraId="60D86FD7" w14:textId="77777777" w:rsidR="00FC0CD2" w:rsidRPr="00647D81" w:rsidRDefault="00FC0CD2" w:rsidP="00FC0CD2">
            <w:pPr>
              <w:pStyle w:val="AnnexTableCellLeft"/>
              <w:spacing w:line="240" w:lineRule="auto"/>
              <w:rPr>
                <w:rFonts w:ascii="Helvetica" w:hAnsi="Helvetica"/>
                <w:sz w:val="14"/>
                <w:szCs w:val="14"/>
              </w:rPr>
            </w:pPr>
          </w:p>
        </w:tc>
        <w:tc>
          <w:tcPr>
            <w:tcW w:w="804" w:type="dxa"/>
            <w:vMerge w:val="restart"/>
            <w:tcBorders>
              <w:top w:val="single" w:sz="4" w:space="0" w:color="auto"/>
              <w:left w:val="single" w:sz="4" w:space="0" w:color="auto"/>
            </w:tcBorders>
            <w:shd w:val="clear" w:color="auto" w:fill="FFFFFF"/>
            <w:tcMar>
              <w:top w:w="20" w:type="dxa"/>
              <w:bottom w:w="20" w:type="dxa"/>
            </w:tcMar>
          </w:tcPr>
          <w:p w14:paraId="6A4778B9" w14:textId="77777777" w:rsidR="00FC0CD2" w:rsidRPr="00647D81" w:rsidRDefault="00FC0CD2" w:rsidP="00FC0CD2">
            <w:pPr>
              <w:pStyle w:val="AnnexTableCellLeft"/>
              <w:spacing w:line="240" w:lineRule="auto"/>
              <w:rPr>
                <w:rFonts w:ascii="Helvetica" w:hAnsi="Helvetica"/>
                <w:sz w:val="14"/>
                <w:szCs w:val="14"/>
              </w:rPr>
            </w:pPr>
          </w:p>
        </w:tc>
        <w:tc>
          <w:tcPr>
            <w:tcW w:w="516" w:type="dxa"/>
            <w:vMerge w:val="restart"/>
            <w:tcBorders>
              <w:top w:val="single" w:sz="4" w:space="0" w:color="auto"/>
              <w:left w:val="single" w:sz="4" w:space="0" w:color="auto"/>
            </w:tcBorders>
            <w:shd w:val="clear" w:color="auto" w:fill="FFFFFF"/>
            <w:tcMar>
              <w:top w:w="20" w:type="dxa"/>
              <w:bottom w:w="20" w:type="dxa"/>
            </w:tcMar>
          </w:tcPr>
          <w:p w14:paraId="52EF4771" w14:textId="77777777" w:rsidR="00FC0CD2" w:rsidRPr="00647D81" w:rsidRDefault="00FC0CD2" w:rsidP="00FC0CD2">
            <w:pPr>
              <w:pStyle w:val="AnnexTableCellLeft"/>
              <w:spacing w:line="240" w:lineRule="auto"/>
              <w:rPr>
                <w:rFonts w:ascii="Helvetica" w:hAnsi="Helvetica"/>
                <w:sz w:val="14"/>
                <w:szCs w:val="14"/>
              </w:rPr>
            </w:pPr>
          </w:p>
        </w:tc>
        <w:tc>
          <w:tcPr>
            <w:tcW w:w="564" w:type="dxa"/>
            <w:vMerge w:val="restart"/>
            <w:tcBorders>
              <w:top w:val="single" w:sz="4" w:space="0" w:color="auto"/>
              <w:left w:val="single" w:sz="4" w:space="0" w:color="auto"/>
            </w:tcBorders>
            <w:shd w:val="clear" w:color="auto" w:fill="FFFFFF"/>
            <w:tcMar>
              <w:top w:w="20" w:type="dxa"/>
              <w:bottom w:w="20" w:type="dxa"/>
            </w:tcMar>
          </w:tcPr>
          <w:p w14:paraId="4094AC04" w14:textId="77777777" w:rsidR="00FC0CD2" w:rsidRPr="00647D81" w:rsidRDefault="00FC0CD2" w:rsidP="00FC0CD2">
            <w:pPr>
              <w:pStyle w:val="AnnexTableCellLeft"/>
              <w:spacing w:line="240" w:lineRule="auto"/>
              <w:rPr>
                <w:rFonts w:ascii="Helvetica" w:hAnsi="Helvetica"/>
                <w:sz w:val="14"/>
                <w:szCs w:val="14"/>
              </w:rPr>
            </w:pPr>
          </w:p>
        </w:tc>
        <w:tc>
          <w:tcPr>
            <w:tcW w:w="600" w:type="dxa"/>
            <w:vMerge w:val="restart"/>
            <w:tcBorders>
              <w:top w:val="single" w:sz="4" w:space="0" w:color="auto"/>
              <w:left w:val="single" w:sz="4" w:space="0" w:color="auto"/>
            </w:tcBorders>
            <w:shd w:val="clear" w:color="auto" w:fill="FFFFFF"/>
            <w:tcMar>
              <w:top w:w="20" w:type="dxa"/>
              <w:bottom w:w="20" w:type="dxa"/>
            </w:tcMar>
          </w:tcPr>
          <w:p w14:paraId="2297F9DC" w14:textId="77777777" w:rsidR="00FC0CD2" w:rsidRPr="00647D81" w:rsidRDefault="00FC0CD2" w:rsidP="00FC0CD2">
            <w:pPr>
              <w:pStyle w:val="AnnexTableCellLeft"/>
              <w:spacing w:line="240" w:lineRule="auto"/>
              <w:rPr>
                <w:rFonts w:ascii="Helvetica" w:hAnsi="Helvetica"/>
                <w:sz w:val="14"/>
                <w:szCs w:val="14"/>
              </w:rPr>
            </w:pPr>
          </w:p>
        </w:tc>
        <w:tc>
          <w:tcPr>
            <w:tcW w:w="492" w:type="dxa"/>
            <w:vMerge w:val="restart"/>
            <w:tcBorders>
              <w:top w:val="single" w:sz="4" w:space="0" w:color="auto"/>
              <w:left w:val="single" w:sz="4" w:space="0" w:color="auto"/>
            </w:tcBorders>
            <w:shd w:val="clear" w:color="auto" w:fill="FFFFFF"/>
            <w:tcMar>
              <w:top w:w="20" w:type="dxa"/>
              <w:bottom w:w="20" w:type="dxa"/>
            </w:tcMar>
          </w:tcPr>
          <w:p w14:paraId="3B592FAF" w14:textId="77777777" w:rsidR="00FC0CD2" w:rsidRPr="00647D81" w:rsidRDefault="00FC0CD2" w:rsidP="00FC0CD2">
            <w:pPr>
              <w:pStyle w:val="AnnexTableCellLeft"/>
              <w:spacing w:line="240" w:lineRule="auto"/>
              <w:rPr>
                <w:rFonts w:ascii="Helvetica" w:hAnsi="Helvetica"/>
                <w:sz w:val="14"/>
                <w:szCs w:val="14"/>
              </w:rPr>
            </w:pPr>
          </w:p>
        </w:tc>
        <w:tc>
          <w:tcPr>
            <w:tcW w:w="528" w:type="dxa"/>
            <w:vMerge w:val="restart"/>
            <w:tcBorders>
              <w:top w:val="single" w:sz="4" w:space="0" w:color="auto"/>
              <w:left w:val="single" w:sz="4" w:space="0" w:color="auto"/>
            </w:tcBorders>
            <w:shd w:val="clear" w:color="auto" w:fill="FFFFFF"/>
            <w:tcMar>
              <w:top w:w="20" w:type="dxa"/>
              <w:bottom w:w="20" w:type="dxa"/>
            </w:tcMar>
          </w:tcPr>
          <w:p w14:paraId="67872058" w14:textId="77777777" w:rsidR="00FC0CD2" w:rsidRPr="00647D81" w:rsidRDefault="00FC0CD2" w:rsidP="00FC0CD2">
            <w:pPr>
              <w:pStyle w:val="AnnexTableCellLeft"/>
              <w:spacing w:line="240" w:lineRule="auto"/>
              <w:rPr>
                <w:rFonts w:ascii="Helvetica" w:hAnsi="Helvetica"/>
                <w:sz w:val="14"/>
                <w:szCs w:val="14"/>
              </w:rPr>
            </w:pPr>
          </w:p>
        </w:tc>
        <w:tc>
          <w:tcPr>
            <w:tcW w:w="456" w:type="dxa"/>
            <w:vMerge w:val="restart"/>
            <w:tcBorders>
              <w:top w:val="single" w:sz="4" w:space="0" w:color="auto"/>
              <w:left w:val="single" w:sz="4" w:space="0" w:color="auto"/>
            </w:tcBorders>
            <w:shd w:val="clear" w:color="auto" w:fill="FFFFFF"/>
            <w:tcMar>
              <w:top w:w="20" w:type="dxa"/>
              <w:bottom w:w="20" w:type="dxa"/>
            </w:tcMar>
          </w:tcPr>
          <w:p w14:paraId="45F0ACA8" w14:textId="77777777" w:rsidR="00FC0CD2" w:rsidRPr="00647D81" w:rsidRDefault="00FC0CD2" w:rsidP="00FC0CD2">
            <w:pPr>
              <w:pStyle w:val="AnnexTableCellLeft"/>
              <w:spacing w:line="240" w:lineRule="auto"/>
              <w:rPr>
                <w:rFonts w:ascii="Helvetica" w:hAnsi="Helvetica"/>
                <w:sz w:val="14"/>
                <w:szCs w:val="14"/>
              </w:rPr>
            </w:pPr>
          </w:p>
        </w:tc>
        <w:tc>
          <w:tcPr>
            <w:tcW w:w="456" w:type="dxa"/>
            <w:vMerge w:val="restart"/>
            <w:tcBorders>
              <w:top w:val="single" w:sz="4" w:space="0" w:color="auto"/>
              <w:left w:val="single" w:sz="4" w:space="0" w:color="auto"/>
              <w:right w:val="single" w:sz="4" w:space="0" w:color="auto"/>
            </w:tcBorders>
            <w:shd w:val="clear" w:color="auto" w:fill="FFFFFF"/>
            <w:tcMar>
              <w:top w:w="20" w:type="dxa"/>
              <w:bottom w:w="20" w:type="dxa"/>
            </w:tcMar>
          </w:tcPr>
          <w:p w14:paraId="3D1C76F5" w14:textId="77777777" w:rsidR="00FC0CD2" w:rsidRPr="00647D81" w:rsidRDefault="00FC0CD2" w:rsidP="00FC0CD2">
            <w:pPr>
              <w:pStyle w:val="AnnexTableCellLeft"/>
              <w:spacing w:line="240" w:lineRule="auto"/>
              <w:rPr>
                <w:rFonts w:ascii="Helvetica" w:hAnsi="Helvetica"/>
                <w:sz w:val="14"/>
                <w:szCs w:val="14"/>
              </w:rPr>
            </w:pPr>
          </w:p>
        </w:tc>
      </w:tr>
      <w:tr w:rsidR="00FC0CD2" w:rsidRPr="00647D81" w14:paraId="5234C18A" w14:textId="77777777" w:rsidTr="00FC0CD2">
        <w:trPr>
          <w:trHeight w:val="86"/>
        </w:trPr>
        <w:tc>
          <w:tcPr>
            <w:tcW w:w="238" w:type="dxa"/>
            <w:vMerge/>
            <w:tcBorders>
              <w:left w:val="single" w:sz="4" w:space="0" w:color="auto"/>
            </w:tcBorders>
            <w:shd w:val="clear" w:color="auto" w:fill="FFFFFF"/>
            <w:tcMar>
              <w:top w:w="20" w:type="dxa"/>
              <w:bottom w:w="20" w:type="dxa"/>
            </w:tcMar>
            <w:vAlign w:val="bottom"/>
          </w:tcPr>
          <w:p w14:paraId="5F7B2C59" w14:textId="77777777" w:rsidR="00FC0CD2" w:rsidRPr="00647D81" w:rsidRDefault="00FC0CD2" w:rsidP="00FC0CD2">
            <w:pPr>
              <w:pStyle w:val="AnnexTableCellLeft"/>
              <w:spacing w:line="240" w:lineRule="auto"/>
              <w:ind w:right="20"/>
              <w:jc w:val="right"/>
              <w:rPr>
                <w:rFonts w:ascii="Helvetica" w:hAnsi="Helvetica"/>
                <w:sz w:val="14"/>
                <w:szCs w:val="14"/>
              </w:rPr>
            </w:pPr>
          </w:p>
        </w:tc>
        <w:tc>
          <w:tcPr>
            <w:tcW w:w="3693" w:type="dxa"/>
            <w:tcBorders>
              <w:top w:val="single" w:sz="4" w:space="0" w:color="auto"/>
              <w:left w:val="single" w:sz="4" w:space="0" w:color="auto"/>
            </w:tcBorders>
            <w:shd w:val="clear" w:color="auto" w:fill="FFFFFF"/>
            <w:tcMar>
              <w:top w:w="20" w:type="dxa"/>
              <w:bottom w:w="20" w:type="dxa"/>
            </w:tcMar>
          </w:tcPr>
          <w:p w14:paraId="136131B8" w14:textId="77777777" w:rsidR="00FC0CD2" w:rsidRPr="00647D81" w:rsidRDefault="00FC0CD2" w:rsidP="00FC0CD2">
            <w:pPr>
              <w:pStyle w:val="AnnexTableCellLeft"/>
              <w:spacing w:line="240" w:lineRule="auto"/>
              <w:ind w:left="40"/>
              <w:rPr>
                <w:rFonts w:ascii="Helvetica" w:hAnsi="Helvetica"/>
                <w:sz w:val="14"/>
                <w:szCs w:val="14"/>
              </w:rPr>
            </w:pPr>
          </w:p>
        </w:tc>
        <w:tc>
          <w:tcPr>
            <w:tcW w:w="663" w:type="dxa"/>
            <w:vMerge/>
            <w:tcBorders>
              <w:left w:val="single" w:sz="4" w:space="0" w:color="auto"/>
              <w:bottom w:val="single" w:sz="4" w:space="0" w:color="000000"/>
            </w:tcBorders>
            <w:shd w:val="clear" w:color="auto" w:fill="FFFFFF"/>
            <w:tcMar>
              <w:top w:w="20" w:type="dxa"/>
              <w:bottom w:w="20" w:type="dxa"/>
            </w:tcMar>
          </w:tcPr>
          <w:p w14:paraId="12BD1C17" w14:textId="77777777" w:rsidR="00FC0CD2" w:rsidRPr="00647D81" w:rsidRDefault="00FC0CD2" w:rsidP="00FC0CD2">
            <w:pPr>
              <w:pStyle w:val="AnnexTableCellLeft"/>
              <w:spacing w:line="240" w:lineRule="auto"/>
              <w:rPr>
                <w:rFonts w:ascii="Helvetica" w:hAnsi="Helvetica"/>
                <w:sz w:val="14"/>
                <w:szCs w:val="14"/>
              </w:rPr>
            </w:pPr>
          </w:p>
        </w:tc>
        <w:tc>
          <w:tcPr>
            <w:tcW w:w="792" w:type="dxa"/>
            <w:vMerge/>
            <w:tcBorders>
              <w:left w:val="single" w:sz="4" w:space="0" w:color="auto"/>
              <w:bottom w:val="single" w:sz="4" w:space="0" w:color="000000"/>
            </w:tcBorders>
            <w:shd w:val="clear" w:color="auto" w:fill="FFFFFF"/>
            <w:tcMar>
              <w:top w:w="20" w:type="dxa"/>
              <w:bottom w:w="20" w:type="dxa"/>
            </w:tcMar>
          </w:tcPr>
          <w:p w14:paraId="7BEB5354" w14:textId="77777777" w:rsidR="00FC0CD2" w:rsidRPr="00647D81" w:rsidRDefault="00FC0CD2" w:rsidP="00FC0CD2">
            <w:pPr>
              <w:pStyle w:val="AnnexTableCellLeft"/>
              <w:spacing w:line="240" w:lineRule="auto"/>
              <w:rPr>
                <w:rFonts w:ascii="Helvetica" w:hAnsi="Helvetica"/>
                <w:sz w:val="14"/>
                <w:szCs w:val="14"/>
              </w:rPr>
            </w:pPr>
          </w:p>
        </w:tc>
        <w:tc>
          <w:tcPr>
            <w:tcW w:w="732" w:type="dxa"/>
            <w:vMerge/>
            <w:tcBorders>
              <w:left w:val="single" w:sz="4" w:space="0" w:color="auto"/>
              <w:bottom w:val="single" w:sz="4" w:space="0" w:color="000000"/>
            </w:tcBorders>
            <w:shd w:val="clear" w:color="auto" w:fill="FFFFFF"/>
            <w:tcMar>
              <w:top w:w="20" w:type="dxa"/>
              <w:bottom w:w="20" w:type="dxa"/>
            </w:tcMar>
          </w:tcPr>
          <w:p w14:paraId="0DE8A778" w14:textId="77777777" w:rsidR="00FC0CD2" w:rsidRPr="00647D81" w:rsidRDefault="00FC0CD2" w:rsidP="00FC0CD2">
            <w:pPr>
              <w:pStyle w:val="AnnexTableCellLeft"/>
              <w:spacing w:line="240" w:lineRule="auto"/>
              <w:rPr>
                <w:rFonts w:ascii="Helvetica" w:hAnsi="Helvetica"/>
                <w:sz w:val="14"/>
                <w:szCs w:val="14"/>
              </w:rPr>
            </w:pPr>
          </w:p>
        </w:tc>
        <w:tc>
          <w:tcPr>
            <w:tcW w:w="744" w:type="dxa"/>
            <w:vMerge/>
            <w:tcBorders>
              <w:left w:val="single" w:sz="4" w:space="0" w:color="auto"/>
              <w:bottom w:val="single" w:sz="4" w:space="0" w:color="000000"/>
            </w:tcBorders>
            <w:shd w:val="clear" w:color="auto" w:fill="FFFFFF"/>
            <w:tcMar>
              <w:top w:w="20" w:type="dxa"/>
              <w:bottom w:w="20" w:type="dxa"/>
            </w:tcMar>
          </w:tcPr>
          <w:p w14:paraId="316D5414" w14:textId="77777777" w:rsidR="00FC0CD2" w:rsidRPr="00647D81" w:rsidRDefault="00FC0CD2" w:rsidP="00FC0CD2">
            <w:pPr>
              <w:pStyle w:val="AnnexTableCellLeft"/>
              <w:spacing w:line="240" w:lineRule="auto"/>
              <w:rPr>
                <w:rFonts w:ascii="Helvetica" w:hAnsi="Helvetica"/>
                <w:sz w:val="14"/>
                <w:szCs w:val="14"/>
              </w:rPr>
            </w:pPr>
          </w:p>
        </w:tc>
        <w:tc>
          <w:tcPr>
            <w:tcW w:w="792" w:type="dxa"/>
            <w:vMerge/>
            <w:tcBorders>
              <w:left w:val="single" w:sz="4" w:space="0" w:color="auto"/>
              <w:bottom w:val="single" w:sz="4" w:space="0" w:color="000000"/>
            </w:tcBorders>
            <w:shd w:val="clear" w:color="auto" w:fill="FFFFFF"/>
            <w:tcMar>
              <w:top w:w="20" w:type="dxa"/>
              <w:bottom w:w="20" w:type="dxa"/>
            </w:tcMar>
          </w:tcPr>
          <w:p w14:paraId="4A3F408F" w14:textId="77777777" w:rsidR="00FC0CD2" w:rsidRPr="00647D81" w:rsidRDefault="00FC0CD2" w:rsidP="00FC0CD2">
            <w:pPr>
              <w:pStyle w:val="AnnexTableCellLeft"/>
              <w:spacing w:line="240" w:lineRule="auto"/>
              <w:rPr>
                <w:rFonts w:ascii="Helvetica" w:hAnsi="Helvetica"/>
                <w:sz w:val="14"/>
                <w:szCs w:val="14"/>
              </w:rPr>
            </w:pPr>
          </w:p>
        </w:tc>
        <w:tc>
          <w:tcPr>
            <w:tcW w:w="756" w:type="dxa"/>
            <w:vMerge/>
            <w:tcBorders>
              <w:left w:val="single" w:sz="4" w:space="0" w:color="auto"/>
              <w:bottom w:val="single" w:sz="4" w:space="0" w:color="000000"/>
            </w:tcBorders>
            <w:shd w:val="clear" w:color="auto" w:fill="FFFFFF"/>
            <w:tcMar>
              <w:top w:w="20" w:type="dxa"/>
              <w:bottom w:w="20" w:type="dxa"/>
            </w:tcMar>
          </w:tcPr>
          <w:p w14:paraId="779C77C0" w14:textId="77777777" w:rsidR="00FC0CD2" w:rsidRPr="00647D81" w:rsidRDefault="00FC0CD2" w:rsidP="00FC0CD2">
            <w:pPr>
              <w:pStyle w:val="AnnexTableCellLeft"/>
              <w:spacing w:line="240" w:lineRule="auto"/>
              <w:rPr>
                <w:rFonts w:ascii="Helvetica" w:hAnsi="Helvetica"/>
                <w:sz w:val="14"/>
                <w:szCs w:val="14"/>
              </w:rPr>
            </w:pPr>
          </w:p>
        </w:tc>
        <w:tc>
          <w:tcPr>
            <w:tcW w:w="708" w:type="dxa"/>
            <w:vMerge/>
            <w:tcBorders>
              <w:left w:val="single" w:sz="4" w:space="0" w:color="auto"/>
              <w:bottom w:val="single" w:sz="4" w:space="0" w:color="000000"/>
            </w:tcBorders>
            <w:shd w:val="clear" w:color="auto" w:fill="FFFFFF"/>
            <w:tcMar>
              <w:top w:w="20" w:type="dxa"/>
              <w:bottom w:w="20" w:type="dxa"/>
            </w:tcMar>
          </w:tcPr>
          <w:p w14:paraId="48AAFDBB" w14:textId="77777777" w:rsidR="00FC0CD2" w:rsidRPr="00647D81" w:rsidRDefault="00FC0CD2" w:rsidP="00FC0CD2">
            <w:pPr>
              <w:pStyle w:val="AnnexTableCellLeft"/>
              <w:spacing w:line="240" w:lineRule="auto"/>
              <w:rPr>
                <w:rFonts w:ascii="Helvetica" w:hAnsi="Helvetica"/>
                <w:sz w:val="14"/>
                <w:szCs w:val="14"/>
              </w:rPr>
            </w:pPr>
          </w:p>
        </w:tc>
        <w:tc>
          <w:tcPr>
            <w:tcW w:w="792" w:type="dxa"/>
            <w:vMerge/>
            <w:tcBorders>
              <w:left w:val="single" w:sz="4" w:space="0" w:color="auto"/>
              <w:bottom w:val="single" w:sz="4" w:space="0" w:color="000000"/>
            </w:tcBorders>
            <w:shd w:val="clear" w:color="auto" w:fill="FFFFFF"/>
            <w:tcMar>
              <w:top w:w="20" w:type="dxa"/>
              <w:bottom w:w="20" w:type="dxa"/>
            </w:tcMar>
          </w:tcPr>
          <w:p w14:paraId="62D4C7DF" w14:textId="77777777" w:rsidR="00FC0CD2" w:rsidRPr="00647D81" w:rsidRDefault="00FC0CD2" w:rsidP="00FC0CD2">
            <w:pPr>
              <w:pStyle w:val="AnnexTableCellLeft"/>
              <w:spacing w:line="240" w:lineRule="auto"/>
              <w:rPr>
                <w:rFonts w:ascii="Helvetica" w:hAnsi="Helvetica"/>
                <w:sz w:val="14"/>
                <w:szCs w:val="14"/>
              </w:rPr>
            </w:pPr>
          </w:p>
        </w:tc>
        <w:tc>
          <w:tcPr>
            <w:tcW w:w="804" w:type="dxa"/>
            <w:vMerge/>
            <w:tcBorders>
              <w:left w:val="single" w:sz="4" w:space="0" w:color="auto"/>
              <w:bottom w:val="single" w:sz="4" w:space="0" w:color="000000"/>
            </w:tcBorders>
            <w:shd w:val="clear" w:color="auto" w:fill="FFFFFF"/>
            <w:tcMar>
              <w:top w:w="20" w:type="dxa"/>
              <w:bottom w:w="20" w:type="dxa"/>
            </w:tcMar>
          </w:tcPr>
          <w:p w14:paraId="1804A728" w14:textId="77777777" w:rsidR="00FC0CD2" w:rsidRPr="00647D81" w:rsidRDefault="00FC0CD2" w:rsidP="00FC0CD2">
            <w:pPr>
              <w:pStyle w:val="AnnexTableCellLeft"/>
              <w:spacing w:line="240" w:lineRule="auto"/>
              <w:rPr>
                <w:rFonts w:ascii="Helvetica" w:hAnsi="Helvetica"/>
                <w:sz w:val="14"/>
                <w:szCs w:val="14"/>
              </w:rPr>
            </w:pPr>
          </w:p>
        </w:tc>
        <w:tc>
          <w:tcPr>
            <w:tcW w:w="516" w:type="dxa"/>
            <w:vMerge/>
            <w:tcBorders>
              <w:left w:val="single" w:sz="4" w:space="0" w:color="auto"/>
              <w:bottom w:val="single" w:sz="4" w:space="0" w:color="000000"/>
            </w:tcBorders>
            <w:shd w:val="clear" w:color="auto" w:fill="FFFFFF"/>
            <w:tcMar>
              <w:top w:w="20" w:type="dxa"/>
              <w:bottom w:w="20" w:type="dxa"/>
            </w:tcMar>
          </w:tcPr>
          <w:p w14:paraId="058D67A7" w14:textId="77777777" w:rsidR="00FC0CD2" w:rsidRPr="00647D81" w:rsidRDefault="00FC0CD2" w:rsidP="00FC0CD2">
            <w:pPr>
              <w:pStyle w:val="AnnexTableCellLeft"/>
              <w:spacing w:line="240" w:lineRule="auto"/>
              <w:rPr>
                <w:rFonts w:ascii="Helvetica" w:hAnsi="Helvetica"/>
                <w:sz w:val="14"/>
                <w:szCs w:val="14"/>
              </w:rPr>
            </w:pPr>
          </w:p>
        </w:tc>
        <w:tc>
          <w:tcPr>
            <w:tcW w:w="564" w:type="dxa"/>
            <w:vMerge/>
            <w:tcBorders>
              <w:left w:val="single" w:sz="4" w:space="0" w:color="auto"/>
              <w:bottom w:val="single" w:sz="4" w:space="0" w:color="000000"/>
            </w:tcBorders>
            <w:shd w:val="clear" w:color="auto" w:fill="FFFFFF"/>
            <w:tcMar>
              <w:top w:w="20" w:type="dxa"/>
              <w:bottom w:w="20" w:type="dxa"/>
            </w:tcMar>
          </w:tcPr>
          <w:p w14:paraId="1CCE1509" w14:textId="77777777" w:rsidR="00FC0CD2" w:rsidRPr="00647D81" w:rsidRDefault="00FC0CD2" w:rsidP="00FC0CD2">
            <w:pPr>
              <w:pStyle w:val="AnnexTableCellLeft"/>
              <w:spacing w:line="240" w:lineRule="auto"/>
              <w:rPr>
                <w:rFonts w:ascii="Helvetica" w:hAnsi="Helvetica"/>
                <w:sz w:val="14"/>
                <w:szCs w:val="14"/>
              </w:rPr>
            </w:pPr>
          </w:p>
        </w:tc>
        <w:tc>
          <w:tcPr>
            <w:tcW w:w="600" w:type="dxa"/>
            <w:vMerge/>
            <w:tcBorders>
              <w:left w:val="single" w:sz="4" w:space="0" w:color="auto"/>
              <w:bottom w:val="single" w:sz="4" w:space="0" w:color="000000"/>
            </w:tcBorders>
            <w:shd w:val="clear" w:color="auto" w:fill="FFFFFF"/>
            <w:tcMar>
              <w:top w:w="20" w:type="dxa"/>
              <w:bottom w:w="20" w:type="dxa"/>
            </w:tcMar>
          </w:tcPr>
          <w:p w14:paraId="2909C9EC" w14:textId="77777777" w:rsidR="00FC0CD2" w:rsidRPr="00647D81" w:rsidRDefault="00FC0CD2" w:rsidP="00FC0CD2">
            <w:pPr>
              <w:pStyle w:val="AnnexTableCellLeft"/>
              <w:spacing w:line="240" w:lineRule="auto"/>
              <w:rPr>
                <w:rFonts w:ascii="Helvetica" w:hAnsi="Helvetica"/>
                <w:sz w:val="14"/>
                <w:szCs w:val="14"/>
              </w:rPr>
            </w:pPr>
          </w:p>
        </w:tc>
        <w:tc>
          <w:tcPr>
            <w:tcW w:w="492" w:type="dxa"/>
            <w:vMerge/>
            <w:tcBorders>
              <w:left w:val="single" w:sz="4" w:space="0" w:color="auto"/>
              <w:bottom w:val="single" w:sz="4" w:space="0" w:color="000000"/>
            </w:tcBorders>
            <w:shd w:val="clear" w:color="auto" w:fill="FFFFFF"/>
            <w:tcMar>
              <w:top w:w="20" w:type="dxa"/>
              <w:bottom w:w="20" w:type="dxa"/>
            </w:tcMar>
          </w:tcPr>
          <w:p w14:paraId="7794196E" w14:textId="77777777" w:rsidR="00FC0CD2" w:rsidRPr="00647D81" w:rsidRDefault="00FC0CD2" w:rsidP="00FC0CD2">
            <w:pPr>
              <w:pStyle w:val="AnnexTableCellLeft"/>
              <w:spacing w:line="240" w:lineRule="auto"/>
              <w:rPr>
                <w:rFonts w:ascii="Helvetica" w:hAnsi="Helvetica"/>
                <w:sz w:val="14"/>
                <w:szCs w:val="14"/>
              </w:rPr>
            </w:pPr>
          </w:p>
        </w:tc>
        <w:tc>
          <w:tcPr>
            <w:tcW w:w="528" w:type="dxa"/>
            <w:vMerge/>
            <w:tcBorders>
              <w:left w:val="single" w:sz="4" w:space="0" w:color="auto"/>
              <w:bottom w:val="single" w:sz="4" w:space="0" w:color="000000"/>
            </w:tcBorders>
            <w:shd w:val="clear" w:color="auto" w:fill="FFFFFF"/>
            <w:tcMar>
              <w:top w:w="20" w:type="dxa"/>
              <w:bottom w:w="20" w:type="dxa"/>
            </w:tcMar>
          </w:tcPr>
          <w:p w14:paraId="07A081BB" w14:textId="77777777" w:rsidR="00FC0CD2" w:rsidRPr="00647D81" w:rsidRDefault="00FC0CD2" w:rsidP="00FC0CD2">
            <w:pPr>
              <w:pStyle w:val="AnnexTableCellLeft"/>
              <w:spacing w:line="240" w:lineRule="auto"/>
              <w:rPr>
                <w:rFonts w:ascii="Helvetica" w:hAnsi="Helvetica"/>
                <w:sz w:val="14"/>
                <w:szCs w:val="14"/>
              </w:rPr>
            </w:pPr>
          </w:p>
        </w:tc>
        <w:tc>
          <w:tcPr>
            <w:tcW w:w="456" w:type="dxa"/>
            <w:vMerge/>
            <w:tcBorders>
              <w:left w:val="single" w:sz="4" w:space="0" w:color="auto"/>
              <w:bottom w:val="single" w:sz="4" w:space="0" w:color="000000"/>
            </w:tcBorders>
            <w:shd w:val="clear" w:color="auto" w:fill="FFFFFF"/>
            <w:tcMar>
              <w:top w:w="20" w:type="dxa"/>
              <w:bottom w:w="20" w:type="dxa"/>
            </w:tcMar>
          </w:tcPr>
          <w:p w14:paraId="339DA4A6" w14:textId="77777777" w:rsidR="00FC0CD2" w:rsidRPr="00647D81" w:rsidRDefault="00FC0CD2" w:rsidP="00FC0CD2">
            <w:pPr>
              <w:pStyle w:val="AnnexTableCellLeft"/>
              <w:spacing w:line="240" w:lineRule="auto"/>
              <w:rPr>
                <w:rFonts w:ascii="Helvetica" w:hAnsi="Helvetica"/>
                <w:sz w:val="14"/>
                <w:szCs w:val="14"/>
              </w:rPr>
            </w:pPr>
          </w:p>
        </w:tc>
        <w:tc>
          <w:tcPr>
            <w:tcW w:w="456" w:type="dxa"/>
            <w:vMerge/>
            <w:tcBorders>
              <w:left w:val="single" w:sz="4" w:space="0" w:color="auto"/>
              <w:bottom w:val="single" w:sz="4" w:space="0" w:color="000000"/>
              <w:right w:val="single" w:sz="4" w:space="0" w:color="auto"/>
            </w:tcBorders>
            <w:shd w:val="clear" w:color="auto" w:fill="FFFFFF"/>
            <w:tcMar>
              <w:top w:w="20" w:type="dxa"/>
              <w:bottom w:w="20" w:type="dxa"/>
            </w:tcMar>
          </w:tcPr>
          <w:p w14:paraId="41C2333F" w14:textId="77777777" w:rsidR="00FC0CD2" w:rsidRPr="00647D81" w:rsidRDefault="00FC0CD2" w:rsidP="00FC0CD2">
            <w:pPr>
              <w:pStyle w:val="AnnexTableCellLeft"/>
              <w:spacing w:line="240" w:lineRule="auto"/>
              <w:rPr>
                <w:rFonts w:ascii="Helvetica" w:hAnsi="Helvetica"/>
                <w:sz w:val="14"/>
                <w:szCs w:val="14"/>
              </w:rPr>
            </w:pPr>
          </w:p>
        </w:tc>
      </w:tr>
      <w:tr w:rsidR="00FC0CD2" w:rsidRPr="00647D81" w14:paraId="63F1289F" w14:textId="77777777" w:rsidTr="00FC0CD2">
        <w:trPr>
          <w:trHeight w:val="134"/>
        </w:trPr>
        <w:tc>
          <w:tcPr>
            <w:tcW w:w="238" w:type="dxa"/>
            <w:tcBorders>
              <w:top w:val="single" w:sz="4" w:space="0" w:color="auto"/>
              <w:left w:val="single" w:sz="4" w:space="0" w:color="auto"/>
            </w:tcBorders>
            <w:shd w:val="clear" w:color="auto" w:fill="FFFFFF"/>
            <w:tcMar>
              <w:top w:w="20" w:type="dxa"/>
              <w:bottom w:w="20" w:type="dxa"/>
            </w:tcMar>
            <w:vAlign w:val="bottom"/>
          </w:tcPr>
          <w:p w14:paraId="4CF1BA2D"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2</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bottom"/>
          </w:tcPr>
          <w:p w14:paraId="70803187" w14:textId="5B837D6A" w:rsidR="00FC0CD2" w:rsidRPr="00647D81" w:rsidRDefault="00D0760A" w:rsidP="00D0760A">
            <w:pPr>
              <w:pStyle w:val="AnnexTableCellLeft"/>
              <w:spacing w:line="240" w:lineRule="auto"/>
              <w:rPr>
                <w:rFonts w:ascii="Helvetica" w:hAnsi="Helvetica"/>
                <w:sz w:val="14"/>
                <w:szCs w:val="14"/>
              </w:rPr>
            </w:pPr>
            <w:r>
              <w:rPr>
                <w:rFonts w:ascii="Helvetica" w:hAnsi="Helvetica"/>
                <w:sz w:val="14"/>
              </w:rPr>
              <w:t xml:space="preserve"> </w:t>
            </w:r>
            <w:r w:rsidR="00FC0CD2">
              <w:rPr>
                <w:rFonts w:ascii="Helvetica" w:hAnsi="Helvetica"/>
                <w:sz w:val="14"/>
              </w:rPr>
              <w:t>Finansforetak</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0F8F871"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A5FA5D8"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26A4268"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1828D82"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87BACA3"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B9ABF27"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AA4487B"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B7D86B4"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9A57025"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ACC2398"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47E4420"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B086B86"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D11BCBC"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C8255F6"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F2873CA"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DEEF9C7" w14:textId="77777777" w:rsidR="00FC0CD2" w:rsidRPr="00647D81" w:rsidRDefault="00FC0CD2" w:rsidP="00FC0CD2">
            <w:pPr>
              <w:pStyle w:val="AnnexTableCellLeft"/>
              <w:spacing w:line="240" w:lineRule="auto"/>
              <w:rPr>
                <w:rFonts w:ascii="Helvetica" w:hAnsi="Helvetica"/>
                <w:sz w:val="14"/>
                <w:szCs w:val="14"/>
              </w:rPr>
            </w:pPr>
          </w:p>
        </w:tc>
      </w:tr>
      <w:tr w:rsidR="00FC0CD2" w:rsidRPr="00647D81" w14:paraId="1E7D9043" w14:textId="77777777" w:rsidTr="00FC0CD2">
        <w:trPr>
          <w:trHeight w:val="134"/>
        </w:trPr>
        <w:tc>
          <w:tcPr>
            <w:tcW w:w="238" w:type="dxa"/>
            <w:tcBorders>
              <w:top w:val="single" w:sz="4" w:space="0" w:color="auto"/>
              <w:left w:val="single" w:sz="4" w:space="0" w:color="auto"/>
            </w:tcBorders>
            <w:shd w:val="clear" w:color="auto" w:fill="FFFFFF"/>
            <w:tcMar>
              <w:top w:w="20" w:type="dxa"/>
              <w:bottom w:w="20" w:type="dxa"/>
            </w:tcMar>
            <w:vAlign w:val="bottom"/>
          </w:tcPr>
          <w:p w14:paraId="35B05A17"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3</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bottom"/>
          </w:tcPr>
          <w:p w14:paraId="497D07A3" w14:textId="10BA70BB" w:rsidR="00FC0CD2" w:rsidRPr="00647D81" w:rsidRDefault="00D0760A" w:rsidP="00D0760A">
            <w:pPr>
              <w:pStyle w:val="AnnexTableCellLeft"/>
              <w:spacing w:line="240" w:lineRule="auto"/>
              <w:rPr>
                <w:rFonts w:ascii="Helvetica" w:hAnsi="Helvetica"/>
                <w:sz w:val="14"/>
                <w:szCs w:val="14"/>
              </w:rPr>
            </w:pPr>
            <w:r>
              <w:rPr>
                <w:rFonts w:ascii="Helvetica" w:hAnsi="Helvetica"/>
                <w:sz w:val="14"/>
              </w:rPr>
              <w:t xml:space="preserve"> </w:t>
            </w:r>
            <w:r w:rsidR="00FC0CD2">
              <w:rPr>
                <w:rFonts w:ascii="Helvetica" w:hAnsi="Helvetica"/>
                <w:sz w:val="14"/>
              </w:rPr>
              <w:t>Gjeldsinstrumenter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C9AC58A"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8992A5B"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6FABC20"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C0FF403"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B10EF81"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3C10E97"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05991D3"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73BEC66"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0E8C6FF"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D26E07F"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77F37BF"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68A8725"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B6F761F"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E1381BE"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D6520E1"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BAB1CD2" w14:textId="77777777" w:rsidR="00FC0CD2" w:rsidRPr="00647D81" w:rsidRDefault="00FC0CD2" w:rsidP="00FC0CD2">
            <w:pPr>
              <w:pStyle w:val="AnnexTableCellLeft"/>
              <w:spacing w:line="240" w:lineRule="auto"/>
              <w:rPr>
                <w:rFonts w:ascii="Helvetica" w:hAnsi="Helvetica"/>
                <w:sz w:val="14"/>
                <w:szCs w:val="14"/>
              </w:rPr>
            </w:pPr>
          </w:p>
        </w:tc>
      </w:tr>
      <w:tr w:rsidR="00FC0CD2" w:rsidRPr="00647D81" w14:paraId="40A66F90" w14:textId="77777777" w:rsidTr="00FC0CD2">
        <w:trPr>
          <w:trHeight w:val="134"/>
        </w:trPr>
        <w:tc>
          <w:tcPr>
            <w:tcW w:w="238" w:type="dxa"/>
            <w:tcBorders>
              <w:top w:val="single" w:sz="4" w:space="0" w:color="auto"/>
              <w:left w:val="single" w:sz="4" w:space="0" w:color="auto"/>
            </w:tcBorders>
            <w:shd w:val="clear" w:color="auto" w:fill="FFFFFF"/>
            <w:tcMar>
              <w:top w:w="20" w:type="dxa"/>
              <w:bottom w:w="20" w:type="dxa"/>
            </w:tcMar>
            <w:vAlign w:val="bottom"/>
          </w:tcPr>
          <w:p w14:paraId="52142A70"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4</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bottom"/>
          </w:tcPr>
          <w:p w14:paraId="6AACEB31" w14:textId="56803D3F" w:rsidR="00FC0CD2" w:rsidRPr="00647D81" w:rsidRDefault="00D0760A" w:rsidP="00D0760A">
            <w:pPr>
              <w:pStyle w:val="AnnexTableCellLeft"/>
              <w:spacing w:line="240" w:lineRule="auto"/>
              <w:rPr>
                <w:rFonts w:ascii="Helvetica" w:hAnsi="Helvetica"/>
                <w:sz w:val="14"/>
                <w:szCs w:val="14"/>
              </w:rPr>
            </w:pPr>
            <w:r>
              <w:rPr>
                <w:rFonts w:ascii="Helvetica" w:hAnsi="Helvetica"/>
                <w:sz w:val="14"/>
              </w:rPr>
              <w:t xml:space="preserve"> </w:t>
            </w:r>
            <w:r w:rsidR="00FC0CD2">
              <w:rPr>
                <w:rFonts w:ascii="Helvetica" w:hAnsi="Helvetica"/>
                <w:sz w:val="14"/>
              </w:rPr>
              <w:t>Egenkapitalinstrumenter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6C7B535"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67F7624"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2E40C48"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1B811C2"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D8DECA8"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8BCD72D"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F97B3A2"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9D34956"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9B128E8"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C7B1CC2"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A0AF519"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169A9E2"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DA708DD"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C0BBDE1"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9805866"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BCC1DF7" w14:textId="77777777" w:rsidR="00FC0CD2" w:rsidRPr="00647D81" w:rsidRDefault="00FC0CD2" w:rsidP="00FC0CD2">
            <w:pPr>
              <w:pStyle w:val="AnnexTableCellLeft"/>
              <w:spacing w:line="240" w:lineRule="auto"/>
              <w:rPr>
                <w:rFonts w:ascii="Helvetica" w:hAnsi="Helvetica"/>
                <w:sz w:val="14"/>
                <w:szCs w:val="14"/>
              </w:rPr>
            </w:pPr>
          </w:p>
        </w:tc>
      </w:tr>
      <w:tr w:rsidR="00FC0CD2" w:rsidRPr="00647D81" w14:paraId="19C01928" w14:textId="77777777" w:rsidTr="00FC0CD2">
        <w:trPr>
          <w:trHeight w:val="134"/>
        </w:trPr>
        <w:tc>
          <w:tcPr>
            <w:tcW w:w="238" w:type="dxa"/>
            <w:tcBorders>
              <w:top w:val="single" w:sz="4" w:space="0" w:color="auto"/>
              <w:left w:val="single" w:sz="4" w:space="0" w:color="auto"/>
            </w:tcBorders>
            <w:shd w:val="clear" w:color="auto" w:fill="FFFFFF"/>
            <w:tcMar>
              <w:top w:w="20" w:type="dxa"/>
              <w:bottom w:w="20" w:type="dxa"/>
            </w:tcMar>
            <w:vAlign w:val="bottom"/>
          </w:tcPr>
          <w:p w14:paraId="4C12B131"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5</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bottom"/>
          </w:tcPr>
          <w:p w14:paraId="04248264" w14:textId="6FCAEA02" w:rsidR="00FC0CD2" w:rsidRPr="00647D81" w:rsidRDefault="00D0760A" w:rsidP="00D0760A">
            <w:pPr>
              <w:pStyle w:val="AnnexTableCellLeft"/>
              <w:spacing w:line="240" w:lineRule="auto"/>
              <w:rPr>
                <w:rFonts w:ascii="Helvetica" w:hAnsi="Helvetica"/>
                <w:sz w:val="14"/>
                <w:szCs w:val="14"/>
              </w:rPr>
            </w:pPr>
            <w:r>
              <w:rPr>
                <w:rFonts w:ascii="Helvetica" w:hAnsi="Helvetica"/>
                <w:sz w:val="14"/>
              </w:rPr>
              <w:t xml:space="preserve"> </w:t>
            </w:r>
            <w:r w:rsidR="00FC0CD2">
              <w:rPr>
                <w:rFonts w:ascii="Helvetica" w:hAnsi="Helvetica"/>
                <w:sz w:val="14"/>
              </w:rPr>
              <w:t>Ikke-finansielle foretak</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7AAE4CA"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217BE2C"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3E77EF2"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2FDBF0B"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B96B427"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F8A2DFD"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3130A05"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C7423C0"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E8C76F6"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DBC78BC"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2709513"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413A609"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0D58095"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9B2D8C0"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D322B11"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8AB2BE7" w14:textId="77777777" w:rsidR="00FC0CD2" w:rsidRPr="00647D81" w:rsidRDefault="00FC0CD2" w:rsidP="00FC0CD2">
            <w:pPr>
              <w:pStyle w:val="AnnexTableCellLeft"/>
              <w:spacing w:line="240" w:lineRule="auto"/>
              <w:rPr>
                <w:rFonts w:ascii="Helvetica" w:hAnsi="Helvetica"/>
                <w:sz w:val="14"/>
                <w:szCs w:val="14"/>
              </w:rPr>
            </w:pPr>
          </w:p>
        </w:tc>
      </w:tr>
      <w:tr w:rsidR="00FC0CD2" w:rsidRPr="00647D81" w14:paraId="0D16EB11" w14:textId="77777777" w:rsidTr="00FC0CD2">
        <w:trPr>
          <w:trHeight w:val="134"/>
        </w:trPr>
        <w:tc>
          <w:tcPr>
            <w:tcW w:w="238" w:type="dxa"/>
            <w:tcBorders>
              <w:top w:val="single" w:sz="4" w:space="0" w:color="auto"/>
              <w:left w:val="single" w:sz="4" w:space="0" w:color="auto"/>
            </w:tcBorders>
            <w:shd w:val="clear" w:color="auto" w:fill="FFFFFF"/>
            <w:tcMar>
              <w:top w:w="20" w:type="dxa"/>
              <w:bottom w:w="20" w:type="dxa"/>
            </w:tcMar>
            <w:vAlign w:val="bottom"/>
          </w:tcPr>
          <w:p w14:paraId="7991DE02"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6</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center"/>
          </w:tcPr>
          <w:p w14:paraId="6BFEE1B1" w14:textId="36B8EF8E" w:rsidR="00FC0CD2" w:rsidRPr="00647D81" w:rsidRDefault="00D0760A" w:rsidP="00D0760A">
            <w:pPr>
              <w:pStyle w:val="AnnexTableCellLeft"/>
              <w:spacing w:line="240" w:lineRule="auto"/>
              <w:rPr>
                <w:rFonts w:ascii="Helvetica" w:hAnsi="Helvetica"/>
                <w:sz w:val="14"/>
                <w:szCs w:val="14"/>
              </w:rPr>
            </w:pPr>
            <w:r>
              <w:rPr>
                <w:rFonts w:ascii="Helvetica" w:hAnsi="Helvetica"/>
                <w:sz w:val="14"/>
              </w:rPr>
              <w:t xml:space="preserve"> </w:t>
            </w:r>
            <w:r w:rsidR="00FC0CD2">
              <w:rPr>
                <w:rFonts w:ascii="Helvetica" w:hAnsi="Helvetica"/>
                <w:sz w:val="14"/>
              </w:rPr>
              <w:t>Gjeldsinstrumenter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C2543F4"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CACBCD6"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9D5255F"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107A03B"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C9AAE82"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525781B"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97DA912"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4CBE026"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C62C5A8"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4458C2F"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B1FABDB"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910E705"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87B8B66"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69FA711"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5D8F6F2"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F864521" w14:textId="77777777" w:rsidR="00FC0CD2" w:rsidRPr="00647D81" w:rsidRDefault="00FC0CD2" w:rsidP="00FC0CD2">
            <w:pPr>
              <w:pStyle w:val="AnnexTableCellLeft"/>
              <w:spacing w:line="240" w:lineRule="auto"/>
              <w:rPr>
                <w:rFonts w:ascii="Helvetica" w:hAnsi="Helvetica"/>
                <w:sz w:val="14"/>
                <w:szCs w:val="14"/>
              </w:rPr>
            </w:pPr>
          </w:p>
        </w:tc>
      </w:tr>
      <w:tr w:rsidR="00FC0CD2" w:rsidRPr="00647D81" w14:paraId="478C9EB3" w14:textId="77777777" w:rsidTr="00FC0CD2">
        <w:trPr>
          <w:trHeight w:val="139"/>
        </w:trPr>
        <w:tc>
          <w:tcPr>
            <w:tcW w:w="238" w:type="dxa"/>
            <w:tcBorders>
              <w:top w:val="single" w:sz="4" w:space="0" w:color="auto"/>
              <w:left w:val="single" w:sz="4" w:space="0" w:color="auto"/>
            </w:tcBorders>
            <w:shd w:val="clear" w:color="auto" w:fill="FFFFFF"/>
            <w:tcMar>
              <w:top w:w="20" w:type="dxa"/>
              <w:bottom w:w="20" w:type="dxa"/>
            </w:tcMar>
            <w:vAlign w:val="bottom"/>
          </w:tcPr>
          <w:p w14:paraId="4344AA31"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7</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bottom"/>
          </w:tcPr>
          <w:p w14:paraId="3C41EA6D" w14:textId="565C8721" w:rsidR="00FC0CD2" w:rsidRPr="00647D81" w:rsidRDefault="00D0760A" w:rsidP="00D0760A">
            <w:pPr>
              <w:pStyle w:val="AnnexTableCellLeft"/>
              <w:spacing w:line="240" w:lineRule="auto"/>
              <w:rPr>
                <w:rFonts w:ascii="Helvetica" w:hAnsi="Helvetica"/>
                <w:sz w:val="14"/>
                <w:szCs w:val="14"/>
              </w:rPr>
            </w:pPr>
            <w:r>
              <w:rPr>
                <w:rFonts w:ascii="Helvetica" w:hAnsi="Helvetica"/>
                <w:sz w:val="14"/>
              </w:rPr>
              <w:t xml:space="preserve"> </w:t>
            </w:r>
            <w:r w:rsidR="00FC0CD2">
              <w:rPr>
                <w:rFonts w:ascii="Helvetica" w:hAnsi="Helvetica"/>
                <w:sz w:val="14"/>
              </w:rPr>
              <w:t>Egenkapitalinstrumenter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7CB1C28"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6040C16"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45094DC"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26BB934"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9ACCE58"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574C043"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B00B052"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478F56E"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F6C6D47"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DA92159"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C712408"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B80126F"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B5009C3"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89344BA"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4C0409B"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E7B3428" w14:textId="77777777" w:rsidR="00FC0CD2" w:rsidRPr="00647D81" w:rsidRDefault="00FC0CD2" w:rsidP="00FC0CD2">
            <w:pPr>
              <w:pStyle w:val="AnnexTableCellLeft"/>
              <w:spacing w:line="240" w:lineRule="auto"/>
              <w:rPr>
                <w:rFonts w:ascii="Helvetica" w:hAnsi="Helvetica"/>
                <w:sz w:val="14"/>
                <w:szCs w:val="14"/>
              </w:rPr>
            </w:pPr>
          </w:p>
        </w:tc>
      </w:tr>
      <w:tr w:rsidR="00CF19A5" w:rsidRPr="00647D81" w14:paraId="0B9A3589" w14:textId="77777777" w:rsidTr="00CF19A5">
        <w:trPr>
          <w:trHeight w:val="115"/>
        </w:trPr>
        <w:tc>
          <w:tcPr>
            <w:tcW w:w="238" w:type="dxa"/>
            <w:tcBorders>
              <w:top w:val="single" w:sz="4" w:space="0" w:color="auto"/>
              <w:left w:val="single" w:sz="4" w:space="0" w:color="auto"/>
            </w:tcBorders>
            <w:shd w:val="clear" w:color="auto" w:fill="FFFFFF"/>
            <w:tcMar>
              <w:top w:w="20" w:type="dxa"/>
              <w:bottom w:w="20" w:type="dxa"/>
            </w:tcMar>
            <w:vAlign w:val="bottom"/>
          </w:tcPr>
          <w:p w14:paraId="78B10D65"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8</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bottom"/>
          </w:tcPr>
          <w:p w14:paraId="3B5BC9C3" w14:textId="77777777" w:rsidR="00FC0CD2" w:rsidRPr="00647D81" w:rsidRDefault="00FC0CD2" w:rsidP="00FC0CD2">
            <w:pPr>
              <w:pStyle w:val="AnnexTableCellLeft"/>
              <w:spacing w:line="240" w:lineRule="auto"/>
              <w:ind w:left="40"/>
              <w:rPr>
                <w:rFonts w:ascii="Helvetica" w:hAnsi="Helvetica"/>
                <w:b/>
                <w:sz w:val="14"/>
                <w:szCs w:val="14"/>
                <w:u w:val="single"/>
              </w:rPr>
            </w:pPr>
            <w:r>
              <w:rPr>
                <w:rFonts w:ascii="Helvetica" w:hAnsi="Helvetica"/>
                <w:b/>
                <w:sz w:val="14"/>
                <w:u w:val="single"/>
              </w:rPr>
              <w:t>Motparter som ikke er omfattet av opplysningsplikten i direktivet om virksomheters bærekraftsrapportering, herunder motparter i tredjeland</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B58113C"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C9A0B02"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CA507E6"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22CB090"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77E4C04"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3372F23"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7182AF5"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534B94B"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2B5463E"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F5483C0"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84F44AD"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40A7838"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0B2A7E1"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0DF2AAC"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C74CA5A"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7838535" w14:textId="77777777" w:rsidR="00FC0CD2" w:rsidRPr="00647D81" w:rsidRDefault="00FC0CD2" w:rsidP="00FC0CD2">
            <w:pPr>
              <w:pStyle w:val="AnnexTableCellLeft"/>
              <w:spacing w:line="240" w:lineRule="auto"/>
              <w:rPr>
                <w:rFonts w:ascii="Helvetica" w:hAnsi="Helvetica"/>
                <w:sz w:val="14"/>
                <w:szCs w:val="14"/>
              </w:rPr>
            </w:pPr>
          </w:p>
        </w:tc>
      </w:tr>
      <w:tr w:rsidR="00CF19A5" w:rsidRPr="00647D81" w14:paraId="7F8E3FDF" w14:textId="77777777" w:rsidTr="00CF19A5">
        <w:trPr>
          <w:trHeight w:val="134"/>
        </w:trPr>
        <w:tc>
          <w:tcPr>
            <w:tcW w:w="238" w:type="dxa"/>
            <w:tcBorders>
              <w:top w:val="single" w:sz="4" w:space="0" w:color="auto"/>
              <w:left w:val="single" w:sz="4" w:space="0" w:color="auto"/>
            </w:tcBorders>
            <w:shd w:val="clear" w:color="auto" w:fill="FFFFFF"/>
            <w:tcMar>
              <w:top w:w="20" w:type="dxa"/>
              <w:bottom w:w="20" w:type="dxa"/>
            </w:tcMar>
            <w:vAlign w:val="bottom"/>
          </w:tcPr>
          <w:p w14:paraId="36047A99"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9</w:t>
            </w:r>
          </w:p>
        </w:tc>
        <w:tc>
          <w:tcPr>
            <w:tcW w:w="3693" w:type="dxa"/>
            <w:tcBorders>
              <w:top w:val="single" w:sz="4" w:space="0" w:color="auto"/>
              <w:left w:val="single" w:sz="4" w:space="0" w:color="auto"/>
              <w:right w:val="single" w:sz="4" w:space="0" w:color="000000"/>
            </w:tcBorders>
            <w:shd w:val="clear" w:color="auto" w:fill="FFFFFF"/>
            <w:tcMar>
              <w:top w:w="20" w:type="dxa"/>
              <w:bottom w:w="20" w:type="dxa"/>
            </w:tcMar>
            <w:vAlign w:val="bottom"/>
          </w:tcPr>
          <w:p w14:paraId="64E01167" w14:textId="77777777" w:rsidR="00FC0CD2" w:rsidRPr="00647D81" w:rsidRDefault="00FC0CD2" w:rsidP="006D408D">
            <w:pPr>
              <w:pStyle w:val="AnnexTableCellLeft"/>
              <w:spacing w:line="240" w:lineRule="auto"/>
              <w:ind w:left="500"/>
              <w:rPr>
                <w:rFonts w:ascii="Helvetica" w:hAnsi="Helvetica"/>
                <w:sz w:val="14"/>
                <w:szCs w:val="14"/>
              </w:rPr>
            </w:pPr>
            <w:r>
              <w:rPr>
                <w:rFonts w:ascii="Helvetica" w:hAnsi="Helvetica"/>
                <w:sz w:val="14"/>
              </w:rPr>
              <w:t>Gjeldsinstrumenter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30883C0"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8B2FC5E"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5889505"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3C99663"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79B4F4C"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C3DEFB3"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5F217EBE"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3081B43"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90AA3D2"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83B77E4"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C736668"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22C71EF"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E1BA29C"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53A0AC6"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EBC0812"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E8E98F2" w14:textId="77777777" w:rsidR="00FC0CD2" w:rsidRPr="00647D81" w:rsidRDefault="00FC0CD2" w:rsidP="00FC0CD2">
            <w:pPr>
              <w:pStyle w:val="AnnexTableCellLeft"/>
              <w:spacing w:line="240" w:lineRule="auto"/>
              <w:rPr>
                <w:rFonts w:ascii="Helvetica" w:hAnsi="Helvetica"/>
                <w:sz w:val="14"/>
                <w:szCs w:val="14"/>
              </w:rPr>
            </w:pPr>
          </w:p>
        </w:tc>
      </w:tr>
      <w:tr w:rsidR="00CF19A5" w:rsidRPr="00647D81" w14:paraId="27D0C9DD" w14:textId="77777777" w:rsidTr="00CF19A5">
        <w:trPr>
          <w:trHeight w:val="144"/>
        </w:trPr>
        <w:tc>
          <w:tcPr>
            <w:tcW w:w="238" w:type="dxa"/>
            <w:tcBorders>
              <w:top w:val="single" w:sz="4" w:space="0" w:color="auto"/>
              <w:left w:val="single" w:sz="4" w:space="0" w:color="auto"/>
              <w:bottom w:val="single" w:sz="4" w:space="0" w:color="auto"/>
            </w:tcBorders>
            <w:shd w:val="clear" w:color="auto" w:fill="FFFFFF"/>
            <w:tcMar>
              <w:top w:w="20" w:type="dxa"/>
              <w:bottom w:w="20" w:type="dxa"/>
            </w:tcMar>
            <w:vAlign w:val="bottom"/>
          </w:tcPr>
          <w:p w14:paraId="0F35448D" w14:textId="77777777" w:rsidR="00FC0CD2" w:rsidRPr="00647D81" w:rsidRDefault="00FC0CD2" w:rsidP="00FC0CD2">
            <w:pPr>
              <w:pStyle w:val="AnnexTableCellLeft"/>
              <w:spacing w:line="240" w:lineRule="auto"/>
              <w:ind w:right="20"/>
              <w:jc w:val="right"/>
              <w:rPr>
                <w:rFonts w:ascii="Helvetica" w:hAnsi="Helvetica"/>
                <w:sz w:val="14"/>
                <w:szCs w:val="14"/>
              </w:rPr>
            </w:pPr>
            <w:r>
              <w:rPr>
                <w:rFonts w:ascii="Helvetica" w:hAnsi="Helvetica"/>
                <w:sz w:val="14"/>
              </w:rPr>
              <w:t>10</w:t>
            </w:r>
          </w:p>
        </w:tc>
        <w:tc>
          <w:tcPr>
            <w:tcW w:w="3693" w:type="dxa"/>
            <w:tcBorders>
              <w:top w:val="single" w:sz="4" w:space="0" w:color="auto"/>
              <w:left w:val="single" w:sz="4" w:space="0" w:color="auto"/>
              <w:bottom w:val="single" w:sz="4" w:space="0" w:color="auto"/>
              <w:right w:val="single" w:sz="4" w:space="0" w:color="000000"/>
            </w:tcBorders>
            <w:shd w:val="clear" w:color="auto" w:fill="FFFFFF"/>
            <w:tcMar>
              <w:top w:w="20" w:type="dxa"/>
              <w:bottom w:w="20" w:type="dxa"/>
            </w:tcMar>
            <w:vAlign w:val="center"/>
          </w:tcPr>
          <w:p w14:paraId="0993967D" w14:textId="77777777" w:rsidR="00FC0CD2" w:rsidRPr="00647D81" w:rsidRDefault="00FC0CD2" w:rsidP="006D408D">
            <w:pPr>
              <w:pStyle w:val="AnnexTableCellLeft"/>
              <w:spacing w:line="240" w:lineRule="auto"/>
              <w:ind w:left="500"/>
              <w:rPr>
                <w:rFonts w:ascii="Helvetica" w:hAnsi="Helvetica"/>
                <w:sz w:val="14"/>
                <w:szCs w:val="14"/>
              </w:rPr>
            </w:pPr>
            <w:r>
              <w:rPr>
                <w:rFonts w:ascii="Helvetica" w:hAnsi="Helvetica"/>
                <w:sz w:val="14"/>
              </w:rPr>
              <w:t>Egenkapitalinstrumenter</w:t>
            </w:r>
          </w:p>
        </w:tc>
        <w:tc>
          <w:tcPr>
            <w:tcW w:w="66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E00F4E6"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5C0244D" w14:textId="77777777" w:rsidR="00FC0CD2" w:rsidRPr="00647D81" w:rsidRDefault="00FC0CD2" w:rsidP="00FC0CD2">
            <w:pPr>
              <w:pStyle w:val="AnnexTableCellLeft"/>
              <w:spacing w:line="240" w:lineRule="auto"/>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73D647B" w14:textId="77777777" w:rsidR="00FC0CD2" w:rsidRPr="00647D81" w:rsidRDefault="00FC0CD2" w:rsidP="00FC0CD2">
            <w:pPr>
              <w:pStyle w:val="AnnexTableCellLeft"/>
              <w:spacing w:line="240" w:lineRule="auto"/>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944999A"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7C57765" w14:textId="77777777" w:rsidR="00FC0CD2" w:rsidRPr="00647D81" w:rsidRDefault="00FC0CD2" w:rsidP="00FC0CD2">
            <w:pPr>
              <w:pStyle w:val="AnnexTableCellLeft"/>
              <w:spacing w:line="240" w:lineRule="auto"/>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D823E5A" w14:textId="77777777" w:rsidR="00FC0CD2" w:rsidRPr="00647D81" w:rsidRDefault="00FC0CD2" w:rsidP="00FC0CD2">
            <w:pPr>
              <w:pStyle w:val="AnnexTableCellLeft"/>
              <w:spacing w:line="240" w:lineRule="auto"/>
              <w:rPr>
                <w:rFonts w:ascii="Helvetica" w:hAnsi="Helvetica"/>
                <w:sz w:val="14"/>
                <w:szCs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89EC250" w14:textId="77777777" w:rsidR="00FC0CD2" w:rsidRPr="00647D81" w:rsidRDefault="00FC0CD2" w:rsidP="00FC0CD2">
            <w:pPr>
              <w:pStyle w:val="AnnexTableCellLeft"/>
              <w:spacing w:line="240" w:lineRule="auto"/>
              <w:rPr>
                <w:rFonts w:ascii="Helvetica" w:hAnsi="Helvetica"/>
                <w:sz w:val="14"/>
                <w:szCs w:val="14"/>
              </w:rPr>
            </w:pPr>
          </w:p>
        </w:tc>
        <w:tc>
          <w:tcPr>
            <w:tcW w:w="7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D9132B4" w14:textId="77777777" w:rsidR="00FC0CD2" w:rsidRPr="00647D81" w:rsidRDefault="00FC0CD2" w:rsidP="00FC0CD2">
            <w:pPr>
              <w:pStyle w:val="AnnexTableCellLeft"/>
              <w:spacing w:line="240" w:lineRule="auto"/>
              <w:rPr>
                <w:rFonts w:ascii="Helvetica" w:hAnsi="Helvetica"/>
                <w:sz w:val="14"/>
                <w:szCs w:val="14"/>
              </w:rPr>
            </w:pPr>
          </w:p>
        </w:tc>
        <w:tc>
          <w:tcPr>
            <w:tcW w:w="80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65313B5" w14:textId="77777777" w:rsidR="00FC0CD2" w:rsidRPr="00647D81" w:rsidRDefault="00FC0CD2" w:rsidP="00FC0CD2">
            <w:pPr>
              <w:pStyle w:val="AnnexTableCellLeft"/>
              <w:spacing w:line="240" w:lineRule="auto"/>
              <w:rPr>
                <w:rFonts w:ascii="Helvetica" w:hAnsi="Helvetica"/>
                <w:sz w:val="14"/>
                <w:szCs w:val="14"/>
              </w:rPr>
            </w:pPr>
          </w:p>
        </w:tc>
        <w:tc>
          <w:tcPr>
            <w:tcW w:w="51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C27EB61" w14:textId="77777777" w:rsidR="00FC0CD2" w:rsidRPr="00647D81" w:rsidRDefault="00FC0CD2" w:rsidP="00FC0CD2">
            <w:pPr>
              <w:pStyle w:val="AnnexTableCellLeft"/>
              <w:spacing w:line="240" w:lineRule="auto"/>
              <w:rPr>
                <w:rFonts w:ascii="Helvetica" w:hAnsi="Helvetica"/>
                <w:sz w:val="14"/>
                <w:szCs w:val="14"/>
              </w:rPr>
            </w:pPr>
          </w:p>
        </w:tc>
        <w:tc>
          <w:tcPr>
            <w:tcW w:w="5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527DE658" w14:textId="77777777" w:rsidR="00FC0CD2" w:rsidRPr="00647D81" w:rsidRDefault="00FC0CD2" w:rsidP="00FC0CD2">
            <w:pPr>
              <w:pStyle w:val="AnnexTableCellLeft"/>
              <w:spacing w:line="240" w:lineRule="auto"/>
              <w:rPr>
                <w:rFonts w:ascii="Helvetica" w:hAnsi="Helvetica"/>
                <w:sz w:val="14"/>
                <w:szCs w:val="14"/>
              </w:rPr>
            </w:pPr>
          </w:p>
        </w:tc>
        <w:tc>
          <w:tcPr>
            <w:tcW w:w="600"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2FA8C6B" w14:textId="77777777" w:rsidR="00FC0CD2" w:rsidRPr="00647D81" w:rsidRDefault="00FC0CD2" w:rsidP="00FC0CD2">
            <w:pPr>
              <w:pStyle w:val="AnnexTableCellLeft"/>
              <w:spacing w:line="240" w:lineRule="auto"/>
              <w:rPr>
                <w:rFonts w:ascii="Helvetica" w:hAnsi="Helvetica"/>
                <w:sz w:val="14"/>
                <w:szCs w:val="14"/>
              </w:rPr>
            </w:pPr>
          </w:p>
        </w:tc>
        <w:tc>
          <w:tcPr>
            <w:tcW w:w="49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0E9C588" w14:textId="77777777" w:rsidR="00FC0CD2" w:rsidRPr="00647D81" w:rsidRDefault="00FC0CD2" w:rsidP="00FC0CD2">
            <w:pPr>
              <w:pStyle w:val="AnnexTableCellLeft"/>
              <w:spacing w:line="240" w:lineRule="auto"/>
              <w:rPr>
                <w:rFonts w:ascii="Helvetica" w:hAnsi="Helvetica"/>
                <w:sz w:val="14"/>
                <w:szCs w:val="14"/>
              </w:rPr>
            </w:pPr>
          </w:p>
        </w:tc>
        <w:tc>
          <w:tcPr>
            <w:tcW w:w="52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34BB205"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9F94BD3" w14:textId="77777777" w:rsidR="00FC0CD2" w:rsidRPr="00647D81" w:rsidRDefault="00FC0CD2" w:rsidP="00FC0CD2">
            <w:pPr>
              <w:pStyle w:val="AnnexTableCellLeft"/>
              <w:spacing w:line="240" w:lineRule="auto"/>
              <w:rPr>
                <w:rFonts w:ascii="Helvetica" w:hAnsi="Helvetica"/>
                <w:sz w:val="14"/>
                <w:szCs w:val="14"/>
              </w:rPr>
            </w:pPr>
          </w:p>
        </w:tc>
        <w:tc>
          <w:tcPr>
            <w:tcW w:w="45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BDEA79A" w14:textId="77777777" w:rsidR="00FC0CD2" w:rsidRPr="00647D81" w:rsidRDefault="00FC0CD2" w:rsidP="00FC0CD2">
            <w:pPr>
              <w:pStyle w:val="AnnexTableCellLeft"/>
              <w:spacing w:line="240" w:lineRule="auto"/>
              <w:rPr>
                <w:rFonts w:ascii="Helvetica" w:hAnsi="Helvetica"/>
                <w:sz w:val="14"/>
                <w:szCs w:val="14"/>
              </w:rPr>
            </w:pPr>
          </w:p>
        </w:tc>
      </w:tr>
    </w:tbl>
    <w:p w14:paraId="0FDCF423" w14:textId="77777777" w:rsidR="00AF1391" w:rsidRPr="00AF1391" w:rsidRDefault="00AF1391" w:rsidP="00AF1391">
      <w:pPr>
        <w:pStyle w:val="AnnexNormal"/>
        <w:spacing w:before="200" w:after="0"/>
      </w:pPr>
      <w:r>
        <w:t>1. Kredittinstitusjoner skal duplisere denne malen for opplysninger basert på omsetning og investeringsutgifter.</w:t>
      </w:r>
    </w:p>
    <w:p w14:paraId="2B1CFD86" w14:textId="20DE0F7E" w:rsidR="00D0760A" w:rsidRDefault="00AF1391" w:rsidP="00D0760A">
      <w:pPr>
        <w:pStyle w:val="AnnexNormal"/>
        <w:sectPr w:rsidR="00D0760A" w:rsidSect="00D0760A">
          <w:pgSz w:w="16838" w:h="11906" w:orient="landscape" w:code="9"/>
          <w:pgMar w:top="1120" w:right="1680" w:bottom="1120" w:left="840" w:header="920" w:footer="280" w:gutter="0"/>
          <w:cols w:space="708"/>
          <w:docGrid w:linePitch="360"/>
        </w:sectPr>
      </w:pPr>
      <w:r>
        <w:t>2.</w:t>
      </w:r>
      <w:r w:rsidR="00223CA0">
        <w:t> </w:t>
      </w:r>
      <w:r w:rsidR="005605F3">
        <w:t>I</w:t>
      </w:r>
      <w:r w:rsidR="00223CA0">
        <w:t> </w:t>
      </w:r>
      <w:r w:rsidR="00223CA0">
        <w:t>samsvar</w:t>
      </w:r>
      <w:r w:rsidR="00223CA0">
        <w:t> </w:t>
      </w:r>
      <w:r w:rsidR="00223CA0">
        <w:t>med</w:t>
      </w:r>
      <w:r w:rsidR="00223CA0">
        <w:t> </w:t>
      </w:r>
      <w:r w:rsidR="00223CA0">
        <w:t>artikkel</w:t>
      </w:r>
      <w:r w:rsidR="00223CA0">
        <w:t> </w:t>
      </w:r>
      <w:r w:rsidR="00223CA0">
        <w:t>7</w:t>
      </w:r>
      <w:r w:rsidR="00223CA0">
        <w:t> </w:t>
      </w:r>
      <w:r w:rsidR="00223CA0">
        <w:t>nr.</w:t>
      </w:r>
      <w:r w:rsidR="00223CA0">
        <w:t> </w:t>
      </w:r>
      <w:r w:rsidR="00223CA0">
        <w:t>8</w:t>
      </w:r>
      <w:r w:rsidR="00223CA0">
        <w:t> </w:t>
      </w:r>
      <w:r w:rsidR="00223CA0">
        <w:t>i</w:t>
      </w:r>
      <w:r w:rsidR="00223CA0">
        <w:t> </w:t>
      </w:r>
      <w:r w:rsidR="00223CA0">
        <w:t>denne</w:t>
      </w:r>
      <w:r w:rsidR="00223CA0">
        <w:t> </w:t>
      </w:r>
      <w:r w:rsidR="00223CA0">
        <w:t>forordningen</w:t>
      </w:r>
      <w:r w:rsidR="00D0760A">
        <w:t>.</w:t>
      </w:r>
      <w:r w:rsidR="00223CA0">
        <w:t>»</w:t>
      </w:r>
    </w:p>
    <w:p w14:paraId="2A8E95D1" w14:textId="1236C577" w:rsidR="006D5517" w:rsidRDefault="006D5517" w:rsidP="00B310F8">
      <w:pPr>
        <w:pStyle w:val="AnnexNormal"/>
        <w:spacing w:after="0"/>
      </w:pPr>
    </w:p>
    <w:p w14:paraId="3B16481F" w14:textId="6080C0BD" w:rsidR="00A65C9C" w:rsidRDefault="00A65C9C" w:rsidP="00AF1391">
      <w:pPr>
        <w:pStyle w:val="AnnexNormal"/>
        <w:sectPr w:rsidR="00A65C9C" w:rsidSect="00517B8C">
          <w:pgSz w:w="16838" w:h="11906" w:orient="landscape" w:code="9"/>
          <w:pgMar w:top="1120" w:right="1680" w:bottom="1120" w:left="840" w:header="920" w:footer="280" w:gutter="0"/>
          <w:cols w:space="708"/>
          <w:docGrid w:linePitch="360"/>
        </w:sectPr>
      </w:pPr>
    </w:p>
    <w:p w14:paraId="60D994E4" w14:textId="4ED6AC57" w:rsidR="00A65C9C" w:rsidRPr="00A65C9C" w:rsidRDefault="00A65C9C" w:rsidP="00A65C9C">
      <w:pPr>
        <w:pStyle w:val="AnnexTI"/>
        <w:spacing w:after="360"/>
        <w:rPr>
          <w:b/>
          <w:i w:val="0"/>
          <w:u w:val="single"/>
        </w:rPr>
      </w:pPr>
      <w:r>
        <w:rPr>
          <w:b/>
          <w:i w:val="0"/>
          <w:u w:val="single"/>
        </w:rPr>
        <w:lastRenderedPageBreak/>
        <w:t>VEDLEGG</w:t>
      </w:r>
      <w:r w:rsidR="00223CA0">
        <w:rPr>
          <w:b/>
          <w:i w:val="0"/>
          <w:u w:val="single"/>
        </w:rPr>
        <w:t xml:space="preserve"> </w:t>
      </w:r>
      <w:r>
        <w:rPr>
          <w:b/>
          <w:i w:val="0"/>
          <w:u w:val="single"/>
        </w:rPr>
        <w:t>VII</w:t>
      </w:r>
    </w:p>
    <w:p w14:paraId="1631E18C" w14:textId="77777777" w:rsidR="00A65C9C" w:rsidRPr="00A65C9C" w:rsidRDefault="00A65C9C" w:rsidP="00A65C9C">
      <w:pPr>
        <w:pStyle w:val="AnnexNormal"/>
      </w:pPr>
      <w:r>
        <w:t xml:space="preserve">I vedlegg VII gjøres følgende endringer: </w:t>
      </w:r>
    </w:p>
    <w:p w14:paraId="12A66EDC" w14:textId="77777777" w:rsidR="00A65C9C" w:rsidRPr="00A65C9C" w:rsidRDefault="00A65C9C" w:rsidP="00A65C9C">
      <w:pPr>
        <w:pStyle w:val="AnnexNormal"/>
      </w:pPr>
      <w:r>
        <w:t xml:space="preserve">I avsnitt 2.2 skal første ledd lyde: </w:t>
      </w:r>
    </w:p>
    <w:p w14:paraId="15F7ADD7" w14:textId="77777777" w:rsidR="00A65C9C" w:rsidRPr="00A65C9C" w:rsidRDefault="00A65C9C" w:rsidP="00A65C9C">
      <w:pPr>
        <w:pStyle w:val="AnnexNormal"/>
      </w:pPr>
      <w:r>
        <w:t xml:space="preserve">«Vurderte foretak som det er investert i, skal inkludere ikke-finansielle foretak og finansforetak.» </w:t>
      </w:r>
    </w:p>
    <w:p w14:paraId="59D4C242" w14:textId="77777777" w:rsidR="00A65C9C" w:rsidRPr="00A65C9C" w:rsidRDefault="00A65C9C" w:rsidP="00A65C9C">
      <w:pPr>
        <w:pStyle w:val="AnnexNormal"/>
      </w:pPr>
      <w:r>
        <w:t xml:space="preserve">I avsnitt 2.3 skal første ledd lyde: </w:t>
      </w:r>
    </w:p>
    <w:p w14:paraId="522D3DCF" w14:textId="77777777" w:rsidR="00A65C9C" w:rsidRPr="00A65C9C" w:rsidRDefault="00A65C9C" w:rsidP="00A65C9C">
      <w:pPr>
        <w:pStyle w:val="AnnexNormal"/>
      </w:pPr>
      <w:r>
        <w:t xml:space="preserve">«Beregningen av KPI-er skal omfatte gjeldsinstrumenter, egenkapitalinstrumenter i investeringsobjekter og alle andre eiendeler som er dekket i henhold til artikkel 7 nr. 6.» </w:t>
      </w:r>
    </w:p>
    <w:p w14:paraId="2CA91441" w14:textId="77777777" w:rsidR="00A65C9C" w:rsidRPr="00A65C9C" w:rsidRDefault="00A65C9C" w:rsidP="00A65C9C">
      <w:pPr>
        <w:pStyle w:val="AnnexNormal"/>
      </w:pPr>
      <w:r>
        <w:t xml:space="preserve">I avsnitt 3.2 skal første ledd lyde: </w:t>
      </w:r>
    </w:p>
    <w:p w14:paraId="6D7AC439" w14:textId="77777777" w:rsidR="00A65C9C" w:rsidRPr="00A65C9C" w:rsidRDefault="00A65C9C" w:rsidP="00A65C9C">
      <w:pPr>
        <w:pStyle w:val="AnnexNormal"/>
      </w:pPr>
      <w:r>
        <w:t>«Verdipapirforetak skal ta med kunder som tar imot andre investeringstjenester enn tjenester ved handel for egen regning og tilknyttede tjenester, når de er ikke-finansielle foretak og finansforetak.»</w:t>
      </w:r>
    </w:p>
    <w:p w14:paraId="19C6AAE8" w14:textId="77777777" w:rsidR="00A65C9C" w:rsidRDefault="00A65C9C" w:rsidP="00AF1391">
      <w:pPr>
        <w:pStyle w:val="AnnexNormal"/>
        <w:sectPr w:rsidR="00A65C9C" w:rsidSect="00A65C9C">
          <w:pgSz w:w="11906" w:h="16838" w:code="9"/>
          <w:pgMar w:top="1680" w:right="1330" w:bottom="840" w:left="1330" w:header="920" w:footer="280" w:gutter="0"/>
          <w:cols w:space="708"/>
          <w:docGrid w:linePitch="360"/>
        </w:sectPr>
      </w:pPr>
    </w:p>
    <w:p w14:paraId="759744D8" w14:textId="77777777" w:rsidR="00A65C9C" w:rsidRPr="00A65C9C" w:rsidRDefault="00A65C9C" w:rsidP="00A65C9C">
      <w:pPr>
        <w:pStyle w:val="AnnexTI"/>
        <w:spacing w:after="360"/>
        <w:rPr>
          <w:b/>
          <w:i w:val="0"/>
          <w:u w:val="single"/>
        </w:rPr>
      </w:pPr>
      <w:r>
        <w:rPr>
          <w:b/>
          <w:i w:val="0"/>
          <w:u w:val="single"/>
        </w:rPr>
        <w:lastRenderedPageBreak/>
        <w:t xml:space="preserve">VEDLEGG VIII </w:t>
      </w:r>
    </w:p>
    <w:p w14:paraId="47390602" w14:textId="77777777" w:rsidR="00A65C9C" w:rsidRPr="00A65C9C" w:rsidRDefault="00A65C9C" w:rsidP="00A65C9C">
      <w:pPr>
        <w:pStyle w:val="AnnexTI"/>
        <w:spacing w:after="360"/>
        <w:rPr>
          <w:b/>
          <w:i w:val="0"/>
        </w:rPr>
      </w:pPr>
      <w:r>
        <w:rPr>
          <w:b/>
          <w:i w:val="0"/>
        </w:rPr>
        <w:t xml:space="preserve">«VEDLEGG VIII </w:t>
      </w:r>
    </w:p>
    <w:p w14:paraId="71A85829" w14:textId="77777777" w:rsidR="00A65C9C" w:rsidRPr="00A65C9C" w:rsidRDefault="00A65C9C" w:rsidP="00A65C9C">
      <w:pPr>
        <w:pStyle w:val="AnnexNormal"/>
        <w:spacing w:line="200" w:lineRule="exact"/>
        <w:jc w:val="center"/>
        <w:rPr>
          <w:b/>
          <w:sz w:val="16"/>
        </w:rPr>
      </w:pPr>
      <w:r>
        <w:rPr>
          <w:b/>
          <w:sz w:val="16"/>
        </w:rPr>
        <w:t>MAL FOR KPI-ER FOR VERDIPAPIRFORETAK</w:t>
      </w:r>
    </w:p>
    <w:tbl>
      <w:tblPr>
        <w:tblStyle w:val="EFTATable"/>
        <w:tblW w:w="0" w:type="auto"/>
        <w:tblBorders>
          <w:left w:val="single" w:sz="4" w:space="0" w:color="auto"/>
          <w:right w:val="single" w:sz="4" w:space="0" w:color="auto"/>
        </w:tblBorders>
        <w:tblLook w:val="04A0" w:firstRow="1" w:lastRow="0" w:firstColumn="1" w:lastColumn="0" w:noHBand="0" w:noVBand="1"/>
      </w:tblPr>
      <w:tblGrid>
        <w:gridCol w:w="893"/>
        <w:gridCol w:w="8364"/>
      </w:tblGrid>
      <w:tr w:rsidR="00B25863" w:rsidRPr="00517B8C" w14:paraId="2E5FF3E8" w14:textId="77777777" w:rsidTr="004A2CAF">
        <w:tc>
          <w:tcPr>
            <w:tcW w:w="893" w:type="dxa"/>
            <w:shd w:val="clear" w:color="auto" w:fill="D9D9D9" w:themeFill="background1" w:themeFillShade="D9"/>
            <w:tcMar>
              <w:top w:w="60" w:type="dxa"/>
              <w:left w:w="0" w:type="dxa"/>
              <w:bottom w:w="60" w:type="dxa"/>
            </w:tcMar>
            <w:vAlign w:val="center"/>
          </w:tcPr>
          <w:p w14:paraId="624B0A23" w14:textId="77777777" w:rsidR="00B25863" w:rsidRPr="00517B8C" w:rsidRDefault="00B25863" w:rsidP="004A2CAF">
            <w:pPr>
              <w:pStyle w:val="AnnexTableHeader"/>
              <w:rPr>
                <w:b/>
              </w:rPr>
            </w:pPr>
            <w:r>
              <w:rPr>
                <w:b/>
              </w:rPr>
              <w:t>Mal nr.</w:t>
            </w:r>
          </w:p>
        </w:tc>
        <w:tc>
          <w:tcPr>
            <w:tcW w:w="8364" w:type="dxa"/>
            <w:shd w:val="clear" w:color="auto" w:fill="D9D9D9" w:themeFill="background1" w:themeFillShade="D9"/>
            <w:tcMar>
              <w:top w:w="60" w:type="dxa"/>
              <w:bottom w:w="60" w:type="dxa"/>
              <w:right w:w="0" w:type="dxa"/>
            </w:tcMar>
            <w:vAlign w:val="center"/>
          </w:tcPr>
          <w:p w14:paraId="73D0DA9F" w14:textId="77777777" w:rsidR="00B25863" w:rsidRPr="00517B8C" w:rsidRDefault="00B25863" w:rsidP="004A2CAF">
            <w:pPr>
              <w:pStyle w:val="AnnexTableHeader"/>
              <w:rPr>
                <w:b/>
              </w:rPr>
            </w:pPr>
            <w:r>
              <w:rPr>
                <w:b/>
              </w:rPr>
              <w:t>Navn</w:t>
            </w:r>
          </w:p>
        </w:tc>
      </w:tr>
      <w:tr w:rsidR="00B25863" w14:paraId="0300A458" w14:textId="77777777" w:rsidTr="004A2CAF">
        <w:tc>
          <w:tcPr>
            <w:tcW w:w="893" w:type="dxa"/>
            <w:tcMar>
              <w:top w:w="60" w:type="dxa"/>
              <w:left w:w="0" w:type="dxa"/>
              <w:bottom w:w="60" w:type="dxa"/>
            </w:tcMar>
          </w:tcPr>
          <w:p w14:paraId="321CE5B9" w14:textId="77777777" w:rsidR="00B25863" w:rsidRDefault="00B25863" w:rsidP="004A2CAF">
            <w:pPr>
              <w:pStyle w:val="AnnexNormal"/>
              <w:jc w:val="center"/>
            </w:pPr>
            <w:r>
              <w:t>0</w:t>
            </w:r>
          </w:p>
        </w:tc>
        <w:tc>
          <w:tcPr>
            <w:tcW w:w="8364" w:type="dxa"/>
            <w:tcMar>
              <w:top w:w="60" w:type="dxa"/>
              <w:bottom w:w="60" w:type="dxa"/>
              <w:right w:w="0" w:type="dxa"/>
            </w:tcMar>
          </w:tcPr>
          <w:p w14:paraId="19A5A6E7" w14:textId="77777777" w:rsidR="00B25863" w:rsidRDefault="00B25863" w:rsidP="004A2CAF">
            <w:pPr>
              <w:pStyle w:val="AnnexNormal"/>
            </w:pPr>
            <w:r>
              <w:t>Sammendrag av KPI-er som skal framlegges av verdipapirforetak i henhold til artikkel 8 i taksonomiforordningen</w:t>
            </w:r>
          </w:p>
        </w:tc>
      </w:tr>
      <w:tr w:rsidR="00B25863" w14:paraId="57A304F5" w14:textId="77777777" w:rsidTr="004A2CAF">
        <w:tc>
          <w:tcPr>
            <w:tcW w:w="893" w:type="dxa"/>
            <w:tcMar>
              <w:top w:w="60" w:type="dxa"/>
              <w:left w:w="0" w:type="dxa"/>
              <w:bottom w:w="60" w:type="dxa"/>
            </w:tcMar>
          </w:tcPr>
          <w:p w14:paraId="4AAD6ED4" w14:textId="77777777" w:rsidR="00B25863" w:rsidRDefault="00B25863" w:rsidP="004A2CAF">
            <w:pPr>
              <w:pStyle w:val="AnnexNormal"/>
              <w:jc w:val="center"/>
            </w:pPr>
            <w:r>
              <w:t>1</w:t>
            </w:r>
          </w:p>
        </w:tc>
        <w:tc>
          <w:tcPr>
            <w:tcW w:w="8364" w:type="dxa"/>
            <w:tcMar>
              <w:top w:w="60" w:type="dxa"/>
              <w:bottom w:w="60" w:type="dxa"/>
              <w:right w:w="0" w:type="dxa"/>
            </w:tcMar>
          </w:tcPr>
          <w:p w14:paraId="7A8190F5" w14:textId="77777777" w:rsidR="00B25863" w:rsidRDefault="00B25863" w:rsidP="004A2CAF">
            <w:pPr>
              <w:pStyle w:val="AnnexNormal"/>
            </w:pPr>
            <w:r>
              <w:t>KPI for verdipapirforetak – Tjenester ved handel for egen regning</w:t>
            </w:r>
          </w:p>
        </w:tc>
      </w:tr>
      <w:tr w:rsidR="00B25863" w14:paraId="6201CB71" w14:textId="77777777" w:rsidTr="004A2CAF">
        <w:tc>
          <w:tcPr>
            <w:tcW w:w="893" w:type="dxa"/>
            <w:tcMar>
              <w:top w:w="60" w:type="dxa"/>
              <w:left w:w="0" w:type="dxa"/>
              <w:bottom w:w="60" w:type="dxa"/>
            </w:tcMar>
          </w:tcPr>
          <w:p w14:paraId="240211E2" w14:textId="77777777" w:rsidR="00B25863" w:rsidRDefault="00B25863" w:rsidP="004A2CAF">
            <w:pPr>
              <w:pStyle w:val="AnnexNormal"/>
              <w:jc w:val="center"/>
            </w:pPr>
            <w:r>
              <w:t>2</w:t>
            </w:r>
          </w:p>
        </w:tc>
        <w:tc>
          <w:tcPr>
            <w:tcW w:w="8364" w:type="dxa"/>
            <w:tcMar>
              <w:top w:w="60" w:type="dxa"/>
              <w:bottom w:w="60" w:type="dxa"/>
              <w:right w:w="0" w:type="dxa"/>
            </w:tcMar>
          </w:tcPr>
          <w:p w14:paraId="7E74CDA2" w14:textId="2EB678FF" w:rsidR="00B25863" w:rsidRDefault="00B25863" w:rsidP="004A2CAF">
            <w:pPr>
              <w:pStyle w:val="AnnexNormal"/>
            </w:pPr>
            <w:r>
              <w:t>KPI for verdipapirforetak – Andre tjenester</w:t>
            </w:r>
          </w:p>
        </w:tc>
      </w:tr>
    </w:tbl>
    <w:p w14:paraId="79E6972C" w14:textId="77777777" w:rsidR="00A65C9C" w:rsidRDefault="00A65C9C" w:rsidP="00AF1391">
      <w:pPr>
        <w:pStyle w:val="AnnexNormal"/>
      </w:pPr>
    </w:p>
    <w:p w14:paraId="1E426D1F" w14:textId="77777777" w:rsidR="00A65C9C" w:rsidRPr="00DE7ADC" w:rsidRDefault="00DE7ADC" w:rsidP="00DE7ADC">
      <w:pPr>
        <w:pStyle w:val="TableTitle"/>
        <w:pageBreakBefore/>
        <w:rPr>
          <w:i/>
        </w:rPr>
      </w:pPr>
      <w:r>
        <w:rPr>
          <w:i/>
        </w:rPr>
        <w:lastRenderedPageBreak/>
        <w:t>Mal 0: Sammendrag av KPI-er som skal framlegges av verdipapirforetak i henhold til artikkel 8 i taksonomiforordningen</w:t>
      </w:r>
    </w:p>
    <w:tbl>
      <w:tblPr>
        <w:tblOverlap w:val="never"/>
        <w:tblW w:w="14327" w:type="dxa"/>
        <w:tblInd w:w="-6" w:type="dxa"/>
        <w:tblLayout w:type="fixed"/>
        <w:tblCellMar>
          <w:left w:w="10" w:type="dxa"/>
          <w:right w:w="10" w:type="dxa"/>
        </w:tblCellMar>
        <w:tblLook w:val="0000" w:firstRow="0" w:lastRow="0" w:firstColumn="0" w:lastColumn="0" w:noHBand="0" w:noVBand="0"/>
      </w:tblPr>
      <w:tblGrid>
        <w:gridCol w:w="4619"/>
        <w:gridCol w:w="12"/>
        <w:gridCol w:w="1656"/>
        <w:gridCol w:w="1356"/>
        <w:gridCol w:w="1248"/>
        <w:gridCol w:w="1176"/>
        <w:gridCol w:w="852"/>
        <w:gridCol w:w="1068"/>
        <w:gridCol w:w="1140"/>
        <w:gridCol w:w="1200"/>
      </w:tblGrid>
      <w:tr w:rsidR="00DE7ADC" w:rsidRPr="00647D81" w14:paraId="7CA6E424" w14:textId="77777777" w:rsidTr="003E3BB2">
        <w:trPr>
          <w:trHeight w:val="20"/>
        </w:trPr>
        <w:tc>
          <w:tcPr>
            <w:tcW w:w="4619" w:type="dxa"/>
            <w:tcBorders>
              <w:top w:val="single" w:sz="4" w:space="0" w:color="auto"/>
              <w:left w:val="single" w:sz="4" w:space="0" w:color="auto"/>
            </w:tcBorders>
            <w:shd w:val="clear" w:color="auto" w:fill="FFFFFF"/>
            <w:tcMar>
              <w:top w:w="40" w:type="dxa"/>
              <w:left w:w="0" w:type="dxa"/>
              <w:bottom w:w="40" w:type="dxa"/>
            </w:tcMar>
            <w:vAlign w:val="center"/>
          </w:tcPr>
          <w:p w14:paraId="7560F4BB" w14:textId="77777777" w:rsidR="00DE7ADC" w:rsidRPr="00647D81" w:rsidRDefault="00DE7ADC" w:rsidP="003E3BB2">
            <w:pPr>
              <w:pStyle w:val="AnnexTableHeader"/>
              <w:spacing w:line="240" w:lineRule="auto"/>
              <w:ind w:left="40"/>
              <w:jc w:val="left"/>
              <w:rPr>
                <w:rFonts w:ascii="Helvetica" w:hAnsi="Helvetica"/>
                <w:b/>
                <w:sz w:val="12"/>
                <w:szCs w:val="12"/>
              </w:rPr>
            </w:pPr>
            <w:r>
              <w:rPr>
                <w:rFonts w:ascii="Helvetica" w:hAnsi="Helvetica"/>
                <w:b/>
                <w:sz w:val="12"/>
              </w:rPr>
              <w:t>Referansedato/-periode for opplysningene t</w:t>
            </w:r>
          </w:p>
        </w:tc>
        <w:tc>
          <w:tcPr>
            <w:tcW w:w="1668" w:type="dxa"/>
            <w:gridSpan w:val="2"/>
            <w:tcBorders>
              <w:top w:val="single" w:sz="4" w:space="0" w:color="auto"/>
              <w:left w:val="single" w:sz="4" w:space="0" w:color="auto"/>
            </w:tcBorders>
            <w:shd w:val="clear" w:color="auto" w:fill="FFFFFF"/>
            <w:tcMar>
              <w:top w:w="40" w:type="dxa"/>
              <w:bottom w:w="40" w:type="dxa"/>
            </w:tcMar>
            <w:vAlign w:val="center"/>
          </w:tcPr>
          <w:p w14:paraId="2399AC29" w14:textId="77777777" w:rsidR="00DE7ADC" w:rsidRPr="00647D81" w:rsidRDefault="00DE7ADC" w:rsidP="00DE7ADC">
            <w:pPr>
              <w:pStyle w:val="AnnexTableHeader"/>
              <w:spacing w:line="240" w:lineRule="auto"/>
              <w:rPr>
                <w:rFonts w:ascii="Helvetica" w:hAnsi="Helvetica"/>
                <w:b/>
                <w:sz w:val="12"/>
                <w:szCs w:val="12"/>
              </w:rPr>
            </w:pPr>
          </w:p>
        </w:tc>
        <w:tc>
          <w:tcPr>
            <w:tcW w:w="8040" w:type="dxa"/>
            <w:gridSpan w:val="7"/>
            <w:tcBorders>
              <w:left w:val="single" w:sz="4" w:space="0" w:color="auto"/>
            </w:tcBorders>
            <w:shd w:val="clear" w:color="auto" w:fill="FFFFFF"/>
            <w:tcMar>
              <w:top w:w="40" w:type="dxa"/>
              <w:bottom w:w="40" w:type="dxa"/>
              <w:right w:w="0" w:type="dxa"/>
            </w:tcMar>
            <w:vAlign w:val="center"/>
          </w:tcPr>
          <w:p w14:paraId="596E6F0B" w14:textId="77777777" w:rsidR="00DE7ADC" w:rsidRPr="00647D81" w:rsidRDefault="00DE7ADC" w:rsidP="00DE7ADC">
            <w:pPr>
              <w:pStyle w:val="AnnexTableHeader"/>
              <w:spacing w:line="240" w:lineRule="auto"/>
              <w:rPr>
                <w:rFonts w:ascii="Helvetica" w:hAnsi="Helvetica"/>
                <w:b/>
                <w:sz w:val="12"/>
                <w:szCs w:val="12"/>
              </w:rPr>
            </w:pPr>
          </w:p>
        </w:tc>
      </w:tr>
      <w:tr w:rsidR="003E3BB2" w:rsidRPr="00647D81" w14:paraId="44A5BB0B" w14:textId="77777777" w:rsidTr="003E3BB2">
        <w:trPr>
          <w:trHeight w:val="20"/>
        </w:trPr>
        <w:tc>
          <w:tcPr>
            <w:tcW w:w="6287" w:type="dxa"/>
            <w:gridSpan w:val="3"/>
            <w:tcBorders>
              <w:top w:val="single" w:sz="4" w:space="0" w:color="auto"/>
              <w:left w:val="single" w:sz="4" w:space="0" w:color="auto"/>
            </w:tcBorders>
            <w:shd w:val="clear" w:color="auto" w:fill="D9D9D9" w:themeFill="background1" w:themeFillShade="D9"/>
            <w:tcMar>
              <w:top w:w="40" w:type="dxa"/>
              <w:left w:w="0" w:type="dxa"/>
              <w:bottom w:w="40" w:type="dxa"/>
            </w:tcMar>
            <w:vAlign w:val="center"/>
          </w:tcPr>
          <w:p w14:paraId="298B2F8B" w14:textId="77777777" w:rsidR="00DE7ADC" w:rsidRPr="00647D81" w:rsidRDefault="00DE7ADC" w:rsidP="00DE7ADC">
            <w:pPr>
              <w:pStyle w:val="AnnexTableHeader"/>
              <w:spacing w:line="240" w:lineRule="auto"/>
              <w:rPr>
                <w:rFonts w:ascii="Helvetica" w:hAnsi="Helvetica"/>
                <w:b/>
                <w:sz w:val="12"/>
                <w:szCs w:val="12"/>
              </w:rPr>
            </w:pPr>
          </w:p>
        </w:tc>
        <w:tc>
          <w:tcPr>
            <w:tcW w:w="2604" w:type="dxa"/>
            <w:gridSpan w:val="2"/>
            <w:tcBorders>
              <w:top w:val="single" w:sz="4" w:space="0" w:color="auto"/>
              <w:left w:val="single" w:sz="4" w:space="0" w:color="auto"/>
            </w:tcBorders>
            <w:shd w:val="clear" w:color="auto" w:fill="D9D9D9" w:themeFill="background1" w:themeFillShade="D9"/>
            <w:tcMar>
              <w:top w:w="40" w:type="dxa"/>
              <w:bottom w:w="40" w:type="dxa"/>
            </w:tcMar>
            <w:vAlign w:val="center"/>
          </w:tcPr>
          <w:p w14:paraId="5BABA1B7"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Samlede taksonomiforenlige eiendeler (valuta)</w:t>
            </w:r>
          </w:p>
        </w:tc>
        <w:tc>
          <w:tcPr>
            <w:tcW w:w="1176"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6267C87D"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KPI (2)</w:t>
            </w:r>
          </w:p>
          <w:p w14:paraId="4283498A"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w:t>
            </w:r>
          </w:p>
        </w:tc>
        <w:tc>
          <w:tcPr>
            <w:tcW w:w="852"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41A8FCB6"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KPI (3)</w:t>
            </w:r>
          </w:p>
          <w:p w14:paraId="0AF3BA32"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w:t>
            </w:r>
          </w:p>
        </w:tc>
        <w:tc>
          <w:tcPr>
            <w:tcW w:w="1068"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433ACF1B"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bCs/>
                <w:sz w:val="12"/>
              </w:rPr>
              <w:t>Dekningsgrad i % (av samlede eiendeler)</w:t>
            </w:r>
            <w:r>
              <w:rPr>
                <w:rFonts w:ascii="Helvetica" w:hAnsi="Helvetica"/>
                <w:b/>
                <w:sz w:val="12"/>
              </w:rPr>
              <w:t xml:space="preserve"> (4) (%)</w:t>
            </w:r>
          </w:p>
        </w:tc>
        <w:tc>
          <w:tcPr>
            <w:tcW w:w="1140"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42280877"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ikke-vurderte eksponeringer (% av dekkede eiendeler) (5)</w:t>
            </w:r>
          </w:p>
          <w:p w14:paraId="14D985EA"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w:t>
            </w:r>
          </w:p>
        </w:tc>
        <w:tc>
          <w:tcPr>
            <w:tcW w:w="1200" w:type="dxa"/>
            <w:tcBorders>
              <w:top w:val="single" w:sz="4" w:space="0" w:color="auto"/>
              <w:left w:val="single" w:sz="4" w:space="0" w:color="auto"/>
              <w:right w:val="single" w:sz="4" w:space="0" w:color="auto"/>
            </w:tcBorders>
            <w:shd w:val="clear" w:color="auto" w:fill="D9D9D9" w:themeFill="background1" w:themeFillShade="D9"/>
            <w:tcMar>
              <w:top w:w="40" w:type="dxa"/>
              <w:bottom w:w="40" w:type="dxa"/>
              <w:right w:w="0" w:type="dxa"/>
            </w:tcMar>
            <w:vAlign w:val="center"/>
          </w:tcPr>
          <w:p w14:paraId="77F31CD3" w14:textId="77777777" w:rsidR="00DE7ADC" w:rsidRPr="00647D81" w:rsidRDefault="00DE7ADC" w:rsidP="004A2CAF">
            <w:pPr>
              <w:pStyle w:val="AnnexTableHeader"/>
              <w:spacing w:line="240" w:lineRule="auto"/>
              <w:ind w:right="40"/>
              <w:rPr>
                <w:rFonts w:ascii="Helvetica" w:hAnsi="Helvetica"/>
                <w:b/>
                <w:sz w:val="12"/>
                <w:szCs w:val="12"/>
              </w:rPr>
            </w:pPr>
            <w:r>
              <w:rPr>
                <w:rFonts w:ascii="Helvetica" w:hAnsi="Helvetica"/>
                <w:b/>
                <w:sz w:val="12"/>
              </w:rPr>
              <w:t>ikke-vurderte eksponeringer (% av dekkede eiendeler) (5) (%)</w:t>
            </w:r>
          </w:p>
        </w:tc>
      </w:tr>
      <w:tr w:rsidR="003E3BB2" w:rsidRPr="00647D81" w14:paraId="1090B515" w14:textId="77777777" w:rsidTr="003E3BB2">
        <w:trPr>
          <w:trHeight w:val="20"/>
        </w:trPr>
        <w:tc>
          <w:tcPr>
            <w:tcW w:w="6287" w:type="dxa"/>
            <w:gridSpan w:val="3"/>
            <w:tcBorders>
              <w:left w:val="single" w:sz="4" w:space="0" w:color="auto"/>
            </w:tcBorders>
            <w:shd w:val="clear" w:color="auto" w:fill="D9D9D9" w:themeFill="background1" w:themeFillShade="D9"/>
            <w:tcMar>
              <w:top w:w="40" w:type="dxa"/>
              <w:left w:w="0" w:type="dxa"/>
              <w:bottom w:w="40" w:type="dxa"/>
            </w:tcMar>
            <w:vAlign w:val="center"/>
          </w:tcPr>
          <w:p w14:paraId="25058085" w14:textId="77777777" w:rsidR="00DE7ADC" w:rsidRPr="00647D81" w:rsidRDefault="00DE7ADC" w:rsidP="00DE7ADC">
            <w:pPr>
              <w:pStyle w:val="AnnexTableHeader"/>
              <w:spacing w:line="240" w:lineRule="auto"/>
              <w:rPr>
                <w:rFonts w:ascii="Helvetica" w:hAnsi="Helvetica"/>
                <w:b/>
                <w:sz w:val="12"/>
                <w:szCs w:val="12"/>
              </w:rPr>
            </w:pPr>
          </w:p>
        </w:tc>
        <w:tc>
          <w:tcPr>
            <w:tcW w:w="1356"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5F203AE4"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omsetning</w:t>
            </w:r>
          </w:p>
        </w:tc>
        <w:tc>
          <w:tcPr>
            <w:tcW w:w="1248"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72802F17"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investeringsutgifter</w:t>
            </w:r>
          </w:p>
        </w:tc>
        <w:tc>
          <w:tcPr>
            <w:tcW w:w="1176"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3A9B85A2"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omsetning</w:t>
            </w:r>
          </w:p>
        </w:tc>
        <w:tc>
          <w:tcPr>
            <w:tcW w:w="852"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7B62707D" w14:textId="0BF6B559"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investerings</w:t>
            </w:r>
            <w:r w:rsidR="00223CA0">
              <w:rPr>
                <w:rFonts w:ascii="Helvetica" w:hAnsi="Helvetica"/>
                <w:b/>
                <w:sz w:val="12"/>
              </w:rPr>
              <w:softHyphen/>
            </w:r>
            <w:r>
              <w:rPr>
                <w:rFonts w:ascii="Helvetica" w:hAnsi="Helvetica"/>
                <w:b/>
                <w:sz w:val="12"/>
              </w:rPr>
              <w:t>utgifter</w:t>
            </w:r>
          </w:p>
        </w:tc>
        <w:tc>
          <w:tcPr>
            <w:tcW w:w="1068"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0A82670C" w14:textId="77777777" w:rsidR="00DE7ADC" w:rsidRPr="00647D81" w:rsidRDefault="00DE7ADC" w:rsidP="00B310F8">
            <w:pPr>
              <w:pStyle w:val="AnnexTableHeader"/>
              <w:spacing w:line="240" w:lineRule="auto"/>
              <w:ind w:left="20"/>
              <w:jc w:val="left"/>
              <w:rPr>
                <w:rFonts w:ascii="Helvetica" w:hAnsi="Helvetica"/>
                <w:b/>
                <w:sz w:val="12"/>
                <w:szCs w:val="12"/>
              </w:rPr>
            </w:pPr>
          </w:p>
        </w:tc>
        <w:tc>
          <w:tcPr>
            <w:tcW w:w="1140"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47B7DFBF"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omsetning</w:t>
            </w:r>
          </w:p>
        </w:tc>
        <w:tc>
          <w:tcPr>
            <w:tcW w:w="1200" w:type="dxa"/>
            <w:tcBorders>
              <w:top w:val="single" w:sz="4" w:space="0" w:color="auto"/>
              <w:left w:val="single" w:sz="4" w:space="0" w:color="auto"/>
              <w:right w:val="single" w:sz="4" w:space="0" w:color="auto"/>
            </w:tcBorders>
            <w:shd w:val="clear" w:color="auto" w:fill="D9D9D9" w:themeFill="background1" w:themeFillShade="D9"/>
            <w:tcMar>
              <w:top w:w="40" w:type="dxa"/>
              <w:bottom w:w="40" w:type="dxa"/>
              <w:right w:w="0" w:type="dxa"/>
            </w:tcMar>
            <w:vAlign w:val="center"/>
          </w:tcPr>
          <w:p w14:paraId="740F788D"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investeringsutgifter</w:t>
            </w:r>
          </w:p>
        </w:tc>
      </w:tr>
      <w:tr w:rsidR="00DE7ADC" w:rsidRPr="00647D81" w14:paraId="147AE076" w14:textId="77777777" w:rsidTr="003E3BB2">
        <w:trPr>
          <w:trHeight w:val="20"/>
        </w:trPr>
        <w:tc>
          <w:tcPr>
            <w:tcW w:w="4631" w:type="dxa"/>
            <w:gridSpan w:val="2"/>
            <w:tcBorders>
              <w:top w:val="single" w:sz="4" w:space="0" w:color="auto"/>
              <w:left w:val="single" w:sz="4" w:space="0" w:color="auto"/>
            </w:tcBorders>
            <w:shd w:val="clear" w:color="auto" w:fill="FFFFFF"/>
            <w:tcMar>
              <w:top w:w="40" w:type="dxa"/>
              <w:left w:w="0" w:type="dxa"/>
              <w:bottom w:w="40" w:type="dxa"/>
            </w:tcMar>
            <w:vAlign w:val="center"/>
          </w:tcPr>
          <w:p w14:paraId="1A7FA3D9" w14:textId="77777777" w:rsidR="00DE7ADC" w:rsidRPr="00647D81" w:rsidRDefault="00DE7ADC" w:rsidP="003E3BB2">
            <w:pPr>
              <w:pStyle w:val="AnnexTableHeader"/>
              <w:spacing w:line="240" w:lineRule="auto"/>
              <w:ind w:left="40"/>
              <w:jc w:val="left"/>
              <w:rPr>
                <w:rFonts w:ascii="Helvetica" w:hAnsi="Helvetica"/>
                <w:b/>
                <w:sz w:val="12"/>
                <w:szCs w:val="12"/>
              </w:rPr>
            </w:pPr>
            <w:r>
              <w:rPr>
                <w:rFonts w:ascii="Helvetica" w:hAnsi="Helvetica"/>
                <w:b/>
                <w:sz w:val="12"/>
              </w:rPr>
              <w:t>Hoved-KPI (for handel for egen regning)</w:t>
            </w:r>
          </w:p>
        </w:tc>
        <w:tc>
          <w:tcPr>
            <w:tcW w:w="1656" w:type="dxa"/>
            <w:tcBorders>
              <w:top w:val="single" w:sz="4" w:space="0" w:color="auto"/>
              <w:left w:val="single" w:sz="4" w:space="0" w:color="auto"/>
            </w:tcBorders>
            <w:shd w:val="clear" w:color="auto" w:fill="FFFFFF"/>
            <w:tcMar>
              <w:top w:w="40" w:type="dxa"/>
              <w:bottom w:w="40" w:type="dxa"/>
            </w:tcMar>
            <w:vAlign w:val="center"/>
          </w:tcPr>
          <w:p w14:paraId="2DBD7EAB"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Den grønne brøken (GAR)</w:t>
            </w:r>
          </w:p>
        </w:tc>
        <w:tc>
          <w:tcPr>
            <w:tcW w:w="1356" w:type="dxa"/>
            <w:tcBorders>
              <w:top w:val="single" w:sz="4" w:space="0" w:color="auto"/>
              <w:left w:val="single" w:sz="4" w:space="0" w:color="auto"/>
            </w:tcBorders>
            <w:shd w:val="clear" w:color="auto" w:fill="FFFFFF"/>
            <w:tcMar>
              <w:top w:w="40" w:type="dxa"/>
              <w:bottom w:w="40" w:type="dxa"/>
            </w:tcMar>
            <w:vAlign w:val="center"/>
          </w:tcPr>
          <w:p w14:paraId="59B140DC" w14:textId="77777777" w:rsidR="00DE7ADC" w:rsidRPr="00647D81" w:rsidRDefault="00DE7ADC" w:rsidP="00DE7ADC">
            <w:pPr>
              <w:pStyle w:val="AnnexTableHeader"/>
              <w:spacing w:line="240" w:lineRule="auto"/>
              <w:rPr>
                <w:rFonts w:ascii="Helvetica" w:hAnsi="Helvetica"/>
                <w:b/>
                <w:sz w:val="12"/>
                <w:szCs w:val="12"/>
              </w:rPr>
            </w:pPr>
          </w:p>
        </w:tc>
        <w:tc>
          <w:tcPr>
            <w:tcW w:w="1248" w:type="dxa"/>
            <w:tcBorders>
              <w:top w:val="single" w:sz="4" w:space="0" w:color="auto"/>
              <w:left w:val="single" w:sz="4" w:space="0" w:color="auto"/>
            </w:tcBorders>
            <w:shd w:val="clear" w:color="auto" w:fill="FFFFFF"/>
            <w:tcMar>
              <w:top w:w="40" w:type="dxa"/>
              <w:bottom w:w="40" w:type="dxa"/>
            </w:tcMar>
            <w:vAlign w:val="center"/>
          </w:tcPr>
          <w:p w14:paraId="0012107E" w14:textId="77777777" w:rsidR="00DE7ADC" w:rsidRPr="00647D81" w:rsidRDefault="00DE7ADC" w:rsidP="00DE7ADC">
            <w:pPr>
              <w:pStyle w:val="AnnexTableHeader"/>
              <w:spacing w:line="240" w:lineRule="auto"/>
              <w:rPr>
                <w:rFonts w:ascii="Helvetica" w:hAnsi="Helvetica"/>
                <w:b/>
                <w:sz w:val="12"/>
                <w:szCs w:val="12"/>
              </w:rPr>
            </w:pPr>
          </w:p>
        </w:tc>
        <w:tc>
          <w:tcPr>
            <w:tcW w:w="1176" w:type="dxa"/>
            <w:tcBorders>
              <w:top w:val="single" w:sz="4" w:space="0" w:color="auto"/>
              <w:left w:val="single" w:sz="4" w:space="0" w:color="auto"/>
            </w:tcBorders>
            <w:shd w:val="clear" w:color="auto" w:fill="FFFFFF"/>
            <w:tcMar>
              <w:top w:w="40" w:type="dxa"/>
              <w:bottom w:w="40" w:type="dxa"/>
            </w:tcMar>
            <w:vAlign w:val="center"/>
          </w:tcPr>
          <w:p w14:paraId="500F59B6" w14:textId="77777777" w:rsidR="00DE7ADC" w:rsidRPr="00647D81" w:rsidRDefault="00DE7ADC" w:rsidP="00DE7ADC">
            <w:pPr>
              <w:pStyle w:val="AnnexTableHeader"/>
              <w:spacing w:line="240" w:lineRule="auto"/>
              <w:rPr>
                <w:rFonts w:ascii="Helvetica" w:hAnsi="Helvetica"/>
                <w:b/>
                <w:sz w:val="12"/>
                <w:szCs w:val="12"/>
              </w:rPr>
            </w:pPr>
          </w:p>
        </w:tc>
        <w:tc>
          <w:tcPr>
            <w:tcW w:w="852" w:type="dxa"/>
            <w:tcBorders>
              <w:top w:val="single" w:sz="4" w:space="0" w:color="auto"/>
              <w:left w:val="single" w:sz="4" w:space="0" w:color="auto"/>
            </w:tcBorders>
            <w:shd w:val="clear" w:color="auto" w:fill="FFFFFF"/>
            <w:tcMar>
              <w:top w:w="40" w:type="dxa"/>
              <w:bottom w:w="40" w:type="dxa"/>
            </w:tcMar>
            <w:vAlign w:val="center"/>
          </w:tcPr>
          <w:p w14:paraId="77F16DD6" w14:textId="77777777" w:rsidR="00DE7ADC" w:rsidRPr="00647D81" w:rsidRDefault="00DE7ADC" w:rsidP="00DE7ADC">
            <w:pPr>
              <w:pStyle w:val="AnnexTableHeader"/>
              <w:spacing w:line="240" w:lineRule="auto"/>
              <w:rPr>
                <w:rFonts w:ascii="Helvetica" w:hAnsi="Helvetica"/>
                <w:b/>
                <w:sz w:val="12"/>
                <w:szCs w:val="12"/>
              </w:rPr>
            </w:pPr>
          </w:p>
        </w:tc>
        <w:tc>
          <w:tcPr>
            <w:tcW w:w="1068" w:type="dxa"/>
            <w:tcBorders>
              <w:top w:val="single" w:sz="4" w:space="0" w:color="auto"/>
              <w:left w:val="single" w:sz="4" w:space="0" w:color="auto"/>
            </w:tcBorders>
            <w:shd w:val="clear" w:color="auto" w:fill="FFFFFF"/>
            <w:tcMar>
              <w:top w:w="40" w:type="dxa"/>
              <w:bottom w:w="40" w:type="dxa"/>
            </w:tcMar>
            <w:vAlign w:val="center"/>
          </w:tcPr>
          <w:p w14:paraId="040FA69A" w14:textId="77777777" w:rsidR="00DE7ADC" w:rsidRPr="00647D81" w:rsidRDefault="00DE7ADC" w:rsidP="00DE7ADC">
            <w:pPr>
              <w:pStyle w:val="AnnexTableHeader"/>
              <w:spacing w:line="240" w:lineRule="auto"/>
              <w:rPr>
                <w:rFonts w:ascii="Helvetica" w:hAnsi="Helvetica"/>
                <w:b/>
                <w:sz w:val="12"/>
                <w:szCs w:val="12"/>
              </w:rPr>
            </w:pPr>
          </w:p>
        </w:tc>
        <w:tc>
          <w:tcPr>
            <w:tcW w:w="1140" w:type="dxa"/>
            <w:tcBorders>
              <w:top w:val="single" w:sz="4" w:space="0" w:color="auto"/>
              <w:left w:val="single" w:sz="4" w:space="0" w:color="auto"/>
            </w:tcBorders>
            <w:shd w:val="clear" w:color="auto" w:fill="FFFFFF"/>
            <w:tcMar>
              <w:top w:w="40" w:type="dxa"/>
              <w:bottom w:w="40" w:type="dxa"/>
            </w:tcMar>
            <w:vAlign w:val="center"/>
          </w:tcPr>
          <w:p w14:paraId="67771F29" w14:textId="77777777" w:rsidR="00DE7ADC" w:rsidRPr="00647D81" w:rsidRDefault="00DE7ADC" w:rsidP="00DE7ADC">
            <w:pPr>
              <w:pStyle w:val="AnnexTableHeader"/>
              <w:spacing w:line="240" w:lineRule="auto"/>
              <w:rPr>
                <w:rFonts w:ascii="Helvetica" w:hAnsi="Helvetica"/>
                <w:b/>
                <w:sz w:val="12"/>
                <w:szCs w:val="12"/>
              </w:rPr>
            </w:pPr>
          </w:p>
        </w:tc>
        <w:tc>
          <w:tcPr>
            <w:tcW w:w="1200" w:type="dxa"/>
            <w:tcBorders>
              <w:top w:val="single" w:sz="4" w:space="0" w:color="auto"/>
              <w:left w:val="single" w:sz="4" w:space="0" w:color="auto"/>
              <w:right w:val="single" w:sz="4" w:space="0" w:color="auto"/>
            </w:tcBorders>
            <w:shd w:val="clear" w:color="auto" w:fill="FFFFFF"/>
            <w:tcMar>
              <w:top w:w="40" w:type="dxa"/>
              <w:bottom w:w="40" w:type="dxa"/>
              <w:right w:w="0" w:type="dxa"/>
            </w:tcMar>
            <w:vAlign w:val="center"/>
          </w:tcPr>
          <w:p w14:paraId="5FF35118" w14:textId="77777777" w:rsidR="00DE7ADC" w:rsidRPr="00647D81" w:rsidRDefault="00DE7ADC" w:rsidP="00DE7ADC">
            <w:pPr>
              <w:pStyle w:val="AnnexTableHeader"/>
              <w:spacing w:line="240" w:lineRule="auto"/>
              <w:rPr>
                <w:rFonts w:ascii="Helvetica" w:hAnsi="Helvetica"/>
                <w:b/>
                <w:sz w:val="12"/>
                <w:szCs w:val="12"/>
              </w:rPr>
            </w:pPr>
          </w:p>
        </w:tc>
      </w:tr>
      <w:tr w:rsidR="003E3BB2" w:rsidRPr="00647D81" w14:paraId="2BAC9FE7" w14:textId="77777777" w:rsidTr="003E3BB2">
        <w:trPr>
          <w:trHeight w:val="20"/>
        </w:trPr>
        <w:tc>
          <w:tcPr>
            <w:tcW w:w="6287" w:type="dxa"/>
            <w:gridSpan w:val="3"/>
            <w:tcBorders>
              <w:top w:val="single" w:sz="4" w:space="0" w:color="auto"/>
              <w:left w:val="single" w:sz="4" w:space="0" w:color="auto"/>
            </w:tcBorders>
            <w:shd w:val="clear" w:color="auto" w:fill="D9D9D9" w:themeFill="background1" w:themeFillShade="D9"/>
            <w:tcMar>
              <w:top w:w="40" w:type="dxa"/>
              <w:left w:w="0" w:type="dxa"/>
              <w:bottom w:w="40" w:type="dxa"/>
            </w:tcMar>
            <w:vAlign w:val="center"/>
          </w:tcPr>
          <w:p w14:paraId="4901C112" w14:textId="77777777" w:rsidR="00DE7ADC" w:rsidRPr="00647D81" w:rsidRDefault="00DE7ADC" w:rsidP="00DE7ADC">
            <w:pPr>
              <w:pStyle w:val="AnnexTableHeader"/>
              <w:spacing w:line="240" w:lineRule="auto"/>
              <w:rPr>
                <w:rFonts w:ascii="Helvetica" w:hAnsi="Helvetica"/>
                <w:b/>
                <w:sz w:val="12"/>
                <w:szCs w:val="12"/>
              </w:rPr>
            </w:pPr>
          </w:p>
        </w:tc>
        <w:tc>
          <w:tcPr>
            <w:tcW w:w="2604" w:type="dxa"/>
            <w:gridSpan w:val="2"/>
            <w:tcBorders>
              <w:top w:val="single" w:sz="4" w:space="0" w:color="auto"/>
              <w:left w:val="single" w:sz="4" w:space="0" w:color="auto"/>
            </w:tcBorders>
            <w:shd w:val="clear" w:color="auto" w:fill="D9D9D9" w:themeFill="background1" w:themeFillShade="D9"/>
            <w:tcMar>
              <w:top w:w="40" w:type="dxa"/>
              <w:bottom w:w="40" w:type="dxa"/>
            </w:tcMar>
            <w:vAlign w:val="center"/>
          </w:tcPr>
          <w:p w14:paraId="63589DD6"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Samlede inntekter fra taksonomiforenlige tjenester og aktiviteter (valuta)</w:t>
            </w:r>
          </w:p>
        </w:tc>
        <w:tc>
          <w:tcPr>
            <w:tcW w:w="1176"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59AC13D3"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KPI (2)</w:t>
            </w:r>
          </w:p>
          <w:p w14:paraId="398173DF"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w:t>
            </w:r>
          </w:p>
        </w:tc>
        <w:tc>
          <w:tcPr>
            <w:tcW w:w="852"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36471345"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KPI (3)</w:t>
            </w:r>
          </w:p>
          <w:p w14:paraId="5FBB0F10"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w:t>
            </w:r>
          </w:p>
        </w:tc>
        <w:tc>
          <w:tcPr>
            <w:tcW w:w="1068"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263DC037"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Dekningsgrad i % (av samlede inntekter)</w:t>
            </w:r>
          </w:p>
        </w:tc>
        <w:tc>
          <w:tcPr>
            <w:tcW w:w="1140"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2A03CAEF"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ikke-vurderte inntekter (% av dekkede eiendeler) (5)</w:t>
            </w:r>
          </w:p>
          <w:p w14:paraId="6E8CFB34" w14:textId="77777777" w:rsidR="00DE7ADC" w:rsidRPr="00647D81" w:rsidRDefault="00DE7ADC" w:rsidP="00DE7ADC">
            <w:pPr>
              <w:pStyle w:val="AnnexTableHeader"/>
              <w:spacing w:line="240" w:lineRule="auto"/>
              <w:rPr>
                <w:rFonts w:ascii="Helvetica" w:hAnsi="Helvetica"/>
                <w:b/>
                <w:sz w:val="12"/>
                <w:szCs w:val="12"/>
              </w:rPr>
            </w:pPr>
            <w:r>
              <w:rPr>
                <w:rFonts w:ascii="Helvetica" w:hAnsi="Helvetica"/>
                <w:b/>
                <w:sz w:val="12"/>
              </w:rPr>
              <w:t>(%)</w:t>
            </w:r>
          </w:p>
        </w:tc>
        <w:tc>
          <w:tcPr>
            <w:tcW w:w="1200" w:type="dxa"/>
            <w:tcBorders>
              <w:top w:val="single" w:sz="4" w:space="0" w:color="auto"/>
              <w:left w:val="single" w:sz="4" w:space="0" w:color="auto"/>
              <w:right w:val="single" w:sz="4" w:space="0" w:color="auto"/>
            </w:tcBorders>
            <w:shd w:val="clear" w:color="auto" w:fill="D9D9D9" w:themeFill="background1" w:themeFillShade="D9"/>
            <w:tcMar>
              <w:top w:w="40" w:type="dxa"/>
              <w:bottom w:w="40" w:type="dxa"/>
              <w:right w:w="0" w:type="dxa"/>
            </w:tcMar>
            <w:vAlign w:val="center"/>
          </w:tcPr>
          <w:p w14:paraId="318DE590" w14:textId="77777777" w:rsidR="00DE7ADC" w:rsidRPr="00647D81" w:rsidRDefault="00DE7ADC" w:rsidP="004A2CAF">
            <w:pPr>
              <w:pStyle w:val="AnnexTableHeader"/>
              <w:spacing w:line="240" w:lineRule="auto"/>
              <w:ind w:right="40"/>
              <w:rPr>
                <w:rFonts w:ascii="Helvetica" w:hAnsi="Helvetica"/>
                <w:b/>
                <w:sz w:val="12"/>
                <w:szCs w:val="12"/>
              </w:rPr>
            </w:pPr>
            <w:r>
              <w:rPr>
                <w:rFonts w:ascii="Helvetica" w:hAnsi="Helvetica"/>
                <w:b/>
                <w:sz w:val="12"/>
              </w:rPr>
              <w:t>ikke-vurderte inntekter (% av dekkede eiendeler) (5)</w:t>
            </w:r>
          </w:p>
        </w:tc>
      </w:tr>
      <w:tr w:rsidR="003E3BB2" w:rsidRPr="00647D81" w14:paraId="37B09984" w14:textId="77777777" w:rsidTr="003E3BB2">
        <w:trPr>
          <w:trHeight w:val="20"/>
        </w:trPr>
        <w:tc>
          <w:tcPr>
            <w:tcW w:w="6287" w:type="dxa"/>
            <w:gridSpan w:val="3"/>
            <w:tcBorders>
              <w:left w:val="single" w:sz="4" w:space="0" w:color="auto"/>
            </w:tcBorders>
            <w:shd w:val="clear" w:color="auto" w:fill="D9D9D9" w:themeFill="background1" w:themeFillShade="D9"/>
            <w:tcMar>
              <w:top w:w="40" w:type="dxa"/>
              <w:left w:w="0" w:type="dxa"/>
              <w:bottom w:w="40" w:type="dxa"/>
            </w:tcMar>
            <w:vAlign w:val="center"/>
          </w:tcPr>
          <w:p w14:paraId="187F2B8D" w14:textId="77777777" w:rsidR="00DE7ADC" w:rsidRPr="00647D81" w:rsidRDefault="00DE7ADC" w:rsidP="00DE7ADC">
            <w:pPr>
              <w:pStyle w:val="AnnexTableHeader"/>
              <w:spacing w:line="240" w:lineRule="auto"/>
              <w:rPr>
                <w:rFonts w:ascii="Helvetica" w:hAnsi="Helvetica"/>
                <w:b/>
                <w:sz w:val="12"/>
                <w:szCs w:val="12"/>
              </w:rPr>
            </w:pPr>
          </w:p>
        </w:tc>
        <w:tc>
          <w:tcPr>
            <w:tcW w:w="1356"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61B67066"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omsetning</w:t>
            </w:r>
          </w:p>
        </w:tc>
        <w:tc>
          <w:tcPr>
            <w:tcW w:w="1248"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2F02F164"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investeringsutgifter</w:t>
            </w:r>
          </w:p>
        </w:tc>
        <w:tc>
          <w:tcPr>
            <w:tcW w:w="1176"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1EF3583B"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omsetning</w:t>
            </w:r>
          </w:p>
        </w:tc>
        <w:tc>
          <w:tcPr>
            <w:tcW w:w="852"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788C8D2C" w14:textId="0081BB2F"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investerings</w:t>
            </w:r>
            <w:r w:rsidR="00223CA0">
              <w:rPr>
                <w:rFonts w:ascii="Helvetica" w:hAnsi="Helvetica"/>
                <w:b/>
                <w:sz w:val="12"/>
              </w:rPr>
              <w:softHyphen/>
            </w:r>
            <w:r>
              <w:rPr>
                <w:rFonts w:ascii="Helvetica" w:hAnsi="Helvetica"/>
                <w:b/>
                <w:sz w:val="12"/>
              </w:rPr>
              <w:t>utgifter</w:t>
            </w:r>
          </w:p>
        </w:tc>
        <w:tc>
          <w:tcPr>
            <w:tcW w:w="1068"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4310C499" w14:textId="77777777" w:rsidR="00DE7ADC" w:rsidRPr="00647D81" w:rsidRDefault="00DE7ADC" w:rsidP="00B310F8">
            <w:pPr>
              <w:pStyle w:val="AnnexTableHeader"/>
              <w:spacing w:line="240" w:lineRule="auto"/>
              <w:ind w:left="20"/>
              <w:jc w:val="left"/>
              <w:rPr>
                <w:rFonts w:ascii="Helvetica" w:hAnsi="Helvetica"/>
                <w:b/>
                <w:sz w:val="12"/>
                <w:szCs w:val="12"/>
              </w:rPr>
            </w:pPr>
          </w:p>
        </w:tc>
        <w:tc>
          <w:tcPr>
            <w:tcW w:w="1140" w:type="dxa"/>
            <w:tcBorders>
              <w:top w:val="single" w:sz="4" w:space="0" w:color="auto"/>
              <w:left w:val="single" w:sz="4" w:space="0" w:color="auto"/>
            </w:tcBorders>
            <w:shd w:val="clear" w:color="auto" w:fill="D9D9D9" w:themeFill="background1" w:themeFillShade="D9"/>
            <w:tcMar>
              <w:top w:w="40" w:type="dxa"/>
              <w:bottom w:w="40" w:type="dxa"/>
            </w:tcMar>
            <w:vAlign w:val="center"/>
          </w:tcPr>
          <w:p w14:paraId="755305E8"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omsetning</w:t>
            </w:r>
          </w:p>
        </w:tc>
        <w:tc>
          <w:tcPr>
            <w:tcW w:w="1200" w:type="dxa"/>
            <w:tcBorders>
              <w:top w:val="single" w:sz="4" w:space="0" w:color="auto"/>
              <w:left w:val="single" w:sz="4" w:space="0" w:color="auto"/>
              <w:right w:val="single" w:sz="4" w:space="0" w:color="auto"/>
            </w:tcBorders>
            <w:shd w:val="clear" w:color="auto" w:fill="D9D9D9" w:themeFill="background1" w:themeFillShade="D9"/>
            <w:tcMar>
              <w:top w:w="40" w:type="dxa"/>
              <w:bottom w:w="40" w:type="dxa"/>
              <w:right w:w="0" w:type="dxa"/>
            </w:tcMar>
            <w:vAlign w:val="center"/>
          </w:tcPr>
          <w:p w14:paraId="0D169DCE"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Basert på investeringsutgifter</w:t>
            </w:r>
          </w:p>
        </w:tc>
      </w:tr>
      <w:tr w:rsidR="00DE7ADC" w:rsidRPr="00647D81" w14:paraId="13E762B8" w14:textId="77777777" w:rsidTr="003E3BB2">
        <w:trPr>
          <w:trHeight w:val="20"/>
        </w:trPr>
        <w:tc>
          <w:tcPr>
            <w:tcW w:w="4631" w:type="dxa"/>
            <w:gridSpan w:val="2"/>
            <w:tcBorders>
              <w:top w:val="single" w:sz="4" w:space="0" w:color="auto"/>
              <w:left w:val="single" w:sz="4" w:space="0" w:color="auto"/>
              <w:bottom w:val="single" w:sz="4" w:space="0" w:color="auto"/>
            </w:tcBorders>
            <w:shd w:val="clear" w:color="auto" w:fill="FFFFFF"/>
            <w:tcMar>
              <w:top w:w="40" w:type="dxa"/>
              <w:left w:w="0" w:type="dxa"/>
              <w:bottom w:w="40" w:type="dxa"/>
            </w:tcMar>
            <w:vAlign w:val="center"/>
          </w:tcPr>
          <w:p w14:paraId="0CFE20D7" w14:textId="77777777" w:rsidR="00DE7ADC" w:rsidRPr="00647D81" w:rsidRDefault="00DE7ADC" w:rsidP="003E3BB2">
            <w:pPr>
              <w:pStyle w:val="AnnexTableHeader"/>
              <w:spacing w:line="240" w:lineRule="auto"/>
              <w:ind w:left="40"/>
              <w:jc w:val="left"/>
              <w:rPr>
                <w:rFonts w:ascii="Helvetica" w:hAnsi="Helvetica"/>
                <w:b/>
                <w:sz w:val="12"/>
                <w:szCs w:val="12"/>
              </w:rPr>
            </w:pPr>
            <w:r>
              <w:rPr>
                <w:rFonts w:ascii="Helvetica" w:hAnsi="Helvetica"/>
                <w:b/>
                <w:sz w:val="12"/>
              </w:rPr>
              <w:t xml:space="preserve">Hoved-KPI (for andre tjenester og aktiviteter enn handel for egen regning) </w:t>
            </w:r>
          </w:p>
        </w:tc>
        <w:tc>
          <w:tcPr>
            <w:tcW w:w="165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0C3EA150" w14:textId="77777777" w:rsidR="00DE7ADC" w:rsidRPr="00647D81" w:rsidRDefault="00DE7ADC" w:rsidP="00B310F8">
            <w:pPr>
              <w:pStyle w:val="AnnexTableHeader"/>
              <w:spacing w:line="240" w:lineRule="auto"/>
              <w:ind w:left="20"/>
              <w:jc w:val="left"/>
              <w:rPr>
                <w:rFonts w:ascii="Helvetica" w:hAnsi="Helvetica"/>
                <w:b/>
                <w:sz w:val="12"/>
                <w:szCs w:val="12"/>
              </w:rPr>
            </w:pPr>
            <w:r>
              <w:rPr>
                <w:rFonts w:ascii="Helvetica" w:hAnsi="Helvetica"/>
                <w:b/>
                <w:sz w:val="12"/>
              </w:rPr>
              <w:t>KPI for inntekter (1)</w:t>
            </w:r>
          </w:p>
        </w:tc>
        <w:tc>
          <w:tcPr>
            <w:tcW w:w="135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9BF3F4C" w14:textId="77777777" w:rsidR="00DE7ADC" w:rsidRPr="00647D81" w:rsidRDefault="00DE7ADC" w:rsidP="00DE7ADC">
            <w:pPr>
              <w:pStyle w:val="AnnexTableHeader"/>
              <w:spacing w:line="240" w:lineRule="auto"/>
              <w:rPr>
                <w:rFonts w:ascii="Helvetica" w:hAnsi="Helvetica"/>
                <w:b/>
                <w:sz w:val="12"/>
                <w:szCs w:val="12"/>
              </w:rPr>
            </w:pPr>
          </w:p>
        </w:tc>
        <w:tc>
          <w:tcPr>
            <w:tcW w:w="1248"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18EC1A28" w14:textId="77777777" w:rsidR="00DE7ADC" w:rsidRPr="00647D81" w:rsidRDefault="00DE7ADC" w:rsidP="00DE7ADC">
            <w:pPr>
              <w:pStyle w:val="AnnexTableHeader"/>
              <w:spacing w:line="240" w:lineRule="auto"/>
              <w:rPr>
                <w:rFonts w:ascii="Helvetica" w:hAnsi="Helvetica"/>
                <w:b/>
                <w:sz w:val="12"/>
                <w:szCs w:val="12"/>
              </w:rPr>
            </w:pPr>
          </w:p>
        </w:tc>
        <w:tc>
          <w:tcPr>
            <w:tcW w:w="1176"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34B43850" w14:textId="77777777" w:rsidR="00DE7ADC" w:rsidRPr="00647D81" w:rsidRDefault="00DE7ADC" w:rsidP="00DE7ADC">
            <w:pPr>
              <w:pStyle w:val="AnnexTableHeader"/>
              <w:spacing w:line="240" w:lineRule="auto"/>
              <w:rPr>
                <w:rFonts w:ascii="Helvetica" w:hAnsi="Helvetica"/>
                <w:b/>
                <w:sz w:val="12"/>
                <w:szCs w:val="12"/>
              </w:rPr>
            </w:pPr>
          </w:p>
        </w:tc>
        <w:tc>
          <w:tcPr>
            <w:tcW w:w="852"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00E12F5B" w14:textId="77777777" w:rsidR="00DE7ADC" w:rsidRPr="00647D81" w:rsidRDefault="00DE7ADC" w:rsidP="00DE7ADC">
            <w:pPr>
              <w:pStyle w:val="AnnexTableHeader"/>
              <w:spacing w:line="240" w:lineRule="auto"/>
              <w:rPr>
                <w:rFonts w:ascii="Helvetica" w:hAnsi="Helvetica"/>
                <w:b/>
                <w:sz w:val="12"/>
                <w:szCs w:val="12"/>
              </w:rPr>
            </w:pPr>
          </w:p>
        </w:tc>
        <w:tc>
          <w:tcPr>
            <w:tcW w:w="1068"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9E264D0" w14:textId="77777777" w:rsidR="00DE7ADC" w:rsidRPr="00647D81" w:rsidRDefault="00DE7ADC" w:rsidP="00DE7ADC">
            <w:pPr>
              <w:pStyle w:val="AnnexTableHeader"/>
              <w:spacing w:line="240" w:lineRule="auto"/>
              <w:rPr>
                <w:rFonts w:ascii="Helvetica" w:hAnsi="Helvetica"/>
                <w:b/>
                <w:sz w:val="12"/>
                <w:szCs w:val="12"/>
              </w:rPr>
            </w:pPr>
          </w:p>
        </w:tc>
        <w:tc>
          <w:tcPr>
            <w:tcW w:w="1140" w:type="dxa"/>
            <w:tcBorders>
              <w:top w:val="single" w:sz="4" w:space="0" w:color="auto"/>
              <w:left w:val="single" w:sz="4" w:space="0" w:color="auto"/>
              <w:bottom w:val="single" w:sz="4" w:space="0" w:color="auto"/>
            </w:tcBorders>
            <w:shd w:val="clear" w:color="auto" w:fill="FFFFFF"/>
            <w:tcMar>
              <w:top w:w="40" w:type="dxa"/>
              <w:bottom w:w="40" w:type="dxa"/>
            </w:tcMar>
            <w:vAlign w:val="center"/>
          </w:tcPr>
          <w:p w14:paraId="5D426697" w14:textId="77777777" w:rsidR="00DE7ADC" w:rsidRPr="00647D81" w:rsidRDefault="00DE7ADC" w:rsidP="00DE7ADC">
            <w:pPr>
              <w:pStyle w:val="AnnexTableHeader"/>
              <w:spacing w:line="240" w:lineRule="auto"/>
              <w:rPr>
                <w:rFonts w:ascii="Helvetica" w:hAnsi="Helvetica"/>
                <w:b/>
                <w:sz w:val="12"/>
                <w:szCs w:val="12"/>
              </w:rPr>
            </w:pPr>
          </w:p>
        </w:tc>
        <w:tc>
          <w:tcPr>
            <w:tcW w:w="1200" w:type="dxa"/>
            <w:tcBorders>
              <w:top w:val="single" w:sz="4" w:space="0" w:color="auto"/>
              <w:left w:val="single" w:sz="4" w:space="0" w:color="auto"/>
              <w:bottom w:val="single" w:sz="4" w:space="0" w:color="auto"/>
              <w:right w:val="single" w:sz="4" w:space="0" w:color="auto"/>
            </w:tcBorders>
            <w:shd w:val="clear" w:color="auto" w:fill="FFFFFF"/>
            <w:tcMar>
              <w:top w:w="40" w:type="dxa"/>
              <w:bottom w:w="40" w:type="dxa"/>
              <w:right w:w="0" w:type="dxa"/>
            </w:tcMar>
            <w:vAlign w:val="center"/>
          </w:tcPr>
          <w:p w14:paraId="57668ACB" w14:textId="77777777" w:rsidR="00DE7ADC" w:rsidRPr="00647D81" w:rsidRDefault="00DE7ADC" w:rsidP="00DE7ADC">
            <w:pPr>
              <w:pStyle w:val="AnnexTableHeader"/>
              <w:spacing w:line="240" w:lineRule="auto"/>
              <w:rPr>
                <w:rFonts w:ascii="Helvetica" w:hAnsi="Helvetica"/>
                <w:b/>
                <w:sz w:val="12"/>
                <w:szCs w:val="12"/>
              </w:rPr>
            </w:pPr>
          </w:p>
        </w:tc>
      </w:tr>
    </w:tbl>
    <w:p w14:paraId="2EC2DF92" w14:textId="19B2278A" w:rsidR="003E3BB2" w:rsidRPr="003E3BB2" w:rsidRDefault="003E3BB2" w:rsidP="003E3BB2">
      <w:pPr>
        <w:pStyle w:val="AnnexNormal"/>
        <w:spacing w:before="200" w:after="0"/>
      </w:pPr>
      <w:r>
        <w:t xml:space="preserve">1) </w:t>
      </w:r>
      <w:r w:rsidR="005605F3">
        <w:t>G</w:t>
      </w:r>
      <w:r>
        <w:t>ebyrer, provisjoner og andre pengeytelser</w:t>
      </w:r>
    </w:p>
    <w:p w14:paraId="0507BCC2" w14:textId="3ADCBCBD" w:rsidR="003E3BB2" w:rsidRPr="003E3BB2" w:rsidRDefault="003E3BB2" w:rsidP="003E3BB2">
      <w:pPr>
        <w:pStyle w:val="AnnexNormal"/>
        <w:spacing w:after="0"/>
      </w:pPr>
      <w:r>
        <w:t xml:space="preserve">2) </w:t>
      </w:r>
      <w:r w:rsidR="005605F3">
        <w:t>B</w:t>
      </w:r>
      <w:r>
        <w:t>asert på motpartens KPI for omsetning</w:t>
      </w:r>
    </w:p>
    <w:p w14:paraId="14E1145A" w14:textId="07D836C1" w:rsidR="003E3BB2" w:rsidRPr="003E3BB2" w:rsidRDefault="003E3BB2" w:rsidP="003E3BB2">
      <w:pPr>
        <w:pStyle w:val="AnnexNormal"/>
        <w:spacing w:after="0"/>
      </w:pPr>
      <w:r>
        <w:t xml:space="preserve">3) </w:t>
      </w:r>
      <w:r w:rsidR="005605F3">
        <w:t>B</w:t>
      </w:r>
      <w:r>
        <w:t>asert på motpartens KPI for investeringsutgifter</w:t>
      </w:r>
    </w:p>
    <w:p w14:paraId="19D68B2D" w14:textId="77777777" w:rsidR="003E3BB2" w:rsidRPr="003E3BB2" w:rsidRDefault="003E3BB2" w:rsidP="003E3BB2">
      <w:pPr>
        <w:pStyle w:val="AnnexNormal"/>
        <w:spacing w:after="0"/>
      </w:pPr>
      <w:r>
        <w:t>4) % av eiendelene KPI-en dekker av samlede eiendeler</w:t>
      </w:r>
    </w:p>
    <w:p w14:paraId="56A605F4" w14:textId="38600855" w:rsidR="003E3BB2" w:rsidRPr="003E3BB2" w:rsidRDefault="003E3BB2" w:rsidP="003E3BB2">
      <w:pPr>
        <w:pStyle w:val="AnnexNormal"/>
        <w:spacing w:after="0"/>
      </w:pPr>
      <w:r>
        <w:t xml:space="preserve">5) </w:t>
      </w:r>
      <w:r w:rsidR="005605F3">
        <w:t>I</w:t>
      </w:r>
      <w:r>
        <w:t xml:space="preserve"> samsvar med artikkel 7 nr. 8 i denne forordningen</w:t>
      </w:r>
    </w:p>
    <w:p w14:paraId="3A3F3BDB" w14:textId="77777777" w:rsidR="00A65C9C" w:rsidRPr="003E3BB2" w:rsidRDefault="003E3BB2" w:rsidP="003E3BB2">
      <w:pPr>
        <w:pStyle w:val="TableTitle"/>
        <w:pageBreakBefore/>
        <w:rPr>
          <w:i/>
        </w:rPr>
      </w:pPr>
      <w:r>
        <w:rPr>
          <w:i/>
        </w:rPr>
        <w:lastRenderedPageBreak/>
        <w:t>Mal 1: KPI for verdipapirforetak – Tjenester ved handel for egen regning</w:t>
      </w:r>
    </w:p>
    <w:tbl>
      <w:tblPr>
        <w:tblOverlap w:val="never"/>
        <w:tblW w:w="14304" w:type="dxa"/>
        <w:tblInd w:w="29" w:type="dxa"/>
        <w:tblLayout w:type="fixed"/>
        <w:tblCellMar>
          <w:left w:w="10" w:type="dxa"/>
          <w:right w:w="10" w:type="dxa"/>
        </w:tblCellMar>
        <w:tblLook w:val="0000" w:firstRow="0" w:lastRow="0" w:firstColumn="0" w:lastColumn="0" w:noHBand="0" w:noVBand="0"/>
      </w:tblPr>
      <w:tblGrid>
        <w:gridCol w:w="202"/>
        <w:gridCol w:w="2150"/>
        <w:gridCol w:w="666"/>
        <w:gridCol w:w="857"/>
        <w:gridCol w:w="720"/>
        <w:gridCol w:w="765"/>
        <w:gridCol w:w="682"/>
        <w:gridCol w:w="734"/>
        <w:gridCol w:w="783"/>
        <w:gridCol w:w="619"/>
        <w:gridCol w:w="586"/>
        <w:gridCol w:w="787"/>
        <w:gridCol w:w="715"/>
        <w:gridCol w:w="630"/>
        <w:gridCol w:w="588"/>
        <w:gridCol w:w="972"/>
        <w:gridCol w:w="984"/>
        <w:gridCol w:w="864"/>
      </w:tblGrid>
      <w:tr w:rsidR="002120C5" w:rsidRPr="00647D81" w14:paraId="4C2DA868" w14:textId="77777777" w:rsidTr="004A2CAF">
        <w:trPr>
          <w:trHeight w:val="20"/>
        </w:trPr>
        <w:tc>
          <w:tcPr>
            <w:tcW w:w="202" w:type="dxa"/>
            <w:tcBorders>
              <w:top w:val="single" w:sz="4" w:space="0" w:color="auto"/>
              <w:left w:val="single" w:sz="4" w:space="0" w:color="auto"/>
            </w:tcBorders>
            <w:shd w:val="clear" w:color="auto" w:fill="FFFFFF"/>
            <w:tcMar>
              <w:left w:w="0" w:type="dxa"/>
            </w:tcMar>
            <w:vAlign w:val="center"/>
          </w:tcPr>
          <w:p w14:paraId="26E80EB6" w14:textId="77777777" w:rsidR="002120C5" w:rsidRPr="00647D81" w:rsidRDefault="002120C5" w:rsidP="002120C5">
            <w:pPr>
              <w:pStyle w:val="AnnexTableHeader"/>
              <w:spacing w:line="240" w:lineRule="auto"/>
              <w:rPr>
                <w:rFonts w:ascii="Helvetica" w:hAnsi="Helvetica"/>
                <w:sz w:val="12"/>
                <w:szCs w:val="12"/>
              </w:rPr>
            </w:pPr>
          </w:p>
        </w:tc>
        <w:tc>
          <w:tcPr>
            <w:tcW w:w="2150" w:type="dxa"/>
            <w:tcBorders>
              <w:top w:val="single" w:sz="4" w:space="0" w:color="auto"/>
              <w:left w:val="single" w:sz="4" w:space="0" w:color="auto"/>
            </w:tcBorders>
            <w:shd w:val="clear" w:color="auto" w:fill="FFFFFF"/>
            <w:vAlign w:val="center"/>
          </w:tcPr>
          <w:p w14:paraId="2F8920E7" w14:textId="77777777" w:rsidR="002120C5" w:rsidRPr="00647D81" w:rsidRDefault="002120C5" w:rsidP="002120C5">
            <w:pPr>
              <w:pStyle w:val="AnnexTableHeader"/>
              <w:spacing w:line="240" w:lineRule="auto"/>
              <w:ind w:left="40"/>
              <w:jc w:val="left"/>
              <w:rPr>
                <w:rFonts w:ascii="Helvetica" w:hAnsi="Helvetica"/>
                <w:b/>
                <w:sz w:val="12"/>
                <w:szCs w:val="12"/>
              </w:rPr>
            </w:pPr>
            <w:r>
              <w:rPr>
                <w:rFonts w:ascii="Helvetica" w:hAnsi="Helvetica"/>
                <w:b/>
                <w:sz w:val="12"/>
              </w:rPr>
              <w:t>Referansedato for opplysningene t</w:t>
            </w:r>
          </w:p>
        </w:tc>
        <w:tc>
          <w:tcPr>
            <w:tcW w:w="666" w:type="dxa"/>
            <w:tcBorders>
              <w:top w:val="single" w:sz="4" w:space="0" w:color="auto"/>
              <w:left w:val="single" w:sz="4" w:space="0" w:color="auto"/>
            </w:tcBorders>
            <w:shd w:val="clear" w:color="auto" w:fill="FFFFFF"/>
            <w:vAlign w:val="center"/>
          </w:tcPr>
          <w:p w14:paraId="3AC00E04" w14:textId="77777777" w:rsidR="002120C5" w:rsidRPr="00647D81" w:rsidRDefault="002120C5" w:rsidP="002120C5">
            <w:pPr>
              <w:pStyle w:val="AnnexTableHeader"/>
              <w:spacing w:line="240" w:lineRule="auto"/>
              <w:rPr>
                <w:rFonts w:ascii="Helvetica" w:hAnsi="Helvetica"/>
                <w:sz w:val="12"/>
                <w:szCs w:val="12"/>
              </w:rPr>
            </w:pPr>
          </w:p>
        </w:tc>
        <w:tc>
          <w:tcPr>
            <w:tcW w:w="11286" w:type="dxa"/>
            <w:gridSpan w:val="15"/>
            <w:tcBorders>
              <w:left w:val="single" w:sz="4" w:space="0" w:color="auto"/>
            </w:tcBorders>
            <w:shd w:val="clear" w:color="auto" w:fill="FFFFFF"/>
            <w:vAlign w:val="center"/>
          </w:tcPr>
          <w:p w14:paraId="74E68FF5" w14:textId="77777777" w:rsidR="002120C5" w:rsidRPr="00647D81" w:rsidRDefault="002120C5" w:rsidP="002120C5">
            <w:pPr>
              <w:pStyle w:val="AnnexTableHeader"/>
              <w:spacing w:line="240" w:lineRule="auto"/>
              <w:rPr>
                <w:rFonts w:ascii="Helvetica" w:hAnsi="Helvetica"/>
                <w:sz w:val="12"/>
                <w:szCs w:val="12"/>
              </w:rPr>
            </w:pPr>
          </w:p>
        </w:tc>
      </w:tr>
      <w:tr w:rsidR="002120C5" w:rsidRPr="00647D81" w14:paraId="37208415" w14:textId="77777777" w:rsidTr="002120C5">
        <w:trPr>
          <w:trHeight w:val="20"/>
        </w:trPr>
        <w:tc>
          <w:tcPr>
            <w:tcW w:w="2352" w:type="dxa"/>
            <w:gridSpan w:val="2"/>
            <w:vMerge w:val="restart"/>
            <w:tcBorders>
              <w:top w:val="single" w:sz="4" w:space="0" w:color="auto"/>
              <w:left w:val="single" w:sz="4" w:space="0" w:color="auto"/>
            </w:tcBorders>
            <w:shd w:val="clear" w:color="auto" w:fill="FFFFFF"/>
            <w:tcMar>
              <w:left w:w="0" w:type="dxa"/>
            </w:tcMar>
            <w:vAlign w:val="center"/>
          </w:tcPr>
          <w:p w14:paraId="0EA2881C" w14:textId="77777777" w:rsidR="002120C5" w:rsidRPr="00647D81" w:rsidRDefault="002120C5" w:rsidP="002120C5">
            <w:pPr>
              <w:pStyle w:val="AnnexTableHeader"/>
              <w:spacing w:line="240" w:lineRule="auto"/>
              <w:rPr>
                <w:rFonts w:ascii="Helvetica" w:hAnsi="Helvetica"/>
                <w:sz w:val="12"/>
                <w:szCs w:val="12"/>
              </w:rPr>
            </w:pPr>
          </w:p>
        </w:tc>
        <w:tc>
          <w:tcPr>
            <w:tcW w:w="666" w:type="dxa"/>
            <w:tcBorders>
              <w:top w:val="single" w:sz="4" w:space="0" w:color="auto"/>
              <w:left w:val="single" w:sz="4" w:space="0" w:color="auto"/>
            </w:tcBorders>
            <w:shd w:val="clear" w:color="auto" w:fill="FFFFFF"/>
            <w:vAlign w:val="center"/>
          </w:tcPr>
          <w:p w14:paraId="0C4C43FC"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a</w:t>
            </w:r>
          </w:p>
        </w:tc>
        <w:tc>
          <w:tcPr>
            <w:tcW w:w="857" w:type="dxa"/>
            <w:tcBorders>
              <w:top w:val="single" w:sz="4" w:space="0" w:color="auto"/>
              <w:left w:val="single" w:sz="4" w:space="0" w:color="auto"/>
            </w:tcBorders>
            <w:shd w:val="clear" w:color="auto" w:fill="FFFFFF"/>
            <w:vAlign w:val="center"/>
          </w:tcPr>
          <w:p w14:paraId="64D8DBA8"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b</w:t>
            </w:r>
          </w:p>
        </w:tc>
        <w:tc>
          <w:tcPr>
            <w:tcW w:w="720" w:type="dxa"/>
            <w:tcBorders>
              <w:top w:val="single" w:sz="4" w:space="0" w:color="auto"/>
              <w:left w:val="single" w:sz="4" w:space="0" w:color="auto"/>
            </w:tcBorders>
            <w:shd w:val="clear" w:color="auto" w:fill="FFFFFF"/>
            <w:vAlign w:val="center"/>
          </w:tcPr>
          <w:p w14:paraId="6E6FB650"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c</w:t>
            </w:r>
          </w:p>
        </w:tc>
        <w:tc>
          <w:tcPr>
            <w:tcW w:w="765" w:type="dxa"/>
            <w:tcBorders>
              <w:top w:val="single" w:sz="4" w:space="0" w:color="auto"/>
              <w:left w:val="single" w:sz="4" w:space="0" w:color="auto"/>
            </w:tcBorders>
            <w:shd w:val="clear" w:color="auto" w:fill="FFFFFF"/>
            <w:vAlign w:val="center"/>
          </w:tcPr>
          <w:p w14:paraId="4EB205AF"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d</w:t>
            </w:r>
          </w:p>
        </w:tc>
        <w:tc>
          <w:tcPr>
            <w:tcW w:w="682" w:type="dxa"/>
            <w:tcBorders>
              <w:top w:val="single" w:sz="4" w:space="0" w:color="auto"/>
              <w:left w:val="single" w:sz="4" w:space="0" w:color="auto"/>
            </w:tcBorders>
            <w:shd w:val="clear" w:color="auto" w:fill="FFFFFF"/>
            <w:vAlign w:val="center"/>
          </w:tcPr>
          <w:p w14:paraId="1E90F6B3"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e</w:t>
            </w:r>
          </w:p>
        </w:tc>
        <w:tc>
          <w:tcPr>
            <w:tcW w:w="734" w:type="dxa"/>
            <w:tcBorders>
              <w:top w:val="single" w:sz="4" w:space="0" w:color="auto"/>
              <w:left w:val="single" w:sz="4" w:space="0" w:color="auto"/>
            </w:tcBorders>
            <w:shd w:val="clear" w:color="auto" w:fill="FFFFFF"/>
            <w:vAlign w:val="center"/>
          </w:tcPr>
          <w:p w14:paraId="3A54E8A0"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f</w:t>
            </w:r>
          </w:p>
        </w:tc>
        <w:tc>
          <w:tcPr>
            <w:tcW w:w="783" w:type="dxa"/>
            <w:tcBorders>
              <w:top w:val="single" w:sz="4" w:space="0" w:color="auto"/>
              <w:left w:val="single" w:sz="4" w:space="0" w:color="auto"/>
            </w:tcBorders>
            <w:shd w:val="clear" w:color="auto" w:fill="FFFFFF"/>
            <w:vAlign w:val="center"/>
          </w:tcPr>
          <w:p w14:paraId="666D136C"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g</w:t>
            </w:r>
          </w:p>
        </w:tc>
        <w:tc>
          <w:tcPr>
            <w:tcW w:w="619" w:type="dxa"/>
            <w:tcBorders>
              <w:top w:val="single" w:sz="4" w:space="0" w:color="auto"/>
              <w:left w:val="single" w:sz="4" w:space="0" w:color="auto"/>
            </w:tcBorders>
            <w:shd w:val="clear" w:color="auto" w:fill="FFFFFF"/>
            <w:vAlign w:val="center"/>
          </w:tcPr>
          <w:p w14:paraId="018EF326"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h</w:t>
            </w:r>
          </w:p>
        </w:tc>
        <w:tc>
          <w:tcPr>
            <w:tcW w:w="586" w:type="dxa"/>
            <w:tcBorders>
              <w:top w:val="single" w:sz="4" w:space="0" w:color="auto"/>
              <w:left w:val="single" w:sz="4" w:space="0" w:color="auto"/>
            </w:tcBorders>
            <w:shd w:val="clear" w:color="auto" w:fill="FFFFFF"/>
            <w:vAlign w:val="center"/>
          </w:tcPr>
          <w:p w14:paraId="6412B545"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i</w:t>
            </w:r>
          </w:p>
        </w:tc>
        <w:tc>
          <w:tcPr>
            <w:tcW w:w="787" w:type="dxa"/>
            <w:tcBorders>
              <w:top w:val="single" w:sz="4" w:space="0" w:color="auto"/>
              <w:left w:val="single" w:sz="4" w:space="0" w:color="auto"/>
            </w:tcBorders>
            <w:shd w:val="clear" w:color="auto" w:fill="FFFFFF"/>
            <w:vAlign w:val="center"/>
          </w:tcPr>
          <w:p w14:paraId="3CC10850"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j</w:t>
            </w:r>
          </w:p>
        </w:tc>
        <w:tc>
          <w:tcPr>
            <w:tcW w:w="715" w:type="dxa"/>
            <w:tcBorders>
              <w:top w:val="single" w:sz="4" w:space="0" w:color="auto"/>
              <w:left w:val="single" w:sz="4" w:space="0" w:color="auto"/>
            </w:tcBorders>
            <w:shd w:val="clear" w:color="auto" w:fill="FFFFFF"/>
            <w:vAlign w:val="center"/>
          </w:tcPr>
          <w:p w14:paraId="5468A7BF"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k</w:t>
            </w:r>
          </w:p>
        </w:tc>
        <w:tc>
          <w:tcPr>
            <w:tcW w:w="630" w:type="dxa"/>
            <w:tcBorders>
              <w:top w:val="single" w:sz="4" w:space="0" w:color="auto"/>
              <w:left w:val="single" w:sz="4" w:space="0" w:color="auto"/>
            </w:tcBorders>
            <w:shd w:val="clear" w:color="auto" w:fill="FFFFFF"/>
            <w:vAlign w:val="center"/>
          </w:tcPr>
          <w:p w14:paraId="4DF83D8D"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l</w:t>
            </w:r>
          </w:p>
        </w:tc>
        <w:tc>
          <w:tcPr>
            <w:tcW w:w="588" w:type="dxa"/>
            <w:tcBorders>
              <w:top w:val="single" w:sz="4" w:space="0" w:color="auto"/>
              <w:left w:val="single" w:sz="4" w:space="0" w:color="auto"/>
            </w:tcBorders>
            <w:shd w:val="clear" w:color="auto" w:fill="FFFFFF"/>
            <w:vAlign w:val="center"/>
          </w:tcPr>
          <w:p w14:paraId="475E2B08"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m</w:t>
            </w:r>
          </w:p>
        </w:tc>
        <w:tc>
          <w:tcPr>
            <w:tcW w:w="972" w:type="dxa"/>
            <w:tcBorders>
              <w:top w:val="single" w:sz="4" w:space="0" w:color="auto"/>
              <w:left w:val="single" w:sz="4" w:space="0" w:color="auto"/>
            </w:tcBorders>
            <w:shd w:val="clear" w:color="auto" w:fill="FFFFFF"/>
            <w:vAlign w:val="center"/>
          </w:tcPr>
          <w:p w14:paraId="02A59F76"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n</w:t>
            </w:r>
          </w:p>
        </w:tc>
        <w:tc>
          <w:tcPr>
            <w:tcW w:w="984" w:type="dxa"/>
            <w:tcBorders>
              <w:top w:val="single" w:sz="4" w:space="0" w:color="auto"/>
              <w:left w:val="single" w:sz="4" w:space="0" w:color="auto"/>
            </w:tcBorders>
            <w:shd w:val="clear" w:color="auto" w:fill="FFFFFF"/>
            <w:vAlign w:val="center"/>
          </w:tcPr>
          <w:p w14:paraId="26E32545"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o</w:t>
            </w:r>
          </w:p>
        </w:tc>
        <w:tc>
          <w:tcPr>
            <w:tcW w:w="864" w:type="dxa"/>
            <w:tcBorders>
              <w:top w:val="single" w:sz="4" w:space="0" w:color="auto"/>
              <w:left w:val="single" w:sz="4" w:space="0" w:color="auto"/>
              <w:right w:val="single" w:sz="4" w:space="0" w:color="auto"/>
            </w:tcBorders>
            <w:shd w:val="clear" w:color="auto" w:fill="FFFFFF"/>
            <w:tcMar>
              <w:right w:w="0" w:type="dxa"/>
            </w:tcMar>
            <w:vAlign w:val="center"/>
          </w:tcPr>
          <w:p w14:paraId="731992C5"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p</w:t>
            </w:r>
          </w:p>
        </w:tc>
      </w:tr>
      <w:tr w:rsidR="002120C5" w:rsidRPr="00647D81" w14:paraId="0452EDBC" w14:textId="77777777" w:rsidTr="002120C5">
        <w:trPr>
          <w:trHeight w:val="20"/>
        </w:trPr>
        <w:tc>
          <w:tcPr>
            <w:tcW w:w="2352" w:type="dxa"/>
            <w:gridSpan w:val="2"/>
            <w:vMerge/>
            <w:tcBorders>
              <w:left w:val="single" w:sz="4" w:space="0" w:color="auto"/>
            </w:tcBorders>
            <w:shd w:val="clear" w:color="auto" w:fill="FFFFFF"/>
            <w:tcMar>
              <w:left w:w="0" w:type="dxa"/>
            </w:tcMar>
            <w:vAlign w:val="center"/>
          </w:tcPr>
          <w:p w14:paraId="7577DE7C" w14:textId="77777777" w:rsidR="002120C5" w:rsidRPr="00647D81" w:rsidRDefault="002120C5" w:rsidP="002120C5">
            <w:pPr>
              <w:pStyle w:val="AnnexTableHeader"/>
              <w:spacing w:line="240" w:lineRule="auto"/>
              <w:rPr>
                <w:rFonts w:ascii="Helvetica" w:hAnsi="Helvetica"/>
                <w:sz w:val="12"/>
                <w:szCs w:val="12"/>
              </w:rPr>
            </w:pPr>
          </w:p>
        </w:tc>
        <w:tc>
          <w:tcPr>
            <w:tcW w:w="666" w:type="dxa"/>
            <w:vMerge w:val="restart"/>
            <w:tcBorders>
              <w:top w:val="single" w:sz="4" w:space="0" w:color="auto"/>
              <w:left w:val="single" w:sz="4" w:space="0" w:color="auto"/>
            </w:tcBorders>
            <w:shd w:val="clear" w:color="auto" w:fill="FFFFFF"/>
            <w:vAlign w:val="center"/>
          </w:tcPr>
          <w:p w14:paraId="129F387B"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Sum</w:t>
            </w:r>
          </w:p>
        </w:tc>
        <w:tc>
          <w:tcPr>
            <w:tcW w:w="857" w:type="dxa"/>
            <w:vMerge w:val="restart"/>
            <w:tcBorders>
              <w:top w:val="single" w:sz="4" w:space="0" w:color="auto"/>
              <w:left w:val="single" w:sz="4" w:space="0" w:color="auto"/>
            </w:tcBorders>
            <w:shd w:val="clear" w:color="auto" w:fill="FFFFFF"/>
            <w:vAlign w:val="center"/>
          </w:tcPr>
          <w:p w14:paraId="01467CDC"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Hvorav dekket av KPI-en</w:t>
            </w:r>
          </w:p>
        </w:tc>
        <w:tc>
          <w:tcPr>
            <w:tcW w:w="720" w:type="dxa"/>
            <w:vMerge w:val="restart"/>
            <w:tcBorders>
              <w:top w:val="single" w:sz="4" w:space="0" w:color="auto"/>
              <w:left w:val="single" w:sz="4" w:space="0" w:color="auto"/>
            </w:tcBorders>
            <w:shd w:val="clear" w:color="auto" w:fill="FFFFFF"/>
            <w:vAlign w:val="center"/>
          </w:tcPr>
          <w:p w14:paraId="0830C3EA"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Omfattet av taksonomien (1)</w:t>
            </w:r>
          </w:p>
        </w:tc>
        <w:tc>
          <w:tcPr>
            <w:tcW w:w="765" w:type="dxa"/>
            <w:tcBorders>
              <w:top w:val="single" w:sz="4" w:space="0" w:color="auto"/>
              <w:left w:val="single" w:sz="4" w:space="0" w:color="auto"/>
            </w:tcBorders>
            <w:shd w:val="clear" w:color="auto" w:fill="FFFFFF"/>
            <w:vAlign w:val="center"/>
          </w:tcPr>
          <w:p w14:paraId="51D8A021" w14:textId="77777777" w:rsidR="002120C5" w:rsidRPr="00647D81" w:rsidRDefault="002120C5" w:rsidP="002120C5">
            <w:pPr>
              <w:pStyle w:val="AnnexTableHeader"/>
              <w:spacing w:line="240" w:lineRule="auto"/>
              <w:rPr>
                <w:rFonts w:ascii="Helvetica" w:hAnsi="Helvetica"/>
                <w:sz w:val="12"/>
                <w:szCs w:val="12"/>
              </w:rPr>
            </w:pPr>
          </w:p>
        </w:tc>
        <w:tc>
          <w:tcPr>
            <w:tcW w:w="5536" w:type="dxa"/>
            <w:gridSpan w:val="8"/>
            <w:tcBorders>
              <w:top w:val="single" w:sz="4" w:space="0" w:color="auto"/>
            </w:tcBorders>
            <w:shd w:val="clear" w:color="auto" w:fill="FFFFFF"/>
            <w:vAlign w:val="center"/>
          </w:tcPr>
          <w:p w14:paraId="7E83F933" w14:textId="77777777" w:rsidR="002120C5" w:rsidRPr="00647D81" w:rsidRDefault="002120C5" w:rsidP="002120C5">
            <w:pPr>
              <w:pStyle w:val="AnnexTableHeader"/>
              <w:spacing w:line="240" w:lineRule="auto"/>
              <w:rPr>
                <w:rFonts w:ascii="Helvetica" w:hAnsi="Helvetica"/>
                <w:sz w:val="12"/>
                <w:szCs w:val="12"/>
              </w:rPr>
            </w:pPr>
          </w:p>
        </w:tc>
        <w:tc>
          <w:tcPr>
            <w:tcW w:w="588" w:type="dxa"/>
            <w:tcBorders>
              <w:top w:val="single" w:sz="4" w:space="0" w:color="auto"/>
              <w:left w:val="single" w:sz="4" w:space="0" w:color="auto"/>
            </w:tcBorders>
            <w:shd w:val="clear" w:color="auto" w:fill="FFFFFF"/>
            <w:vAlign w:val="center"/>
          </w:tcPr>
          <w:p w14:paraId="27FC0E91" w14:textId="77777777" w:rsidR="002120C5" w:rsidRPr="00647D81" w:rsidRDefault="002120C5" w:rsidP="002120C5">
            <w:pPr>
              <w:pStyle w:val="AnnexTableHeader"/>
              <w:spacing w:line="240" w:lineRule="auto"/>
              <w:rPr>
                <w:rFonts w:ascii="Helvetica" w:hAnsi="Helvetica"/>
                <w:sz w:val="12"/>
                <w:szCs w:val="12"/>
              </w:rPr>
            </w:pPr>
          </w:p>
        </w:tc>
        <w:tc>
          <w:tcPr>
            <w:tcW w:w="2820" w:type="dxa"/>
            <w:gridSpan w:val="3"/>
            <w:tcBorders>
              <w:top w:val="single" w:sz="4" w:space="0" w:color="auto"/>
              <w:right w:val="single" w:sz="4" w:space="0" w:color="auto"/>
            </w:tcBorders>
            <w:shd w:val="clear" w:color="auto" w:fill="FFFFFF"/>
            <w:tcMar>
              <w:right w:w="0" w:type="dxa"/>
            </w:tcMar>
            <w:vAlign w:val="center"/>
          </w:tcPr>
          <w:p w14:paraId="0BC7A007" w14:textId="77777777" w:rsidR="002120C5" w:rsidRPr="00647D81" w:rsidRDefault="002120C5" w:rsidP="002120C5">
            <w:pPr>
              <w:pStyle w:val="AnnexTableHeader"/>
              <w:spacing w:line="240" w:lineRule="auto"/>
              <w:rPr>
                <w:rFonts w:ascii="Helvetica" w:hAnsi="Helvetica"/>
                <w:sz w:val="12"/>
                <w:szCs w:val="12"/>
              </w:rPr>
            </w:pPr>
          </w:p>
        </w:tc>
      </w:tr>
      <w:tr w:rsidR="002120C5" w:rsidRPr="00647D81" w14:paraId="1038C780" w14:textId="77777777" w:rsidTr="002120C5">
        <w:trPr>
          <w:trHeight w:val="20"/>
        </w:trPr>
        <w:tc>
          <w:tcPr>
            <w:tcW w:w="2352" w:type="dxa"/>
            <w:gridSpan w:val="2"/>
            <w:vMerge/>
            <w:tcBorders>
              <w:left w:val="single" w:sz="4" w:space="0" w:color="auto"/>
            </w:tcBorders>
            <w:shd w:val="clear" w:color="auto" w:fill="FFFFFF"/>
            <w:tcMar>
              <w:left w:w="0" w:type="dxa"/>
            </w:tcMar>
            <w:vAlign w:val="center"/>
          </w:tcPr>
          <w:p w14:paraId="7C76F9D1" w14:textId="77777777" w:rsidR="002120C5" w:rsidRPr="00647D81" w:rsidRDefault="002120C5" w:rsidP="002120C5">
            <w:pPr>
              <w:pStyle w:val="AnnexTableHeader"/>
              <w:spacing w:line="240" w:lineRule="auto"/>
              <w:rPr>
                <w:rFonts w:ascii="Helvetica" w:hAnsi="Helvetica"/>
                <w:sz w:val="12"/>
                <w:szCs w:val="12"/>
              </w:rPr>
            </w:pPr>
          </w:p>
        </w:tc>
        <w:tc>
          <w:tcPr>
            <w:tcW w:w="666" w:type="dxa"/>
            <w:vMerge/>
            <w:tcBorders>
              <w:left w:val="single" w:sz="4" w:space="0" w:color="auto"/>
            </w:tcBorders>
            <w:shd w:val="clear" w:color="auto" w:fill="FFFFFF"/>
            <w:vAlign w:val="center"/>
          </w:tcPr>
          <w:p w14:paraId="7B5AD3CA" w14:textId="77777777" w:rsidR="002120C5" w:rsidRPr="00647D81" w:rsidRDefault="002120C5" w:rsidP="002120C5">
            <w:pPr>
              <w:pStyle w:val="AnnexTableHeader"/>
              <w:spacing w:line="240" w:lineRule="auto"/>
              <w:rPr>
                <w:rFonts w:ascii="Helvetica" w:hAnsi="Helvetica"/>
                <w:sz w:val="12"/>
                <w:szCs w:val="12"/>
              </w:rPr>
            </w:pPr>
          </w:p>
        </w:tc>
        <w:tc>
          <w:tcPr>
            <w:tcW w:w="857" w:type="dxa"/>
            <w:vMerge/>
            <w:tcBorders>
              <w:left w:val="single" w:sz="4" w:space="0" w:color="auto"/>
            </w:tcBorders>
            <w:shd w:val="clear" w:color="auto" w:fill="FFFFFF"/>
            <w:vAlign w:val="center"/>
          </w:tcPr>
          <w:p w14:paraId="667BD8CD" w14:textId="77777777" w:rsidR="002120C5" w:rsidRPr="00647D81" w:rsidRDefault="002120C5" w:rsidP="002120C5">
            <w:pPr>
              <w:pStyle w:val="AnnexTableHeader"/>
              <w:spacing w:line="240" w:lineRule="auto"/>
              <w:rPr>
                <w:rFonts w:ascii="Helvetica" w:hAnsi="Helvetica"/>
                <w:sz w:val="12"/>
                <w:szCs w:val="12"/>
              </w:rPr>
            </w:pPr>
          </w:p>
        </w:tc>
        <w:tc>
          <w:tcPr>
            <w:tcW w:w="720" w:type="dxa"/>
            <w:vMerge/>
            <w:tcBorders>
              <w:left w:val="single" w:sz="4" w:space="0" w:color="auto"/>
            </w:tcBorders>
            <w:shd w:val="clear" w:color="auto" w:fill="FFFFFF"/>
            <w:vAlign w:val="center"/>
          </w:tcPr>
          <w:p w14:paraId="38392A62" w14:textId="77777777" w:rsidR="002120C5" w:rsidRPr="00647D81" w:rsidRDefault="002120C5" w:rsidP="002120C5">
            <w:pPr>
              <w:pStyle w:val="AnnexTableHeader"/>
              <w:spacing w:line="240" w:lineRule="auto"/>
              <w:rPr>
                <w:rFonts w:ascii="Helvetica" w:hAnsi="Helvetica"/>
                <w:sz w:val="12"/>
                <w:szCs w:val="12"/>
              </w:rPr>
            </w:pPr>
          </w:p>
        </w:tc>
        <w:tc>
          <w:tcPr>
            <w:tcW w:w="765" w:type="dxa"/>
            <w:vMerge w:val="restart"/>
            <w:tcBorders>
              <w:left w:val="single" w:sz="4" w:space="0" w:color="auto"/>
            </w:tcBorders>
            <w:shd w:val="clear" w:color="auto" w:fill="FFFFFF"/>
            <w:vAlign w:val="center"/>
          </w:tcPr>
          <w:p w14:paraId="041BB963" w14:textId="1297BE73"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Taksonomi</w:t>
            </w:r>
            <w:r w:rsidR="00223CA0">
              <w:rPr>
                <w:rFonts w:ascii="Helvetica" w:hAnsi="Helvetica"/>
                <w:sz w:val="12"/>
              </w:rPr>
              <w:softHyphen/>
            </w:r>
            <w:r>
              <w:rPr>
                <w:rFonts w:ascii="Helvetica" w:hAnsi="Helvetica"/>
                <w:sz w:val="12"/>
              </w:rPr>
              <w:t>forenlige (2)</w:t>
            </w:r>
          </w:p>
        </w:tc>
        <w:tc>
          <w:tcPr>
            <w:tcW w:w="4191" w:type="dxa"/>
            <w:gridSpan w:val="6"/>
            <w:tcBorders>
              <w:top w:val="single" w:sz="4" w:space="0" w:color="auto"/>
              <w:left w:val="single" w:sz="4" w:space="0" w:color="auto"/>
            </w:tcBorders>
            <w:shd w:val="clear" w:color="auto" w:fill="FFFFFF"/>
            <w:vAlign w:val="center"/>
          </w:tcPr>
          <w:p w14:paraId="36A3BEE4"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Spesifisering etter miljømål</w:t>
            </w:r>
          </w:p>
        </w:tc>
        <w:tc>
          <w:tcPr>
            <w:tcW w:w="715" w:type="dxa"/>
            <w:vMerge w:val="restart"/>
            <w:tcBorders>
              <w:top w:val="single" w:sz="4" w:space="0" w:color="auto"/>
              <w:left w:val="single" w:sz="4" w:space="0" w:color="auto"/>
            </w:tcBorders>
            <w:shd w:val="clear" w:color="auto" w:fill="FFFFFF"/>
            <w:vAlign w:val="center"/>
          </w:tcPr>
          <w:p w14:paraId="42DF05F2"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Hvorav omstilling</w:t>
            </w:r>
          </w:p>
        </w:tc>
        <w:tc>
          <w:tcPr>
            <w:tcW w:w="630" w:type="dxa"/>
            <w:vMerge w:val="restart"/>
            <w:tcBorders>
              <w:top w:val="single" w:sz="4" w:space="0" w:color="auto"/>
              <w:left w:val="single" w:sz="4" w:space="0" w:color="auto"/>
            </w:tcBorders>
            <w:shd w:val="clear" w:color="auto" w:fill="FFFFFF"/>
            <w:vAlign w:val="center"/>
          </w:tcPr>
          <w:p w14:paraId="00F3FBF2" w14:textId="2F05C8D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Hvorav mulig</w:t>
            </w:r>
            <w:r w:rsidR="00223CA0">
              <w:rPr>
                <w:rFonts w:ascii="Helvetica" w:hAnsi="Helvetica"/>
                <w:sz w:val="12"/>
              </w:rPr>
              <w:softHyphen/>
            </w:r>
            <w:r>
              <w:rPr>
                <w:rFonts w:ascii="Helvetica" w:hAnsi="Helvetica"/>
                <w:sz w:val="12"/>
              </w:rPr>
              <w:t>gjørende</w:t>
            </w:r>
          </w:p>
        </w:tc>
        <w:tc>
          <w:tcPr>
            <w:tcW w:w="588" w:type="dxa"/>
            <w:vMerge w:val="restart"/>
            <w:tcBorders>
              <w:left w:val="single" w:sz="4" w:space="0" w:color="auto"/>
            </w:tcBorders>
            <w:shd w:val="clear" w:color="auto" w:fill="FFFFFF"/>
            <w:vAlign w:val="center"/>
          </w:tcPr>
          <w:p w14:paraId="2B151D06" w14:textId="0BF6BE25"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Ikke-vurderte ekspone</w:t>
            </w:r>
            <w:r w:rsidR="00223CA0">
              <w:rPr>
                <w:rFonts w:ascii="Helvetica" w:hAnsi="Helvetica"/>
                <w:sz w:val="12"/>
              </w:rPr>
              <w:softHyphen/>
            </w:r>
            <w:r>
              <w:rPr>
                <w:rFonts w:ascii="Helvetica" w:hAnsi="Helvetica"/>
                <w:sz w:val="12"/>
              </w:rPr>
              <w:t>ringer</w:t>
            </w:r>
          </w:p>
        </w:tc>
        <w:tc>
          <w:tcPr>
            <w:tcW w:w="972" w:type="dxa"/>
            <w:vMerge w:val="restart"/>
            <w:tcBorders>
              <w:top w:val="single" w:sz="4" w:space="0" w:color="auto"/>
              <w:left w:val="single" w:sz="4" w:space="0" w:color="auto"/>
            </w:tcBorders>
            <w:shd w:val="clear" w:color="auto" w:fill="FFFFFF"/>
            <w:vAlign w:val="center"/>
          </w:tcPr>
          <w:p w14:paraId="64074C2A"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Hvorav finansiering av motparters ikke-vesentlige aktiviteter (4)</w:t>
            </w:r>
          </w:p>
        </w:tc>
        <w:tc>
          <w:tcPr>
            <w:tcW w:w="984" w:type="dxa"/>
            <w:vMerge w:val="restart"/>
            <w:tcBorders>
              <w:top w:val="single" w:sz="4" w:space="0" w:color="auto"/>
              <w:left w:val="single" w:sz="4" w:space="0" w:color="auto"/>
            </w:tcBorders>
            <w:shd w:val="clear" w:color="auto" w:fill="FFFFFF"/>
            <w:vAlign w:val="center"/>
          </w:tcPr>
          <w:p w14:paraId="0701DC90"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Hvorav eksponeringer som finansierer motparter som rapporterer i samsvar med artikkel 7 nr. 9</w:t>
            </w:r>
          </w:p>
        </w:tc>
        <w:tc>
          <w:tcPr>
            <w:tcW w:w="864" w:type="dxa"/>
            <w:vMerge w:val="restart"/>
            <w:tcBorders>
              <w:top w:val="single" w:sz="4" w:space="0" w:color="auto"/>
              <w:left w:val="single" w:sz="4" w:space="0" w:color="auto"/>
              <w:right w:val="single" w:sz="4" w:space="0" w:color="auto"/>
            </w:tcBorders>
            <w:shd w:val="clear" w:color="auto" w:fill="FFFFFF"/>
            <w:tcMar>
              <w:right w:w="0" w:type="dxa"/>
            </w:tcMar>
            <w:vAlign w:val="center"/>
          </w:tcPr>
          <w:p w14:paraId="6D772E51"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Hvorav ikke-vurderte som anses som ikke-vesentlige av den rapporterende enheten (5)</w:t>
            </w:r>
          </w:p>
        </w:tc>
      </w:tr>
      <w:tr w:rsidR="002120C5" w:rsidRPr="00647D81" w14:paraId="32C03605" w14:textId="77777777" w:rsidTr="002120C5">
        <w:trPr>
          <w:trHeight w:val="20"/>
        </w:trPr>
        <w:tc>
          <w:tcPr>
            <w:tcW w:w="2352" w:type="dxa"/>
            <w:gridSpan w:val="2"/>
            <w:vMerge/>
            <w:tcBorders>
              <w:left w:val="single" w:sz="4" w:space="0" w:color="auto"/>
            </w:tcBorders>
            <w:shd w:val="clear" w:color="auto" w:fill="FFFFFF"/>
            <w:tcMar>
              <w:left w:w="0" w:type="dxa"/>
            </w:tcMar>
            <w:vAlign w:val="center"/>
          </w:tcPr>
          <w:p w14:paraId="6D4A2688" w14:textId="77777777" w:rsidR="002120C5" w:rsidRPr="00647D81" w:rsidRDefault="002120C5" w:rsidP="002120C5">
            <w:pPr>
              <w:pStyle w:val="AnnexTableHeader"/>
              <w:spacing w:line="240" w:lineRule="auto"/>
              <w:rPr>
                <w:rFonts w:ascii="Helvetica" w:hAnsi="Helvetica"/>
                <w:sz w:val="12"/>
                <w:szCs w:val="12"/>
              </w:rPr>
            </w:pPr>
          </w:p>
        </w:tc>
        <w:tc>
          <w:tcPr>
            <w:tcW w:w="666" w:type="dxa"/>
            <w:vMerge/>
            <w:tcBorders>
              <w:left w:val="single" w:sz="4" w:space="0" w:color="auto"/>
            </w:tcBorders>
            <w:shd w:val="clear" w:color="auto" w:fill="FFFFFF"/>
            <w:vAlign w:val="center"/>
          </w:tcPr>
          <w:p w14:paraId="50B50F9D" w14:textId="77777777" w:rsidR="002120C5" w:rsidRPr="00647D81" w:rsidRDefault="002120C5" w:rsidP="002120C5">
            <w:pPr>
              <w:pStyle w:val="AnnexTableHeader"/>
              <w:spacing w:line="240" w:lineRule="auto"/>
              <w:rPr>
                <w:rFonts w:ascii="Helvetica" w:hAnsi="Helvetica"/>
                <w:sz w:val="12"/>
                <w:szCs w:val="12"/>
              </w:rPr>
            </w:pPr>
          </w:p>
        </w:tc>
        <w:tc>
          <w:tcPr>
            <w:tcW w:w="857" w:type="dxa"/>
            <w:vMerge/>
            <w:tcBorders>
              <w:left w:val="single" w:sz="4" w:space="0" w:color="auto"/>
            </w:tcBorders>
            <w:shd w:val="clear" w:color="auto" w:fill="FFFFFF"/>
            <w:vAlign w:val="center"/>
          </w:tcPr>
          <w:p w14:paraId="4D24DC91" w14:textId="77777777" w:rsidR="002120C5" w:rsidRPr="00647D81" w:rsidRDefault="002120C5" w:rsidP="002120C5">
            <w:pPr>
              <w:pStyle w:val="AnnexTableHeader"/>
              <w:spacing w:line="240" w:lineRule="auto"/>
              <w:rPr>
                <w:rFonts w:ascii="Helvetica" w:hAnsi="Helvetica"/>
                <w:sz w:val="12"/>
                <w:szCs w:val="12"/>
              </w:rPr>
            </w:pPr>
          </w:p>
        </w:tc>
        <w:tc>
          <w:tcPr>
            <w:tcW w:w="720" w:type="dxa"/>
            <w:vMerge/>
            <w:tcBorders>
              <w:left w:val="single" w:sz="4" w:space="0" w:color="auto"/>
            </w:tcBorders>
            <w:shd w:val="clear" w:color="auto" w:fill="FFFFFF"/>
            <w:vAlign w:val="center"/>
          </w:tcPr>
          <w:p w14:paraId="1A2E7B0C" w14:textId="77777777" w:rsidR="002120C5" w:rsidRPr="00647D81" w:rsidRDefault="002120C5" w:rsidP="002120C5">
            <w:pPr>
              <w:pStyle w:val="AnnexTableHeader"/>
              <w:spacing w:line="240" w:lineRule="auto"/>
              <w:rPr>
                <w:rFonts w:ascii="Helvetica" w:hAnsi="Helvetica"/>
                <w:sz w:val="12"/>
                <w:szCs w:val="12"/>
              </w:rPr>
            </w:pPr>
          </w:p>
        </w:tc>
        <w:tc>
          <w:tcPr>
            <w:tcW w:w="765" w:type="dxa"/>
            <w:vMerge/>
            <w:tcBorders>
              <w:left w:val="single" w:sz="4" w:space="0" w:color="auto"/>
            </w:tcBorders>
            <w:shd w:val="clear" w:color="auto" w:fill="FFFFFF"/>
            <w:vAlign w:val="center"/>
          </w:tcPr>
          <w:p w14:paraId="04334312" w14:textId="77777777" w:rsidR="002120C5" w:rsidRPr="00647D81" w:rsidRDefault="002120C5" w:rsidP="002120C5">
            <w:pPr>
              <w:pStyle w:val="AnnexTableHeader"/>
              <w:spacing w:line="240" w:lineRule="auto"/>
              <w:rPr>
                <w:rFonts w:ascii="Helvetica" w:hAnsi="Helvetica"/>
                <w:sz w:val="12"/>
                <w:szCs w:val="12"/>
              </w:rPr>
            </w:pPr>
          </w:p>
        </w:tc>
        <w:tc>
          <w:tcPr>
            <w:tcW w:w="682" w:type="dxa"/>
            <w:tcBorders>
              <w:top w:val="single" w:sz="4" w:space="0" w:color="auto"/>
              <w:left w:val="single" w:sz="4" w:space="0" w:color="auto"/>
            </w:tcBorders>
            <w:shd w:val="clear" w:color="auto" w:fill="FFFFFF"/>
            <w:vAlign w:val="center"/>
          </w:tcPr>
          <w:p w14:paraId="3DA0B67F" w14:textId="7ED001FF"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Begrens</w:t>
            </w:r>
            <w:r w:rsidR="00223CA0">
              <w:rPr>
                <w:rFonts w:ascii="Helvetica" w:hAnsi="Helvetica"/>
                <w:sz w:val="12"/>
              </w:rPr>
              <w:softHyphen/>
            </w:r>
            <w:r>
              <w:rPr>
                <w:rFonts w:ascii="Helvetica" w:hAnsi="Helvetica"/>
                <w:sz w:val="12"/>
              </w:rPr>
              <w:t>ning av klima</w:t>
            </w:r>
            <w:r w:rsidR="00223CA0">
              <w:rPr>
                <w:rFonts w:ascii="Helvetica" w:hAnsi="Helvetica"/>
                <w:sz w:val="12"/>
              </w:rPr>
              <w:softHyphen/>
            </w:r>
            <w:r>
              <w:rPr>
                <w:rFonts w:ascii="Helvetica" w:hAnsi="Helvetica"/>
                <w:sz w:val="12"/>
              </w:rPr>
              <w:t>endringer (CCM)</w:t>
            </w:r>
          </w:p>
        </w:tc>
        <w:tc>
          <w:tcPr>
            <w:tcW w:w="734" w:type="dxa"/>
            <w:tcBorders>
              <w:top w:val="single" w:sz="4" w:space="0" w:color="auto"/>
              <w:left w:val="single" w:sz="4" w:space="0" w:color="auto"/>
            </w:tcBorders>
            <w:shd w:val="clear" w:color="auto" w:fill="FFFFFF"/>
            <w:vAlign w:val="center"/>
          </w:tcPr>
          <w:p w14:paraId="5985FF60" w14:textId="0CE9894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Tilpasning til klima</w:t>
            </w:r>
            <w:r w:rsidR="00223CA0">
              <w:rPr>
                <w:rFonts w:ascii="Helvetica" w:hAnsi="Helvetica"/>
                <w:sz w:val="12"/>
              </w:rPr>
              <w:softHyphen/>
            </w:r>
            <w:r>
              <w:rPr>
                <w:rFonts w:ascii="Helvetica" w:hAnsi="Helvetica"/>
                <w:sz w:val="12"/>
              </w:rPr>
              <w:t>endringer (CCA)</w:t>
            </w:r>
          </w:p>
        </w:tc>
        <w:tc>
          <w:tcPr>
            <w:tcW w:w="783" w:type="dxa"/>
            <w:tcBorders>
              <w:top w:val="single" w:sz="4" w:space="0" w:color="auto"/>
              <w:left w:val="single" w:sz="4" w:space="0" w:color="auto"/>
            </w:tcBorders>
            <w:shd w:val="clear" w:color="auto" w:fill="FFFFFF"/>
            <w:vAlign w:val="center"/>
          </w:tcPr>
          <w:p w14:paraId="04A2EC88"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Vann- og havressurser (WTR)</w:t>
            </w:r>
          </w:p>
        </w:tc>
        <w:tc>
          <w:tcPr>
            <w:tcW w:w="619" w:type="dxa"/>
            <w:tcBorders>
              <w:top w:val="single" w:sz="4" w:space="0" w:color="auto"/>
              <w:left w:val="single" w:sz="4" w:space="0" w:color="auto"/>
            </w:tcBorders>
            <w:shd w:val="clear" w:color="auto" w:fill="FFFFFF"/>
            <w:vAlign w:val="center"/>
          </w:tcPr>
          <w:p w14:paraId="7958CB09"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Sirkulær økonomi (CE)</w:t>
            </w:r>
          </w:p>
        </w:tc>
        <w:tc>
          <w:tcPr>
            <w:tcW w:w="586" w:type="dxa"/>
            <w:tcBorders>
              <w:top w:val="single" w:sz="4" w:space="0" w:color="auto"/>
              <w:left w:val="single" w:sz="4" w:space="0" w:color="auto"/>
            </w:tcBorders>
            <w:shd w:val="clear" w:color="auto" w:fill="FFFFFF"/>
            <w:vAlign w:val="center"/>
          </w:tcPr>
          <w:p w14:paraId="5E7209DC" w14:textId="76442329"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Forurens</w:t>
            </w:r>
            <w:r w:rsidR="00223CA0">
              <w:rPr>
                <w:rFonts w:ascii="Helvetica" w:hAnsi="Helvetica"/>
                <w:sz w:val="12"/>
              </w:rPr>
              <w:softHyphen/>
            </w:r>
            <w:r>
              <w:rPr>
                <w:rFonts w:ascii="Helvetica" w:hAnsi="Helvetica"/>
                <w:sz w:val="12"/>
              </w:rPr>
              <w:t>ning (PPC)</w:t>
            </w:r>
          </w:p>
        </w:tc>
        <w:tc>
          <w:tcPr>
            <w:tcW w:w="787" w:type="dxa"/>
            <w:tcBorders>
              <w:top w:val="single" w:sz="4" w:space="0" w:color="auto"/>
              <w:left w:val="single" w:sz="4" w:space="0" w:color="auto"/>
            </w:tcBorders>
            <w:shd w:val="clear" w:color="auto" w:fill="FFFFFF"/>
            <w:vAlign w:val="center"/>
          </w:tcPr>
          <w:p w14:paraId="57F124D9"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Biologisk mangfold og økosystemer (BIO)</w:t>
            </w:r>
          </w:p>
        </w:tc>
        <w:tc>
          <w:tcPr>
            <w:tcW w:w="715" w:type="dxa"/>
            <w:vMerge/>
            <w:tcBorders>
              <w:left w:val="single" w:sz="4" w:space="0" w:color="auto"/>
            </w:tcBorders>
            <w:shd w:val="clear" w:color="auto" w:fill="FFFFFF"/>
            <w:vAlign w:val="center"/>
          </w:tcPr>
          <w:p w14:paraId="591F7032" w14:textId="77777777" w:rsidR="002120C5" w:rsidRPr="00647D81" w:rsidRDefault="002120C5" w:rsidP="002120C5">
            <w:pPr>
              <w:pStyle w:val="AnnexTableHeader"/>
              <w:spacing w:line="240" w:lineRule="auto"/>
              <w:rPr>
                <w:rFonts w:ascii="Helvetica" w:hAnsi="Helvetica"/>
                <w:sz w:val="12"/>
                <w:szCs w:val="12"/>
              </w:rPr>
            </w:pPr>
          </w:p>
        </w:tc>
        <w:tc>
          <w:tcPr>
            <w:tcW w:w="630" w:type="dxa"/>
            <w:vMerge/>
            <w:tcBorders>
              <w:left w:val="single" w:sz="4" w:space="0" w:color="auto"/>
            </w:tcBorders>
            <w:shd w:val="clear" w:color="auto" w:fill="FFFFFF"/>
            <w:vAlign w:val="center"/>
          </w:tcPr>
          <w:p w14:paraId="2620266D" w14:textId="77777777" w:rsidR="002120C5" w:rsidRPr="00647D81" w:rsidRDefault="002120C5" w:rsidP="002120C5">
            <w:pPr>
              <w:pStyle w:val="AnnexTableHeader"/>
              <w:spacing w:line="240" w:lineRule="auto"/>
              <w:rPr>
                <w:rFonts w:ascii="Helvetica" w:hAnsi="Helvetica"/>
                <w:sz w:val="12"/>
                <w:szCs w:val="12"/>
              </w:rPr>
            </w:pPr>
          </w:p>
        </w:tc>
        <w:tc>
          <w:tcPr>
            <w:tcW w:w="588" w:type="dxa"/>
            <w:vMerge/>
            <w:tcBorders>
              <w:left w:val="single" w:sz="4" w:space="0" w:color="auto"/>
            </w:tcBorders>
            <w:shd w:val="clear" w:color="auto" w:fill="FFFFFF"/>
            <w:vAlign w:val="center"/>
          </w:tcPr>
          <w:p w14:paraId="3A6EEB88" w14:textId="77777777" w:rsidR="002120C5" w:rsidRPr="00647D81" w:rsidRDefault="002120C5" w:rsidP="002120C5">
            <w:pPr>
              <w:pStyle w:val="AnnexTableHeader"/>
              <w:spacing w:line="240" w:lineRule="auto"/>
              <w:rPr>
                <w:rFonts w:ascii="Helvetica" w:hAnsi="Helvetica"/>
                <w:sz w:val="12"/>
                <w:szCs w:val="12"/>
              </w:rPr>
            </w:pPr>
          </w:p>
        </w:tc>
        <w:tc>
          <w:tcPr>
            <w:tcW w:w="972" w:type="dxa"/>
            <w:vMerge/>
            <w:tcBorders>
              <w:left w:val="single" w:sz="4" w:space="0" w:color="auto"/>
            </w:tcBorders>
            <w:shd w:val="clear" w:color="auto" w:fill="FFFFFF"/>
            <w:vAlign w:val="center"/>
          </w:tcPr>
          <w:p w14:paraId="4C4E8245" w14:textId="77777777" w:rsidR="002120C5" w:rsidRPr="00647D81" w:rsidRDefault="002120C5" w:rsidP="002120C5">
            <w:pPr>
              <w:pStyle w:val="AnnexTableHeader"/>
              <w:spacing w:line="240" w:lineRule="auto"/>
              <w:rPr>
                <w:rFonts w:ascii="Helvetica" w:hAnsi="Helvetica"/>
                <w:sz w:val="12"/>
                <w:szCs w:val="12"/>
              </w:rPr>
            </w:pPr>
          </w:p>
        </w:tc>
        <w:tc>
          <w:tcPr>
            <w:tcW w:w="984" w:type="dxa"/>
            <w:vMerge/>
            <w:tcBorders>
              <w:left w:val="single" w:sz="4" w:space="0" w:color="auto"/>
            </w:tcBorders>
            <w:shd w:val="clear" w:color="auto" w:fill="FFFFFF"/>
            <w:vAlign w:val="center"/>
          </w:tcPr>
          <w:p w14:paraId="7AE85DF1" w14:textId="77777777" w:rsidR="002120C5" w:rsidRPr="00647D81" w:rsidRDefault="002120C5" w:rsidP="002120C5">
            <w:pPr>
              <w:pStyle w:val="AnnexTableHeader"/>
              <w:spacing w:line="240" w:lineRule="auto"/>
              <w:rPr>
                <w:rFonts w:ascii="Helvetica" w:hAnsi="Helvetica"/>
                <w:sz w:val="12"/>
                <w:szCs w:val="12"/>
              </w:rPr>
            </w:pPr>
          </w:p>
        </w:tc>
        <w:tc>
          <w:tcPr>
            <w:tcW w:w="864" w:type="dxa"/>
            <w:vMerge/>
            <w:tcBorders>
              <w:left w:val="single" w:sz="4" w:space="0" w:color="auto"/>
              <w:right w:val="single" w:sz="4" w:space="0" w:color="auto"/>
            </w:tcBorders>
            <w:shd w:val="clear" w:color="auto" w:fill="FFFFFF"/>
            <w:tcMar>
              <w:right w:w="0" w:type="dxa"/>
            </w:tcMar>
            <w:vAlign w:val="center"/>
          </w:tcPr>
          <w:p w14:paraId="3F68CE54" w14:textId="77777777" w:rsidR="002120C5" w:rsidRPr="00647D81" w:rsidRDefault="002120C5" w:rsidP="002120C5">
            <w:pPr>
              <w:pStyle w:val="AnnexTableHeader"/>
              <w:spacing w:line="240" w:lineRule="auto"/>
              <w:rPr>
                <w:rFonts w:ascii="Helvetica" w:hAnsi="Helvetica"/>
                <w:sz w:val="12"/>
                <w:szCs w:val="12"/>
              </w:rPr>
            </w:pPr>
          </w:p>
        </w:tc>
      </w:tr>
      <w:tr w:rsidR="002120C5" w:rsidRPr="00647D81" w14:paraId="2E815223" w14:textId="77777777" w:rsidTr="002120C5">
        <w:trPr>
          <w:trHeight w:val="20"/>
        </w:trPr>
        <w:tc>
          <w:tcPr>
            <w:tcW w:w="202" w:type="dxa"/>
            <w:tcBorders>
              <w:top w:val="single" w:sz="4" w:space="0" w:color="auto"/>
              <w:left w:val="single" w:sz="4" w:space="0" w:color="auto"/>
            </w:tcBorders>
            <w:shd w:val="clear" w:color="auto" w:fill="FFFFFF"/>
            <w:tcMar>
              <w:top w:w="20" w:type="dxa"/>
              <w:left w:w="0" w:type="dxa"/>
              <w:bottom w:w="20" w:type="dxa"/>
            </w:tcMar>
            <w:vAlign w:val="center"/>
          </w:tcPr>
          <w:p w14:paraId="12E53EED" w14:textId="77777777" w:rsidR="002120C5" w:rsidRPr="00647D81" w:rsidRDefault="002120C5" w:rsidP="002120C5">
            <w:pPr>
              <w:pStyle w:val="AnnexTableHeader"/>
              <w:spacing w:line="240" w:lineRule="auto"/>
              <w:rPr>
                <w:rFonts w:ascii="Helvetica" w:hAnsi="Helvetica"/>
                <w:sz w:val="12"/>
                <w:szCs w:val="12"/>
              </w:rPr>
            </w:pPr>
          </w:p>
        </w:tc>
        <w:tc>
          <w:tcPr>
            <w:tcW w:w="2150" w:type="dxa"/>
            <w:tcBorders>
              <w:top w:val="single" w:sz="4" w:space="0" w:color="auto"/>
              <w:left w:val="single" w:sz="4" w:space="0" w:color="auto"/>
            </w:tcBorders>
            <w:shd w:val="clear" w:color="auto" w:fill="FFFFFF"/>
            <w:tcMar>
              <w:top w:w="20" w:type="dxa"/>
              <w:bottom w:w="20" w:type="dxa"/>
            </w:tcMar>
            <w:vAlign w:val="center"/>
          </w:tcPr>
          <w:p w14:paraId="7FABCD28" w14:textId="77777777" w:rsidR="002120C5" w:rsidRPr="00647D81" w:rsidRDefault="002120C5" w:rsidP="002120C5">
            <w:pPr>
              <w:pStyle w:val="AnnexTableHeader"/>
              <w:spacing w:line="240" w:lineRule="auto"/>
              <w:rPr>
                <w:rFonts w:ascii="Helvetica" w:hAnsi="Helvetica"/>
                <w:sz w:val="12"/>
                <w:szCs w:val="12"/>
              </w:rPr>
            </w:pPr>
          </w:p>
        </w:tc>
        <w:tc>
          <w:tcPr>
            <w:tcW w:w="666" w:type="dxa"/>
            <w:tcBorders>
              <w:top w:val="single" w:sz="4" w:space="0" w:color="auto"/>
              <w:left w:val="single" w:sz="4" w:space="0" w:color="auto"/>
            </w:tcBorders>
            <w:shd w:val="clear" w:color="auto" w:fill="FFFFFF"/>
            <w:tcMar>
              <w:top w:w="20" w:type="dxa"/>
              <w:bottom w:w="20" w:type="dxa"/>
            </w:tcMar>
            <w:vAlign w:val="center"/>
          </w:tcPr>
          <w:p w14:paraId="7CEA672C"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Valuta</w:t>
            </w:r>
          </w:p>
        </w:tc>
        <w:tc>
          <w:tcPr>
            <w:tcW w:w="857" w:type="dxa"/>
            <w:tcBorders>
              <w:top w:val="single" w:sz="4" w:space="0" w:color="auto"/>
              <w:left w:val="single" w:sz="4" w:space="0" w:color="auto"/>
            </w:tcBorders>
            <w:shd w:val="clear" w:color="auto" w:fill="FFFFFF"/>
            <w:tcMar>
              <w:top w:w="20" w:type="dxa"/>
              <w:bottom w:w="20" w:type="dxa"/>
            </w:tcMar>
            <w:vAlign w:val="center"/>
          </w:tcPr>
          <w:p w14:paraId="4784F5B3"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Valuta</w:t>
            </w:r>
          </w:p>
        </w:tc>
        <w:tc>
          <w:tcPr>
            <w:tcW w:w="720" w:type="dxa"/>
            <w:tcBorders>
              <w:top w:val="single" w:sz="4" w:space="0" w:color="auto"/>
              <w:left w:val="single" w:sz="4" w:space="0" w:color="auto"/>
            </w:tcBorders>
            <w:shd w:val="clear" w:color="auto" w:fill="FFFFFF"/>
            <w:tcMar>
              <w:top w:w="20" w:type="dxa"/>
              <w:bottom w:w="20" w:type="dxa"/>
            </w:tcMar>
            <w:vAlign w:val="center"/>
          </w:tcPr>
          <w:p w14:paraId="52D2B176"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765" w:type="dxa"/>
            <w:tcBorders>
              <w:top w:val="single" w:sz="4" w:space="0" w:color="auto"/>
              <w:left w:val="single" w:sz="4" w:space="0" w:color="auto"/>
            </w:tcBorders>
            <w:shd w:val="clear" w:color="auto" w:fill="FFFFFF"/>
            <w:tcMar>
              <w:top w:w="20" w:type="dxa"/>
              <w:bottom w:w="20" w:type="dxa"/>
            </w:tcMar>
            <w:vAlign w:val="center"/>
          </w:tcPr>
          <w:p w14:paraId="77EEE91C"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682" w:type="dxa"/>
            <w:tcBorders>
              <w:top w:val="single" w:sz="4" w:space="0" w:color="auto"/>
              <w:left w:val="single" w:sz="4" w:space="0" w:color="auto"/>
            </w:tcBorders>
            <w:shd w:val="clear" w:color="auto" w:fill="FFFFFF"/>
            <w:tcMar>
              <w:top w:w="20" w:type="dxa"/>
              <w:bottom w:w="20" w:type="dxa"/>
            </w:tcMar>
            <w:vAlign w:val="center"/>
          </w:tcPr>
          <w:p w14:paraId="2371D0EF"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734" w:type="dxa"/>
            <w:tcBorders>
              <w:top w:val="single" w:sz="4" w:space="0" w:color="auto"/>
              <w:left w:val="single" w:sz="4" w:space="0" w:color="auto"/>
            </w:tcBorders>
            <w:shd w:val="clear" w:color="auto" w:fill="FFFFFF"/>
            <w:tcMar>
              <w:top w:w="20" w:type="dxa"/>
              <w:bottom w:w="20" w:type="dxa"/>
            </w:tcMar>
            <w:vAlign w:val="center"/>
          </w:tcPr>
          <w:p w14:paraId="60691ABE"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783" w:type="dxa"/>
            <w:tcBorders>
              <w:top w:val="single" w:sz="4" w:space="0" w:color="auto"/>
              <w:left w:val="single" w:sz="4" w:space="0" w:color="auto"/>
            </w:tcBorders>
            <w:shd w:val="clear" w:color="auto" w:fill="FFFFFF"/>
            <w:tcMar>
              <w:top w:w="20" w:type="dxa"/>
              <w:bottom w:w="20" w:type="dxa"/>
            </w:tcMar>
            <w:vAlign w:val="center"/>
          </w:tcPr>
          <w:p w14:paraId="3B33D486"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619" w:type="dxa"/>
            <w:tcBorders>
              <w:top w:val="single" w:sz="4" w:space="0" w:color="auto"/>
              <w:left w:val="single" w:sz="4" w:space="0" w:color="auto"/>
            </w:tcBorders>
            <w:shd w:val="clear" w:color="auto" w:fill="FFFFFF"/>
            <w:tcMar>
              <w:top w:w="20" w:type="dxa"/>
              <w:bottom w:w="20" w:type="dxa"/>
            </w:tcMar>
            <w:vAlign w:val="center"/>
          </w:tcPr>
          <w:p w14:paraId="4E6CE8ED"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586" w:type="dxa"/>
            <w:tcBorders>
              <w:top w:val="single" w:sz="4" w:space="0" w:color="auto"/>
              <w:left w:val="single" w:sz="4" w:space="0" w:color="auto"/>
            </w:tcBorders>
            <w:shd w:val="clear" w:color="auto" w:fill="FFFFFF"/>
            <w:tcMar>
              <w:top w:w="20" w:type="dxa"/>
              <w:bottom w:w="20" w:type="dxa"/>
            </w:tcMar>
            <w:vAlign w:val="center"/>
          </w:tcPr>
          <w:p w14:paraId="4330BA8B"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787" w:type="dxa"/>
            <w:tcBorders>
              <w:top w:val="single" w:sz="4" w:space="0" w:color="auto"/>
              <w:left w:val="single" w:sz="4" w:space="0" w:color="auto"/>
            </w:tcBorders>
            <w:shd w:val="clear" w:color="auto" w:fill="FFFFFF"/>
            <w:tcMar>
              <w:top w:w="20" w:type="dxa"/>
              <w:bottom w:w="20" w:type="dxa"/>
            </w:tcMar>
            <w:vAlign w:val="center"/>
          </w:tcPr>
          <w:p w14:paraId="3F71364C"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715" w:type="dxa"/>
            <w:tcBorders>
              <w:top w:val="single" w:sz="4" w:space="0" w:color="auto"/>
              <w:left w:val="single" w:sz="4" w:space="0" w:color="auto"/>
            </w:tcBorders>
            <w:shd w:val="clear" w:color="auto" w:fill="FFFFFF"/>
            <w:tcMar>
              <w:top w:w="20" w:type="dxa"/>
              <w:bottom w:w="20" w:type="dxa"/>
            </w:tcMar>
            <w:vAlign w:val="center"/>
          </w:tcPr>
          <w:p w14:paraId="753CC63E"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630" w:type="dxa"/>
            <w:tcBorders>
              <w:top w:val="single" w:sz="4" w:space="0" w:color="auto"/>
              <w:left w:val="single" w:sz="4" w:space="0" w:color="auto"/>
            </w:tcBorders>
            <w:shd w:val="clear" w:color="auto" w:fill="FFFFFF"/>
            <w:tcMar>
              <w:top w:w="20" w:type="dxa"/>
              <w:bottom w:w="20" w:type="dxa"/>
            </w:tcMar>
            <w:vAlign w:val="center"/>
          </w:tcPr>
          <w:p w14:paraId="378E210D"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588" w:type="dxa"/>
            <w:tcBorders>
              <w:top w:val="single" w:sz="4" w:space="0" w:color="auto"/>
              <w:left w:val="single" w:sz="4" w:space="0" w:color="auto"/>
            </w:tcBorders>
            <w:shd w:val="clear" w:color="auto" w:fill="FFFFFF"/>
            <w:tcMar>
              <w:top w:w="20" w:type="dxa"/>
              <w:bottom w:w="20" w:type="dxa"/>
            </w:tcMar>
            <w:vAlign w:val="center"/>
          </w:tcPr>
          <w:p w14:paraId="6296B22F"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972" w:type="dxa"/>
            <w:tcBorders>
              <w:top w:val="single" w:sz="4" w:space="0" w:color="auto"/>
              <w:left w:val="single" w:sz="4" w:space="0" w:color="auto"/>
            </w:tcBorders>
            <w:shd w:val="clear" w:color="auto" w:fill="FFFFFF"/>
            <w:tcMar>
              <w:top w:w="20" w:type="dxa"/>
              <w:bottom w:w="20" w:type="dxa"/>
            </w:tcMar>
            <w:vAlign w:val="center"/>
          </w:tcPr>
          <w:p w14:paraId="4A3E9355"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984" w:type="dxa"/>
            <w:tcBorders>
              <w:top w:val="single" w:sz="4" w:space="0" w:color="auto"/>
              <w:left w:val="single" w:sz="4" w:space="0" w:color="auto"/>
            </w:tcBorders>
            <w:shd w:val="clear" w:color="auto" w:fill="FFFFFF"/>
            <w:tcMar>
              <w:top w:w="20" w:type="dxa"/>
              <w:bottom w:w="20" w:type="dxa"/>
            </w:tcMar>
            <w:vAlign w:val="center"/>
          </w:tcPr>
          <w:p w14:paraId="5DA7110C"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c>
          <w:tcPr>
            <w:tcW w:w="864" w:type="dxa"/>
            <w:tcBorders>
              <w:top w:val="single" w:sz="4" w:space="0" w:color="auto"/>
              <w:left w:val="single" w:sz="4" w:space="0" w:color="auto"/>
              <w:right w:val="single" w:sz="4" w:space="0" w:color="auto"/>
            </w:tcBorders>
            <w:shd w:val="clear" w:color="auto" w:fill="FFFFFF"/>
            <w:tcMar>
              <w:top w:w="20" w:type="dxa"/>
              <w:bottom w:w="20" w:type="dxa"/>
              <w:right w:w="0" w:type="dxa"/>
            </w:tcMar>
            <w:vAlign w:val="center"/>
          </w:tcPr>
          <w:p w14:paraId="6D45EC26" w14:textId="77777777" w:rsidR="002120C5" w:rsidRPr="00647D81" w:rsidRDefault="002120C5" w:rsidP="002120C5">
            <w:pPr>
              <w:pStyle w:val="AnnexTableHeader"/>
              <w:spacing w:line="240" w:lineRule="auto"/>
              <w:rPr>
                <w:rFonts w:ascii="Helvetica" w:hAnsi="Helvetica"/>
                <w:sz w:val="12"/>
                <w:szCs w:val="12"/>
              </w:rPr>
            </w:pPr>
            <w:r>
              <w:rPr>
                <w:rFonts w:ascii="Helvetica" w:hAnsi="Helvetica"/>
                <w:sz w:val="12"/>
              </w:rPr>
              <w:t>%</w:t>
            </w:r>
          </w:p>
        </w:tc>
      </w:tr>
      <w:tr w:rsidR="002120C5" w:rsidRPr="00647D81" w14:paraId="50B13DB5" w14:textId="77777777" w:rsidTr="004A2CAF">
        <w:trPr>
          <w:trHeight w:val="20"/>
        </w:trPr>
        <w:tc>
          <w:tcPr>
            <w:tcW w:w="202" w:type="dxa"/>
            <w:tcBorders>
              <w:top w:val="single" w:sz="4" w:space="0" w:color="auto"/>
              <w:left w:val="single" w:sz="4" w:space="0" w:color="auto"/>
              <w:bottom w:val="single" w:sz="4" w:space="0" w:color="000000"/>
            </w:tcBorders>
            <w:shd w:val="clear" w:color="auto" w:fill="FFFFFF"/>
            <w:tcMar>
              <w:top w:w="20" w:type="dxa"/>
              <w:left w:w="0" w:type="dxa"/>
              <w:bottom w:w="20" w:type="dxa"/>
            </w:tcMar>
          </w:tcPr>
          <w:p w14:paraId="3238C495" w14:textId="77777777" w:rsidR="002120C5" w:rsidRPr="00647D81" w:rsidRDefault="002120C5" w:rsidP="002120C5">
            <w:pPr>
              <w:pStyle w:val="AnnexTableCell"/>
              <w:spacing w:line="240" w:lineRule="auto"/>
              <w:rPr>
                <w:rFonts w:ascii="Helvetica" w:hAnsi="Helvetica"/>
                <w:sz w:val="14"/>
                <w:szCs w:val="14"/>
              </w:rPr>
            </w:pPr>
            <w:r>
              <w:rPr>
                <w:rFonts w:ascii="Helvetica" w:hAnsi="Helvetica"/>
                <w:sz w:val="14"/>
              </w:rPr>
              <w:t>1</w:t>
            </w:r>
          </w:p>
        </w:tc>
        <w:tc>
          <w:tcPr>
            <w:tcW w:w="2150" w:type="dxa"/>
            <w:tcBorders>
              <w:top w:val="single" w:sz="4" w:space="0" w:color="auto"/>
              <w:left w:val="single" w:sz="4" w:space="0" w:color="auto"/>
              <w:bottom w:val="single" w:sz="4" w:space="0" w:color="000000"/>
            </w:tcBorders>
            <w:shd w:val="clear" w:color="auto" w:fill="FFFFFF"/>
            <w:tcMar>
              <w:top w:w="20" w:type="dxa"/>
              <w:bottom w:w="20" w:type="dxa"/>
            </w:tcMar>
          </w:tcPr>
          <w:p w14:paraId="46DA66FD" w14:textId="77777777" w:rsidR="002120C5" w:rsidRPr="00647D81" w:rsidRDefault="002120C5" w:rsidP="002120C5">
            <w:pPr>
              <w:pStyle w:val="AnnexTableCell"/>
              <w:spacing w:line="240" w:lineRule="auto"/>
              <w:ind w:left="40"/>
              <w:jc w:val="left"/>
              <w:rPr>
                <w:rFonts w:ascii="Helvetica" w:hAnsi="Helvetica"/>
                <w:b/>
                <w:sz w:val="14"/>
                <w:szCs w:val="14"/>
              </w:rPr>
            </w:pPr>
            <w:r>
              <w:rPr>
                <w:rFonts w:ascii="Helvetica" w:hAnsi="Helvetica"/>
                <w:b/>
                <w:sz w:val="14"/>
              </w:rPr>
              <w:t>Samlede eiendeler investert i forbindelse med verdipapirforetakenes aktiviteter knyttet til handel for egen regning (iht. avsnitt A i vedlegg I til direktiv 2014/65/EU)</w:t>
            </w:r>
          </w:p>
        </w:tc>
        <w:tc>
          <w:tcPr>
            <w:tcW w:w="666" w:type="dxa"/>
            <w:tcBorders>
              <w:top w:val="single" w:sz="4" w:space="0" w:color="auto"/>
              <w:left w:val="single" w:sz="4" w:space="0" w:color="auto"/>
              <w:bottom w:val="single" w:sz="4" w:space="0" w:color="000000"/>
            </w:tcBorders>
            <w:shd w:val="clear" w:color="auto" w:fill="FFFFFF"/>
            <w:tcMar>
              <w:top w:w="20" w:type="dxa"/>
              <w:bottom w:w="20" w:type="dxa"/>
            </w:tcMar>
          </w:tcPr>
          <w:p w14:paraId="43ADD01A" w14:textId="77777777" w:rsidR="002120C5" w:rsidRPr="00647D81" w:rsidRDefault="002120C5" w:rsidP="002120C5">
            <w:pPr>
              <w:pStyle w:val="AnnexTableCell"/>
              <w:spacing w:line="240" w:lineRule="auto"/>
              <w:rPr>
                <w:rFonts w:ascii="Helvetica" w:hAnsi="Helvetica"/>
                <w:sz w:val="14"/>
                <w:szCs w:val="14"/>
              </w:rPr>
            </w:pPr>
          </w:p>
        </w:tc>
        <w:tc>
          <w:tcPr>
            <w:tcW w:w="857" w:type="dxa"/>
            <w:tcBorders>
              <w:top w:val="single" w:sz="4" w:space="0" w:color="auto"/>
              <w:left w:val="single" w:sz="4" w:space="0" w:color="auto"/>
              <w:bottom w:val="single" w:sz="4" w:space="0" w:color="000000"/>
            </w:tcBorders>
            <w:shd w:val="clear" w:color="auto" w:fill="FFFFFF"/>
            <w:tcMar>
              <w:top w:w="20" w:type="dxa"/>
              <w:bottom w:w="20" w:type="dxa"/>
            </w:tcMar>
          </w:tcPr>
          <w:p w14:paraId="7E154743" w14:textId="77777777" w:rsidR="002120C5" w:rsidRPr="00647D81" w:rsidRDefault="002120C5" w:rsidP="002120C5">
            <w:pPr>
              <w:pStyle w:val="AnnexTableCell"/>
              <w:spacing w:line="240" w:lineRule="auto"/>
              <w:rPr>
                <w:rFonts w:ascii="Helvetica" w:hAnsi="Helvetica"/>
                <w:sz w:val="14"/>
                <w:szCs w:val="14"/>
              </w:rPr>
            </w:pPr>
          </w:p>
        </w:tc>
        <w:tc>
          <w:tcPr>
            <w:tcW w:w="720" w:type="dxa"/>
            <w:tcBorders>
              <w:top w:val="single" w:sz="4" w:space="0" w:color="auto"/>
              <w:left w:val="single" w:sz="4" w:space="0" w:color="auto"/>
              <w:bottom w:val="single" w:sz="4" w:space="0" w:color="000000"/>
            </w:tcBorders>
            <w:shd w:val="clear" w:color="auto" w:fill="FFFFFF"/>
            <w:tcMar>
              <w:top w:w="20" w:type="dxa"/>
              <w:bottom w:w="20" w:type="dxa"/>
            </w:tcMar>
          </w:tcPr>
          <w:p w14:paraId="115BE308" w14:textId="77777777" w:rsidR="002120C5" w:rsidRPr="00647D81" w:rsidRDefault="002120C5" w:rsidP="002120C5">
            <w:pPr>
              <w:pStyle w:val="AnnexTableCell"/>
              <w:spacing w:line="240" w:lineRule="auto"/>
              <w:rPr>
                <w:rFonts w:ascii="Helvetica" w:hAnsi="Helvetica"/>
                <w:sz w:val="14"/>
                <w:szCs w:val="14"/>
              </w:rPr>
            </w:pPr>
          </w:p>
        </w:tc>
        <w:tc>
          <w:tcPr>
            <w:tcW w:w="765" w:type="dxa"/>
            <w:tcBorders>
              <w:top w:val="single" w:sz="4" w:space="0" w:color="auto"/>
              <w:left w:val="single" w:sz="4" w:space="0" w:color="auto"/>
              <w:bottom w:val="single" w:sz="4" w:space="0" w:color="000000"/>
            </w:tcBorders>
            <w:shd w:val="clear" w:color="auto" w:fill="FFFFFF"/>
            <w:tcMar>
              <w:top w:w="20" w:type="dxa"/>
              <w:bottom w:w="20" w:type="dxa"/>
            </w:tcMar>
          </w:tcPr>
          <w:p w14:paraId="0D216FF8" w14:textId="77777777" w:rsidR="002120C5" w:rsidRPr="00647D81" w:rsidRDefault="002120C5" w:rsidP="002120C5">
            <w:pPr>
              <w:pStyle w:val="AnnexTableCell"/>
              <w:spacing w:line="240" w:lineRule="auto"/>
              <w:rPr>
                <w:rFonts w:ascii="Helvetica" w:hAnsi="Helvetica"/>
                <w:sz w:val="14"/>
                <w:szCs w:val="14"/>
              </w:rPr>
            </w:pPr>
          </w:p>
        </w:tc>
        <w:tc>
          <w:tcPr>
            <w:tcW w:w="682" w:type="dxa"/>
            <w:tcBorders>
              <w:top w:val="single" w:sz="4" w:space="0" w:color="auto"/>
              <w:left w:val="single" w:sz="4" w:space="0" w:color="auto"/>
              <w:bottom w:val="single" w:sz="4" w:space="0" w:color="000000"/>
            </w:tcBorders>
            <w:shd w:val="clear" w:color="auto" w:fill="FFFFFF"/>
            <w:tcMar>
              <w:top w:w="20" w:type="dxa"/>
              <w:bottom w:w="20" w:type="dxa"/>
            </w:tcMar>
          </w:tcPr>
          <w:p w14:paraId="56D12A33" w14:textId="77777777" w:rsidR="002120C5" w:rsidRPr="00647D81" w:rsidRDefault="002120C5" w:rsidP="002120C5">
            <w:pPr>
              <w:pStyle w:val="AnnexTableCell"/>
              <w:spacing w:line="240" w:lineRule="auto"/>
              <w:rPr>
                <w:rFonts w:ascii="Helvetica" w:hAnsi="Helvetica"/>
                <w:sz w:val="14"/>
                <w:szCs w:val="14"/>
              </w:rPr>
            </w:pPr>
          </w:p>
        </w:tc>
        <w:tc>
          <w:tcPr>
            <w:tcW w:w="734" w:type="dxa"/>
            <w:tcBorders>
              <w:top w:val="single" w:sz="4" w:space="0" w:color="auto"/>
              <w:left w:val="single" w:sz="4" w:space="0" w:color="auto"/>
              <w:bottom w:val="single" w:sz="4" w:space="0" w:color="000000"/>
            </w:tcBorders>
            <w:shd w:val="clear" w:color="auto" w:fill="FFFFFF"/>
            <w:tcMar>
              <w:top w:w="20" w:type="dxa"/>
              <w:bottom w:w="20" w:type="dxa"/>
            </w:tcMar>
          </w:tcPr>
          <w:p w14:paraId="314CCDB4" w14:textId="77777777" w:rsidR="002120C5" w:rsidRPr="00647D81" w:rsidRDefault="002120C5" w:rsidP="002120C5">
            <w:pPr>
              <w:pStyle w:val="AnnexTableCell"/>
              <w:spacing w:line="240" w:lineRule="auto"/>
              <w:rPr>
                <w:rFonts w:ascii="Helvetica" w:hAnsi="Helvetica"/>
                <w:sz w:val="14"/>
                <w:szCs w:val="14"/>
              </w:rPr>
            </w:pPr>
          </w:p>
        </w:tc>
        <w:tc>
          <w:tcPr>
            <w:tcW w:w="783" w:type="dxa"/>
            <w:tcBorders>
              <w:top w:val="single" w:sz="4" w:space="0" w:color="auto"/>
              <w:left w:val="single" w:sz="4" w:space="0" w:color="auto"/>
              <w:bottom w:val="single" w:sz="4" w:space="0" w:color="000000"/>
            </w:tcBorders>
            <w:shd w:val="clear" w:color="auto" w:fill="FFFFFF"/>
            <w:tcMar>
              <w:top w:w="20" w:type="dxa"/>
              <w:bottom w:w="20" w:type="dxa"/>
            </w:tcMar>
          </w:tcPr>
          <w:p w14:paraId="6A7C50CC" w14:textId="77777777" w:rsidR="002120C5" w:rsidRPr="00647D81" w:rsidRDefault="002120C5" w:rsidP="002120C5">
            <w:pPr>
              <w:pStyle w:val="AnnexTableCell"/>
              <w:spacing w:line="240" w:lineRule="auto"/>
              <w:rPr>
                <w:rFonts w:ascii="Helvetica" w:hAnsi="Helvetica"/>
                <w:sz w:val="14"/>
                <w:szCs w:val="14"/>
              </w:rPr>
            </w:pPr>
          </w:p>
        </w:tc>
        <w:tc>
          <w:tcPr>
            <w:tcW w:w="619" w:type="dxa"/>
            <w:tcBorders>
              <w:top w:val="single" w:sz="4" w:space="0" w:color="auto"/>
              <w:left w:val="single" w:sz="4" w:space="0" w:color="auto"/>
              <w:bottom w:val="single" w:sz="4" w:space="0" w:color="000000"/>
            </w:tcBorders>
            <w:shd w:val="clear" w:color="auto" w:fill="FFFFFF"/>
            <w:tcMar>
              <w:top w:w="20" w:type="dxa"/>
              <w:bottom w:w="20" w:type="dxa"/>
            </w:tcMar>
          </w:tcPr>
          <w:p w14:paraId="3E349D38" w14:textId="77777777" w:rsidR="002120C5" w:rsidRPr="00647D81" w:rsidRDefault="002120C5" w:rsidP="002120C5">
            <w:pPr>
              <w:pStyle w:val="AnnexTableCell"/>
              <w:spacing w:line="240" w:lineRule="auto"/>
              <w:rPr>
                <w:rFonts w:ascii="Helvetica" w:hAnsi="Helvetica"/>
                <w:sz w:val="14"/>
                <w:szCs w:val="14"/>
              </w:rPr>
            </w:pPr>
          </w:p>
        </w:tc>
        <w:tc>
          <w:tcPr>
            <w:tcW w:w="586" w:type="dxa"/>
            <w:tcBorders>
              <w:top w:val="single" w:sz="4" w:space="0" w:color="auto"/>
              <w:left w:val="single" w:sz="4" w:space="0" w:color="auto"/>
              <w:bottom w:val="single" w:sz="4" w:space="0" w:color="000000"/>
            </w:tcBorders>
            <w:shd w:val="clear" w:color="auto" w:fill="FFFFFF"/>
            <w:tcMar>
              <w:top w:w="20" w:type="dxa"/>
              <w:bottom w:w="20" w:type="dxa"/>
            </w:tcMar>
          </w:tcPr>
          <w:p w14:paraId="03803188" w14:textId="77777777" w:rsidR="002120C5" w:rsidRPr="00647D81" w:rsidRDefault="002120C5" w:rsidP="002120C5">
            <w:pPr>
              <w:pStyle w:val="AnnexTableCell"/>
              <w:spacing w:line="240" w:lineRule="auto"/>
              <w:rPr>
                <w:rFonts w:ascii="Helvetica" w:hAnsi="Helvetica"/>
                <w:sz w:val="14"/>
                <w:szCs w:val="14"/>
              </w:rPr>
            </w:pPr>
          </w:p>
        </w:tc>
        <w:tc>
          <w:tcPr>
            <w:tcW w:w="787" w:type="dxa"/>
            <w:tcBorders>
              <w:top w:val="single" w:sz="4" w:space="0" w:color="auto"/>
              <w:left w:val="single" w:sz="4" w:space="0" w:color="auto"/>
              <w:bottom w:val="single" w:sz="4" w:space="0" w:color="000000"/>
            </w:tcBorders>
            <w:shd w:val="clear" w:color="auto" w:fill="FFFFFF"/>
            <w:tcMar>
              <w:top w:w="20" w:type="dxa"/>
              <w:bottom w:w="20" w:type="dxa"/>
            </w:tcMar>
          </w:tcPr>
          <w:p w14:paraId="67F8ED1E" w14:textId="77777777" w:rsidR="002120C5" w:rsidRPr="00647D81" w:rsidRDefault="002120C5" w:rsidP="002120C5">
            <w:pPr>
              <w:pStyle w:val="AnnexTableCell"/>
              <w:spacing w:line="240" w:lineRule="auto"/>
              <w:rPr>
                <w:rFonts w:ascii="Helvetica" w:hAnsi="Helvetica"/>
                <w:sz w:val="14"/>
                <w:szCs w:val="14"/>
              </w:rPr>
            </w:pPr>
          </w:p>
        </w:tc>
        <w:tc>
          <w:tcPr>
            <w:tcW w:w="715" w:type="dxa"/>
            <w:tcBorders>
              <w:top w:val="single" w:sz="4" w:space="0" w:color="auto"/>
              <w:left w:val="single" w:sz="4" w:space="0" w:color="auto"/>
              <w:bottom w:val="single" w:sz="4" w:space="0" w:color="000000"/>
            </w:tcBorders>
            <w:shd w:val="clear" w:color="auto" w:fill="FFFFFF"/>
            <w:tcMar>
              <w:top w:w="20" w:type="dxa"/>
              <w:bottom w:w="20" w:type="dxa"/>
            </w:tcMar>
          </w:tcPr>
          <w:p w14:paraId="53AD9960" w14:textId="77777777" w:rsidR="002120C5" w:rsidRPr="00647D81" w:rsidRDefault="002120C5" w:rsidP="002120C5">
            <w:pPr>
              <w:pStyle w:val="AnnexTableCell"/>
              <w:spacing w:line="240" w:lineRule="auto"/>
              <w:rPr>
                <w:rFonts w:ascii="Helvetica" w:hAnsi="Helvetica"/>
                <w:sz w:val="14"/>
                <w:szCs w:val="14"/>
              </w:rPr>
            </w:pPr>
          </w:p>
        </w:tc>
        <w:tc>
          <w:tcPr>
            <w:tcW w:w="630" w:type="dxa"/>
            <w:tcBorders>
              <w:top w:val="single" w:sz="4" w:space="0" w:color="auto"/>
              <w:left w:val="single" w:sz="4" w:space="0" w:color="auto"/>
              <w:bottom w:val="single" w:sz="4" w:space="0" w:color="000000"/>
            </w:tcBorders>
            <w:shd w:val="clear" w:color="auto" w:fill="FFFFFF"/>
            <w:tcMar>
              <w:top w:w="20" w:type="dxa"/>
              <w:bottom w:w="20" w:type="dxa"/>
            </w:tcMar>
          </w:tcPr>
          <w:p w14:paraId="45E1CCEB" w14:textId="77777777" w:rsidR="002120C5" w:rsidRPr="00647D81" w:rsidRDefault="002120C5" w:rsidP="002120C5">
            <w:pPr>
              <w:pStyle w:val="AnnexTableCell"/>
              <w:spacing w:line="240" w:lineRule="auto"/>
              <w:rPr>
                <w:rFonts w:ascii="Helvetica" w:hAnsi="Helvetica"/>
                <w:sz w:val="14"/>
                <w:szCs w:val="14"/>
              </w:rPr>
            </w:pPr>
          </w:p>
        </w:tc>
        <w:tc>
          <w:tcPr>
            <w:tcW w:w="588" w:type="dxa"/>
            <w:tcBorders>
              <w:top w:val="single" w:sz="4" w:space="0" w:color="auto"/>
              <w:left w:val="single" w:sz="4" w:space="0" w:color="auto"/>
              <w:bottom w:val="single" w:sz="4" w:space="0" w:color="000000"/>
            </w:tcBorders>
            <w:shd w:val="clear" w:color="auto" w:fill="FFFFFF"/>
            <w:tcMar>
              <w:top w:w="20" w:type="dxa"/>
              <w:bottom w:w="20" w:type="dxa"/>
            </w:tcMar>
          </w:tcPr>
          <w:p w14:paraId="027F336F" w14:textId="77777777" w:rsidR="002120C5" w:rsidRPr="00647D81" w:rsidRDefault="002120C5" w:rsidP="002120C5">
            <w:pPr>
              <w:pStyle w:val="AnnexTableCell"/>
              <w:spacing w:line="240" w:lineRule="auto"/>
              <w:rPr>
                <w:rFonts w:ascii="Helvetica" w:hAnsi="Helvetica"/>
                <w:sz w:val="14"/>
                <w:szCs w:val="14"/>
              </w:rPr>
            </w:pPr>
          </w:p>
        </w:tc>
        <w:tc>
          <w:tcPr>
            <w:tcW w:w="972" w:type="dxa"/>
            <w:tcBorders>
              <w:top w:val="single" w:sz="4" w:space="0" w:color="auto"/>
              <w:left w:val="single" w:sz="4" w:space="0" w:color="auto"/>
              <w:bottom w:val="single" w:sz="4" w:space="0" w:color="000000"/>
            </w:tcBorders>
            <w:shd w:val="clear" w:color="auto" w:fill="FFFFFF"/>
            <w:tcMar>
              <w:top w:w="20" w:type="dxa"/>
              <w:bottom w:w="20" w:type="dxa"/>
            </w:tcMar>
          </w:tcPr>
          <w:p w14:paraId="64E4D78E" w14:textId="77777777" w:rsidR="002120C5" w:rsidRPr="00647D81" w:rsidRDefault="002120C5" w:rsidP="002120C5">
            <w:pPr>
              <w:pStyle w:val="AnnexTableCell"/>
              <w:spacing w:line="240" w:lineRule="auto"/>
              <w:rPr>
                <w:rFonts w:ascii="Helvetica" w:hAnsi="Helvetica"/>
                <w:sz w:val="14"/>
                <w:szCs w:val="14"/>
              </w:rPr>
            </w:pPr>
          </w:p>
        </w:tc>
        <w:tc>
          <w:tcPr>
            <w:tcW w:w="984" w:type="dxa"/>
            <w:tcBorders>
              <w:top w:val="single" w:sz="4" w:space="0" w:color="auto"/>
              <w:left w:val="single" w:sz="4" w:space="0" w:color="auto"/>
              <w:bottom w:val="single" w:sz="4" w:space="0" w:color="000000"/>
            </w:tcBorders>
            <w:shd w:val="clear" w:color="auto" w:fill="FFFFFF"/>
            <w:tcMar>
              <w:top w:w="20" w:type="dxa"/>
              <w:bottom w:w="20" w:type="dxa"/>
            </w:tcMar>
          </w:tcPr>
          <w:p w14:paraId="3A2E3F33" w14:textId="77777777" w:rsidR="002120C5" w:rsidRPr="00647D81" w:rsidRDefault="002120C5" w:rsidP="002120C5">
            <w:pPr>
              <w:pStyle w:val="AnnexTableCell"/>
              <w:spacing w:line="240" w:lineRule="auto"/>
              <w:rPr>
                <w:rFonts w:ascii="Helvetica" w:hAnsi="Helvetica"/>
                <w:sz w:val="14"/>
                <w:szCs w:val="14"/>
              </w:rPr>
            </w:pPr>
          </w:p>
        </w:tc>
        <w:tc>
          <w:tcPr>
            <w:tcW w:w="864" w:type="dxa"/>
            <w:tcBorders>
              <w:top w:val="single" w:sz="4" w:space="0" w:color="auto"/>
              <w:left w:val="single" w:sz="4" w:space="0" w:color="auto"/>
              <w:bottom w:val="single" w:sz="4" w:space="0" w:color="000000"/>
              <w:right w:val="single" w:sz="4" w:space="0" w:color="auto"/>
            </w:tcBorders>
            <w:shd w:val="clear" w:color="auto" w:fill="FFFFFF"/>
            <w:tcMar>
              <w:top w:w="20" w:type="dxa"/>
              <w:bottom w:w="20" w:type="dxa"/>
              <w:right w:w="0" w:type="dxa"/>
            </w:tcMar>
          </w:tcPr>
          <w:p w14:paraId="1B3B657D" w14:textId="77777777" w:rsidR="002120C5" w:rsidRPr="00647D81" w:rsidRDefault="002120C5" w:rsidP="002120C5">
            <w:pPr>
              <w:pStyle w:val="AnnexTableCell"/>
              <w:spacing w:line="240" w:lineRule="auto"/>
              <w:rPr>
                <w:rFonts w:ascii="Helvetica" w:hAnsi="Helvetica"/>
                <w:sz w:val="14"/>
                <w:szCs w:val="14"/>
              </w:rPr>
            </w:pPr>
          </w:p>
        </w:tc>
      </w:tr>
      <w:tr w:rsidR="002120C5" w:rsidRPr="00647D81" w14:paraId="131B558D" w14:textId="77777777" w:rsidTr="004A2CAF">
        <w:trPr>
          <w:trHeight w:val="20"/>
        </w:trPr>
        <w:tc>
          <w:tcPr>
            <w:tcW w:w="202" w:type="dxa"/>
            <w:tcBorders>
              <w:top w:val="single" w:sz="4" w:space="0" w:color="000000"/>
              <w:left w:val="single" w:sz="4" w:space="0" w:color="000000"/>
              <w:bottom w:val="single" w:sz="4" w:space="0" w:color="000000"/>
              <w:right w:val="single" w:sz="4" w:space="0" w:color="000000"/>
            </w:tcBorders>
            <w:shd w:val="clear" w:color="auto" w:fill="FFFFFF"/>
            <w:tcMar>
              <w:top w:w="20" w:type="dxa"/>
              <w:left w:w="0" w:type="dxa"/>
              <w:bottom w:w="20" w:type="dxa"/>
            </w:tcMar>
          </w:tcPr>
          <w:p w14:paraId="3A9925AA" w14:textId="77777777" w:rsidR="002120C5" w:rsidRPr="00647D81" w:rsidRDefault="002120C5" w:rsidP="002120C5">
            <w:pPr>
              <w:pStyle w:val="AnnexTableCell"/>
              <w:spacing w:line="240" w:lineRule="auto"/>
              <w:rPr>
                <w:rFonts w:ascii="Helvetica" w:hAnsi="Helvetica"/>
                <w:sz w:val="14"/>
                <w:szCs w:val="14"/>
              </w:rPr>
            </w:pPr>
            <w:r>
              <w:rPr>
                <w:rFonts w:ascii="Helvetica" w:hAnsi="Helvetica"/>
                <w:sz w:val="14"/>
              </w:rPr>
              <w:t>2</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046CD97" w14:textId="77777777" w:rsidR="002120C5" w:rsidRPr="00647D81" w:rsidRDefault="002120C5" w:rsidP="002120C5">
            <w:pPr>
              <w:pStyle w:val="AnnexTableCell"/>
              <w:spacing w:line="240" w:lineRule="auto"/>
              <w:ind w:left="40"/>
              <w:jc w:val="left"/>
              <w:rPr>
                <w:rFonts w:ascii="Helvetica" w:hAnsi="Helvetica"/>
                <w:sz w:val="14"/>
                <w:szCs w:val="14"/>
              </w:rPr>
            </w:pPr>
            <w:r>
              <w:rPr>
                <w:rFonts w:ascii="Helvetica" w:hAnsi="Helvetica"/>
                <w:sz w:val="14"/>
              </w:rPr>
              <w:t>Hvorav: på egne vegne</w:t>
            </w: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749E3BC" w14:textId="77777777" w:rsidR="002120C5" w:rsidRPr="00647D81" w:rsidRDefault="002120C5" w:rsidP="002120C5">
            <w:pPr>
              <w:pStyle w:val="AnnexTableCell"/>
              <w:spacing w:line="240" w:lineRule="auto"/>
              <w:rPr>
                <w:rFonts w:ascii="Helvetica" w:hAnsi="Helvetica"/>
                <w:sz w:val="14"/>
                <w:szCs w:val="14"/>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8B280E2" w14:textId="77777777" w:rsidR="002120C5" w:rsidRPr="00647D81" w:rsidRDefault="002120C5" w:rsidP="002120C5">
            <w:pPr>
              <w:pStyle w:val="AnnexTableCell"/>
              <w:spacing w:line="240" w:lineRule="auto"/>
              <w:rPr>
                <w:rFonts w:ascii="Helvetica" w:hAnsi="Helvetica"/>
                <w:sz w:val="14"/>
                <w:szCs w:val="1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30732ED" w14:textId="77777777" w:rsidR="002120C5" w:rsidRPr="00647D81" w:rsidRDefault="002120C5" w:rsidP="002120C5">
            <w:pPr>
              <w:pStyle w:val="AnnexTableCell"/>
              <w:spacing w:line="240" w:lineRule="auto"/>
              <w:rPr>
                <w:rFonts w:ascii="Helvetica" w:hAnsi="Helvetica"/>
                <w:sz w:val="14"/>
                <w:szCs w:val="14"/>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63952E3" w14:textId="77777777" w:rsidR="002120C5" w:rsidRPr="00647D81" w:rsidRDefault="002120C5" w:rsidP="002120C5">
            <w:pPr>
              <w:pStyle w:val="AnnexTableCell"/>
              <w:spacing w:line="240" w:lineRule="auto"/>
              <w:rPr>
                <w:rFonts w:ascii="Helvetica" w:hAnsi="Helvetica"/>
                <w:sz w:val="14"/>
                <w:szCs w:val="14"/>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02DAF6D" w14:textId="77777777" w:rsidR="002120C5" w:rsidRPr="00647D81" w:rsidRDefault="002120C5" w:rsidP="002120C5">
            <w:pPr>
              <w:pStyle w:val="AnnexTableCell"/>
              <w:spacing w:line="240" w:lineRule="auto"/>
              <w:rPr>
                <w:rFonts w:ascii="Helvetica" w:hAnsi="Helvetica"/>
                <w:sz w:val="14"/>
                <w:szCs w:val="14"/>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3AFB4BA" w14:textId="77777777" w:rsidR="002120C5" w:rsidRPr="00647D81" w:rsidRDefault="002120C5" w:rsidP="002120C5">
            <w:pPr>
              <w:pStyle w:val="AnnexTableCell"/>
              <w:spacing w:line="240" w:lineRule="auto"/>
              <w:rPr>
                <w:rFonts w:ascii="Helvetica" w:hAnsi="Helvetica"/>
                <w:sz w:val="14"/>
                <w:szCs w:val="14"/>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6B50C06" w14:textId="77777777" w:rsidR="002120C5" w:rsidRPr="00647D81" w:rsidRDefault="002120C5" w:rsidP="002120C5">
            <w:pPr>
              <w:pStyle w:val="AnnexTableCell"/>
              <w:spacing w:line="240" w:lineRule="auto"/>
              <w:rPr>
                <w:rFonts w:ascii="Helvetica" w:hAnsi="Helvetica"/>
                <w:sz w:val="14"/>
                <w:szCs w:val="14"/>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A9B34D1" w14:textId="77777777" w:rsidR="002120C5" w:rsidRPr="00647D81" w:rsidRDefault="002120C5" w:rsidP="002120C5">
            <w:pPr>
              <w:pStyle w:val="AnnexTableCell"/>
              <w:spacing w:line="240" w:lineRule="auto"/>
              <w:rPr>
                <w:rFonts w:ascii="Helvetica" w:hAnsi="Helvetica"/>
                <w:sz w:val="14"/>
                <w:szCs w:val="1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F4632AF" w14:textId="77777777" w:rsidR="002120C5" w:rsidRPr="00647D81" w:rsidRDefault="002120C5" w:rsidP="002120C5">
            <w:pPr>
              <w:pStyle w:val="AnnexTableCell"/>
              <w:spacing w:line="240" w:lineRule="auto"/>
              <w:rPr>
                <w:rFonts w:ascii="Helvetica" w:hAnsi="Helvetica"/>
                <w:sz w:val="14"/>
                <w:szCs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31327AF" w14:textId="77777777" w:rsidR="002120C5" w:rsidRPr="00647D81" w:rsidRDefault="002120C5" w:rsidP="002120C5">
            <w:pPr>
              <w:pStyle w:val="AnnexTableCell"/>
              <w:spacing w:line="240" w:lineRule="auto"/>
              <w:rPr>
                <w:rFonts w:ascii="Helvetica" w:hAnsi="Helvetica"/>
                <w:sz w:val="14"/>
                <w:szCs w:val="14"/>
              </w:rPr>
            </w:pPr>
          </w:p>
        </w:tc>
        <w:tc>
          <w:tcPr>
            <w:tcW w:w="71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0E642B0" w14:textId="77777777" w:rsidR="002120C5" w:rsidRPr="00647D81" w:rsidRDefault="002120C5" w:rsidP="002120C5">
            <w:pPr>
              <w:pStyle w:val="AnnexTableCell"/>
              <w:spacing w:line="240" w:lineRule="auto"/>
              <w:rPr>
                <w:rFonts w:ascii="Helvetica" w:hAnsi="Helvetica"/>
                <w:sz w:val="14"/>
                <w:szCs w:val="1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C9912D0" w14:textId="77777777" w:rsidR="002120C5" w:rsidRPr="00647D81" w:rsidRDefault="002120C5" w:rsidP="002120C5">
            <w:pPr>
              <w:pStyle w:val="AnnexTableCell"/>
              <w:spacing w:line="240" w:lineRule="auto"/>
              <w:rPr>
                <w:rFonts w:ascii="Helvetica" w:hAnsi="Helvetica"/>
                <w:sz w:val="14"/>
                <w:szCs w:val="14"/>
              </w:rPr>
            </w:pPr>
          </w:p>
        </w:tc>
        <w:tc>
          <w:tcPr>
            <w:tcW w:w="58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77363DF" w14:textId="77777777" w:rsidR="002120C5" w:rsidRPr="00647D81" w:rsidRDefault="002120C5" w:rsidP="002120C5">
            <w:pPr>
              <w:pStyle w:val="AnnexTableCell"/>
              <w:spacing w:line="240" w:lineRule="auto"/>
              <w:rPr>
                <w:rFonts w:ascii="Helvetica" w:hAnsi="Helvetica"/>
                <w:sz w:val="14"/>
                <w:szCs w:val="14"/>
              </w:rPr>
            </w:pPr>
          </w:p>
        </w:tc>
        <w:tc>
          <w:tcPr>
            <w:tcW w:w="97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0CB2ABA" w14:textId="77777777" w:rsidR="002120C5" w:rsidRPr="00647D81" w:rsidRDefault="002120C5" w:rsidP="002120C5">
            <w:pPr>
              <w:pStyle w:val="AnnexTableCell"/>
              <w:spacing w:line="240" w:lineRule="auto"/>
              <w:rPr>
                <w:rFonts w:ascii="Helvetica" w:hAnsi="Helvetica"/>
                <w:sz w:val="14"/>
                <w:szCs w:val="14"/>
              </w:rPr>
            </w:pPr>
          </w:p>
        </w:tc>
        <w:tc>
          <w:tcPr>
            <w:tcW w:w="98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D331974" w14:textId="77777777" w:rsidR="002120C5" w:rsidRPr="00647D81" w:rsidRDefault="002120C5" w:rsidP="002120C5">
            <w:pPr>
              <w:pStyle w:val="AnnexTableCell"/>
              <w:spacing w:line="240" w:lineRule="auto"/>
              <w:rPr>
                <w:rFonts w:ascii="Helvetica" w:hAnsi="Helvetica"/>
                <w:sz w:val="14"/>
                <w:szCs w:val="14"/>
              </w:rPr>
            </w:pPr>
          </w:p>
        </w:tc>
        <w:tc>
          <w:tcPr>
            <w:tcW w:w="8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right w:w="0" w:type="dxa"/>
            </w:tcMar>
          </w:tcPr>
          <w:p w14:paraId="5C6468F5" w14:textId="77777777" w:rsidR="002120C5" w:rsidRPr="00647D81" w:rsidRDefault="002120C5" w:rsidP="002120C5">
            <w:pPr>
              <w:pStyle w:val="AnnexTableCell"/>
              <w:spacing w:line="240" w:lineRule="auto"/>
              <w:rPr>
                <w:rFonts w:ascii="Helvetica" w:hAnsi="Helvetica"/>
                <w:sz w:val="14"/>
                <w:szCs w:val="14"/>
              </w:rPr>
            </w:pPr>
          </w:p>
        </w:tc>
      </w:tr>
      <w:tr w:rsidR="002120C5" w:rsidRPr="00647D81" w14:paraId="58F41595" w14:textId="77777777" w:rsidTr="004A2CAF">
        <w:trPr>
          <w:trHeight w:val="20"/>
        </w:trPr>
        <w:tc>
          <w:tcPr>
            <w:tcW w:w="202" w:type="dxa"/>
            <w:tcBorders>
              <w:top w:val="single" w:sz="4" w:space="0" w:color="000000"/>
              <w:left w:val="single" w:sz="4" w:space="0" w:color="000000"/>
              <w:bottom w:val="single" w:sz="4" w:space="0" w:color="000000"/>
              <w:right w:val="single" w:sz="4" w:space="0" w:color="000000"/>
            </w:tcBorders>
            <w:shd w:val="clear" w:color="auto" w:fill="FFFFFF"/>
            <w:tcMar>
              <w:top w:w="20" w:type="dxa"/>
              <w:left w:w="0" w:type="dxa"/>
              <w:bottom w:w="20" w:type="dxa"/>
            </w:tcMar>
          </w:tcPr>
          <w:p w14:paraId="1AADADD5" w14:textId="77777777" w:rsidR="002120C5" w:rsidRPr="00647D81" w:rsidRDefault="002120C5" w:rsidP="002120C5">
            <w:pPr>
              <w:pStyle w:val="AnnexTableCell"/>
              <w:spacing w:line="240" w:lineRule="auto"/>
              <w:rPr>
                <w:rFonts w:ascii="Helvetica" w:hAnsi="Helvetica"/>
                <w:sz w:val="14"/>
                <w:szCs w:val="14"/>
              </w:rPr>
            </w:pPr>
            <w:r>
              <w:rPr>
                <w:rFonts w:ascii="Helvetica" w:hAnsi="Helvetica"/>
                <w:sz w:val="14"/>
              </w:rPr>
              <w:t>3</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3F29348" w14:textId="77777777" w:rsidR="002120C5" w:rsidRPr="00647D81" w:rsidRDefault="002120C5" w:rsidP="002120C5">
            <w:pPr>
              <w:pStyle w:val="AnnexTableCell"/>
              <w:spacing w:line="240" w:lineRule="auto"/>
              <w:ind w:left="40"/>
              <w:jc w:val="left"/>
              <w:rPr>
                <w:rFonts w:ascii="Helvetica" w:hAnsi="Helvetica"/>
                <w:sz w:val="14"/>
                <w:szCs w:val="14"/>
              </w:rPr>
            </w:pPr>
            <w:r>
              <w:rPr>
                <w:rFonts w:ascii="Helvetica" w:hAnsi="Helvetica"/>
                <w:sz w:val="14"/>
              </w:rPr>
              <w:t>Hvorav: på vegne av kunder</w:t>
            </w: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C08EEE5" w14:textId="77777777" w:rsidR="002120C5" w:rsidRPr="00647D81" w:rsidRDefault="002120C5" w:rsidP="002120C5">
            <w:pPr>
              <w:pStyle w:val="AnnexTableCell"/>
              <w:spacing w:line="240" w:lineRule="auto"/>
              <w:rPr>
                <w:rFonts w:ascii="Helvetica" w:hAnsi="Helvetica"/>
                <w:sz w:val="14"/>
                <w:szCs w:val="14"/>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DC1BACE" w14:textId="77777777" w:rsidR="002120C5" w:rsidRPr="00647D81" w:rsidRDefault="002120C5" w:rsidP="002120C5">
            <w:pPr>
              <w:pStyle w:val="AnnexTableCell"/>
              <w:spacing w:line="240" w:lineRule="auto"/>
              <w:rPr>
                <w:rFonts w:ascii="Helvetica" w:hAnsi="Helvetica"/>
                <w:sz w:val="14"/>
                <w:szCs w:val="1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C285516" w14:textId="77777777" w:rsidR="002120C5" w:rsidRPr="00647D81" w:rsidRDefault="002120C5" w:rsidP="002120C5">
            <w:pPr>
              <w:pStyle w:val="AnnexTableCell"/>
              <w:spacing w:line="240" w:lineRule="auto"/>
              <w:rPr>
                <w:rFonts w:ascii="Helvetica" w:hAnsi="Helvetica"/>
                <w:sz w:val="14"/>
                <w:szCs w:val="14"/>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2552E8B" w14:textId="77777777" w:rsidR="002120C5" w:rsidRPr="00647D81" w:rsidRDefault="002120C5" w:rsidP="002120C5">
            <w:pPr>
              <w:pStyle w:val="AnnexTableCell"/>
              <w:spacing w:line="240" w:lineRule="auto"/>
              <w:rPr>
                <w:rFonts w:ascii="Helvetica" w:hAnsi="Helvetica"/>
                <w:sz w:val="14"/>
                <w:szCs w:val="14"/>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8E76694" w14:textId="77777777" w:rsidR="002120C5" w:rsidRPr="00647D81" w:rsidRDefault="002120C5" w:rsidP="002120C5">
            <w:pPr>
              <w:pStyle w:val="AnnexTableCell"/>
              <w:spacing w:line="240" w:lineRule="auto"/>
              <w:rPr>
                <w:rFonts w:ascii="Helvetica" w:hAnsi="Helvetica"/>
                <w:sz w:val="14"/>
                <w:szCs w:val="14"/>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0574508" w14:textId="77777777" w:rsidR="002120C5" w:rsidRPr="00647D81" w:rsidRDefault="002120C5" w:rsidP="002120C5">
            <w:pPr>
              <w:pStyle w:val="AnnexTableCell"/>
              <w:spacing w:line="240" w:lineRule="auto"/>
              <w:rPr>
                <w:rFonts w:ascii="Helvetica" w:hAnsi="Helvetica"/>
                <w:sz w:val="14"/>
                <w:szCs w:val="14"/>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F003B1F" w14:textId="77777777" w:rsidR="002120C5" w:rsidRPr="00647D81" w:rsidRDefault="002120C5" w:rsidP="002120C5">
            <w:pPr>
              <w:pStyle w:val="AnnexTableCell"/>
              <w:spacing w:line="240" w:lineRule="auto"/>
              <w:rPr>
                <w:rFonts w:ascii="Helvetica" w:hAnsi="Helvetica"/>
                <w:sz w:val="14"/>
                <w:szCs w:val="14"/>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6E8C75E" w14:textId="77777777" w:rsidR="002120C5" w:rsidRPr="00647D81" w:rsidRDefault="002120C5" w:rsidP="002120C5">
            <w:pPr>
              <w:pStyle w:val="AnnexTableCell"/>
              <w:spacing w:line="240" w:lineRule="auto"/>
              <w:rPr>
                <w:rFonts w:ascii="Helvetica" w:hAnsi="Helvetica"/>
                <w:sz w:val="14"/>
                <w:szCs w:val="1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B350FFA" w14:textId="77777777" w:rsidR="002120C5" w:rsidRPr="00647D81" w:rsidRDefault="002120C5" w:rsidP="002120C5">
            <w:pPr>
              <w:pStyle w:val="AnnexTableCell"/>
              <w:spacing w:line="240" w:lineRule="auto"/>
              <w:rPr>
                <w:rFonts w:ascii="Helvetica" w:hAnsi="Helvetica"/>
                <w:sz w:val="14"/>
                <w:szCs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DB2D7D1" w14:textId="77777777" w:rsidR="002120C5" w:rsidRPr="00647D81" w:rsidRDefault="002120C5" w:rsidP="002120C5">
            <w:pPr>
              <w:pStyle w:val="AnnexTableCell"/>
              <w:spacing w:line="240" w:lineRule="auto"/>
              <w:rPr>
                <w:rFonts w:ascii="Helvetica" w:hAnsi="Helvetica"/>
                <w:sz w:val="14"/>
                <w:szCs w:val="14"/>
              </w:rPr>
            </w:pPr>
          </w:p>
        </w:tc>
        <w:tc>
          <w:tcPr>
            <w:tcW w:w="71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10E3948" w14:textId="77777777" w:rsidR="002120C5" w:rsidRPr="00647D81" w:rsidRDefault="002120C5" w:rsidP="002120C5">
            <w:pPr>
              <w:pStyle w:val="AnnexTableCell"/>
              <w:spacing w:line="240" w:lineRule="auto"/>
              <w:rPr>
                <w:rFonts w:ascii="Helvetica" w:hAnsi="Helvetica"/>
                <w:sz w:val="14"/>
                <w:szCs w:val="1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9B83627" w14:textId="77777777" w:rsidR="002120C5" w:rsidRPr="00647D81" w:rsidRDefault="002120C5" w:rsidP="002120C5">
            <w:pPr>
              <w:pStyle w:val="AnnexTableCell"/>
              <w:spacing w:line="240" w:lineRule="auto"/>
              <w:rPr>
                <w:rFonts w:ascii="Helvetica" w:hAnsi="Helvetica"/>
                <w:sz w:val="14"/>
                <w:szCs w:val="14"/>
              </w:rPr>
            </w:pPr>
          </w:p>
        </w:tc>
        <w:tc>
          <w:tcPr>
            <w:tcW w:w="58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5B025C72" w14:textId="77777777" w:rsidR="002120C5" w:rsidRPr="00647D81" w:rsidRDefault="002120C5" w:rsidP="002120C5">
            <w:pPr>
              <w:pStyle w:val="AnnexTableCell"/>
              <w:spacing w:line="240" w:lineRule="auto"/>
              <w:rPr>
                <w:rFonts w:ascii="Helvetica" w:hAnsi="Helvetica"/>
                <w:sz w:val="14"/>
                <w:szCs w:val="14"/>
              </w:rPr>
            </w:pPr>
          </w:p>
        </w:tc>
        <w:tc>
          <w:tcPr>
            <w:tcW w:w="97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4A158EF" w14:textId="77777777" w:rsidR="002120C5" w:rsidRPr="00647D81" w:rsidRDefault="002120C5" w:rsidP="002120C5">
            <w:pPr>
              <w:pStyle w:val="AnnexTableCell"/>
              <w:spacing w:line="240" w:lineRule="auto"/>
              <w:rPr>
                <w:rFonts w:ascii="Helvetica" w:hAnsi="Helvetica"/>
                <w:sz w:val="14"/>
                <w:szCs w:val="14"/>
              </w:rPr>
            </w:pPr>
          </w:p>
        </w:tc>
        <w:tc>
          <w:tcPr>
            <w:tcW w:w="98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CDD824B" w14:textId="77777777" w:rsidR="002120C5" w:rsidRPr="00647D81" w:rsidRDefault="002120C5" w:rsidP="002120C5">
            <w:pPr>
              <w:pStyle w:val="AnnexTableCell"/>
              <w:spacing w:line="240" w:lineRule="auto"/>
              <w:rPr>
                <w:rFonts w:ascii="Helvetica" w:hAnsi="Helvetica"/>
                <w:sz w:val="14"/>
                <w:szCs w:val="14"/>
              </w:rPr>
            </w:pPr>
          </w:p>
        </w:tc>
        <w:tc>
          <w:tcPr>
            <w:tcW w:w="8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right w:w="0" w:type="dxa"/>
            </w:tcMar>
          </w:tcPr>
          <w:p w14:paraId="18DC5D4D" w14:textId="77777777" w:rsidR="002120C5" w:rsidRPr="00647D81" w:rsidRDefault="002120C5" w:rsidP="002120C5">
            <w:pPr>
              <w:pStyle w:val="AnnexTableCell"/>
              <w:spacing w:line="240" w:lineRule="auto"/>
              <w:rPr>
                <w:rFonts w:ascii="Helvetica" w:hAnsi="Helvetica"/>
                <w:sz w:val="14"/>
                <w:szCs w:val="14"/>
              </w:rPr>
            </w:pPr>
          </w:p>
        </w:tc>
      </w:tr>
      <w:tr w:rsidR="002120C5" w:rsidRPr="00647D81" w14:paraId="677CCB36" w14:textId="77777777" w:rsidTr="004A2CAF">
        <w:trPr>
          <w:trHeight w:val="20"/>
        </w:trPr>
        <w:tc>
          <w:tcPr>
            <w:tcW w:w="202" w:type="dxa"/>
            <w:tcBorders>
              <w:top w:val="single" w:sz="4" w:space="0" w:color="000000"/>
              <w:left w:val="single" w:sz="4" w:space="0" w:color="000000"/>
              <w:bottom w:val="single" w:sz="4" w:space="0" w:color="000000"/>
              <w:right w:val="single" w:sz="4" w:space="0" w:color="000000"/>
            </w:tcBorders>
            <w:shd w:val="clear" w:color="auto" w:fill="FFFFFF"/>
            <w:tcMar>
              <w:top w:w="20" w:type="dxa"/>
              <w:left w:w="0" w:type="dxa"/>
              <w:bottom w:w="20" w:type="dxa"/>
            </w:tcMar>
          </w:tcPr>
          <w:p w14:paraId="26ECE154" w14:textId="77777777" w:rsidR="002120C5" w:rsidRPr="00647D81" w:rsidRDefault="002120C5" w:rsidP="002120C5">
            <w:pPr>
              <w:pStyle w:val="AnnexTableCell"/>
              <w:spacing w:line="240" w:lineRule="auto"/>
              <w:rPr>
                <w:rFonts w:ascii="Helvetica" w:hAnsi="Helvetica"/>
                <w:sz w:val="14"/>
                <w:szCs w:val="14"/>
              </w:rPr>
            </w:pPr>
            <w:r>
              <w:rPr>
                <w:rFonts w:ascii="Helvetica" w:hAnsi="Helvetica"/>
                <w:sz w:val="14"/>
              </w:rPr>
              <w:t>4</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88D1214" w14:textId="77777777" w:rsidR="002120C5" w:rsidRPr="00647D81" w:rsidRDefault="002120C5" w:rsidP="002120C5">
            <w:pPr>
              <w:pStyle w:val="AnnexTableCell"/>
              <w:spacing w:line="240" w:lineRule="auto"/>
              <w:ind w:left="40"/>
              <w:jc w:val="left"/>
              <w:rPr>
                <w:rFonts w:ascii="Helvetica" w:hAnsi="Helvetica"/>
                <w:sz w:val="14"/>
                <w:szCs w:val="14"/>
              </w:rPr>
            </w:pPr>
            <w:r>
              <w:rPr>
                <w:rFonts w:ascii="Helvetica" w:hAnsi="Helvetica"/>
                <w:sz w:val="14"/>
              </w:rPr>
              <w:t>Hvorav: eksponeringer som tas med på frivillig grunnlag (6)</w:t>
            </w:r>
          </w:p>
        </w:tc>
        <w:tc>
          <w:tcPr>
            <w:tcW w:w="66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6FB7CCF" w14:textId="77777777" w:rsidR="002120C5" w:rsidRPr="00647D81" w:rsidRDefault="002120C5" w:rsidP="002120C5">
            <w:pPr>
              <w:pStyle w:val="AnnexTableCell"/>
              <w:spacing w:line="240" w:lineRule="auto"/>
              <w:rPr>
                <w:rFonts w:ascii="Helvetica" w:hAnsi="Helvetica"/>
                <w:sz w:val="14"/>
                <w:szCs w:val="14"/>
              </w:rPr>
            </w:pPr>
          </w:p>
        </w:tc>
        <w:tc>
          <w:tcPr>
            <w:tcW w:w="857"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8EFC81E" w14:textId="77777777" w:rsidR="002120C5" w:rsidRPr="00647D81" w:rsidRDefault="002120C5" w:rsidP="002120C5">
            <w:pPr>
              <w:pStyle w:val="AnnexTableCell"/>
              <w:spacing w:line="240" w:lineRule="auto"/>
              <w:rPr>
                <w:rFonts w:ascii="Helvetica" w:hAnsi="Helvetica"/>
                <w:sz w:val="14"/>
                <w:szCs w:val="1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1DD2C93" w14:textId="77777777" w:rsidR="002120C5" w:rsidRPr="00647D81" w:rsidRDefault="002120C5" w:rsidP="002120C5">
            <w:pPr>
              <w:pStyle w:val="AnnexTableCell"/>
              <w:spacing w:line="240" w:lineRule="auto"/>
              <w:rPr>
                <w:rFonts w:ascii="Helvetica" w:hAnsi="Helvetica"/>
                <w:sz w:val="14"/>
                <w:szCs w:val="14"/>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3D03B8AD" w14:textId="77777777" w:rsidR="002120C5" w:rsidRPr="00647D81" w:rsidRDefault="002120C5" w:rsidP="002120C5">
            <w:pPr>
              <w:pStyle w:val="AnnexTableCell"/>
              <w:spacing w:line="240" w:lineRule="auto"/>
              <w:rPr>
                <w:rFonts w:ascii="Helvetica" w:hAnsi="Helvetica"/>
                <w:sz w:val="14"/>
                <w:szCs w:val="14"/>
              </w:rPr>
            </w:pPr>
          </w:p>
        </w:tc>
        <w:tc>
          <w:tcPr>
            <w:tcW w:w="682"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52D0A44E" w14:textId="77777777" w:rsidR="002120C5" w:rsidRPr="00647D81" w:rsidRDefault="002120C5" w:rsidP="002120C5">
            <w:pPr>
              <w:pStyle w:val="AnnexTableCell"/>
              <w:spacing w:line="240" w:lineRule="auto"/>
              <w:rPr>
                <w:rFonts w:ascii="Helvetica" w:hAnsi="Helvetica"/>
                <w:sz w:val="14"/>
                <w:szCs w:val="14"/>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93C2DE9" w14:textId="77777777" w:rsidR="002120C5" w:rsidRPr="00647D81" w:rsidRDefault="002120C5" w:rsidP="002120C5">
            <w:pPr>
              <w:pStyle w:val="AnnexTableCell"/>
              <w:spacing w:line="240" w:lineRule="auto"/>
              <w:rPr>
                <w:rFonts w:ascii="Helvetica" w:hAnsi="Helvetica"/>
                <w:sz w:val="14"/>
                <w:szCs w:val="14"/>
              </w:rPr>
            </w:pPr>
          </w:p>
        </w:tc>
        <w:tc>
          <w:tcPr>
            <w:tcW w:w="783"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4BA1ADD" w14:textId="77777777" w:rsidR="002120C5" w:rsidRPr="00647D81" w:rsidRDefault="002120C5" w:rsidP="002120C5">
            <w:pPr>
              <w:pStyle w:val="AnnexTableCell"/>
              <w:spacing w:line="240" w:lineRule="auto"/>
              <w:rPr>
                <w:rFonts w:ascii="Helvetica" w:hAnsi="Helvetica"/>
                <w:sz w:val="14"/>
                <w:szCs w:val="14"/>
              </w:rPr>
            </w:pP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2A5543E" w14:textId="77777777" w:rsidR="002120C5" w:rsidRPr="00647D81" w:rsidRDefault="002120C5" w:rsidP="002120C5">
            <w:pPr>
              <w:pStyle w:val="AnnexTableCell"/>
              <w:spacing w:line="240" w:lineRule="auto"/>
              <w:rPr>
                <w:rFonts w:ascii="Helvetica" w:hAnsi="Helvetica"/>
                <w:sz w:val="14"/>
                <w:szCs w:val="14"/>
              </w:rPr>
            </w:pPr>
          </w:p>
        </w:tc>
        <w:tc>
          <w:tcPr>
            <w:tcW w:w="586"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4B9DC50F" w14:textId="77777777" w:rsidR="002120C5" w:rsidRPr="00647D81" w:rsidRDefault="002120C5" w:rsidP="002120C5">
            <w:pPr>
              <w:pStyle w:val="AnnexTableCell"/>
              <w:spacing w:line="240" w:lineRule="auto"/>
              <w:rPr>
                <w:rFonts w:ascii="Helvetica" w:hAnsi="Helvetica"/>
                <w:sz w:val="14"/>
                <w:szCs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7E9DB812" w14:textId="77777777" w:rsidR="002120C5" w:rsidRPr="00647D81" w:rsidRDefault="002120C5" w:rsidP="002120C5">
            <w:pPr>
              <w:pStyle w:val="AnnexTableCell"/>
              <w:spacing w:line="240" w:lineRule="auto"/>
              <w:rPr>
                <w:rFonts w:ascii="Helvetica" w:hAnsi="Helvetica"/>
                <w:sz w:val="14"/>
                <w:szCs w:val="14"/>
              </w:rPr>
            </w:pPr>
          </w:p>
        </w:tc>
        <w:tc>
          <w:tcPr>
            <w:tcW w:w="71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3AB92C3" w14:textId="77777777" w:rsidR="002120C5" w:rsidRPr="00647D81" w:rsidRDefault="002120C5" w:rsidP="002120C5">
            <w:pPr>
              <w:pStyle w:val="AnnexTableCell"/>
              <w:spacing w:line="240" w:lineRule="auto"/>
              <w:rPr>
                <w:rFonts w:ascii="Helvetica" w:hAnsi="Helvetica"/>
                <w:sz w:val="14"/>
                <w:szCs w:val="1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829FF01" w14:textId="77777777" w:rsidR="002120C5" w:rsidRPr="00647D81" w:rsidRDefault="002120C5" w:rsidP="002120C5">
            <w:pPr>
              <w:pStyle w:val="AnnexTableCell"/>
              <w:spacing w:line="240" w:lineRule="auto"/>
              <w:rPr>
                <w:rFonts w:ascii="Helvetica" w:hAnsi="Helvetica"/>
                <w:sz w:val="14"/>
                <w:szCs w:val="14"/>
              </w:rPr>
            </w:pPr>
          </w:p>
        </w:tc>
        <w:tc>
          <w:tcPr>
            <w:tcW w:w="58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E28C419" w14:textId="77777777" w:rsidR="002120C5" w:rsidRPr="00647D81" w:rsidRDefault="002120C5" w:rsidP="002120C5">
            <w:pPr>
              <w:pStyle w:val="AnnexTableCell"/>
              <w:spacing w:line="240" w:lineRule="auto"/>
              <w:rPr>
                <w:rFonts w:ascii="Helvetica" w:hAnsi="Helvetica"/>
                <w:sz w:val="14"/>
                <w:szCs w:val="14"/>
              </w:rPr>
            </w:pPr>
          </w:p>
        </w:tc>
        <w:tc>
          <w:tcPr>
            <w:tcW w:w="97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CF7BAC9" w14:textId="77777777" w:rsidR="002120C5" w:rsidRPr="00647D81" w:rsidRDefault="002120C5" w:rsidP="002120C5">
            <w:pPr>
              <w:pStyle w:val="AnnexTableCell"/>
              <w:spacing w:line="240" w:lineRule="auto"/>
              <w:rPr>
                <w:rFonts w:ascii="Helvetica" w:hAnsi="Helvetica"/>
                <w:sz w:val="14"/>
                <w:szCs w:val="14"/>
              </w:rPr>
            </w:pPr>
          </w:p>
        </w:tc>
        <w:tc>
          <w:tcPr>
            <w:tcW w:w="98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6C5AAB3" w14:textId="77777777" w:rsidR="002120C5" w:rsidRPr="00647D81" w:rsidRDefault="002120C5" w:rsidP="002120C5">
            <w:pPr>
              <w:pStyle w:val="AnnexTableCell"/>
              <w:spacing w:line="240" w:lineRule="auto"/>
              <w:rPr>
                <w:rFonts w:ascii="Helvetica" w:hAnsi="Helvetica"/>
                <w:sz w:val="14"/>
                <w:szCs w:val="14"/>
              </w:rPr>
            </w:pPr>
          </w:p>
        </w:tc>
        <w:tc>
          <w:tcPr>
            <w:tcW w:w="8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right w:w="0" w:type="dxa"/>
            </w:tcMar>
          </w:tcPr>
          <w:p w14:paraId="183294A2" w14:textId="77777777" w:rsidR="002120C5" w:rsidRPr="00647D81" w:rsidRDefault="002120C5" w:rsidP="002120C5">
            <w:pPr>
              <w:pStyle w:val="AnnexTableCell"/>
              <w:spacing w:line="240" w:lineRule="auto"/>
              <w:rPr>
                <w:rFonts w:ascii="Helvetica" w:hAnsi="Helvetica"/>
                <w:sz w:val="14"/>
                <w:szCs w:val="14"/>
              </w:rPr>
            </w:pPr>
          </w:p>
        </w:tc>
      </w:tr>
      <w:tr w:rsidR="002120C5" w:rsidRPr="00647D81" w14:paraId="0AD10451" w14:textId="77777777" w:rsidTr="004A2CAF">
        <w:trPr>
          <w:trHeight w:val="20"/>
        </w:trPr>
        <w:tc>
          <w:tcPr>
            <w:tcW w:w="202" w:type="dxa"/>
            <w:tcBorders>
              <w:top w:val="single" w:sz="4" w:space="0" w:color="000000"/>
              <w:left w:val="single" w:sz="4" w:space="0" w:color="000000"/>
              <w:bottom w:val="single" w:sz="4" w:space="0" w:color="000000"/>
              <w:right w:val="single" w:sz="4" w:space="0" w:color="000000"/>
            </w:tcBorders>
            <w:shd w:val="clear" w:color="auto" w:fill="FFFFFF"/>
            <w:tcMar>
              <w:top w:w="20" w:type="dxa"/>
              <w:left w:w="0" w:type="dxa"/>
              <w:bottom w:w="20" w:type="dxa"/>
            </w:tcMar>
          </w:tcPr>
          <w:p w14:paraId="398CD7F2" w14:textId="77777777" w:rsidR="002120C5" w:rsidRPr="00647D81" w:rsidRDefault="002120C5" w:rsidP="002120C5">
            <w:pPr>
              <w:pStyle w:val="AnnexTableCell"/>
              <w:spacing w:line="240" w:lineRule="auto"/>
              <w:rPr>
                <w:rFonts w:ascii="Helvetica" w:hAnsi="Helvetica"/>
                <w:sz w:val="14"/>
                <w:szCs w:val="14"/>
              </w:rPr>
            </w:pPr>
            <w:r>
              <w:rPr>
                <w:rFonts w:ascii="Helvetica" w:hAnsi="Helvetica"/>
                <w:sz w:val="14"/>
              </w:rPr>
              <w:t>5</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B452605" w14:textId="77777777" w:rsidR="002120C5" w:rsidRPr="00647D81" w:rsidRDefault="002120C5" w:rsidP="002120C5">
            <w:pPr>
              <w:pStyle w:val="AnnexTableCell"/>
              <w:spacing w:line="240" w:lineRule="auto"/>
              <w:ind w:left="40"/>
              <w:jc w:val="left"/>
              <w:rPr>
                <w:rFonts w:ascii="Helvetica" w:hAnsi="Helvetica"/>
                <w:sz w:val="14"/>
                <w:szCs w:val="14"/>
              </w:rPr>
            </w:pPr>
            <w:r>
              <w:rPr>
                <w:rFonts w:ascii="Helvetica" w:hAnsi="Helvetica"/>
                <w:sz w:val="14"/>
              </w:rPr>
              <w:t>Hvorav kjernefysiske aktiviteter (7)</w:t>
            </w:r>
          </w:p>
        </w:tc>
        <w:tc>
          <w:tcPr>
            <w:tcW w:w="66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56D0761E" w14:textId="77777777" w:rsidR="002120C5" w:rsidRPr="00647D81" w:rsidRDefault="002120C5" w:rsidP="002120C5">
            <w:pPr>
              <w:pStyle w:val="AnnexTableCell"/>
              <w:spacing w:line="240" w:lineRule="auto"/>
              <w:rPr>
                <w:rFonts w:ascii="Helvetica" w:hAnsi="Helvetica"/>
                <w:sz w:val="14"/>
                <w:szCs w:val="14"/>
              </w:rPr>
            </w:pPr>
          </w:p>
        </w:tc>
        <w:tc>
          <w:tcPr>
            <w:tcW w:w="857"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65030BF" w14:textId="77777777" w:rsidR="002120C5" w:rsidRPr="00647D81" w:rsidRDefault="002120C5" w:rsidP="002120C5">
            <w:pPr>
              <w:pStyle w:val="AnnexTableCell"/>
              <w:spacing w:line="240" w:lineRule="auto"/>
              <w:rPr>
                <w:rFonts w:ascii="Helvetica" w:hAnsi="Helvetica"/>
                <w:sz w:val="14"/>
                <w:szCs w:val="1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1D6ACCAE" w14:textId="77777777" w:rsidR="002120C5" w:rsidRPr="00647D81" w:rsidRDefault="002120C5" w:rsidP="002120C5">
            <w:pPr>
              <w:pStyle w:val="AnnexTableCell"/>
              <w:spacing w:line="240" w:lineRule="auto"/>
              <w:rPr>
                <w:rFonts w:ascii="Helvetica" w:hAnsi="Helvetica"/>
                <w:sz w:val="14"/>
                <w:szCs w:val="14"/>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253AF904" w14:textId="77777777" w:rsidR="002120C5" w:rsidRPr="00647D81" w:rsidRDefault="002120C5" w:rsidP="002120C5">
            <w:pPr>
              <w:pStyle w:val="AnnexTableCell"/>
              <w:spacing w:line="240" w:lineRule="auto"/>
              <w:rPr>
                <w:rFonts w:ascii="Helvetica" w:hAnsi="Helvetica"/>
                <w:sz w:val="14"/>
                <w:szCs w:val="14"/>
              </w:rPr>
            </w:pPr>
          </w:p>
        </w:tc>
        <w:tc>
          <w:tcPr>
            <w:tcW w:w="68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26FE512" w14:textId="77777777" w:rsidR="002120C5" w:rsidRPr="00647D81" w:rsidRDefault="002120C5" w:rsidP="002120C5">
            <w:pPr>
              <w:pStyle w:val="AnnexTableCell"/>
              <w:spacing w:line="240" w:lineRule="auto"/>
              <w:rPr>
                <w:rFonts w:ascii="Helvetica" w:hAnsi="Helvetica"/>
                <w:sz w:val="14"/>
                <w:szCs w:val="14"/>
              </w:rPr>
            </w:pPr>
          </w:p>
        </w:tc>
        <w:tc>
          <w:tcPr>
            <w:tcW w:w="73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9B3BC7A" w14:textId="77777777" w:rsidR="002120C5" w:rsidRPr="00647D81" w:rsidRDefault="002120C5" w:rsidP="002120C5">
            <w:pPr>
              <w:pStyle w:val="AnnexTableCell"/>
              <w:spacing w:line="240" w:lineRule="auto"/>
              <w:rPr>
                <w:rFonts w:ascii="Helvetica" w:hAnsi="Helvetica"/>
                <w:sz w:val="14"/>
                <w:szCs w:val="14"/>
              </w:rPr>
            </w:pPr>
          </w:p>
        </w:tc>
        <w:tc>
          <w:tcPr>
            <w:tcW w:w="783"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F528575" w14:textId="77777777" w:rsidR="002120C5" w:rsidRPr="00647D81" w:rsidRDefault="002120C5" w:rsidP="002120C5">
            <w:pPr>
              <w:pStyle w:val="AnnexTableCell"/>
              <w:spacing w:line="240" w:lineRule="auto"/>
              <w:rPr>
                <w:rFonts w:ascii="Helvetica" w:hAnsi="Helvetica"/>
                <w:sz w:val="14"/>
                <w:szCs w:val="14"/>
              </w:rPr>
            </w:pPr>
          </w:p>
        </w:tc>
        <w:tc>
          <w:tcPr>
            <w:tcW w:w="619"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BD6E480" w14:textId="77777777" w:rsidR="002120C5" w:rsidRPr="00647D81" w:rsidRDefault="002120C5" w:rsidP="002120C5">
            <w:pPr>
              <w:pStyle w:val="AnnexTableCell"/>
              <w:spacing w:line="240" w:lineRule="auto"/>
              <w:rPr>
                <w:rFonts w:ascii="Helvetica" w:hAnsi="Helvetica"/>
                <w:sz w:val="14"/>
                <w:szCs w:val="14"/>
              </w:rPr>
            </w:pPr>
          </w:p>
        </w:tc>
        <w:tc>
          <w:tcPr>
            <w:tcW w:w="58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E08B3E1" w14:textId="77777777" w:rsidR="002120C5" w:rsidRPr="00647D81" w:rsidRDefault="002120C5" w:rsidP="002120C5">
            <w:pPr>
              <w:pStyle w:val="AnnexTableCell"/>
              <w:spacing w:line="240" w:lineRule="auto"/>
              <w:rPr>
                <w:rFonts w:ascii="Helvetica" w:hAnsi="Helvetica"/>
                <w:sz w:val="14"/>
                <w:szCs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EE98D1D" w14:textId="77777777" w:rsidR="002120C5" w:rsidRPr="00647D81" w:rsidRDefault="002120C5" w:rsidP="002120C5">
            <w:pPr>
              <w:pStyle w:val="AnnexTableCell"/>
              <w:spacing w:line="240" w:lineRule="auto"/>
              <w:rPr>
                <w:rFonts w:ascii="Helvetica" w:hAnsi="Helvetica"/>
                <w:sz w:val="14"/>
                <w:szCs w:val="14"/>
              </w:rPr>
            </w:pPr>
          </w:p>
        </w:tc>
        <w:tc>
          <w:tcPr>
            <w:tcW w:w="715"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0D76B39" w14:textId="77777777" w:rsidR="002120C5" w:rsidRPr="00647D81" w:rsidRDefault="002120C5" w:rsidP="002120C5">
            <w:pPr>
              <w:pStyle w:val="AnnexTableCell"/>
              <w:spacing w:line="240" w:lineRule="auto"/>
              <w:rPr>
                <w:rFonts w:ascii="Helvetica" w:hAnsi="Helvetica"/>
                <w:sz w:val="14"/>
                <w:szCs w:val="14"/>
              </w:rPr>
            </w:pPr>
          </w:p>
        </w:tc>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33953CF" w14:textId="77777777" w:rsidR="002120C5" w:rsidRPr="00647D81" w:rsidRDefault="002120C5" w:rsidP="002120C5">
            <w:pPr>
              <w:pStyle w:val="AnnexTableCell"/>
              <w:spacing w:line="240" w:lineRule="auto"/>
              <w:rPr>
                <w:rFonts w:ascii="Helvetica" w:hAnsi="Helvetica"/>
                <w:sz w:val="14"/>
                <w:szCs w:val="14"/>
              </w:rPr>
            </w:pPr>
          </w:p>
        </w:tc>
        <w:tc>
          <w:tcPr>
            <w:tcW w:w="58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950E778" w14:textId="77777777" w:rsidR="002120C5" w:rsidRPr="00647D81" w:rsidRDefault="002120C5" w:rsidP="002120C5">
            <w:pPr>
              <w:pStyle w:val="AnnexTableCell"/>
              <w:spacing w:line="240" w:lineRule="auto"/>
              <w:rPr>
                <w:rFonts w:ascii="Helvetica" w:hAnsi="Helvetica"/>
                <w:sz w:val="14"/>
                <w:szCs w:val="14"/>
              </w:rPr>
            </w:pPr>
          </w:p>
        </w:tc>
        <w:tc>
          <w:tcPr>
            <w:tcW w:w="97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FCCB412" w14:textId="77777777" w:rsidR="002120C5" w:rsidRPr="00647D81" w:rsidRDefault="002120C5" w:rsidP="002120C5">
            <w:pPr>
              <w:pStyle w:val="AnnexTableCell"/>
              <w:spacing w:line="240" w:lineRule="auto"/>
              <w:rPr>
                <w:rFonts w:ascii="Helvetica" w:hAnsi="Helvetica"/>
                <w:sz w:val="14"/>
                <w:szCs w:val="14"/>
              </w:rPr>
            </w:pPr>
          </w:p>
        </w:tc>
        <w:tc>
          <w:tcPr>
            <w:tcW w:w="98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B24E955" w14:textId="77777777" w:rsidR="002120C5" w:rsidRPr="00647D81" w:rsidRDefault="002120C5" w:rsidP="002120C5">
            <w:pPr>
              <w:pStyle w:val="AnnexTableCell"/>
              <w:spacing w:line="240" w:lineRule="auto"/>
              <w:rPr>
                <w:rFonts w:ascii="Helvetica" w:hAnsi="Helvetica"/>
                <w:sz w:val="14"/>
                <w:szCs w:val="14"/>
              </w:rPr>
            </w:pPr>
          </w:p>
        </w:tc>
        <w:tc>
          <w:tcPr>
            <w:tcW w:w="8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right w:w="0" w:type="dxa"/>
            </w:tcMar>
          </w:tcPr>
          <w:p w14:paraId="52185711" w14:textId="77777777" w:rsidR="002120C5" w:rsidRPr="00647D81" w:rsidRDefault="002120C5" w:rsidP="002120C5">
            <w:pPr>
              <w:pStyle w:val="AnnexTableCell"/>
              <w:spacing w:line="240" w:lineRule="auto"/>
              <w:rPr>
                <w:rFonts w:ascii="Helvetica" w:hAnsi="Helvetica"/>
                <w:sz w:val="14"/>
                <w:szCs w:val="14"/>
              </w:rPr>
            </w:pPr>
          </w:p>
        </w:tc>
      </w:tr>
      <w:tr w:rsidR="002120C5" w:rsidRPr="00647D81" w14:paraId="4CDD668E" w14:textId="77777777" w:rsidTr="004A2CAF">
        <w:trPr>
          <w:trHeight w:val="20"/>
        </w:trPr>
        <w:tc>
          <w:tcPr>
            <w:tcW w:w="202" w:type="dxa"/>
            <w:tcBorders>
              <w:top w:val="single" w:sz="4" w:space="0" w:color="000000"/>
              <w:left w:val="single" w:sz="4" w:space="0" w:color="000000"/>
              <w:bottom w:val="single" w:sz="4" w:space="0" w:color="000000"/>
              <w:right w:val="single" w:sz="4" w:space="0" w:color="000000"/>
            </w:tcBorders>
            <w:shd w:val="clear" w:color="auto" w:fill="FFFFFF"/>
            <w:tcMar>
              <w:top w:w="20" w:type="dxa"/>
              <w:left w:w="0" w:type="dxa"/>
              <w:bottom w:w="20" w:type="dxa"/>
            </w:tcMar>
          </w:tcPr>
          <w:p w14:paraId="0F9F4270" w14:textId="77777777" w:rsidR="002120C5" w:rsidRPr="00647D81" w:rsidRDefault="002120C5" w:rsidP="002120C5">
            <w:pPr>
              <w:pStyle w:val="AnnexTableCell"/>
              <w:spacing w:line="240" w:lineRule="auto"/>
              <w:rPr>
                <w:rFonts w:ascii="Helvetica" w:hAnsi="Helvetica"/>
                <w:sz w:val="14"/>
                <w:szCs w:val="14"/>
              </w:rPr>
            </w:pPr>
            <w:r>
              <w:rPr>
                <w:rFonts w:ascii="Helvetica" w:hAnsi="Helvetica"/>
                <w:sz w:val="14"/>
              </w:rPr>
              <w:t>6</w:t>
            </w:r>
          </w:p>
        </w:tc>
        <w:tc>
          <w:tcPr>
            <w:tcW w:w="215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BC48034" w14:textId="77777777" w:rsidR="002120C5" w:rsidRPr="00647D81" w:rsidRDefault="002120C5" w:rsidP="002120C5">
            <w:pPr>
              <w:pStyle w:val="AnnexTableCell"/>
              <w:spacing w:line="240" w:lineRule="auto"/>
              <w:ind w:left="40"/>
              <w:jc w:val="left"/>
              <w:rPr>
                <w:rFonts w:ascii="Helvetica" w:hAnsi="Helvetica"/>
                <w:sz w:val="14"/>
                <w:szCs w:val="14"/>
              </w:rPr>
            </w:pPr>
            <w:r>
              <w:rPr>
                <w:rFonts w:ascii="Helvetica" w:hAnsi="Helvetica"/>
                <w:sz w:val="14"/>
              </w:rPr>
              <w:t>Hvorav fossilgassaktiviteter (8)</w:t>
            </w:r>
          </w:p>
        </w:tc>
        <w:tc>
          <w:tcPr>
            <w:tcW w:w="66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6C772999" w14:textId="77777777" w:rsidR="002120C5" w:rsidRPr="00647D81" w:rsidRDefault="002120C5" w:rsidP="002120C5">
            <w:pPr>
              <w:pStyle w:val="AnnexTableCell"/>
              <w:spacing w:line="240" w:lineRule="auto"/>
              <w:rPr>
                <w:rFonts w:ascii="Helvetica" w:hAnsi="Helvetica"/>
                <w:sz w:val="14"/>
                <w:szCs w:val="14"/>
              </w:rPr>
            </w:pPr>
          </w:p>
        </w:tc>
        <w:tc>
          <w:tcPr>
            <w:tcW w:w="857"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283C333" w14:textId="77777777" w:rsidR="002120C5" w:rsidRPr="00647D81" w:rsidRDefault="002120C5" w:rsidP="002120C5">
            <w:pPr>
              <w:pStyle w:val="AnnexTableCell"/>
              <w:spacing w:line="240" w:lineRule="auto"/>
              <w:rPr>
                <w:rFonts w:ascii="Helvetica" w:hAnsi="Helvetica"/>
                <w:sz w:val="14"/>
                <w:szCs w:val="1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03E455AC" w14:textId="77777777" w:rsidR="002120C5" w:rsidRPr="00647D81" w:rsidRDefault="002120C5" w:rsidP="002120C5">
            <w:pPr>
              <w:pStyle w:val="AnnexTableCell"/>
              <w:spacing w:line="240" w:lineRule="auto"/>
              <w:rPr>
                <w:rFonts w:ascii="Helvetica" w:hAnsi="Helvetica"/>
                <w:sz w:val="14"/>
                <w:szCs w:val="14"/>
              </w:rPr>
            </w:pP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20" w:type="dxa"/>
              <w:bottom w:w="20" w:type="dxa"/>
            </w:tcMar>
          </w:tcPr>
          <w:p w14:paraId="69B7484D" w14:textId="77777777" w:rsidR="002120C5" w:rsidRPr="00647D81" w:rsidRDefault="002120C5" w:rsidP="002120C5">
            <w:pPr>
              <w:pStyle w:val="AnnexTableCell"/>
              <w:spacing w:line="240" w:lineRule="auto"/>
              <w:rPr>
                <w:rFonts w:ascii="Helvetica" w:hAnsi="Helvetica"/>
                <w:sz w:val="14"/>
                <w:szCs w:val="14"/>
              </w:rPr>
            </w:pPr>
          </w:p>
        </w:tc>
        <w:tc>
          <w:tcPr>
            <w:tcW w:w="68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75DA13E" w14:textId="77777777" w:rsidR="002120C5" w:rsidRPr="00647D81" w:rsidRDefault="002120C5" w:rsidP="002120C5">
            <w:pPr>
              <w:pStyle w:val="AnnexTableCell"/>
              <w:spacing w:line="240" w:lineRule="auto"/>
              <w:rPr>
                <w:rFonts w:ascii="Helvetica" w:hAnsi="Helvetica"/>
                <w:sz w:val="14"/>
                <w:szCs w:val="14"/>
              </w:rPr>
            </w:pPr>
          </w:p>
        </w:tc>
        <w:tc>
          <w:tcPr>
            <w:tcW w:w="73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DFF9740" w14:textId="77777777" w:rsidR="002120C5" w:rsidRPr="00647D81" w:rsidRDefault="002120C5" w:rsidP="002120C5">
            <w:pPr>
              <w:pStyle w:val="AnnexTableCell"/>
              <w:spacing w:line="240" w:lineRule="auto"/>
              <w:rPr>
                <w:rFonts w:ascii="Helvetica" w:hAnsi="Helvetica"/>
                <w:sz w:val="14"/>
                <w:szCs w:val="14"/>
              </w:rPr>
            </w:pPr>
          </w:p>
        </w:tc>
        <w:tc>
          <w:tcPr>
            <w:tcW w:w="783"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715A2FEA" w14:textId="77777777" w:rsidR="002120C5" w:rsidRPr="00647D81" w:rsidRDefault="002120C5" w:rsidP="002120C5">
            <w:pPr>
              <w:pStyle w:val="AnnexTableCell"/>
              <w:spacing w:line="240" w:lineRule="auto"/>
              <w:rPr>
                <w:rFonts w:ascii="Helvetica" w:hAnsi="Helvetica"/>
                <w:sz w:val="14"/>
                <w:szCs w:val="14"/>
              </w:rPr>
            </w:pPr>
          </w:p>
        </w:tc>
        <w:tc>
          <w:tcPr>
            <w:tcW w:w="619"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2BED10A8" w14:textId="77777777" w:rsidR="002120C5" w:rsidRPr="00647D81" w:rsidRDefault="002120C5" w:rsidP="002120C5">
            <w:pPr>
              <w:pStyle w:val="AnnexTableCell"/>
              <w:spacing w:line="240" w:lineRule="auto"/>
              <w:rPr>
                <w:rFonts w:ascii="Helvetica" w:hAnsi="Helvetica"/>
                <w:sz w:val="14"/>
                <w:szCs w:val="14"/>
              </w:rPr>
            </w:pPr>
          </w:p>
        </w:tc>
        <w:tc>
          <w:tcPr>
            <w:tcW w:w="586"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40A4BF31" w14:textId="77777777" w:rsidR="002120C5" w:rsidRPr="00647D81" w:rsidRDefault="002120C5" w:rsidP="002120C5">
            <w:pPr>
              <w:pStyle w:val="AnnexTableCell"/>
              <w:spacing w:line="240" w:lineRule="auto"/>
              <w:rPr>
                <w:rFonts w:ascii="Helvetica" w:hAnsi="Helvetica"/>
                <w:sz w:val="14"/>
                <w:szCs w:val="14"/>
              </w:rPr>
            </w:pPr>
          </w:p>
        </w:tc>
        <w:tc>
          <w:tcPr>
            <w:tcW w:w="787"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0B47A38E" w14:textId="77777777" w:rsidR="002120C5" w:rsidRPr="00647D81" w:rsidRDefault="002120C5" w:rsidP="002120C5">
            <w:pPr>
              <w:pStyle w:val="AnnexTableCell"/>
              <w:spacing w:line="240" w:lineRule="auto"/>
              <w:rPr>
                <w:rFonts w:ascii="Helvetica" w:hAnsi="Helvetica"/>
                <w:sz w:val="14"/>
                <w:szCs w:val="14"/>
              </w:rPr>
            </w:pPr>
          </w:p>
        </w:tc>
        <w:tc>
          <w:tcPr>
            <w:tcW w:w="715"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565A2F83" w14:textId="77777777" w:rsidR="002120C5" w:rsidRPr="00647D81" w:rsidRDefault="002120C5" w:rsidP="002120C5">
            <w:pPr>
              <w:pStyle w:val="AnnexTableCell"/>
              <w:spacing w:line="240" w:lineRule="auto"/>
              <w:rPr>
                <w:rFonts w:ascii="Helvetica" w:hAnsi="Helvetica"/>
                <w:sz w:val="14"/>
                <w:szCs w:val="14"/>
              </w:rPr>
            </w:pPr>
          </w:p>
        </w:tc>
        <w:tc>
          <w:tcPr>
            <w:tcW w:w="630"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5CDDA5E1" w14:textId="77777777" w:rsidR="002120C5" w:rsidRPr="00647D81" w:rsidRDefault="002120C5" w:rsidP="002120C5">
            <w:pPr>
              <w:pStyle w:val="AnnexTableCell"/>
              <w:spacing w:line="240" w:lineRule="auto"/>
              <w:rPr>
                <w:rFonts w:ascii="Helvetica" w:hAnsi="Helvetica"/>
                <w:sz w:val="14"/>
                <w:szCs w:val="14"/>
              </w:rPr>
            </w:pPr>
          </w:p>
        </w:tc>
        <w:tc>
          <w:tcPr>
            <w:tcW w:w="588"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3E319B27" w14:textId="77777777" w:rsidR="002120C5" w:rsidRPr="00647D81" w:rsidRDefault="002120C5" w:rsidP="002120C5">
            <w:pPr>
              <w:pStyle w:val="AnnexTableCell"/>
              <w:spacing w:line="240" w:lineRule="auto"/>
              <w:rPr>
                <w:rFonts w:ascii="Helvetica" w:hAnsi="Helvetica"/>
                <w:sz w:val="14"/>
                <w:szCs w:val="14"/>
              </w:rPr>
            </w:pPr>
          </w:p>
        </w:tc>
        <w:tc>
          <w:tcPr>
            <w:tcW w:w="972"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101A0F06" w14:textId="77777777" w:rsidR="002120C5" w:rsidRPr="00647D81" w:rsidRDefault="002120C5" w:rsidP="002120C5">
            <w:pPr>
              <w:pStyle w:val="AnnexTableCell"/>
              <w:spacing w:line="240" w:lineRule="auto"/>
              <w:rPr>
                <w:rFonts w:ascii="Helvetica" w:hAnsi="Helvetica"/>
                <w:sz w:val="14"/>
                <w:szCs w:val="14"/>
              </w:rPr>
            </w:pPr>
          </w:p>
        </w:tc>
        <w:tc>
          <w:tcPr>
            <w:tcW w:w="98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tcMar>
          </w:tcPr>
          <w:p w14:paraId="52BF0337" w14:textId="77777777" w:rsidR="002120C5" w:rsidRPr="00647D81" w:rsidRDefault="002120C5" w:rsidP="002120C5">
            <w:pPr>
              <w:pStyle w:val="AnnexTableCell"/>
              <w:spacing w:line="240" w:lineRule="auto"/>
              <w:rPr>
                <w:rFonts w:ascii="Helvetica" w:hAnsi="Helvetica"/>
                <w:sz w:val="14"/>
                <w:szCs w:val="14"/>
              </w:rPr>
            </w:pPr>
          </w:p>
        </w:tc>
        <w:tc>
          <w:tcPr>
            <w:tcW w:w="864" w:type="dxa"/>
            <w:tcBorders>
              <w:top w:val="single" w:sz="4" w:space="0" w:color="000000"/>
              <w:left w:val="single" w:sz="4" w:space="0" w:color="000000"/>
              <w:bottom w:val="single" w:sz="4" w:space="0" w:color="000000"/>
              <w:right w:val="single" w:sz="4" w:space="0" w:color="000000"/>
            </w:tcBorders>
            <w:shd w:val="clear" w:color="auto" w:fill="000000" w:themeFill="text1"/>
            <w:tcMar>
              <w:top w:w="20" w:type="dxa"/>
              <w:bottom w:w="20" w:type="dxa"/>
              <w:right w:w="0" w:type="dxa"/>
            </w:tcMar>
          </w:tcPr>
          <w:p w14:paraId="04EB2B01" w14:textId="77777777" w:rsidR="002120C5" w:rsidRPr="00647D81" w:rsidRDefault="002120C5" w:rsidP="002120C5">
            <w:pPr>
              <w:pStyle w:val="AnnexTableCell"/>
              <w:spacing w:line="240" w:lineRule="auto"/>
              <w:rPr>
                <w:rFonts w:ascii="Helvetica" w:hAnsi="Helvetica"/>
                <w:sz w:val="14"/>
                <w:szCs w:val="14"/>
              </w:rPr>
            </w:pPr>
          </w:p>
        </w:tc>
      </w:tr>
    </w:tbl>
    <w:p w14:paraId="64B44155" w14:textId="77777777" w:rsidR="002120C5" w:rsidRPr="002120C5" w:rsidRDefault="002120C5" w:rsidP="00CF31FC">
      <w:pPr>
        <w:pStyle w:val="AnnexNormal"/>
        <w:spacing w:before="200" w:after="0"/>
      </w:pPr>
      <w:r>
        <w:t>1) % av eiendeler som er omfattet av taksonomien, i forhold til dekkede eiendeler</w:t>
      </w:r>
    </w:p>
    <w:p w14:paraId="723B3B5C" w14:textId="77777777" w:rsidR="002120C5" w:rsidRPr="002120C5" w:rsidRDefault="002120C5" w:rsidP="002120C5">
      <w:pPr>
        <w:pStyle w:val="AnnexNormal"/>
        <w:spacing w:after="0"/>
      </w:pPr>
      <w:r>
        <w:t>2) % av taksonomiforenlige eiendeler i forhold til dekkede eiendeler</w:t>
      </w:r>
    </w:p>
    <w:p w14:paraId="65611E53" w14:textId="5EDB6379" w:rsidR="002120C5" w:rsidRPr="002120C5" w:rsidRDefault="002120C5" w:rsidP="002120C5">
      <w:pPr>
        <w:pStyle w:val="AnnexNormal"/>
        <w:spacing w:after="0"/>
      </w:pPr>
      <w:r>
        <w:t xml:space="preserve">3) </w:t>
      </w:r>
      <w:r w:rsidR="005605F3">
        <w:t>F</w:t>
      </w:r>
      <w:r>
        <w:t>oretak skal duplisere denne malen for opplysninger basert på omsetning og investeringsutgifter</w:t>
      </w:r>
    </w:p>
    <w:p w14:paraId="59D53130" w14:textId="622AFE0F" w:rsidR="002120C5" w:rsidRPr="002120C5" w:rsidRDefault="002120C5" w:rsidP="002120C5">
      <w:pPr>
        <w:pStyle w:val="AnnexNormal"/>
        <w:spacing w:after="0"/>
      </w:pPr>
      <w:r>
        <w:t xml:space="preserve">4) </w:t>
      </w:r>
      <w:r w:rsidR="005605F3">
        <w:t>I</w:t>
      </w:r>
      <w:r>
        <w:t xml:space="preserve"> samsvar med artikkel 7 nr. 8 bokstav a) og b) i denne forordningen</w:t>
      </w:r>
    </w:p>
    <w:p w14:paraId="62CCF2E0" w14:textId="0293F469" w:rsidR="002120C5" w:rsidRPr="002120C5" w:rsidRDefault="002120C5" w:rsidP="002120C5">
      <w:pPr>
        <w:pStyle w:val="AnnexNormal"/>
        <w:spacing w:after="0"/>
      </w:pPr>
      <w:r>
        <w:t xml:space="preserve">5) </w:t>
      </w:r>
      <w:r w:rsidR="005605F3">
        <w:t>I</w:t>
      </w:r>
      <w:r>
        <w:t xml:space="preserve"> samsvar med artikkel 5 nr. 1a i denne forordningen</w:t>
      </w:r>
    </w:p>
    <w:p w14:paraId="6B8E5F8D" w14:textId="78DFFC57" w:rsidR="002120C5" w:rsidRPr="002120C5" w:rsidRDefault="002120C5" w:rsidP="002120C5">
      <w:pPr>
        <w:pStyle w:val="AnnexNormal"/>
        <w:spacing w:after="0"/>
      </w:pPr>
      <w:r>
        <w:t xml:space="preserve">6) </w:t>
      </w:r>
      <w:r w:rsidR="005605F3">
        <w:t>I</w:t>
      </w:r>
      <w:r>
        <w:t xml:space="preserve"> samsvar med artikkel 7 nr. 3 i denne forordningen</w:t>
      </w:r>
    </w:p>
    <w:p w14:paraId="4FF49ECE" w14:textId="18BA8B98" w:rsidR="002120C5" w:rsidRPr="002120C5" w:rsidRDefault="002120C5" w:rsidP="002120C5">
      <w:pPr>
        <w:pStyle w:val="AnnexNormal"/>
        <w:spacing w:after="0"/>
      </w:pPr>
      <w:r>
        <w:t xml:space="preserve">7) </w:t>
      </w:r>
      <w:r w:rsidR="005605F3">
        <w:t>N</w:t>
      </w:r>
      <w:r>
        <w:t>evnt i avsnitt 4.26, 4.27 og 4.28 i vedlegg I og II til delegert forordning 2021/2139</w:t>
      </w:r>
    </w:p>
    <w:p w14:paraId="767D24F7" w14:textId="16D7A9D3" w:rsidR="002120C5" w:rsidRPr="002120C5" w:rsidRDefault="002120C5" w:rsidP="002120C5">
      <w:pPr>
        <w:pStyle w:val="AnnexNormal"/>
        <w:spacing w:after="0"/>
      </w:pPr>
      <w:r>
        <w:t xml:space="preserve">8) </w:t>
      </w:r>
      <w:r w:rsidR="005605F3">
        <w:t>N</w:t>
      </w:r>
      <w:r>
        <w:t>evnt i avsnitt 4.29, 4.30 og 4.31 i vedlegg I og II til delegert forordning 2021/2139</w:t>
      </w:r>
    </w:p>
    <w:p w14:paraId="3A0019A8" w14:textId="77777777" w:rsidR="00A65C9C" w:rsidRPr="002120C5" w:rsidRDefault="002120C5" w:rsidP="002120C5">
      <w:pPr>
        <w:pStyle w:val="TableTitle"/>
        <w:pageBreakBefore/>
        <w:rPr>
          <w:i/>
        </w:rPr>
      </w:pPr>
      <w:r>
        <w:rPr>
          <w:i/>
        </w:rPr>
        <w:lastRenderedPageBreak/>
        <w:t>Mal 2: KPI for verdipapirforetak – Andre tjenester</w:t>
      </w:r>
    </w:p>
    <w:tbl>
      <w:tblPr>
        <w:tblOverlap w:val="never"/>
        <w:tblW w:w="14327" w:type="dxa"/>
        <w:tblInd w:w="-6" w:type="dxa"/>
        <w:tblLayout w:type="fixed"/>
        <w:tblCellMar>
          <w:left w:w="10" w:type="dxa"/>
          <w:right w:w="10" w:type="dxa"/>
        </w:tblCellMar>
        <w:tblLook w:val="0000" w:firstRow="0" w:lastRow="0" w:firstColumn="0" w:lastColumn="0" w:noHBand="0" w:noVBand="0"/>
      </w:tblPr>
      <w:tblGrid>
        <w:gridCol w:w="238"/>
        <w:gridCol w:w="3553"/>
        <w:gridCol w:w="1320"/>
        <w:gridCol w:w="840"/>
        <w:gridCol w:w="768"/>
        <w:gridCol w:w="840"/>
        <w:gridCol w:w="732"/>
        <w:gridCol w:w="744"/>
        <w:gridCol w:w="732"/>
        <w:gridCol w:w="684"/>
        <w:gridCol w:w="744"/>
        <w:gridCol w:w="672"/>
        <w:gridCol w:w="852"/>
        <w:gridCol w:w="852"/>
        <w:gridCol w:w="756"/>
      </w:tblGrid>
      <w:tr w:rsidR="00EE5171" w:rsidRPr="00647D81" w14:paraId="22E952DB" w14:textId="77777777" w:rsidTr="008A19A5">
        <w:trPr>
          <w:trHeight w:val="20"/>
        </w:trPr>
        <w:tc>
          <w:tcPr>
            <w:tcW w:w="238" w:type="dxa"/>
            <w:tcBorders>
              <w:top w:val="single" w:sz="4" w:space="0" w:color="auto"/>
              <w:left w:val="single" w:sz="4" w:space="0" w:color="auto"/>
            </w:tcBorders>
            <w:shd w:val="clear" w:color="auto" w:fill="FFFFFF"/>
            <w:tcMar>
              <w:top w:w="10" w:type="dxa"/>
              <w:left w:w="0" w:type="dxa"/>
              <w:bottom w:w="10" w:type="dxa"/>
            </w:tcMar>
            <w:vAlign w:val="center"/>
          </w:tcPr>
          <w:p w14:paraId="30E51AAC" w14:textId="77777777" w:rsidR="00EE5171" w:rsidRPr="00647D81" w:rsidRDefault="00EE5171" w:rsidP="004A2CAF">
            <w:pPr>
              <w:pStyle w:val="AnnexTableHeader"/>
              <w:spacing w:line="240" w:lineRule="auto"/>
              <w:rPr>
                <w:rFonts w:ascii="Helvetica" w:hAnsi="Helvetica"/>
                <w:sz w:val="12"/>
                <w:szCs w:val="12"/>
              </w:rPr>
            </w:pPr>
          </w:p>
        </w:tc>
        <w:tc>
          <w:tcPr>
            <w:tcW w:w="3553" w:type="dxa"/>
            <w:tcBorders>
              <w:top w:val="single" w:sz="4" w:space="0" w:color="auto"/>
              <w:left w:val="single" w:sz="4" w:space="0" w:color="auto"/>
            </w:tcBorders>
            <w:shd w:val="clear" w:color="auto" w:fill="FFFFFF"/>
            <w:tcMar>
              <w:top w:w="10" w:type="dxa"/>
              <w:bottom w:w="10" w:type="dxa"/>
            </w:tcMar>
            <w:vAlign w:val="center"/>
          </w:tcPr>
          <w:p w14:paraId="603D0DC0" w14:textId="77777777" w:rsidR="00EE5171" w:rsidRPr="00647D81" w:rsidRDefault="00B7012D" w:rsidP="004A2CAF">
            <w:pPr>
              <w:pStyle w:val="AnnexTableHeader"/>
              <w:spacing w:line="240" w:lineRule="auto"/>
              <w:ind w:left="40"/>
              <w:jc w:val="left"/>
              <w:rPr>
                <w:rFonts w:ascii="Helvetica" w:hAnsi="Helvetica"/>
                <w:b/>
                <w:sz w:val="12"/>
                <w:szCs w:val="12"/>
              </w:rPr>
            </w:pPr>
            <w:r>
              <w:rPr>
                <w:rFonts w:ascii="Helvetica" w:hAnsi="Helvetica"/>
                <w:b/>
                <w:sz w:val="12"/>
              </w:rPr>
              <w:t>Referanseperiode for opplysningene t</w:t>
            </w:r>
          </w:p>
        </w:tc>
        <w:tc>
          <w:tcPr>
            <w:tcW w:w="132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214573B7" w14:textId="77777777" w:rsidR="00EE5171" w:rsidRPr="00647D81" w:rsidRDefault="00EE5171" w:rsidP="004A2CAF">
            <w:pPr>
              <w:pStyle w:val="AnnexTableHeader"/>
              <w:spacing w:line="240" w:lineRule="auto"/>
              <w:ind w:left="40"/>
              <w:jc w:val="left"/>
              <w:rPr>
                <w:rFonts w:ascii="Helvetica" w:hAnsi="Helvetica"/>
                <w:sz w:val="12"/>
                <w:szCs w:val="12"/>
              </w:rPr>
            </w:pPr>
          </w:p>
        </w:tc>
        <w:tc>
          <w:tcPr>
            <w:tcW w:w="9216" w:type="dxa"/>
            <w:gridSpan w:val="12"/>
            <w:tcBorders>
              <w:left w:val="single" w:sz="4" w:space="0" w:color="auto"/>
            </w:tcBorders>
            <w:shd w:val="clear" w:color="auto" w:fill="FFFFFF"/>
            <w:tcMar>
              <w:top w:w="10" w:type="dxa"/>
              <w:bottom w:w="10" w:type="dxa"/>
            </w:tcMar>
            <w:vAlign w:val="center"/>
          </w:tcPr>
          <w:p w14:paraId="0074FBB7" w14:textId="77777777" w:rsidR="00EE5171" w:rsidRPr="00647D81" w:rsidRDefault="00EE5171" w:rsidP="004A2CAF">
            <w:pPr>
              <w:pStyle w:val="AnnexTableHeader"/>
              <w:spacing w:line="240" w:lineRule="auto"/>
              <w:rPr>
                <w:rFonts w:ascii="Helvetica" w:hAnsi="Helvetica"/>
                <w:sz w:val="12"/>
                <w:szCs w:val="12"/>
              </w:rPr>
            </w:pPr>
          </w:p>
        </w:tc>
      </w:tr>
      <w:tr w:rsidR="008A19A5" w:rsidRPr="00647D81" w14:paraId="2E630BCB" w14:textId="77777777" w:rsidTr="004A2CAF">
        <w:trPr>
          <w:trHeight w:val="20"/>
        </w:trPr>
        <w:tc>
          <w:tcPr>
            <w:tcW w:w="3791" w:type="dxa"/>
            <w:gridSpan w:val="2"/>
            <w:vMerge w:val="restart"/>
            <w:tcBorders>
              <w:top w:val="single" w:sz="4" w:space="0" w:color="auto"/>
              <w:left w:val="single" w:sz="4" w:space="0" w:color="auto"/>
            </w:tcBorders>
            <w:shd w:val="clear" w:color="auto" w:fill="FFFFFF"/>
            <w:tcMar>
              <w:top w:w="10" w:type="dxa"/>
              <w:left w:w="0" w:type="dxa"/>
              <w:bottom w:w="10" w:type="dxa"/>
            </w:tcMar>
            <w:vAlign w:val="center"/>
          </w:tcPr>
          <w:p w14:paraId="6C1C57F3" w14:textId="77777777" w:rsidR="008A19A5" w:rsidRPr="00647D81" w:rsidRDefault="008A19A5" w:rsidP="008A19A5">
            <w:pPr>
              <w:pStyle w:val="AnnexTableHeader"/>
              <w:spacing w:line="240" w:lineRule="auto"/>
              <w:rPr>
                <w:rFonts w:ascii="Helvetica" w:hAnsi="Helvetica"/>
                <w:sz w:val="12"/>
                <w:szCs w:val="12"/>
              </w:rPr>
            </w:pPr>
          </w:p>
        </w:tc>
        <w:tc>
          <w:tcPr>
            <w:tcW w:w="132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1666FA0E"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a</w:t>
            </w:r>
          </w:p>
        </w:tc>
        <w:tc>
          <w:tcPr>
            <w:tcW w:w="840" w:type="dxa"/>
            <w:tcBorders>
              <w:top w:val="single" w:sz="4" w:space="0" w:color="auto"/>
              <w:left w:val="single" w:sz="4" w:space="0" w:color="auto"/>
            </w:tcBorders>
            <w:shd w:val="clear" w:color="auto" w:fill="FFFFFF"/>
            <w:tcMar>
              <w:top w:w="10" w:type="dxa"/>
              <w:bottom w:w="10" w:type="dxa"/>
            </w:tcMar>
            <w:vAlign w:val="center"/>
          </w:tcPr>
          <w:p w14:paraId="0793B532"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b</w:t>
            </w:r>
          </w:p>
        </w:tc>
        <w:tc>
          <w:tcPr>
            <w:tcW w:w="768" w:type="dxa"/>
            <w:tcBorders>
              <w:top w:val="single" w:sz="4" w:space="0" w:color="auto"/>
              <w:left w:val="single" w:sz="4" w:space="0" w:color="auto"/>
              <w:right w:val="single" w:sz="4" w:space="0" w:color="auto"/>
            </w:tcBorders>
            <w:shd w:val="clear" w:color="auto" w:fill="FFFFFF"/>
            <w:tcMar>
              <w:top w:w="10" w:type="dxa"/>
              <w:bottom w:w="10" w:type="dxa"/>
            </w:tcMar>
            <w:vAlign w:val="center"/>
          </w:tcPr>
          <w:p w14:paraId="489AE4ED"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c</w:t>
            </w:r>
          </w:p>
        </w:tc>
        <w:tc>
          <w:tcPr>
            <w:tcW w:w="840" w:type="dxa"/>
            <w:tcBorders>
              <w:top w:val="single" w:sz="4" w:space="0" w:color="auto"/>
              <w:left w:val="single" w:sz="4" w:space="0" w:color="auto"/>
            </w:tcBorders>
            <w:shd w:val="clear" w:color="auto" w:fill="FFFFFF"/>
            <w:tcMar>
              <w:top w:w="10" w:type="dxa"/>
              <w:bottom w:w="10" w:type="dxa"/>
            </w:tcMar>
            <w:vAlign w:val="center"/>
          </w:tcPr>
          <w:p w14:paraId="794D46EA"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d</w:t>
            </w:r>
          </w:p>
        </w:tc>
        <w:tc>
          <w:tcPr>
            <w:tcW w:w="732" w:type="dxa"/>
            <w:tcBorders>
              <w:top w:val="single" w:sz="4" w:space="0" w:color="auto"/>
              <w:left w:val="single" w:sz="4" w:space="0" w:color="auto"/>
            </w:tcBorders>
            <w:shd w:val="clear" w:color="auto" w:fill="FFFFFF"/>
            <w:tcMar>
              <w:top w:w="10" w:type="dxa"/>
              <w:bottom w:w="10" w:type="dxa"/>
            </w:tcMar>
            <w:vAlign w:val="center"/>
          </w:tcPr>
          <w:p w14:paraId="24A671A6"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e</w:t>
            </w:r>
          </w:p>
        </w:tc>
        <w:tc>
          <w:tcPr>
            <w:tcW w:w="744" w:type="dxa"/>
            <w:tcBorders>
              <w:top w:val="single" w:sz="4" w:space="0" w:color="auto"/>
              <w:left w:val="single" w:sz="4" w:space="0" w:color="auto"/>
            </w:tcBorders>
            <w:shd w:val="clear" w:color="auto" w:fill="FFFFFF"/>
            <w:tcMar>
              <w:top w:w="10" w:type="dxa"/>
              <w:bottom w:w="10" w:type="dxa"/>
            </w:tcMar>
            <w:vAlign w:val="center"/>
          </w:tcPr>
          <w:p w14:paraId="2062C3D9"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f</w:t>
            </w:r>
          </w:p>
        </w:tc>
        <w:tc>
          <w:tcPr>
            <w:tcW w:w="732" w:type="dxa"/>
            <w:tcBorders>
              <w:top w:val="single" w:sz="4" w:space="0" w:color="auto"/>
              <w:left w:val="single" w:sz="4" w:space="0" w:color="auto"/>
            </w:tcBorders>
            <w:shd w:val="clear" w:color="auto" w:fill="FFFFFF"/>
            <w:tcMar>
              <w:top w:w="10" w:type="dxa"/>
              <w:bottom w:w="10" w:type="dxa"/>
            </w:tcMar>
            <w:vAlign w:val="center"/>
          </w:tcPr>
          <w:p w14:paraId="08002DCF"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g</w:t>
            </w:r>
          </w:p>
        </w:tc>
        <w:tc>
          <w:tcPr>
            <w:tcW w:w="684" w:type="dxa"/>
            <w:tcBorders>
              <w:top w:val="single" w:sz="4" w:space="0" w:color="auto"/>
              <w:left w:val="single" w:sz="4" w:space="0" w:color="auto"/>
            </w:tcBorders>
            <w:shd w:val="clear" w:color="auto" w:fill="FFFFFF"/>
            <w:tcMar>
              <w:top w:w="10" w:type="dxa"/>
              <w:bottom w:w="10" w:type="dxa"/>
            </w:tcMar>
            <w:vAlign w:val="center"/>
          </w:tcPr>
          <w:p w14:paraId="09EA06BD"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h</w:t>
            </w:r>
          </w:p>
        </w:tc>
        <w:tc>
          <w:tcPr>
            <w:tcW w:w="744" w:type="dxa"/>
            <w:tcBorders>
              <w:top w:val="single" w:sz="4" w:space="0" w:color="auto"/>
              <w:left w:val="single" w:sz="4" w:space="0" w:color="auto"/>
            </w:tcBorders>
            <w:shd w:val="clear" w:color="auto" w:fill="FFFFFF"/>
            <w:tcMar>
              <w:top w:w="10" w:type="dxa"/>
              <w:bottom w:w="10" w:type="dxa"/>
            </w:tcMar>
            <w:vAlign w:val="center"/>
          </w:tcPr>
          <w:p w14:paraId="72113E66"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i</w:t>
            </w:r>
          </w:p>
        </w:tc>
        <w:tc>
          <w:tcPr>
            <w:tcW w:w="672" w:type="dxa"/>
            <w:tcBorders>
              <w:top w:val="single" w:sz="4" w:space="0" w:color="auto"/>
              <w:left w:val="single" w:sz="4" w:space="0" w:color="auto"/>
            </w:tcBorders>
            <w:shd w:val="clear" w:color="auto" w:fill="FFFFFF"/>
            <w:tcMar>
              <w:top w:w="10" w:type="dxa"/>
              <w:bottom w:w="10" w:type="dxa"/>
            </w:tcMar>
            <w:vAlign w:val="center"/>
          </w:tcPr>
          <w:p w14:paraId="1A93C2AC"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j</w:t>
            </w:r>
          </w:p>
        </w:tc>
        <w:tc>
          <w:tcPr>
            <w:tcW w:w="852" w:type="dxa"/>
            <w:tcBorders>
              <w:top w:val="single" w:sz="4" w:space="0" w:color="auto"/>
              <w:left w:val="single" w:sz="4" w:space="0" w:color="auto"/>
            </w:tcBorders>
            <w:shd w:val="clear" w:color="auto" w:fill="FFFFFF"/>
            <w:tcMar>
              <w:top w:w="10" w:type="dxa"/>
              <w:bottom w:w="10" w:type="dxa"/>
            </w:tcMar>
            <w:vAlign w:val="center"/>
          </w:tcPr>
          <w:p w14:paraId="319FFE74"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k</w:t>
            </w:r>
          </w:p>
        </w:tc>
        <w:tc>
          <w:tcPr>
            <w:tcW w:w="852" w:type="dxa"/>
            <w:tcBorders>
              <w:top w:val="single" w:sz="4" w:space="0" w:color="auto"/>
              <w:left w:val="single" w:sz="4" w:space="0" w:color="auto"/>
            </w:tcBorders>
            <w:shd w:val="clear" w:color="auto" w:fill="FFFFFF"/>
            <w:tcMar>
              <w:top w:w="10" w:type="dxa"/>
              <w:bottom w:w="10" w:type="dxa"/>
            </w:tcMar>
            <w:vAlign w:val="center"/>
          </w:tcPr>
          <w:p w14:paraId="61F163EF"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l</w:t>
            </w:r>
          </w:p>
        </w:tc>
        <w:tc>
          <w:tcPr>
            <w:tcW w:w="756" w:type="dxa"/>
            <w:tcBorders>
              <w:top w:val="single" w:sz="4" w:space="0" w:color="auto"/>
              <w:left w:val="single" w:sz="4" w:space="0" w:color="auto"/>
              <w:right w:val="single" w:sz="4" w:space="0" w:color="auto"/>
            </w:tcBorders>
            <w:shd w:val="clear" w:color="auto" w:fill="FFFFFF"/>
            <w:tcMar>
              <w:top w:w="10" w:type="dxa"/>
              <w:bottom w:w="10" w:type="dxa"/>
              <w:right w:w="0" w:type="dxa"/>
            </w:tcMar>
            <w:vAlign w:val="center"/>
          </w:tcPr>
          <w:p w14:paraId="04939FB8"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m</w:t>
            </w:r>
          </w:p>
        </w:tc>
      </w:tr>
      <w:tr w:rsidR="008A19A5" w:rsidRPr="00647D81" w14:paraId="592644C5" w14:textId="77777777" w:rsidTr="008A19A5">
        <w:trPr>
          <w:trHeight w:val="20"/>
        </w:trPr>
        <w:tc>
          <w:tcPr>
            <w:tcW w:w="3791" w:type="dxa"/>
            <w:gridSpan w:val="2"/>
            <w:vMerge/>
            <w:tcBorders>
              <w:left w:val="single" w:sz="4" w:space="0" w:color="auto"/>
            </w:tcBorders>
            <w:shd w:val="clear" w:color="auto" w:fill="FFFFFF"/>
            <w:tcMar>
              <w:top w:w="10" w:type="dxa"/>
              <w:left w:w="0" w:type="dxa"/>
              <w:bottom w:w="10" w:type="dxa"/>
            </w:tcMar>
            <w:vAlign w:val="center"/>
          </w:tcPr>
          <w:p w14:paraId="28C83C32" w14:textId="77777777" w:rsidR="008A19A5" w:rsidRPr="00647D81" w:rsidRDefault="008A19A5" w:rsidP="008A19A5">
            <w:pPr>
              <w:pStyle w:val="AnnexTableHeader"/>
              <w:spacing w:line="240" w:lineRule="auto"/>
              <w:rPr>
                <w:rFonts w:ascii="Helvetica" w:hAnsi="Helvetica"/>
                <w:sz w:val="12"/>
                <w:szCs w:val="12"/>
              </w:rPr>
            </w:pPr>
          </w:p>
        </w:tc>
        <w:tc>
          <w:tcPr>
            <w:tcW w:w="1320" w:type="dxa"/>
            <w:vMerge w:val="restart"/>
            <w:tcBorders>
              <w:left w:val="single" w:sz="4" w:space="0" w:color="auto"/>
            </w:tcBorders>
            <w:shd w:val="clear" w:color="auto" w:fill="FFFFFF"/>
            <w:tcMar>
              <w:top w:w="10" w:type="dxa"/>
              <w:bottom w:w="10" w:type="dxa"/>
            </w:tcMar>
            <w:vAlign w:val="center"/>
          </w:tcPr>
          <w:p w14:paraId="24BA0EA7"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Sum</w:t>
            </w:r>
          </w:p>
        </w:tc>
        <w:tc>
          <w:tcPr>
            <w:tcW w:w="840" w:type="dxa"/>
            <w:vMerge w:val="restart"/>
            <w:tcBorders>
              <w:top w:val="single" w:sz="4" w:space="0" w:color="auto"/>
              <w:left w:val="single" w:sz="4" w:space="0" w:color="auto"/>
            </w:tcBorders>
            <w:shd w:val="clear" w:color="auto" w:fill="FFFFFF"/>
            <w:tcMar>
              <w:top w:w="10" w:type="dxa"/>
              <w:bottom w:w="10" w:type="dxa"/>
            </w:tcMar>
            <w:vAlign w:val="center"/>
          </w:tcPr>
          <w:p w14:paraId="10D0D0E5"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Hvorav dekket av KPI-en</w:t>
            </w:r>
          </w:p>
        </w:tc>
        <w:tc>
          <w:tcPr>
            <w:tcW w:w="768" w:type="dxa"/>
            <w:tcBorders>
              <w:top w:val="single" w:sz="4" w:space="0" w:color="auto"/>
              <w:left w:val="single" w:sz="4" w:space="0" w:color="auto"/>
              <w:right w:val="single" w:sz="4" w:space="0" w:color="auto"/>
            </w:tcBorders>
            <w:shd w:val="clear" w:color="auto" w:fill="FFFFFF"/>
            <w:tcMar>
              <w:top w:w="10" w:type="dxa"/>
              <w:bottom w:w="10" w:type="dxa"/>
            </w:tcMar>
          </w:tcPr>
          <w:p w14:paraId="35EAABD2" w14:textId="77777777" w:rsidR="008A19A5" w:rsidRPr="00647D81" w:rsidRDefault="008A19A5" w:rsidP="008A19A5">
            <w:pPr>
              <w:pStyle w:val="AnnexTableHeader"/>
              <w:spacing w:line="240" w:lineRule="auto"/>
              <w:rPr>
                <w:rFonts w:ascii="Helvetica" w:hAnsi="Helvetica"/>
                <w:sz w:val="12"/>
                <w:szCs w:val="12"/>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06CE6DD6" w14:textId="77777777" w:rsidR="008A19A5" w:rsidRPr="00647D81" w:rsidRDefault="008A19A5" w:rsidP="008A19A5">
            <w:pPr>
              <w:pStyle w:val="AnnexTableHeader"/>
              <w:spacing w:line="240" w:lineRule="auto"/>
              <w:rPr>
                <w:rFonts w:ascii="Helvetica" w:hAnsi="Helvetica"/>
                <w:sz w:val="12"/>
                <w:szCs w:val="12"/>
              </w:rPr>
            </w:pPr>
          </w:p>
        </w:tc>
        <w:tc>
          <w:tcPr>
            <w:tcW w:w="732" w:type="dxa"/>
            <w:tcBorders>
              <w:top w:val="single" w:sz="4" w:space="0" w:color="auto"/>
            </w:tcBorders>
            <w:shd w:val="clear" w:color="auto" w:fill="FFFFFF"/>
            <w:tcMar>
              <w:top w:w="10" w:type="dxa"/>
              <w:bottom w:w="10" w:type="dxa"/>
            </w:tcMar>
            <w:vAlign w:val="center"/>
          </w:tcPr>
          <w:p w14:paraId="3858565A" w14:textId="77777777" w:rsidR="008A19A5" w:rsidRPr="00647D81" w:rsidRDefault="008A19A5" w:rsidP="008A19A5">
            <w:pPr>
              <w:pStyle w:val="AnnexTableHeader"/>
              <w:spacing w:line="240" w:lineRule="auto"/>
              <w:rPr>
                <w:rFonts w:ascii="Helvetica" w:hAnsi="Helvetica"/>
                <w:sz w:val="12"/>
                <w:szCs w:val="12"/>
              </w:rPr>
            </w:pPr>
          </w:p>
        </w:tc>
        <w:tc>
          <w:tcPr>
            <w:tcW w:w="744" w:type="dxa"/>
            <w:tcBorders>
              <w:top w:val="single" w:sz="4" w:space="0" w:color="auto"/>
            </w:tcBorders>
            <w:shd w:val="clear" w:color="auto" w:fill="FFFFFF"/>
            <w:tcMar>
              <w:top w:w="10" w:type="dxa"/>
              <w:bottom w:w="10" w:type="dxa"/>
            </w:tcMar>
            <w:vAlign w:val="center"/>
          </w:tcPr>
          <w:p w14:paraId="2FF58999" w14:textId="77777777" w:rsidR="008A19A5" w:rsidRPr="00647D81" w:rsidRDefault="008A19A5" w:rsidP="008A19A5">
            <w:pPr>
              <w:pStyle w:val="AnnexTableHeader"/>
              <w:spacing w:line="240" w:lineRule="auto"/>
              <w:rPr>
                <w:rFonts w:ascii="Helvetica" w:hAnsi="Helvetica"/>
                <w:sz w:val="12"/>
                <w:szCs w:val="12"/>
              </w:rPr>
            </w:pPr>
          </w:p>
        </w:tc>
        <w:tc>
          <w:tcPr>
            <w:tcW w:w="732" w:type="dxa"/>
            <w:tcBorders>
              <w:top w:val="single" w:sz="4" w:space="0" w:color="auto"/>
            </w:tcBorders>
            <w:shd w:val="clear" w:color="auto" w:fill="FFFFFF"/>
            <w:tcMar>
              <w:top w:w="10" w:type="dxa"/>
              <w:bottom w:w="10" w:type="dxa"/>
            </w:tcMar>
            <w:vAlign w:val="center"/>
          </w:tcPr>
          <w:p w14:paraId="79AC7052" w14:textId="77777777" w:rsidR="008A19A5" w:rsidRPr="00647D81" w:rsidRDefault="008A19A5" w:rsidP="008A19A5">
            <w:pPr>
              <w:pStyle w:val="AnnexTableHeader"/>
              <w:spacing w:line="240" w:lineRule="auto"/>
              <w:rPr>
                <w:rFonts w:ascii="Helvetica" w:hAnsi="Helvetica"/>
                <w:sz w:val="12"/>
                <w:szCs w:val="12"/>
              </w:rPr>
            </w:pPr>
          </w:p>
        </w:tc>
        <w:tc>
          <w:tcPr>
            <w:tcW w:w="684" w:type="dxa"/>
            <w:tcBorders>
              <w:top w:val="single" w:sz="4" w:space="0" w:color="auto"/>
            </w:tcBorders>
            <w:shd w:val="clear" w:color="auto" w:fill="FFFFFF"/>
            <w:tcMar>
              <w:top w:w="10" w:type="dxa"/>
              <w:bottom w:w="10" w:type="dxa"/>
            </w:tcMar>
            <w:vAlign w:val="center"/>
          </w:tcPr>
          <w:p w14:paraId="675DED67" w14:textId="77777777" w:rsidR="008A19A5" w:rsidRPr="00647D81" w:rsidRDefault="008A19A5" w:rsidP="008A19A5">
            <w:pPr>
              <w:pStyle w:val="AnnexTableHeader"/>
              <w:spacing w:line="240" w:lineRule="auto"/>
              <w:rPr>
                <w:rFonts w:ascii="Helvetica" w:hAnsi="Helvetica"/>
                <w:sz w:val="12"/>
                <w:szCs w:val="12"/>
              </w:rPr>
            </w:pPr>
          </w:p>
        </w:tc>
        <w:tc>
          <w:tcPr>
            <w:tcW w:w="744" w:type="dxa"/>
            <w:tcBorders>
              <w:top w:val="single" w:sz="4" w:space="0" w:color="auto"/>
            </w:tcBorders>
            <w:shd w:val="clear" w:color="auto" w:fill="FFFFFF"/>
            <w:tcMar>
              <w:top w:w="10" w:type="dxa"/>
              <w:bottom w:w="10" w:type="dxa"/>
            </w:tcMar>
            <w:vAlign w:val="center"/>
          </w:tcPr>
          <w:p w14:paraId="19696CC0" w14:textId="77777777" w:rsidR="008A19A5" w:rsidRPr="00647D81" w:rsidRDefault="008A19A5" w:rsidP="008A19A5">
            <w:pPr>
              <w:pStyle w:val="AnnexTableHeader"/>
              <w:spacing w:line="240" w:lineRule="auto"/>
              <w:rPr>
                <w:rFonts w:ascii="Helvetica" w:hAnsi="Helvetica"/>
                <w:sz w:val="12"/>
                <w:szCs w:val="12"/>
              </w:rPr>
            </w:pPr>
          </w:p>
        </w:tc>
        <w:tc>
          <w:tcPr>
            <w:tcW w:w="672" w:type="dxa"/>
            <w:tcBorders>
              <w:top w:val="single" w:sz="4" w:space="0" w:color="auto"/>
            </w:tcBorders>
            <w:shd w:val="clear" w:color="auto" w:fill="FFFFFF"/>
            <w:tcMar>
              <w:top w:w="10" w:type="dxa"/>
              <w:bottom w:w="10" w:type="dxa"/>
            </w:tcMar>
            <w:vAlign w:val="center"/>
          </w:tcPr>
          <w:p w14:paraId="7C7DBD8A" w14:textId="77777777" w:rsidR="008A19A5" w:rsidRPr="00647D81" w:rsidRDefault="008A19A5" w:rsidP="008A19A5">
            <w:pPr>
              <w:pStyle w:val="AnnexTableHeader"/>
              <w:spacing w:line="240" w:lineRule="auto"/>
              <w:rPr>
                <w:rFonts w:ascii="Helvetica" w:hAnsi="Helvetica"/>
                <w:sz w:val="12"/>
                <w:szCs w:val="12"/>
              </w:rPr>
            </w:pPr>
          </w:p>
        </w:tc>
        <w:tc>
          <w:tcPr>
            <w:tcW w:w="852" w:type="dxa"/>
            <w:tcBorders>
              <w:top w:val="single" w:sz="4" w:space="0" w:color="auto"/>
            </w:tcBorders>
            <w:shd w:val="clear" w:color="auto" w:fill="FFFFFF"/>
            <w:tcMar>
              <w:top w:w="10" w:type="dxa"/>
              <w:bottom w:w="10" w:type="dxa"/>
            </w:tcMar>
            <w:vAlign w:val="center"/>
          </w:tcPr>
          <w:p w14:paraId="7EDD5562" w14:textId="77777777" w:rsidR="008A19A5" w:rsidRPr="00647D81" w:rsidRDefault="008A19A5" w:rsidP="008A19A5">
            <w:pPr>
              <w:pStyle w:val="AnnexTableHeader"/>
              <w:spacing w:line="240" w:lineRule="auto"/>
              <w:rPr>
                <w:rFonts w:ascii="Helvetica" w:hAnsi="Helvetica"/>
                <w:sz w:val="12"/>
                <w:szCs w:val="12"/>
              </w:rPr>
            </w:pPr>
          </w:p>
        </w:tc>
        <w:tc>
          <w:tcPr>
            <w:tcW w:w="852" w:type="dxa"/>
            <w:tcBorders>
              <w:top w:val="single" w:sz="4" w:space="0" w:color="auto"/>
            </w:tcBorders>
            <w:shd w:val="clear" w:color="auto" w:fill="FFFFFF"/>
            <w:tcMar>
              <w:top w:w="10" w:type="dxa"/>
              <w:bottom w:w="10" w:type="dxa"/>
            </w:tcMar>
            <w:vAlign w:val="center"/>
          </w:tcPr>
          <w:p w14:paraId="0C21935B" w14:textId="77777777" w:rsidR="008A19A5" w:rsidRPr="00647D81" w:rsidRDefault="008A19A5" w:rsidP="008A19A5">
            <w:pPr>
              <w:pStyle w:val="AnnexTableHeader"/>
              <w:spacing w:line="240" w:lineRule="auto"/>
              <w:rPr>
                <w:rFonts w:ascii="Helvetica" w:hAnsi="Helvetica"/>
                <w:sz w:val="12"/>
                <w:szCs w:val="12"/>
              </w:rPr>
            </w:pPr>
          </w:p>
        </w:tc>
        <w:tc>
          <w:tcPr>
            <w:tcW w:w="756" w:type="dxa"/>
            <w:vMerge w:val="restart"/>
            <w:tcBorders>
              <w:top w:val="single" w:sz="4" w:space="0" w:color="auto"/>
              <w:left w:val="single" w:sz="4" w:space="0" w:color="auto"/>
              <w:right w:val="single" w:sz="4" w:space="0" w:color="auto"/>
            </w:tcBorders>
            <w:shd w:val="clear" w:color="auto" w:fill="FFFFFF"/>
            <w:tcMar>
              <w:top w:w="10" w:type="dxa"/>
              <w:bottom w:w="10" w:type="dxa"/>
              <w:right w:w="0" w:type="dxa"/>
            </w:tcMar>
            <w:vAlign w:val="center"/>
          </w:tcPr>
          <w:p w14:paraId="7F1EBC2F" w14:textId="52480AA9"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Hvorav ikke-vurderte inntekter (4)</w:t>
            </w:r>
          </w:p>
        </w:tc>
      </w:tr>
      <w:tr w:rsidR="008A19A5" w:rsidRPr="00647D81" w14:paraId="12D29B72" w14:textId="77777777" w:rsidTr="008A19A5">
        <w:trPr>
          <w:trHeight w:val="20"/>
        </w:trPr>
        <w:tc>
          <w:tcPr>
            <w:tcW w:w="3791" w:type="dxa"/>
            <w:gridSpan w:val="2"/>
            <w:vMerge/>
            <w:tcBorders>
              <w:left w:val="single" w:sz="4" w:space="0" w:color="auto"/>
            </w:tcBorders>
            <w:shd w:val="clear" w:color="auto" w:fill="FFFFFF"/>
            <w:tcMar>
              <w:top w:w="10" w:type="dxa"/>
              <w:left w:w="0" w:type="dxa"/>
              <w:bottom w:w="10" w:type="dxa"/>
            </w:tcMar>
            <w:vAlign w:val="center"/>
          </w:tcPr>
          <w:p w14:paraId="2C291069" w14:textId="77777777" w:rsidR="008A19A5" w:rsidRPr="00647D81" w:rsidRDefault="008A19A5" w:rsidP="008A19A5">
            <w:pPr>
              <w:pStyle w:val="AnnexTableHeader"/>
              <w:spacing w:line="240" w:lineRule="auto"/>
              <w:rPr>
                <w:rFonts w:ascii="Helvetica" w:hAnsi="Helvetica"/>
                <w:sz w:val="12"/>
                <w:szCs w:val="12"/>
              </w:rPr>
            </w:pPr>
          </w:p>
        </w:tc>
        <w:tc>
          <w:tcPr>
            <w:tcW w:w="1320" w:type="dxa"/>
            <w:vMerge/>
            <w:tcBorders>
              <w:left w:val="single" w:sz="4" w:space="0" w:color="auto"/>
            </w:tcBorders>
            <w:shd w:val="clear" w:color="auto" w:fill="FFFFFF"/>
            <w:tcMar>
              <w:top w:w="10" w:type="dxa"/>
              <w:bottom w:w="10" w:type="dxa"/>
            </w:tcMar>
            <w:vAlign w:val="center"/>
          </w:tcPr>
          <w:p w14:paraId="3E6753A0" w14:textId="77777777" w:rsidR="008A19A5" w:rsidRPr="00647D81" w:rsidRDefault="008A19A5" w:rsidP="008A19A5">
            <w:pPr>
              <w:pStyle w:val="AnnexTableHeader"/>
              <w:spacing w:line="240" w:lineRule="auto"/>
              <w:rPr>
                <w:rFonts w:ascii="Helvetica" w:hAnsi="Helvetica"/>
                <w:sz w:val="12"/>
                <w:szCs w:val="12"/>
              </w:rPr>
            </w:pPr>
          </w:p>
        </w:tc>
        <w:tc>
          <w:tcPr>
            <w:tcW w:w="840" w:type="dxa"/>
            <w:vMerge/>
            <w:tcBorders>
              <w:left w:val="single" w:sz="4" w:space="0" w:color="auto"/>
            </w:tcBorders>
            <w:shd w:val="clear" w:color="auto" w:fill="FFFFFF"/>
            <w:tcMar>
              <w:top w:w="10" w:type="dxa"/>
              <w:bottom w:w="10" w:type="dxa"/>
            </w:tcMar>
            <w:vAlign w:val="center"/>
          </w:tcPr>
          <w:p w14:paraId="1D0005E8" w14:textId="77777777" w:rsidR="008A19A5" w:rsidRPr="00647D81" w:rsidRDefault="008A19A5" w:rsidP="008A19A5">
            <w:pPr>
              <w:pStyle w:val="AnnexTableHeader"/>
              <w:spacing w:line="240" w:lineRule="auto"/>
              <w:rPr>
                <w:rFonts w:ascii="Helvetica" w:hAnsi="Helvetica"/>
                <w:sz w:val="12"/>
                <w:szCs w:val="12"/>
              </w:rPr>
            </w:pPr>
          </w:p>
        </w:tc>
        <w:tc>
          <w:tcPr>
            <w:tcW w:w="768" w:type="dxa"/>
            <w:vMerge w:val="restart"/>
            <w:tcBorders>
              <w:left w:val="single" w:sz="4" w:space="0" w:color="auto"/>
              <w:right w:val="single" w:sz="4" w:space="0" w:color="auto"/>
            </w:tcBorders>
            <w:shd w:val="clear" w:color="auto" w:fill="FFFFFF"/>
            <w:tcMar>
              <w:top w:w="10" w:type="dxa"/>
              <w:bottom w:w="10" w:type="dxa"/>
            </w:tcMar>
            <w:vAlign w:val="center"/>
          </w:tcPr>
          <w:p w14:paraId="24EF5486"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Omfattet av taksonomien (1)</w:t>
            </w:r>
          </w:p>
        </w:tc>
        <w:tc>
          <w:tcPr>
            <w:tcW w:w="840" w:type="dxa"/>
            <w:vMerge w:val="restart"/>
            <w:tcBorders>
              <w:left w:val="single" w:sz="4" w:space="0" w:color="auto"/>
            </w:tcBorders>
            <w:shd w:val="clear" w:color="auto" w:fill="FFFFFF"/>
            <w:tcMar>
              <w:top w:w="10" w:type="dxa"/>
              <w:bottom w:w="10" w:type="dxa"/>
            </w:tcMar>
            <w:vAlign w:val="center"/>
          </w:tcPr>
          <w:p w14:paraId="0C8A57D9" w14:textId="13E94359"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Taksonomi</w:t>
            </w:r>
            <w:r w:rsidR="00223CA0">
              <w:rPr>
                <w:rFonts w:ascii="Helvetica" w:hAnsi="Helvetica"/>
                <w:sz w:val="12"/>
              </w:rPr>
              <w:softHyphen/>
            </w:r>
            <w:r>
              <w:rPr>
                <w:rFonts w:ascii="Helvetica" w:hAnsi="Helvetica"/>
                <w:sz w:val="12"/>
              </w:rPr>
              <w:t>forenlige (2)</w:t>
            </w:r>
          </w:p>
        </w:tc>
        <w:tc>
          <w:tcPr>
            <w:tcW w:w="4308" w:type="dxa"/>
            <w:gridSpan w:val="6"/>
            <w:tcBorders>
              <w:top w:val="single" w:sz="4" w:space="0" w:color="auto"/>
              <w:left w:val="single" w:sz="4" w:space="0" w:color="auto"/>
            </w:tcBorders>
            <w:shd w:val="clear" w:color="auto" w:fill="FFFFFF"/>
            <w:tcMar>
              <w:top w:w="10" w:type="dxa"/>
              <w:bottom w:w="10" w:type="dxa"/>
            </w:tcMar>
            <w:vAlign w:val="center"/>
          </w:tcPr>
          <w:p w14:paraId="3258D808"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Spesifisering etter miljømål</w:t>
            </w:r>
          </w:p>
        </w:tc>
        <w:tc>
          <w:tcPr>
            <w:tcW w:w="852" w:type="dxa"/>
            <w:vMerge w:val="restart"/>
            <w:tcBorders>
              <w:top w:val="single" w:sz="4" w:space="0" w:color="auto"/>
              <w:left w:val="single" w:sz="4" w:space="0" w:color="auto"/>
            </w:tcBorders>
            <w:shd w:val="clear" w:color="auto" w:fill="FFFFFF"/>
            <w:tcMar>
              <w:top w:w="10" w:type="dxa"/>
              <w:bottom w:w="10" w:type="dxa"/>
            </w:tcMar>
            <w:vAlign w:val="center"/>
          </w:tcPr>
          <w:p w14:paraId="1564673A"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Hvorav omstilling</w:t>
            </w:r>
          </w:p>
        </w:tc>
        <w:tc>
          <w:tcPr>
            <w:tcW w:w="852" w:type="dxa"/>
            <w:vMerge w:val="restart"/>
            <w:tcBorders>
              <w:top w:val="single" w:sz="4" w:space="0" w:color="auto"/>
              <w:left w:val="single" w:sz="4" w:space="0" w:color="auto"/>
            </w:tcBorders>
            <w:shd w:val="clear" w:color="auto" w:fill="FFFFFF"/>
            <w:tcMar>
              <w:top w:w="10" w:type="dxa"/>
              <w:bottom w:w="10" w:type="dxa"/>
            </w:tcMar>
            <w:vAlign w:val="center"/>
          </w:tcPr>
          <w:p w14:paraId="47D8D803"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Hvorav muliggjørende</w:t>
            </w:r>
          </w:p>
        </w:tc>
        <w:tc>
          <w:tcPr>
            <w:tcW w:w="756" w:type="dxa"/>
            <w:vMerge/>
            <w:tcBorders>
              <w:left w:val="single" w:sz="4" w:space="0" w:color="auto"/>
              <w:right w:val="single" w:sz="4" w:space="0" w:color="auto"/>
            </w:tcBorders>
            <w:shd w:val="clear" w:color="auto" w:fill="FFFFFF"/>
            <w:tcMar>
              <w:top w:w="10" w:type="dxa"/>
              <w:bottom w:w="10" w:type="dxa"/>
              <w:right w:w="0" w:type="dxa"/>
            </w:tcMar>
            <w:vAlign w:val="center"/>
          </w:tcPr>
          <w:p w14:paraId="64E3D0EA" w14:textId="77777777" w:rsidR="008A19A5" w:rsidRPr="00647D81" w:rsidRDefault="008A19A5" w:rsidP="008A19A5">
            <w:pPr>
              <w:pStyle w:val="AnnexTableHeader"/>
              <w:spacing w:line="240" w:lineRule="auto"/>
              <w:rPr>
                <w:rFonts w:ascii="Helvetica" w:hAnsi="Helvetica"/>
                <w:sz w:val="12"/>
                <w:szCs w:val="12"/>
              </w:rPr>
            </w:pPr>
          </w:p>
        </w:tc>
      </w:tr>
      <w:tr w:rsidR="008A19A5" w:rsidRPr="00647D81" w14:paraId="521229EB" w14:textId="77777777" w:rsidTr="008A19A5">
        <w:trPr>
          <w:trHeight w:val="20"/>
        </w:trPr>
        <w:tc>
          <w:tcPr>
            <w:tcW w:w="3791" w:type="dxa"/>
            <w:gridSpan w:val="2"/>
            <w:vMerge/>
            <w:tcBorders>
              <w:left w:val="single" w:sz="4" w:space="0" w:color="auto"/>
            </w:tcBorders>
            <w:shd w:val="clear" w:color="auto" w:fill="FFFFFF"/>
            <w:tcMar>
              <w:top w:w="10" w:type="dxa"/>
              <w:left w:w="0" w:type="dxa"/>
              <w:bottom w:w="10" w:type="dxa"/>
            </w:tcMar>
            <w:vAlign w:val="center"/>
          </w:tcPr>
          <w:p w14:paraId="34A21040" w14:textId="77777777" w:rsidR="008A19A5" w:rsidRPr="00647D81" w:rsidRDefault="008A19A5" w:rsidP="008A19A5">
            <w:pPr>
              <w:pStyle w:val="AnnexTableHeader"/>
              <w:spacing w:line="240" w:lineRule="auto"/>
              <w:rPr>
                <w:rFonts w:ascii="Helvetica" w:hAnsi="Helvetica"/>
                <w:sz w:val="12"/>
                <w:szCs w:val="12"/>
              </w:rPr>
            </w:pPr>
          </w:p>
        </w:tc>
        <w:tc>
          <w:tcPr>
            <w:tcW w:w="1320" w:type="dxa"/>
            <w:vMerge/>
            <w:tcBorders>
              <w:left w:val="single" w:sz="4" w:space="0" w:color="auto"/>
            </w:tcBorders>
            <w:shd w:val="clear" w:color="auto" w:fill="FFFFFF"/>
            <w:tcMar>
              <w:top w:w="10" w:type="dxa"/>
              <w:bottom w:w="10" w:type="dxa"/>
            </w:tcMar>
            <w:vAlign w:val="center"/>
          </w:tcPr>
          <w:p w14:paraId="485624B1" w14:textId="77777777" w:rsidR="008A19A5" w:rsidRPr="00647D81" w:rsidRDefault="008A19A5" w:rsidP="008A19A5">
            <w:pPr>
              <w:pStyle w:val="AnnexTableHeader"/>
              <w:spacing w:line="240" w:lineRule="auto"/>
              <w:rPr>
                <w:rFonts w:ascii="Helvetica" w:hAnsi="Helvetica"/>
                <w:sz w:val="12"/>
                <w:szCs w:val="12"/>
              </w:rPr>
            </w:pPr>
          </w:p>
        </w:tc>
        <w:tc>
          <w:tcPr>
            <w:tcW w:w="840" w:type="dxa"/>
            <w:vMerge/>
            <w:tcBorders>
              <w:left w:val="single" w:sz="4" w:space="0" w:color="auto"/>
            </w:tcBorders>
            <w:shd w:val="clear" w:color="auto" w:fill="FFFFFF"/>
            <w:tcMar>
              <w:top w:w="10" w:type="dxa"/>
              <w:bottom w:w="10" w:type="dxa"/>
            </w:tcMar>
            <w:vAlign w:val="center"/>
          </w:tcPr>
          <w:p w14:paraId="2BCA720B" w14:textId="77777777" w:rsidR="008A19A5" w:rsidRPr="00647D81" w:rsidRDefault="008A19A5" w:rsidP="008A19A5">
            <w:pPr>
              <w:pStyle w:val="AnnexTableHeader"/>
              <w:spacing w:line="240" w:lineRule="auto"/>
              <w:rPr>
                <w:rFonts w:ascii="Helvetica" w:hAnsi="Helvetica"/>
                <w:sz w:val="12"/>
                <w:szCs w:val="12"/>
              </w:rPr>
            </w:pPr>
          </w:p>
        </w:tc>
        <w:tc>
          <w:tcPr>
            <w:tcW w:w="768" w:type="dxa"/>
            <w:vMerge/>
            <w:tcBorders>
              <w:left w:val="single" w:sz="4" w:space="0" w:color="auto"/>
              <w:right w:val="single" w:sz="4" w:space="0" w:color="auto"/>
            </w:tcBorders>
            <w:shd w:val="clear" w:color="auto" w:fill="FFFFFF"/>
            <w:tcMar>
              <w:top w:w="10" w:type="dxa"/>
              <w:bottom w:w="10" w:type="dxa"/>
            </w:tcMar>
          </w:tcPr>
          <w:p w14:paraId="1085DE60" w14:textId="77777777" w:rsidR="008A19A5" w:rsidRPr="00647D81" w:rsidRDefault="008A19A5" w:rsidP="008A19A5">
            <w:pPr>
              <w:pStyle w:val="AnnexTableHeader"/>
              <w:spacing w:line="240" w:lineRule="auto"/>
              <w:rPr>
                <w:rFonts w:ascii="Helvetica" w:hAnsi="Helvetica"/>
                <w:sz w:val="12"/>
                <w:szCs w:val="12"/>
              </w:rPr>
            </w:pPr>
          </w:p>
        </w:tc>
        <w:tc>
          <w:tcPr>
            <w:tcW w:w="840" w:type="dxa"/>
            <w:vMerge/>
            <w:tcBorders>
              <w:left w:val="single" w:sz="4" w:space="0" w:color="auto"/>
            </w:tcBorders>
            <w:shd w:val="clear" w:color="auto" w:fill="FFFFFF"/>
            <w:tcMar>
              <w:top w:w="10" w:type="dxa"/>
              <w:bottom w:w="10" w:type="dxa"/>
            </w:tcMar>
            <w:vAlign w:val="center"/>
          </w:tcPr>
          <w:p w14:paraId="7AB0BC33" w14:textId="77777777" w:rsidR="008A19A5" w:rsidRPr="00647D81" w:rsidRDefault="008A19A5" w:rsidP="008A19A5">
            <w:pPr>
              <w:pStyle w:val="AnnexTableHeader"/>
              <w:spacing w:line="240" w:lineRule="auto"/>
              <w:rPr>
                <w:rFonts w:ascii="Helvetica" w:hAnsi="Helvetica"/>
                <w:sz w:val="12"/>
                <w:szCs w:val="12"/>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6930DAA0" w14:textId="1EFCEFF4"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Begrensning av klima</w:t>
            </w:r>
            <w:r w:rsidR="00223CA0">
              <w:rPr>
                <w:rFonts w:ascii="Helvetica" w:hAnsi="Helvetica"/>
                <w:sz w:val="12"/>
              </w:rPr>
              <w:softHyphen/>
            </w:r>
            <w:r>
              <w:rPr>
                <w:rFonts w:ascii="Helvetica" w:hAnsi="Helvetica"/>
                <w:sz w:val="12"/>
              </w:rPr>
              <w:t>endringer (CCM)</w:t>
            </w:r>
          </w:p>
        </w:tc>
        <w:tc>
          <w:tcPr>
            <w:tcW w:w="744" w:type="dxa"/>
            <w:tcBorders>
              <w:top w:val="single" w:sz="4" w:space="0" w:color="auto"/>
              <w:left w:val="single" w:sz="4" w:space="0" w:color="auto"/>
            </w:tcBorders>
            <w:shd w:val="clear" w:color="auto" w:fill="FFFFFF"/>
            <w:tcMar>
              <w:top w:w="10" w:type="dxa"/>
              <w:bottom w:w="10" w:type="dxa"/>
            </w:tcMar>
            <w:vAlign w:val="center"/>
          </w:tcPr>
          <w:p w14:paraId="12400DC2" w14:textId="4C2E74CE"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Tilpasning til klima</w:t>
            </w:r>
            <w:r w:rsidR="00223CA0">
              <w:rPr>
                <w:rFonts w:ascii="Helvetica" w:hAnsi="Helvetica"/>
                <w:sz w:val="12"/>
              </w:rPr>
              <w:softHyphen/>
            </w:r>
            <w:r>
              <w:rPr>
                <w:rFonts w:ascii="Helvetica" w:hAnsi="Helvetica"/>
                <w:sz w:val="12"/>
              </w:rPr>
              <w:t>endringer (CCA)</w:t>
            </w:r>
          </w:p>
        </w:tc>
        <w:tc>
          <w:tcPr>
            <w:tcW w:w="732" w:type="dxa"/>
            <w:tcBorders>
              <w:top w:val="single" w:sz="4" w:space="0" w:color="auto"/>
              <w:left w:val="single" w:sz="4" w:space="0" w:color="auto"/>
            </w:tcBorders>
            <w:shd w:val="clear" w:color="auto" w:fill="FFFFFF"/>
            <w:tcMar>
              <w:top w:w="10" w:type="dxa"/>
              <w:bottom w:w="10" w:type="dxa"/>
            </w:tcMar>
            <w:vAlign w:val="center"/>
          </w:tcPr>
          <w:p w14:paraId="3E5C98F4"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Vann- og havressurser (WTR)</w:t>
            </w:r>
          </w:p>
        </w:tc>
        <w:tc>
          <w:tcPr>
            <w:tcW w:w="684" w:type="dxa"/>
            <w:tcBorders>
              <w:top w:val="single" w:sz="4" w:space="0" w:color="auto"/>
              <w:left w:val="single" w:sz="4" w:space="0" w:color="auto"/>
            </w:tcBorders>
            <w:shd w:val="clear" w:color="auto" w:fill="FFFFFF"/>
            <w:tcMar>
              <w:top w:w="10" w:type="dxa"/>
              <w:bottom w:w="10" w:type="dxa"/>
            </w:tcMar>
            <w:vAlign w:val="center"/>
          </w:tcPr>
          <w:p w14:paraId="01649B71"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Sirkulær økonomi (CE)</w:t>
            </w:r>
          </w:p>
        </w:tc>
        <w:tc>
          <w:tcPr>
            <w:tcW w:w="744" w:type="dxa"/>
            <w:tcBorders>
              <w:top w:val="single" w:sz="4" w:space="0" w:color="auto"/>
              <w:left w:val="single" w:sz="4" w:space="0" w:color="auto"/>
            </w:tcBorders>
            <w:shd w:val="clear" w:color="auto" w:fill="FFFFFF"/>
            <w:tcMar>
              <w:top w:w="10" w:type="dxa"/>
              <w:bottom w:w="10" w:type="dxa"/>
            </w:tcMar>
            <w:vAlign w:val="center"/>
          </w:tcPr>
          <w:p w14:paraId="0BABE684" w14:textId="77777777"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Forurensning (PPC)</w:t>
            </w:r>
          </w:p>
        </w:tc>
        <w:tc>
          <w:tcPr>
            <w:tcW w:w="672" w:type="dxa"/>
            <w:tcBorders>
              <w:top w:val="single" w:sz="4" w:space="0" w:color="auto"/>
              <w:left w:val="single" w:sz="4" w:space="0" w:color="auto"/>
            </w:tcBorders>
            <w:shd w:val="clear" w:color="auto" w:fill="FFFFFF"/>
            <w:tcMar>
              <w:top w:w="10" w:type="dxa"/>
              <w:bottom w:w="10" w:type="dxa"/>
            </w:tcMar>
            <w:vAlign w:val="center"/>
          </w:tcPr>
          <w:p w14:paraId="5CB70CBA" w14:textId="688E2A4C" w:rsidR="008A19A5" w:rsidRPr="00647D81" w:rsidRDefault="008A19A5" w:rsidP="008A19A5">
            <w:pPr>
              <w:pStyle w:val="AnnexTableHeader"/>
              <w:spacing w:line="240" w:lineRule="auto"/>
              <w:rPr>
                <w:rFonts w:ascii="Helvetica" w:hAnsi="Helvetica"/>
                <w:sz w:val="12"/>
                <w:szCs w:val="12"/>
              </w:rPr>
            </w:pPr>
            <w:r>
              <w:rPr>
                <w:rFonts w:ascii="Helvetica" w:hAnsi="Helvetica"/>
                <w:sz w:val="12"/>
              </w:rPr>
              <w:t>Biologisk mangfold og øko</w:t>
            </w:r>
            <w:r w:rsidR="00223CA0">
              <w:rPr>
                <w:rFonts w:ascii="Helvetica" w:hAnsi="Helvetica"/>
                <w:sz w:val="12"/>
              </w:rPr>
              <w:softHyphen/>
            </w:r>
            <w:r>
              <w:rPr>
                <w:rFonts w:ascii="Helvetica" w:hAnsi="Helvetica"/>
                <w:sz w:val="12"/>
              </w:rPr>
              <w:t>systemer (BIO)</w:t>
            </w:r>
          </w:p>
        </w:tc>
        <w:tc>
          <w:tcPr>
            <w:tcW w:w="852" w:type="dxa"/>
            <w:vMerge/>
            <w:tcBorders>
              <w:left w:val="single" w:sz="4" w:space="0" w:color="auto"/>
            </w:tcBorders>
            <w:shd w:val="clear" w:color="auto" w:fill="FFFFFF"/>
            <w:tcMar>
              <w:top w:w="10" w:type="dxa"/>
              <w:bottom w:w="10" w:type="dxa"/>
            </w:tcMar>
            <w:vAlign w:val="center"/>
          </w:tcPr>
          <w:p w14:paraId="75701871" w14:textId="77777777" w:rsidR="008A19A5" w:rsidRPr="00647D81" w:rsidRDefault="008A19A5" w:rsidP="008A19A5">
            <w:pPr>
              <w:pStyle w:val="AnnexTableHeader"/>
              <w:spacing w:line="240" w:lineRule="auto"/>
              <w:rPr>
                <w:rFonts w:ascii="Helvetica" w:hAnsi="Helvetica"/>
                <w:sz w:val="12"/>
                <w:szCs w:val="12"/>
              </w:rPr>
            </w:pPr>
          </w:p>
        </w:tc>
        <w:tc>
          <w:tcPr>
            <w:tcW w:w="852" w:type="dxa"/>
            <w:vMerge/>
            <w:tcBorders>
              <w:left w:val="single" w:sz="4" w:space="0" w:color="auto"/>
            </w:tcBorders>
            <w:shd w:val="clear" w:color="auto" w:fill="FFFFFF"/>
            <w:tcMar>
              <w:top w:w="10" w:type="dxa"/>
              <w:bottom w:w="10" w:type="dxa"/>
            </w:tcMar>
            <w:vAlign w:val="center"/>
          </w:tcPr>
          <w:p w14:paraId="6866998A" w14:textId="77777777" w:rsidR="008A19A5" w:rsidRPr="00647D81" w:rsidRDefault="008A19A5" w:rsidP="008A19A5">
            <w:pPr>
              <w:pStyle w:val="AnnexTableHeader"/>
              <w:spacing w:line="240" w:lineRule="auto"/>
              <w:rPr>
                <w:rFonts w:ascii="Helvetica" w:hAnsi="Helvetica"/>
                <w:sz w:val="12"/>
                <w:szCs w:val="12"/>
              </w:rPr>
            </w:pPr>
          </w:p>
        </w:tc>
        <w:tc>
          <w:tcPr>
            <w:tcW w:w="756" w:type="dxa"/>
            <w:vMerge/>
            <w:tcBorders>
              <w:left w:val="single" w:sz="4" w:space="0" w:color="auto"/>
              <w:right w:val="single" w:sz="4" w:space="0" w:color="auto"/>
            </w:tcBorders>
            <w:shd w:val="clear" w:color="auto" w:fill="FFFFFF"/>
            <w:tcMar>
              <w:top w:w="10" w:type="dxa"/>
              <w:bottom w:w="10" w:type="dxa"/>
              <w:right w:w="0" w:type="dxa"/>
            </w:tcMar>
            <w:vAlign w:val="center"/>
          </w:tcPr>
          <w:p w14:paraId="431D31F4" w14:textId="77777777" w:rsidR="008A19A5" w:rsidRPr="00647D81" w:rsidRDefault="008A19A5" w:rsidP="008A19A5">
            <w:pPr>
              <w:pStyle w:val="AnnexTableHeader"/>
              <w:spacing w:line="240" w:lineRule="auto"/>
              <w:rPr>
                <w:rFonts w:ascii="Helvetica" w:hAnsi="Helvetica"/>
                <w:sz w:val="12"/>
                <w:szCs w:val="12"/>
              </w:rPr>
            </w:pPr>
          </w:p>
        </w:tc>
      </w:tr>
      <w:tr w:rsidR="008A19A5" w:rsidRPr="00647D81" w14:paraId="48C93740" w14:textId="77777777" w:rsidTr="008A19A5">
        <w:trPr>
          <w:trHeight w:val="20"/>
        </w:trPr>
        <w:tc>
          <w:tcPr>
            <w:tcW w:w="3791" w:type="dxa"/>
            <w:gridSpan w:val="2"/>
            <w:vMerge/>
            <w:tcBorders>
              <w:left w:val="single" w:sz="4" w:space="0" w:color="auto"/>
            </w:tcBorders>
            <w:shd w:val="clear" w:color="auto" w:fill="FFFFFF"/>
            <w:tcMar>
              <w:top w:w="10" w:type="dxa"/>
              <w:left w:w="0" w:type="dxa"/>
              <w:bottom w:w="10" w:type="dxa"/>
            </w:tcMar>
            <w:vAlign w:val="center"/>
          </w:tcPr>
          <w:p w14:paraId="1DDEF2C4" w14:textId="77777777" w:rsidR="008A19A5" w:rsidRPr="00647D81" w:rsidRDefault="008A19A5" w:rsidP="008A19A5">
            <w:pPr>
              <w:pStyle w:val="AnnexTableCellLeft"/>
              <w:spacing w:line="240" w:lineRule="auto"/>
              <w:ind w:left="40"/>
              <w:jc w:val="left"/>
              <w:rPr>
                <w:rFonts w:ascii="Helvetica" w:hAnsi="Helvetica"/>
                <w:sz w:val="12"/>
                <w:szCs w:val="12"/>
              </w:rPr>
            </w:pPr>
          </w:p>
        </w:tc>
        <w:tc>
          <w:tcPr>
            <w:tcW w:w="1320" w:type="dxa"/>
            <w:tcBorders>
              <w:top w:val="single" w:sz="4" w:space="0" w:color="auto"/>
              <w:left w:val="single" w:sz="4" w:space="0" w:color="auto"/>
            </w:tcBorders>
            <w:shd w:val="clear" w:color="auto" w:fill="FFFFFF"/>
            <w:tcMar>
              <w:top w:w="10" w:type="dxa"/>
              <w:bottom w:w="10" w:type="dxa"/>
            </w:tcMar>
            <w:vAlign w:val="center"/>
          </w:tcPr>
          <w:p w14:paraId="0D140D3E" w14:textId="77777777" w:rsidR="008A19A5" w:rsidRPr="00647D81" w:rsidRDefault="008A19A5" w:rsidP="008A19A5">
            <w:pPr>
              <w:pStyle w:val="AnnexTableCellLeft"/>
              <w:spacing w:line="240" w:lineRule="auto"/>
              <w:ind w:left="40"/>
              <w:jc w:val="center"/>
              <w:rPr>
                <w:rFonts w:ascii="Helvetica" w:hAnsi="Helvetica"/>
                <w:sz w:val="12"/>
                <w:szCs w:val="12"/>
              </w:rPr>
            </w:pPr>
            <w:r>
              <w:rPr>
                <w:rFonts w:ascii="Helvetica" w:hAnsi="Helvetica"/>
                <w:sz w:val="12"/>
              </w:rPr>
              <w:t>Valuta</w:t>
            </w:r>
          </w:p>
        </w:tc>
        <w:tc>
          <w:tcPr>
            <w:tcW w:w="840" w:type="dxa"/>
            <w:tcBorders>
              <w:top w:val="single" w:sz="4" w:space="0" w:color="auto"/>
              <w:left w:val="single" w:sz="4" w:space="0" w:color="auto"/>
            </w:tcBorders>
            <w:shd w:val="clear" w:color="auto" w:fill="FFFFFF"/>
            <w:tcMar>
              <w:top w:w="10" w:type="dxa"/>
              <w:bottom w:w="10" w:type="dxa"/>
            </w:tcMar>
            <w:vAlign w:val="center"/>
          </w:tcPr>
          <w:p w14:paraId="554CB44D"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Valuta</w:t>
            </w:r>
          </w:p>
        </w:tc>
        <w:tc>
          <w:tcPr>
            <w:tcW w:w="768" w:type="dxa"/>
            <w:tcBorders>
              <w:top w:val="single" w:sz="4" w:space="0" w:color="auto"/>
              <w:left w:val="single" w:sz="4" w:space="0" w:color="auto"/>
              <w:right w:val="single" w:sz="4" w:space="0" w:color="auto"/>
            </w:tcBorders>
            <w:shd w:val="clear" w:color="auto" w:fill="FFFFFF"/>
            <w:tcMar>
              <w:top w:w="10" w:type="dxa"/>
              <w:bottom w:w="10" w:type="dxa"/>
            </w:tcMar>
          </w:tcPr>
          <w:p w14:paraId="7AADD153" w14:textId="35DFD2FB" w:rsidR="008A19A5" w:rsidRPr="00647D81" w:rsidRDefault="00B310F8" w:rsidP="008A19A5">
            <w:pPr>
              <w:pStyle w:val="AnnexTableCellLeft"/>
              <w:spacing w:line="240" w:lineRule="auto"/>
              <w:jc w:val="center"/>
              <w:rPr>
                <w:rFonts w:ascii="Helvetica" w:hAnsi="Helvetica"/>
                <w:sz w:val="12"/>
                <w:szCs w:val="12"/>
              </w:rPr>
            </w:pPr>
            <w:r>
              <w:rPr>
                <w:rFonts w:ascii="Helvetica" w:hAnsi="Helvetica"/>
                <w:sz w:val="12"/>
              </w:rPr>
              <w:t>%</w:t>
            </w:r>
          </w:p>
        </w:tc>
        <w:tc>
          <w:tcPr>
            <w:tcW w:w="840" w:type="dxa"/>
            <w:tcBorders>
              <w:top w:val="single" w:sz="4" w:space="0" w:color="auto"/>
              <w:left w:val="single" w:sz="4" w:space="0" w:color="auto"/>
            </w:tcBorders>
            <w:shd w:val="clear" w:color="auto" w:fill="FFFFFF"/>
            <w:tcMar>
              <w:top w:w="10" w:type="dxa"/>
              <w:bottom w:w="10" w:type="dxa"/>
            </w:tcMar>
            <w:vAlign w:val="center"/>
          </w:tcPr>
          <w:p w14:paraId="794457CF"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732" w:type="dxa"/>
            <w:tcBorders>
              <w:top w:val="single" w:sz="4" w:space="0" w:color="auto"/>
              <w:left w:val="single" w:sz="4" w:space="0" w:color="auto"/>
            </w:tcBorders>
            <w:shd w:val="clear" w:color="auto" w:fill="FFFFFF"/>
            <w:tcMar>
              <w:top w:w="10" w:type="dxa"/>
              <w:bottom w:w="10" w:type="dxa"/>
            </w:tcMar>
            <w:vAlign w:val="center"/>
          </w:tcPr>
          <w:p w14:paraId="4DE98760"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744" w:type="dxa"/>
            <w:tcBorders>
              <w:top w:val="single" w:sz="4" w:space="0" w:color="auto"/>
              <w:left w:val="single" w:sz="4" w:space="0" w:color="auto"/>
            </w:tcBorders>
            <w:shd w:val="clear" w:color="auto" w:fill="FFFFFF"/>
            <w:tcMar>
              <w:top w:w="10" w:type="dxa"/>
              <w:bottom w:w="10" w:type="dxa"/>
            </w:tcMar>
            <w:vAlign w:val="center"/>
          </w:tcPr>
          <w:p w14:paraId="12FB4C5D"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732" w:type="dxa"/>
            <w:tcBorders>
              <w:top w:val="single" w:sz="4" w:space="0" w:color="auto"/>
              <w:left w:val="single" w:sz="4" w:space="0" w:color="auto"/>
            </w:tcBorders>
            <w:shd w:val="clear" w:color="auto" w:fill="FFFFFF"/>
            <w:tcMar>
              <w:top w:w="10" w:type="dxa"/>
              <w:bottom w:w="10" w:type="dxa"/>
            </w:tcMar>
            <w:vAlign w:val="center"/>
          </w:tcPr>
          <w:p w14:paraId="4DAD4122"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684" w:type="dxa"/>
            <w:tcBorders>
              <w:top w:val="single" w:sz="4" w:space="0" w:color="auto"/>
              <w:left w:val="single" w:sz="4" w:space="0" w:color="auto"/>
            </w:tcBorders>
            <w:shd w:val="clear" w:color="auto" w:fill="FFFFFF"/>
            <w:tcMar>
              <w:top w:w="10" w:type="dxa"/>
              <w:bottom w:w="10" w:type="dxa"/>
            </w:tcMar>
            <w:vAlign w:val="center"/>
          </w:tcPr>
          <w:p w14:paraId="0AA89BC8"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744" w:type="dxa"/>
            <w:tcBorders>
              <w:top w:val="single" w:sz="4" w:space="0" w:color="auto"/>
              <w:left w:val="single" w:sz="4" w:space="0" w:color="auto"/>
            </w:tcBorders>
            <w:shd w:val="clear" w:color="auto" w:fill="FFFFFF"/>
            <w:tcMar>
              <w:top w:w="10" w:type="dxa"/>
              <w:bottom w:w="10" w:type="dxa"/>
            </w:tcMar>
            <w:vAlign w:val="center"/>
          </w:tcPr>
          <w:p w14:paraId="016D06C0"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672" w:type="dxa"/>
            <w:tcBorders>
              <w:top w:val="single" w:sz="4" w:space="0" w:color="auto"/>
              <w:left w:val="single" w:sz="4" w:space="0" w:color="auto"/>
            </w:tcBorders>
            <w:shd w:val="clear" w:color="auto" w:fill="FFFFFF"/>
            <w:tcMar>
              <w:top w:w="10" w:type="dxa"/>
              <w:bottom w:w="10" w:type="dxa"/>
            </w:tcMar>
            <w:vAlign w:val="center"/>
          </w:tcPr>
          <w:p w14:paraId="4EA8A4FA"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852" w:type="dxa"/>
            <w:tcBorders>
              <w:top w:val="single" w:sz="4" w:space="0" w:color="auto"/>
              <w:left w:val="single" w:sz="4" w:space="0" w:color="auto"/>
            </w:tcBorders>
            <w:shd w:val="clear" w:color="auto" w:fill="FFFFFF"/>
            <w:tcMar>
              <w:top w:w="10" w:type="dxa"/>
              <w:bottom w:w="10" w:type="dxa"/>
            </w:tcMar>
            <w:vAlign w:val="center"/>
          </w:tcPr>
          <w:p w14:paraId="36CDF1A0"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852" w:type="dxa"/>
            <w:tcBorders>
              <w:top w:val="single" w:sz="4" w:space="0" w:color="auto"/>
              <w:left w:val="single" w:sz="4" w:space="0" w:color="auto"/>
            </w:tcBorders>
            <w:shd w:val="clear" w:color="auto" w:fill="FFFFFF"/>
            <w:tcMar>
              <w:top w:w="10" w:type="dxa"/>
              <w:bottom w:w="10" w:type="dxa"/>
            </w:tcMar>
            <w:vAlign w:val="center"/>
          </w:tcPr>
          <w:p w14:paraId="15BB4E29"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c>
          <w:tcPr>
            <w:tcW w:w="756" w:type="dxa"/>
            <w:tcBorders>
              <w:top w:val="single" w:sz="4" w:space="0" w:color="auto"/>
              <w:left w:val="single" w:sz="4" w:space="0" w:color="auto"/>
              <w:right w:val="single" w:sz="4" w:space="0" w:color="auto"/>
            </w:tcBorders>
            <w:shd w:val="clear" w:color="auto" w:fill="FFFFFF"/>
            <w:tcMar>
              <w:top w:w="10" w:type="dxa"/>
              <w:bottom w:w="10" w:type="dxa"/>
              <w:right w:w="0" w:type="dxa"/>
            </w:tcMar>
            <w:vAlign w:val="center"/>
          </w:tcPr>
          <w:p w14:paraId="4DB235DD" w14:textId="77777777" w:rsidR="008A19A5" w:rsidRPr="00647D81" w:rsidRDefault="008A19A5" w:rsidP="008A19A5">
            <w:pPr>
              <w:pStyle w:val="AnnexTableCellLeft"/>
              <w:spacing w:line="240" w:lineRule="auto"/>
              <w:jc w:val="center"/>
              <w:rPr>
                <w:rFonts w:ascii="Helvetica" w:hAnsi="Helvetica"/>
                <w:sz w:val="12"/>
                <w:szCs w:val="12"/>
              </w:rPr>
            </w:pPr>
            <w:r>
              <w:rPr>
                <w:rFonts w:ascii="Helvetica" w:hAnsi="Helvetica"/>
                <w:sz w:val="12"/>
              </w:rPr>
              <w:t>%</w:t>
            </w:r>
          </w:p>
        </w:tc>
      </w:tr>
      <w:tr w:rsidR="008A19A5" w:rsidRPr="00647D81" w14:paraId="7BB8A953" w14:textId="77777777" w:rsidTr="008A19A5">
        <w:trPr>
          <w:trHeight w:val="20"/>
        </w:trPr>
        <w:tc>
          <w:tcPr>
            <w:tcW w:w="238" w:type="dxa"/>
            <w:tcBorders>
              <w:top w:val="single" w:sz="4" w:space="0" w:color="auto"/>
              <w:left w:val="single" w:sz="4" w:space="0" w:color="auto"/>
            </w:tcBorders>
            <w:shd w:val="clear" w:color="auto" w:fill="FFFFFF"/>
            <w:tcMar>
              <w:top w:w="10" w:type="dxa"/>
              <w:left w:w="0" w:type="dxa"/>
              <w:bottom w:w="10" w:type="dxa"/>
            </w:tcMar>
            <w:vAlign w:val="center"/>
          </w:tcPr>
          <w:p w14:paraId="6A597587"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1</w:t>
            </w:r>
          </w:p>
        </w:tc>
        <w:tc>
          <w:tcPr>
            <w:tcW w:w="3553" w:type="dxa"/>
            <w:tcBorders>
              <w:top w:val="single" w:sz="4" w:space="0" w:color="auto"/>
              <w:left w:val="single" w:sz="4" w:space="0" w:color="auto"/>
            </w:tcBorders>
            <w:shd w:val="clear" w:color="auto" w:fill="FFFFFF"/>
            <w:tcMar>
              <w:top w:w="10" w:type="dxa"/>
              <w:bottom w:w="10" w:type="dxa"/>
            </w:tcMar>
            <w:vAlign w:val="center"/>
          </w:tcPr>
          <w:p w14:paraId="04FEAFBC" w14:textId="77777777" w:rsidR="008A19A5" w:rsidRPr="00647D81" w:rsidRDefault="008A19A5" w:rsidP="008A19A5">
            <w:pPr>
              <w:pStyle w:val="AnnexTableCellLeft"/>
              <w:spacing w:line="240" w:lineRule="auto"/>
              <w:ind w:left="40"/>
              <w:jc w:val="left"/>
              <w:rPr>
                <w:rFonts w:ascii="Helvetica" w:hAnsi="Helvetica"/>
                <w:b/>
                <w:sz w:val="14"/>
                <w:szCs w:val="14"/>
              </w:rPr>
            </w:pPr>
            <w:r>
              <w:rPr>
                <w:rFonts w:ascii="Helvetica" w:hAnsi="Helvetica"/>
                <w:b/>
                <w:sz w:val="14"/>
              </w:rPr>
              <w:t>Inntekter (dvs. gebyrer, provisjoner og andre pengeytelser) fra investeringer og andre tjenester og aktiviteter enn handel for egen regning (iht. avsnitt A i vedlegg I til direktiv 2014/65/EU)</w:t>
            </w:r>
          </w:p>
        </w:tc>
        <w:tc>
          <w:tcPr>
            <w:tcW w:w="1320" w:type="dxa"/>
            <w:tcBorders>
              <w:top w:val="single" w:sz="4" w:space="0" w:color="auto"/>
              <w:left w:val="single" w:sz="4" w:space="0" w:color="auto"/>
            </w:tcBorders>
            <w:shd w:val="clear" w:color="auto" w:fill="FFFFFF"/>
            <w:tcMar>
              <w:top w:w="10" w:type="dxa"/>
              <w:bottom w:w="10" w:type="dxa"/>
            </w:tcMar>
            <w:vAlign w:val="center"/>
          </w:tcPr>
          <w:p w14:paraId="39A88428"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10E2C99A"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auto"/>
              <w:left w:val="single" w:sz="4" w:space="0" w:color="auto"/>
              <w:right w:val="single" w:sz="4" w:space="0" w:color="auto"/>
            </w:tcBorders>
            <w:shd w:val="clear" w:color="auto" w:fill="FFFFFF"/>
            <w:tcMar>
              <w:top w:w="10" w:type="dxa"/>
              <w:bottom w:w="10" w:type="dxa"/>
            </w:tcMar>
            <w:vAlign w:val="center"/>
          </w:tcPr>
          <w:p w14:paraId="675CCEF7"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6E7CD882"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468AD9F4"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57D840AD"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1E36214A"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tcBorders>
            <w:shd w:val="clear" w:color="auto" w:fill="FFFFFF"/>
            <w:tcMar>
              <w:top w:w="10" w:type="dxa"/>
              <w:bottom w:w="10" w:type="dxa"/>
            </w:tcMar>
            <w:vAlign w:val="center"/>
          </w:tcPr>
          <w:p w14:paraId="1DA7D1B3"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4A24943F"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tcBorders>
            <w:shd w:val="clear" w:color="auto" w:fill="FFFFFF"/>
            <w:tcMar>
              <w:top w:w="10" w:type="dxa"/>
              <w:bottom w:w="10" w:type="dxa"/>
            </w:tcMar>
            <w:vAlign w:val="center"/>
          </w:tcPr>
          <w:p w14:paraId="78581504"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662B3C60"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23B82DE1"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auto"/>
              <w:left w:val="single" w:sz="4" w:space="0" w:color="auto"/>
              <w:right w:val="single" w:sz="4" w:space="0" w:color="auto"/>
            </w:tcBorders>
            <w:shd w:val="clear" w:color="auto" w:fill="FFFFFF"/>
            <w:tcMar>
              <w:top w:w="10" w:type="dxa"/>
              <w:bottom w:w="10" w:type="dxa"/>
              <w:right w:w="0" w:type="dxa"/>
            </w:tcMar>
            <w:vAlign w:val="center"/>
          </w:tcPr>
          <w:p w14:paraId="6BC4E601"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7F060018" w14:textId="77777777" w:rsidTr="008A19A5">
        <w:trPr>
          <w:trHeight w:val="20"/>
        </w:trPr>
        <w:tc>
          <w:tcPr>
            <w:tcW w:w="238" w:type="dxa"/>
            <w:tcBorders>
              <w:top w:val="single" w:sz="4" w:space="0" w:color="auto"/>
              <w:left w:val="single" w:sz="4" w:space="0" w:color="auto"/>
              <w:bottom w:val="single" w:sz="4" w:space="0" w:color="auto"/>
            </w:tcBorders>
            <w:shd w:val="clear" w:color="auto" w:fill="FFFFFF"/>
            <w:tcMar>
              <w:top w:w="10" w:type="dxa"/>
              <w:left w:w="0" w:type="dxa"/>
              <w:bottom w:w="10" w:type="dxa"/>
            </w:tcMar>
            <w:vAlign w:val="center"/>
          </w:tcPr>
          <w:p w14:paraId="7644C3D2"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2</w:t>
            </w:r>
          </w:p>
        </w:tc>
        <w:tc>
          <w:tcPr>
            <w:tcW w:w="3553"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47193411"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Mottak og formidling av ordrer i forbindelse med ett eller flere finansielle instrumenter</w:t>
            </w:r>
          </w:p>
        </w:tc>
        <w:tc>
          <w:tcPr>
            <w:tcW w:w="132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2CEF55DB"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74BD78B0"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23CBF8BE"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63124DCA"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503F2423"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215A1FD1"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19836B3F"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61B60CF4"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201BC7E8"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64D0CBE5"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392B0E5F"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43D327DB"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right w:w="0" w:type="dxa"/>
            </w:tcMar>
            <w:vAlign w:val="center"/>
          </w:tcPr>
          <w:p w14:paraId="16ACD221"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51BC00E7" w14:textId="77777777" w:rsidTr="008A19A5">
        <w:trPr>
          <w:trHeight w:val="20"/>
        </w:trPr>
        <w:tc>
          <w:tcPr>
            <w:tcW w:w="238" w:type="dxa"/>
            <w:tcBorders>
              <w:top w:val="single" w:sz="4" w:space="0" w:color="auto"/>
              <w:left w:val="single" w:sz="4" w:space="0" w:color="auto"/>
            </w:tcBorders>
            <w:shd w:val="clear" w:color="auto" w:fill="FFFFFF"/>
            <w:tcMar>
              <w:top w:w="10" w:type="dxa"/>
              <w:left w:w="0" w:type="dxa"/>
              <w:bottom w:w="10" w:type="dxa"/>
            </w:tcMar>
            <w:vAlign w:val="center"/>
          </w:tcPr>
          <w:p w14:paraId="243E9D32"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3</w:t>
            </w:r>
          </w:p>
        </w:tc>
        <w:tc>
          <w:tcPr>
            <w:tcW w:w="3553" w:type="dxa"/>
            <w:tcBorders>
              <w:top w:val="single" w:sz="4" w:space="0" w:color="auto"/>
              <w:left w:val="single" w:sz="4" w:space="0" w:color="auto"/>
            </w:tcBorders>
            <w:shd w:val="clear" w:color="auto" w:fill="FFFFFF"/>
            <w:tcMar>
              <w:top w:w="10" w:type="dxa"/>
              <w:bottom w:w="10" w:type="dxa"/>
            </w:tcMar>
            <w:vAlign w:val="center"/>
          </w:tcPr>
          <w:p w14:paraId="1121400A"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Utførelse av ordrer på vegne av kunder</w:t>
            </w:r>
          </w:p>
        </w:tc>
        <w:tc>
          <w:tcPr>
            <w:tcW w:w="1320" w:type="dxa"/>
            <w:tcBorders>
              <w:top w:val="single" w:sz="4" w:space="0" w:color="auto"/>
              <w:left w:val="single" w:sz="4" w:space="0" w:color="auto"/>
            </w:tcBorders>
            <w:shd w:val="clear" w:color="auto" w:fill="FFFFFF"/>
            <w:tcMar>
              <w:top w:w="10" w:type="dxa"/>
              <w:bottom w:w="10" w:type="dxa"/>
            </w:tcMar>
            <w:vAlign w:val="center"/>
          </w:tcPr>
          <w:p w14:paraId="43A26DF0"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496073C4"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auto"/>
              <w:left w:val="single" w:sz="4" w:space="0" w:color="auto"/>
              <w:right w:val="single" w:sz="4" w:space="0" w:color="auto"/>
            </w:tcBorders>
            <w:shd w:val="clear" w:color="auto" w:fill="FFFFFF"/>
            <w:tcMar>
              <w:top w:w="10" w:type="dxa"/>
              <w:bottom w:w="10" w:type="dxa"/>
            </w:tcMar>
            <w:vAlign w:val="center"/>
          </w:tcPr>
          <w:p w14:paraId="14460F68"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5EC9BD28"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7C6A8018"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1CC10D62"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352B3B66"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tcBorders>
            <w:shd w:val="clear" w:color="auto" w:fill="FFFFFF"/>
            <w:tcMar>
              <w:top w:w="10" w:type="dxa"/>
              <w:bottom w:w="10" w:type="dxa"/>
            </w:tcMar>
            <w:vAlign w:val="center"/>
          </w:tcPr>
          <w:p w14:paraId="569286E1"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4E4D42E0"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tcBorders>
            <w:shd w:val="clear" w:color="auto" w:fill="FFFFFF"/>
            <w:tcMar>
              <w:top w:w="10" w:type="dxa"/>
              <w:bottom w:w="10" w:type="dxa"/>
            </w:tcMar>
            <w:vAlign w:val="center"/>
          </w:tcPr>
          <w:p w14:paraId="050B5CC0"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1FF1EF45"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1F74E26A"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auto"/>
              <w:left w:val="single" w:sz="4" w:space="0" w:color="auto"/>
              <w:right w:val="single" w:sz="4" w:space="0" w:color="auto"/>
            </w:tcBorders>
            <w:shd w:val="clear" w:color="auto" w:fill="FFFFFF"/>
            <w:tcMar>
              <w:top w:w="10" w:type="dxa"/>
              <w:bottom w:w="10" w:type="dxa"/>
              <w:right w:w="0" w:type="dxa"/>
            </w:tcMar>
            <w:vAlign w:val="center"/>
          </w:tcPr>
          <w:p w14:paraId="621EC6C3"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526DC115" w14:textId="77777777" w:rsidTr="008A19A5">
        <w:trPr>
          <w:trHeight w:val="20"/>
        </w:trPr>
        <w:tc>
          <w:tcPr>
            <w:tcW w:w="238" w:type="dxa"/>
            <w:tcBorders>
              <w:top w:val="single" w:sz="4" w:space="0" w:color="auto"/>
              <w:left w:val="single" w:sz="4" w:space="0" w:color="auto"/>
            </w:tcBorders>
            <w:shd w:val="clear" w:color="auto" w:fill="FFFFFF"/>
            <w:tcMar>
              <w:top w:w="10" w:type="dxa"/>
              <w:left w:w="0" w:type="dxa"/>
              <w:bottom w:w="10" w:type="dxa"/>
            </w:tcMar>
            <w:vAlign w:val="center"/>
          </w:tcPr>
          <w:p w14:paraId="347B847F"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4</w:t>
            </w:r>
          </w:p>
        </w:tc>
        <w:tc>
          <w:tcPr>
            <w:tcW w:w="3553" w:type="dxa"/>
            <w:tcBorders>
              <w:top w:val="single" w:sz="4" w:space="0" w:color="auto"/>
              <w:left w:val="single" w:sz="4" w:space="0" w:color="auto"/>
            </w:tcBorders>
            <w:shd w:val="clear" w:color="auto" w:fill="FFFFFF"/>
            <w:tcMar>
              <w:top w:w="10" w:type="dxa"/>
              <w:bottom w:w="10" w:type="dxa"/>
            </w:tcMar>
            <w:vAlign w:val="center"/>
          </w:tcPr>
          <w:p w14:paraId="0196C92B"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Porteføljeforvaltning</w:t>
            </w:r>
          </w:p>
        </w:tc>
        <w:tc>
          <w:tcPr>
            <w:tcW w:w="1320" w:type="dxa"/>
            <w:tcBorders>
              <w:top w:val="single" w:sz="4" w:space="0" w:color="auto"/>
              <w:left w:val="single" w:sz="4" w:space="0" w:color="auto"/>
            </w:tcBorders>
            <w:shd w:val="clear" w:color="auto" w:fill="FFFFFF"/>
            <w:tcMar>
              <w:top w:w="10" w:type="dxa"/>
              <w:bottom w:w="10" w:type="dxa"/>
            </w:tcMar>
            <w:vAlign w:val="center"/>
          </w:tcPr>
          <w:p w14:paraId="10B01F9C"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4FB964DC"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auto"/>
              <w:left w:val="single" w:sz="4" w:space="0" w:color="auto"/>
              <w:right w:val="single" w:sz="4" w:space="0" w:color="auto"/>
            </w:tcBorders>
            <w:shd w:val="clear" w:color="auto" w:fill="FFFFFF"/>
            <w:tcMar>
              <w:top w:w="10" w:type="dxa"/>
              <w:bottom w:w="10" w:type="dxa"/>
            </w:tcMar>
            <w:vAlign w:val="center"/>
          </w:tcPr>
          <w:p w14:paraId="165F3250"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5D19F5E3" w14:textId="77777777" w:rsidR="008A19A5" w:rsidRPr="00647D81" w:rsidRDefault="008A19A5" w:rsidP="008A19A5">
            <w:pPr>
              <w:pStyle w:val="AnnexTableCellLeft"/>
              <w:spacing w:line="240" w:lineRule="auto"/>
              <w:jc w:val="center"/>
              <w:rPr>
                <w:rFonts w:ascii="Helvetica" w:hAnsi="Helvetica"/>
                <w:sz w:val="14"/>
                <w:szCs w:val="14"/>
                <w:lang w:val="en-IN"/>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47FAE29A"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7ED3FF50"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25F6AA4F"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tcBorders>
            <w:shd w:val="clear" w:color="auto" w:fill="FFFFFF"/>
            <w:tcMar>
              <w:top w:w="10" w:type="dxa"/>
              <w:bottom w:w="10" w:type="dxa"/>
            </w:tcMar>
            <w:vAlign w:val="center"/>
          </w:tcPr>
          <w:p w14:paraId="02F05120"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5864E37C"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tcBorders>
            <w:shd w:val="clear" w:color="auto" w:fill="FFFFFF"/>
            <w:tcMar>
              <w:top w:w="10" w:type="dxa"/>
              <w:bottom w:w="10" w:type="dxa"/>
            </w:tcMar>
            <w:vAlign w:val="center"/>
          </w:tcPr>
          <w:p w14:paraId="3177E1FE"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5F25A4DD"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42329916"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auto"/>
              <w:left w:val="single" w:sz="4" w:space="0" w:color="auto"/>
              <w:right w:val="single" w:sz="4" w:space="0" w:color="auto"/>
            </w:tcBorders>
            <w:shd w:val="clear" w:color="auto" w:fill="FFFFFF"/>
            <w:tcMar>
              <w:top w:w="10" w:type="dxa"/>
              <w:bottom w:w="10" w:type="dxa"/>
              <w:right w:w="0" w:type="dxa"/>
            </w:tcMar>
            <w:vAlign w:val="center"/>
          </w:tcPr>
          <w:p w14:paraId="2A27C2ED"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5D721AC8" w14:textId="77777777" w:rsidTr="008A19A5">
        <w:trPr>
          <w:trHeight w:val="20"/>
        </w:trPr>
        <w:tc>
          <w:tcPr>
            <w:tcW w:w="238" w:type="dxa"/>
            <w:tcBorders>
              <w:top w:val="single" w:sz="4" w:space="0" w:color="auto"/>
              <w:left w:val="single" w:sz="4" w:space="0" w:color="auto"/>
              <w:bottom w:val="single" w:sz="4" w:space="0" w:color="auto"/>
            </w:tcBorders>
            <w:shd w:val="clear" w:color="auto" w:fill="FFFFFF"/>
            <w:tcMar>
              <w:top w:w="10" w:type="dxa"/>
              <w:left w:w="0" w:type="dxa"/>
              <w:bottom w:w="10" w:type="dxa"/>
            </w:tcMar>
            <w:vAlign w:val="center"/>
          </w:tcPr>
          <w:p w14:paraId="57952B4D"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5</w:t>
            </w:r>
          </w:p>
        </w:tc>
        <w:tc>
          <w:tcPr>
            <w:tcW w:w="3553"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10AB1FAA"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Investeringsrådgivning</w:t>
            </w:r>
          </w:p>
        </w:tc>
        <w:tc>
          <w:tcPr>
            <w:tcW w:w="132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0FEA6572"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2E429218"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14:paraId="4AEB67BA"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43F72F93"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7CE8EE8B"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0F144A07"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1868A804"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02026125"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30558B0E"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5CC45DEC"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7453FC4D"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auto"/>
            </w:tcBorders>
            <w:shd w:val="clear" w:color="auto" w:fill="FFFFFF"/>
            <w:tcMar>
              <w:top w:w="10" w:type="dxa"/>
              <w:bottom w:w="10" w:type="dxa"/>
            </w:tcMar>
            <w:vAlign w:val="center"/>
          </w:tcPr>
          <w:p w14:paraId="55030072"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right w:w="0" w:type="dxa"/>
            </w:tcMar>
            <w:vAlign w:val="center"/>
          </w:tcPr>
          <w:p w14:paraId="6F34F399"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248BBC88" w14:textId="77777777" w:rsidTr="008A19A5">
        <w:trPr>
          <w:trHeight w:val="20"/>
        </w:trPr>
        <w:tc>
          <w:tcPr>
            <w:tcW w:w="238" w:type="dxa"/>
            <w:tcBorders>
              <w:top w:val="single" w:sz="4" w:space="0" w:color="auto"/>
              <w:left w:val="single" w:sz="4" w:space="0" w:color="auto"/>
            </w:tcBorders>
            <w:shd w:val="clear" w:color="auto" w:fill="FFFFFF"/>
            <w:tcMar>
              <w:top w:w="10" w:type="dxa"/>
              <w:left w:w="0" w:type="dxa"/>
              <w:bottom w:w="10" w:type="dxa"/>
            </w:tcMar>
            <w:vAlign w:val="center"/>
          </w:tcPr>
          <w:p w14:paraId="7D7A6190"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6</w:t>
            </w:r>
          </w:p>
        </w:tc>
        <w:tc>
          <w:tcPr>
            <w:tcW w:w="3553" w:type="dxa"/>
            <w:tcBorders>
              <w:top w:val="single" w:sz="4" w:space="0" w:color="auto"/>
              <w:left w:val="single" w:sz="4" w:space="0" w:color="auto"/>
            </w:tcBorders>
            <w:shd w:val="clear" w:color="auto" w:fill="FFFFFF"/>
            <w:tcMar>
              <w:top w:w="10" w:type="dxa"/>
              <w:bottom w:w="10" w:type="dxa"/>
            </w:tcMar>
            <w:vAlign w:val="center"/>
          </w:tcPr>
          <w:p w14:paraId="5AFDDBA1"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Fulltegningsgaranti for finansielle instrumenter og/eller plassering av finansielle instrumenter på grunnlag av bindende tilsagn</w:t>
            </w:r>
          </w:p>
        </w:tc>
        <w:tc>
          <w:tcPr>
            <w:tcW w:w="1320" w:type="dxa"/>
            <w:tcBorders>
              <w:top w:val="single" w:sz="4" w:space="0" w:color="auto"/>
              <w:left w:val="single" w:sz="4" w:space="0" w:color="auto"/>
            </w:tcBorders>
            <w:shd w:val="clear" w:color="auto" w:fill="FFFFFF"/>
            <w:tcMar>
              <w:top w:w="10" w:type="dxa"/>
              <w:bottom w:w="10" w:type="dxa"/>
            </w:tcMar>
            <w:vAlign w:val="center"/>
          </w:tcPr>
          <w:p w14:paraId="57DF9551"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3770187F"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auto"/>
              <w:left w:val="single" w:sz="4" w:space="0" w:color="auto"/>
              <w:right w:val="single" w:sz="4" w:space="0" w:color="auto"/>
            </w:tcBorders>
            <w:shd w:val="clear" w:color="auto" w:fill="FFFFFF"/>
            <w:tcMar>
              <w:top w:w="10" w:type="dxa"/>
              <w:bottom w:w="10" w:type="dxa"/>
            </w:tcMar>
            <w:vAlign w:val="center"/>
          </w:tcPr>
          <w:p w14:paraId="62689255"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auto"/>
              <w:left w:val="single" w:sz="4" w:space="0" w:color="auto"/>
            </w:tcBorders>
            <w:shd w:val="clear" w:color="auto" w:fill="FFFFFF"/>
            <w:tcMar>
              <w:top w:w="10" w:type="dxa"/>
              <w:bottom w:w="10" w:type="dxa"/>
            </w:tcMar>
            <w:vAlign w:val="center"/>
          </w:tcPr>
          <w:p w14:paraId="60C2AAAF"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271AD351"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4B2998CD"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tcBorders>
            <w:shd w:val="clear" w:color="auto" w:fill="FFFFFF"/>
            <w:tcMar>
              <w:top w:w="10" w:type="dxa"/>
              <w:bottom w:w="10" w:type="dxa"/>
            </w:tcMar>
            <w:vAlign w:val="center"/>
          </w:tcPr>
          <w:p w14:paraId="15D7CA2A"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tcBorders>
            <w:shd w:val="clear" w:color="auto" w:fill="FFFFFF"/>
            <w:tcMar>
              <w:top w:w="10" w:type="dxa"/>
              <w:bottom w:w="10" w:type="dxa"/>
            </w:tcMar>
            <w:vAlign w:val="center"/>
          </w:tcPr>
          <w:p w14:paraId="127370FF"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tcBorders>
            <w:shd w:val="clear" w:color="auto" w:fill="FFFFFF"/>
            <w:tcMar>
              <w:top w:w="10" w:type="dxa"/>
              <w:bottom w:w="10" w:type="dxa"/>
            </w:tcMar>
            <w:vAlign w:val="center"/>
          </w:tcPr>
          <w:p w14:paraId="71C2A1E7"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tcBorders>
            <w:shd w:val="clear" w:color="auto" w:fill="FFFFFF"/>
            <w:tcMar>
              <w:top w:w="10" w:type="dxa"/>
              <w:bottom w:w="10" w:type="dxa"/>
            </w:tcMar>
            <w:vAlign w:val="center"/>
          </w:tcPr>
          <w:p w14:paraId="52CA0EC2"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2CA4FB6C"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tcBorders>
            <w:shd w:val="clear" w:color="auto" w:fill="FFFFFF"/>
            <w:tcMar>
              <w:top w:w="10" w:type="dxa"/>
              <w:bottom w:w="10" w:type="dxa"/>
            </w:tcMar>
            <w:vAlign w:val="center"/>
          </w:tcPr>
          <w:p w14:paraId="504E3AFF"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auto"/>
              <w:left w:val="single" w:sz="4" w:space="0" w:color="auto"/>
              <w:right w:val="single" w:sz="4" w:space="0" w:color="auto"/>
            </w:tcBorders>
            <w:shd w:val="clear" w:color="auto" w:fill="FFFFFF"/>
            <w:tcMar>
              <w:top w:w="10" w:type="dxa"/>
              <w:bottom w:w="10" w:type="dxa"/>
              <w:right w:w="0" w:type="dxa"/>
            </w:tcMar>
            <w:vAlign w:val="center"/>
          </w:tcPr>
          <w:p w14:paraId="643A1D87"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0D8B372B" w14:textId="77777777" w:rsidTr="000E37B8">
        <w:trPr>
          <w:trHeight w:val="20"/>
        </w:trPr>
        <w:tc>
          <w:tcPr>
            <w:tcW w:w="238" w:type="dxa"/>
            <w:tcBorders>
              <w:top w:val="single" w:sz="4" w:space="0" w:color="auto"/>
              <w:left w:val="single" w:sz="4" w:space="0" w:color="auto"/>
              <w:bottom w:val="single" w:sz="4" w:space="0" w:color="000000"/>
            </w:tcBorders>
            <w:shd w:val="clear" w:color="auto" w:fill="FFFFFF"/>
            <w:tcMar>
              <w:top w:w="10" w:type="dxa"/>
              <w:left w:w="0" w:type="dxa"/>
              <w:bottom w:w="10" w:type="dxa"/>
            </w:tcMar>
            <w:vAlign w:val="center"/>
          </w:tcPr>
          <w:p w14:paraId="1FCC63E2"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7</w:t>
            </w:r>
          </w:p>
        </w:tc>
        <w:tc>
          <w:tcPr>
            <w:tcW w:w="3553"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7F208A99"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Plassering av finansielle instrumenter uten bindende tilsagn</w:t>
            </w:r>
          </w:p>
        </w:tc>
        <w:tc>
          <w:tcPr>
            <w:tcW w:w="1320"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1E7203F3"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170E3834"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auto"/>
              <w:left w:val="single" w:sz="4" w:space="0" w:color="auto"/>
              <w:bottom w:val="single" w:sz="4" w:space="0" w:color="000000"/>
              <w:right w:val="single" w:sz="4" w:space="0" w:color="auto"/>
            </w:tcBorders>
            <w:shd w:val="clear" w:color="auto" w:fill="FFFFFF"/>
            <w:tcMar>
              <w:top w:w="10" w:type="dxa"/>
              <w:bottom w:w="10" w:type="dxa"/>
            </w:tcMar>
            <w:vAlign w:val="center"/>
          </w:tcPr>
          <w:p w14:paraId="178EDBD7"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5E947C61"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017474B3"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6BADBA3C"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02CE8D62"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491291BD"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686DCEC9"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57A2DEAB"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1E45244F"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auto"/>
              <w:left w:val="single" w:sz="4" w:space="0" w:color="auto"/>
              <w:bottom w:val="single" w:sz="4" w:space="0" w:color="000000"/>
            </w:tcBorders>
            <w:shd w:val="clear" w:color="auto" w:fill="FFFFFF"/>
            <w:tcMar>
              <w:top w:w="10" w:type="dxa"/>
              <w:bottom w:w="10" w:type="dxa"/>
            </w:tcMar>
            <w:vAlign w:val="center"/>
          </w:tcPr>
          <w:p w14:paraId="5D8EAA89"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auto"/>
              <w:left w:val="single" w:sz="4" w:space="0" w:color="auto"/>
              <w:bottom w:val="single" w:sz="4" w:space="0" w:color="000000"/>
              <w:right w:val="single" w:sz="4" w:space="0" w:color="auto"/>
            </w:tcBorders>
            <w:shd w:val="clear" w:color="auto" w:fill="FFFFFF"/>
            <w:tcMar>
              <w:top w:w="10" w:type="dxa"/>
              <w:bottom w:w="10" w:type="dxa"/>
              <w:right w:w="0" w:type="dxa"/>
            </w:tcMar>
            <w:vAlign w:val="center"/>
          </w:tcPr>
          <w:p w14:paraId="453140AE"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0B32408E" w14:textId="77777777" w:rsidTr="000E37B8">
        <w:trPr>
          <w:trHeight w:val="20"/>
        </w:trPr>
        <w:tc>
          <w:tcPr>
            <w:tcW w:w="238" w:type="dxa"/>
            <w:tcBorders>
              <w:top w:val="single" w:sz="4" w:space="0" w:color="000000"/>
              <w:left w:val="single" w:sz="4" w:space="0" w:color="000000"/>
              <w:bottom w:val="single" w:sz="4" w:space="0" w:color="000000"/>
              <w:right w:val="single" w:sz="4" w:space="0" w:color="000000"/>
            </w:tcBorders>
            <w:shd w:val="clear" w:color="auto" w:fill="FFFFFF"/>
            <w:tcMar>
              <w:top w:w="10" w:type="dxa"/>
              <w:left w:w="0" w:type="dxa"/>
              <w:bottom w:w="10" w:type="dxa"/>
            </w:tcMar>
            <w:vAlign w:val="center"/>
          </w:tcPr>
          <w:p w14:paraId="30D02BF0"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8</w:t>
            </w:r>
          </w:p>
        </w:tc>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D325C52"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Drift av en multilateral handelsfasilitet (MHF)</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500C903A"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0D05E421"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60D7E69"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EB7535E"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1A061318"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7617404E"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750AE033"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D480C13"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1003FF02"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045ABBDC"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27E58904"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2BC62ABB"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right w:w="0" w:type="dxa"/>
            </w:tcMar>
            <w:vAlign w:val="center"/>
          </w:tcPr>
          <w:p w14:paraId="6C621E53"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69510D94" w14:textId="77777777" w:rsidTr="000E37B8">
        <w:trPr>
          <w:trHeight w:val="20"/>
        </w:trPr>
        <w:tc>
          <w:tcPr>
            <w:tcW w:w="238" w:type="dxa"/>
            <w:tcBorders>
              <w:top w:val="single" w:sz="4" w:space="0" w:color="000000"/>
              <w:left w:val="single" w:sz="4" w:space="0" w:color="000000"/>
              <w:bottom w:val="single" w:sz="4" w:space="0" w:color="000000"/>
              <w:right w:val="single" w:sz="4" w:space="0" w:color="000000"/>
            </w:tcBorders>
            <w:shd w:val="clear" w:color="auto" w:fill="FFFFFF"/>
            <w:tcMar>
              <w:top w:w="10" w:type="dxa"/>
              <w:left w:w="0" w:type="dxa"/>
              <w:bottom w:w="10" w:type="dxa"/>
            </w:tcMar>
            <w:vAlign w:val="center"/>
          </w:tcPr>
          <w:p w14:paraId="21E3385E"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9</w:t>
            </w:r>
          </w:p>
        </w:tc>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24F62B24"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Drift av en organisert handelsfasilitet (OHF)</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12E1D860"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7D369B9C"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2FCAD7A"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2297FA43"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B68A71E"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8E00E61"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069468F9"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068BC1BF"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A947316"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6C0FDD65"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7AD53B1"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0F708BA4"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right w:w="0" w:type="dxa"/>
            </w:tcMar>
            <w:vAlign w:val="center"/>
          </w:tcPr>
          <w:p w14:paraId="6BA9B9FD"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56831C31" w14:textId="77777777" w:rsidTr="000E37B8">
        <w:trPr>
          <w:trHeight w:val="20"/>
        </w:trPr>
        <w:tc>
          <w:tcPr>
            <w:tcW w:w="238" w:type="dxa"/>
            <w:tcBorders>
              <w:top w:val="single" w:sz="4" w:space="0" w:color="000000"/>
              <w:left w:val="single" w:sz="4" w:space="0" w:color="000000"/>
              <w:bottom w:val="single" w:sz="4" w:space="0" w:color="000000"/>
              <w:right w:val="single" w:sz="4" w:space="0" w:color="000000"/>
            </w:tcBorders>
            <w:shd w:val="clear" w:color="auto" w:fill="FFFFFF"/>
            <w:tcMar>
              <w:top w:w="10" w:type="dxa"/>
              <w:left w:w="0" w:type="dxa"/>
              <w:bottom w:w="10" w:type="dxa"/>
            </w:tcMar>
            <w:vAlign w:val="center"/>
          </w:tcPr>
          <w:p w14:paraId="6582CB8B"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65C77919"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Hvorav eksponeringer som tas med på frivillig grunnlag (5)</w:t>
            </w: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07D999C"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5D7AD43B"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4C2CBE1D"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6B8640D7"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18725DF0"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768A6DF7"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7A99C42"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00DC6FD0"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23BA3E41"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3AF3063A"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1842B068"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517652F5"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right w:w="0" w:type="dxa"/>
            </w:tcMar>
            <w:vAlign w:val="center"/>
          </w:tcPr>
          <w:p w14:paraId="43595E4A"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3B1FBBF3" w14:textId="77777777" w:rsidTr="000E37B8">
        <w:trPr>
          <w:trHeight w:val="20"/>
        </w:trPr>
        <w:tc>
          <w:tcPr>
            <w:tcW w:w="238" w:type="dxa"/>
            <w:tcBorders>
              <w:top w:val="single" w:sz="4" w:space="0" w:color="000000"/>
              <w:left w:val="single" w:sz="4" w:space="0" w:color="000000"/>
              <w:bottom w:val="single" w:sz="4" w:space="0" w:color="000000"/>
              <w:right w:val="single" w:sz="4" w:space="0" w:color="000000"/>
            </w:tcBorders>
            <w:shd w:val="clear" w:color="auto" w:fill="FFFFFF"/>
            <w:tcMar>
              <w:top w:w="10" w:type="dxa"/>
              <w:left w:w="0" w:type="dxa"/>
              <w:bottom w:w="10" w:type="dxa"/>
            </w:tcMar>
            <w:vAlign w:val="center"/>
          </w:tcPr>
          <w:p w14:paraId="7EDD5F6F"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11</w:t>
            </w:r>
          </w:p>
        </w:tc>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0DA32B26"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Hvorav kjernefysiske aktiviteter (6)</w:t>
            </w:r>
          </w:p>
        </w:tc>
        <w:tc>
          <w:tcPr>
            <w:tcW w:w="1320"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47BB142A"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6F017469"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25DBC23A"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7AB6FC11"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58F0FF93"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30899DB8"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2A74643A"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4E35CA61"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00A1C5C1"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592C40C6"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11BDC699"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38789248"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right w:w="0" w:type="dxa"/>
            </w:tcMar>
            <w:vAlign w:val="center"/>
          </w:tcPr>
          <w:p w14:paraId="04909E90" w14:textId="77777777" w:rsidR="008A19A5" w:rsidRPr="00647D81" w:rsidRDefault="008A19A5" w:rsidP="008A19A5">
            <w:pPr>
              <w:pStyle w:val="AnnexTableCellLeft"/>
              <w:spacing w:line="240" w:lineRule="auto"/>
              <w:jc w:val="center"/>
              <w:rPr>
                <w:rFonts w:ascii="Helvetica" w:hAnsi="Helvetica"/>
                <w:sz w:val="14"/>
                <w:szCs w:val="14"/>
              </w:rPr>
            </w:pPr>
          </w:p>
        </w:tc>
      </w:tr>
      <w:tr w:rsidR="008A19A5" w:rsidRPr="00647D81" w14:paraId="36D1E276" w14:textId="77777777" w:rsidTr="000E37B8">
        <w:trPr>
          <w:trHeight w:val="20"/>
        </w:trPr>
        <w:tc>
          <w:tcPr>
            <w:tcW w:w="238" w:type="dxa"/>
            <w:tcBorders>
              <w:top w:val="single" w:sz="4" w:space="0" w:color="000000"/>
              <w:left w:val="single" w:sz="4" w:space="0" w:color="000000"/>
              <w:bottom w:val="single" w:sz="4" w:space="0" w:color="000000"/>
              <w:right w:val="single" w:sz="4" w:space="0" w:color="000000"/>
            </w:tcBorders>
            <w:shd w:val="clear" w:color="auto" w:fill="FFFFFF"/>
            <w:tcMar>
              <w:top w:w="10" w:type="dxa"/>
              <w:left w:w="0" w:type="dxa"/>
              <w:bottom w:w="10" w:type="dxa"/>
            </w:tcMar>
            <w:vAlign w:val="center"/>
          </w:tcPr>
          <w:p w14:paraId="4B7A379D" w14:textId="77777777" w:rsidR="008A19A5" w:rsidRPr="00647D81" w:rsidRDefault="008A19A5" w:rsidP="008A19A5">
            <w:pPr>
              <w:pStyle w:val="AnnexTableCellLeft"/>
              <w:spacing w:line="240" w:lineRule="auto"/>
              <w:jc w:val="center"/>
              <w:rPr>
                <w:rFonts w:ascii="Helvetica" w:hAnsi="Helvetica"/>
                <w:sz w:val="14"/>
                <w:szCs w:val="14"/>
              </w:rPr>
            </w:pPr>
            <w:r>
              <w:rPr>
                <w:rFonts w:ascii="Helvetica" w:hAnsi="Helvetica"/>
                <w:sz w:val="14"/>
              </w:rPr>
              <w:t>12</w:t>
            </w:r>
          </w:p>
        </w:tc>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2AB44FD0" w14:textId="77777777" w:rsidR="008A19A5" w:rsidRPr="00647D81" w:rsidRDefault="008A19A5" w:rsidP="008A19A5">
            <w:pPr>
              <w:pStyle w:val="AnnexTableCellLeft"/>
              <w:spacing w:line="240" w:lineRule="auto"/>
              <w:ind w:left="300"/>
              <w:jc w:val="left"/>
              <w:rPr>
                <w:rFonts w:ascii="Helvetica" w:hAnsi="Helvetica"/>
                <w:sz w:val="14"/>
                <w:szCs w:val="14"/>
              </w:rPr>
            </w:pPr>
            <w:r>
              <w:rPr>
                <w:rFonts w:ascii="Helvetica" w:hAnsi="Helvetica"/>
                <w:sz w:val="14"/>
              </w:rPr>
              <w:t>Hvorav fossilgassaktiviteter (7)</w:t>
            </w:r>
          </w:p>
        </w:tc>
        <w:tc>
          <w:tcPr>
            <w:tcW w:w="1320"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6266A6DE" w14:textId="77777777" w:rsidR="008A19A5" w:rsidRPr="00647D81" w:rsidRDefault="008A19A5" w:rsidP="008A19A5">
            <w:pPr>
              <w:pStyle w:val="AnnexTableCellLeft"/>
              <w:spacing w:line="240" w:lineRule="auto"/>
              <w:ind w:left="40"/>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171C775B" w14:textId="77777777" w:rsidR="008A19A5" w:rsidRPr="00647D81" w:rsidRDefault="008A19A5" w:rsidP="008A19A5">
            <w:pPr>
              <w:pStyle w:val="AnnexTableCellLeft"/>
              <w:spacing w:line="240" w:lineRule="auto"/>
              <w:jc w:val="center"/>
              <w:rPr>
                <w:rFonts w:ascii="Helvetica" w:hAnsi="Helvetica"/>
                <w:sz w:val="14"/>
                <w:szCs w:val="14"/>
              </w:rPr>
            </w:pPr>
          </w:p>
        </w:tc>
        <w:tc>
          <w:tcPr>
            <w:tcW w:w="768"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tcPr>
          <w:p w14:paraId="3A1B9655" w14:textId="77777777" w:rsidR="008A19A5" w:rsidRPr="00647D81" w:rsidRDefault="008A19A5" w:rsidP="008A19A5">
            <w:pPr>
              <w:pStyle w:val="AnnexTableCellLeft"/>
              <w:spacing w:line="240" w:lineRule="auto"/>
              <w:jc w:val="center"/>
              <w:rPr>
                <w:rFonts w:ascii="Helvetica" w:hAnsi="Helvetica"/>
                <w:sz w:val="14"/>
                <w:szCs w:val="14"/>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bottom w:w="10" w:type="dxa"/>
            </w:tcMar>
            <w:vAlign w:val="center"/>
          </w:tcPr>
          <w:p w14:paraId="4F62FE2A"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23BD6F72"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35692841" w14:textId="77777777" w:rsidR="008A19A5" w:rsidRPr="00647D81" w:rsidRDefault="008A19A5" w:rsidP="008A19A5">
            <w:pPr>
              <w:pStyle w:val="AnnexTableCellLeft"/>
              <w:spacing w:line="240" w:lineRule="auto"/>
              <w:jc w:val="center"/>
              <w:rPr>
                <w:rFonts w:ascii="Helvetica" w:hAnsi="Helvetica"/>
                <w:sz w:val="14"/>
                <w:szCs w:val="14"/>
              </w:rPr>
            </w:pPr>
          </w:p>
        </w:tc>
        <w:tc>
          <w:tcPr>
            <w:tcW w:w="73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1E3A162A" w14:textId="77777777" w:rsidR="008A19A5" w:rsidRPr="00647D81" w:rsidRDefault="008A19A5" w:rsidP="008A19A5">
            <w:pPr>
              <w:pStyle w:val="AnnexTableCellLeft"/>
              <w:spacing w:line="240" w:lineRule="auto"/>
              <w:jc w:val="center"/>
              <w:rPr>
                <w:rFonts w:ascii="Helvetica" w:hAnsi="Helvetica"/>
                <w:sz w:val="14"/>
                <w:szCs w:val="14"/>
              </w:rPr>
            </w:pPr>
          </w:p>
        </w:tc>
        <w:tc>
          <w:tcPr>
            <w:tcW w:w="684"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357106DA" w14:textId="77777777" w:rsidR="008A19A5" w:rsidRPr="00647D81" w:rsidRDefault="008A19A5" w:rsidP="008A19A5">
            <w:pPr>
              <w:pStyle w:val="AnnexTableCellLeft"/>
              <w:spacing w:line="240" w:lineRule="auto"/>
              <w:jc w:val="center"/>
              <w:rPr>
                <w:rFonts w:ascii="Helvetica" w:hAnsi="Helvetica"/>
                <w:sz w:val="14"/>
                <w:szCs w:val="14"/>
              </w:rPr>
            </w:pPr>
          </w:p>
        </w:tc>
        <w:tc>
          <w:tcPr>
            <w:tcW w:w="744"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4C209882" w14:textId="77777777" w:rsidR="008A19A5" w:rsidRPr="00647D81" w:rsidRDefault="008A19A5" w:rsidP="008A19A5">
            <w:pPr>
              <w:pStyle w:val="AnnexTableCellLeft"/>
              <w:spacing w:line="240" w:lineRule="auto"/>
              <w:jc w:val="center"/>
              <w:rPr>
                <w:rFonts w:ascii="Helvetica" w:hAnsi="Helvetica"/>
                <w:sz w:val="14"/>
                <w:szCs w:val="14"/>
              </w:rPr>
            </w:pPr>
          </w:p>
        </w:tc>
        <w:tc>
          <w:tcPr>
            <w:tcW w:w="67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19879FBA"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030756A6" w14:textId="77777777" w:rsidR="008A19A5" w:rsidRPr="00647D81" w:rsidRDefault="008A19A5" w:rsidP="008A19A5">
            <w:pPr>
              <w:pStyle w:val="AnnexTableCellLeft"/>
              <w:spacing w:line="240" w:lineRule="auto"/>
              <w:jc w:val="center"/>
              <w:rPr>
                <w:rFonts w:ascii="Helvetica" w:hAnsi="Helvetica"/>
                <w:sz w:val="14"/>
                <w:szCs w:val="14"/>
              </w:rPr>
            </w:pPr>
          </w:p>
        </w:tc>
        <w:tc>
          <w:tcPr>
            <w:tcW w:w="852"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tcMar>
            <w:vAlign w:val="center"/>
          </w:tcPr>
          <w:p w14:paraId="4B93DAFF" w14:textId="77777777" w:rsidR="008A19A5" w:rsidRPr="00647D81" w:rsidRDefault="008A19A5" w:rsidP="008A19A5">
            <w:pPr>
              <w:pStyle w:val="AnnexTableCellLeft"/>
              <w:spacing w:line="240" w:lineRule="auto"/>
              <w:jc w:val="center"/>
              <w:rPr>
                <w:rFonts w:ascii="Helvetica" w:hAnsi="Helvetica"/>
                <w:sz w:val="14"/>
                <w:szCs w:val="14"/>
              </w:rPr>
            </w:pPr>
          </w:p>
        </w:tc>
        <w:tc>
          <w:tcPr>
            <w:tcW w:w="756" w:type="dxa"/>
            <w:tcBorders>
              <w:top w:val="single" w:sz="4" w:space="0" w:color="000000"/>
              <w:left w:val="single" w:sz="4" w:space="0" w:color="000000"/>
              <w:bottom w:val="single" w:sz="4" w:space="0" w:color="000000"/>
              <w:right w:val="single" w:sz="4" w:space="0" w:color="000000"/>
            </w:tcBorders>
            <w:shd w:val="clear" w:color="auto" w:fill="000000" w:themeFill="text1"/>
            <w:tcMar>
              <w:top w:w="10" w:type="dxa"/>
              <w:bottom w:w="10" w:type="dxa"/>
              <w:right w:w="0" w:type="dxa"/>
            </w:tcMar>
            <w:vAlign w:val="center"/>
          </w:tcPr>
          <w:p w14:paraId="0245476D" w14:textId="77777777" w:rsidR="008A19A5" w:rsidRPr="00647D81" w:rsidRDefault="008A19A5" w:rsidP="008A19A5">
            <w:pPr>
              <w:pStyle w:val="AnnexTableCellLeft"/>
              <w:spacing w:line="240" w:lineRule="auto"/>
              <w:jc w:val="center"/>
              <w:rPr>
                <w:rFonts w:ascii="Helvetica" w:hAnsi="Helvetica"/>
                <w:sz w:val="14"/>
                <w:szCs w:val="14"/>
              </w:rPr>
            </w:pPr>
          </w:p>
        </w:tc>
      </w:tr>
    </w:tbl>
    <w:p w14:paraId="2CE995BF" w14:textId="5B0EB21F" w:rsidR="00B7012D" w:rsidRPr="009A21EF" w:rsidRDefault="00B7012D" w:rsidP="009A21EF">
      <w:pPr>
        <w:pStyle w:val="AnnexNormal"/>
        <w:spacing w:before="200" w:after="0"/>
      </w:pPr>
      <w:r>
        <w:t>1) % av eiendeler som er omfattet av taksonomien, i forhold til dekkede eiendeler</w:t>
      </w:r>
    </w:p>
    <w:p w14:paraId="182298CE" w14:textId="5DD44054" w:rsidR="00B7012D" w:rsidRPr="009A21EF" w:rsidRDefault="00B7012D" w:rsidP="009A21EF">
      <w:pPr>
        <w:pStyle w:val="AnnexNormal"/>
        <w:spacing w:after="0"/>
      </w:pPr>
      <w:r>
        <w:t>2) % av taksonomiforenlige eiendeler i forhold til dekkede eiendeler</w:t>
      </w:r>
    </w:p>
    <w:p w14:paraId="024CD734" w14:textId="4F58BD2A" w:rsidR="00B7012D" w:rsidRPr="009A21EF" w:rsidRDefault="00B7012D" w:rsidP="009A21EF">
      <w:pPr>
        <w:pStyle w:val="AnnexNormal"/>
        <w:spacing w:after="0"/>
      </w:pPr>
      <w:r>
        <w:t xml:space="preserve">3) </w:t>
      </w:r>
      <w:r w:rsidR="005605F3">
        <w:t>F</w:t>
      </w:r>
      <w:r>
        <w:t>oretak skal duplisere denne malen for opplysninger basert på omsetning og investeringsutgifter</w:t>
      </w:r>
    </w:p>
    <w:p w14:paraId="58E89A7D" w14:textId="1CACBBC3" w:rsidR="00B7012D" w:rsidRPr="009A21EF" w:rsidRDefault="00B7012D" w:rsidP="009A21EF">
      <w:pPr>
        <w:pStyle w:val="AnnexNormal"/>
        <w:spacing w:after="0"/>
      </w:pPr>
      <w:r>
        <w:t xml:space="preserve">4) </w:t>
      </w:r>
      <w:r w:rsidR="005605F3">
        <w:t>I</w:t>
      </w:r>
      <w:r>
        <w:t xml:space="preserve"> samsvar med artikkel 7 nr. 8 i denne forordningen</w:t>
      </w:r>
    </w:p>
    <w:p w14:paraId="6E7B9AE1" w14:textId="45F76B53" w:rsidR="00B7012D" w:rsidRPr="009A21EF" w:rsidRDefault="00B7012D" w:rsidP="009A21EF">
      <w:pPr>
        <w:pStyle w:val="AnnexNormal"/>
        <w:spacing w:after="0"/>
      </w:pPr>
      <w:r>
        <w:t xml:space="preserve">5) </w:t>
      </w:r>
      <w:r w:rsidR="005605F3">
        <w:t>I</w:t>
      </w:r>
      <w:r>
        <w:t xml:space="preserve"> samsvar med artikkel 7 nr. 3 i denne forordningen</w:t>
      </w:r>
    </w:p>
    <w:p w14:paraId="16F1A90B" w14:textId="21805533" w:rsidR="00B7012D" w:rsidRPr="009A21EF" w:rsidRDefault="00B7012D" w:rsidP="009A21EF">
      <w:pPr>
        <w:pStyle w:val="AnnexNormal"/>
        <w:spacing w:after="0"/>
      </w:pPr>
      <w:r>
        <w:t xml:space="preserve">5) </w:t>
      </w:r>
      <w:r w:rsidR="005605F3">
        <w:t>N</w:t>
      </w:r>
      <w:r>
        <w:t>evnt i avsnitt 4.26, 4.27 og 4.28 i vedlegg I og II til delegert forordning 2021/2139</w:t>
      </w:r>
    </w:p>
    <w:p w14:paraId="188ED148" w14:textId="6FF036EB" w:rsidR="00A65C9C" w:rsidRDefault="00B7012D" w:rsidP="00223CA0">
      <w:pPr>
        <w:pStyle w:val="AnnexNormal"/>
        <w:spacing w:after="0"/>
      </w:pPr>
      <w:r>
        <w:t xml:space="preserve">6) </w:t>
      </w:r>
      <w:r w:rsidR="005605F3">
        <w:t>N</w:t>
      </w:r>
      <w:r>
        <w:t>evnt i avsnitt 4.29, 4.30 og 4.31 i vedlegg I og II til delegert forordning 2021/2139»</w:t>
      </w:r>
    </w:p>
    <w:p w14:paraId="6072710C" w14:textId="77777777" w:rsidR="00F31590" w:rsidRDefault="00F31590" w:rsidP="009A21EF">
      <w:pPr>
        <w:pStyle w:val="AnnexNormal"/>
        <w:sectPr w:rsidR="00F31590" w:rsidSect="00A65C9C">
          <w:pgSz w:w="16838" w:h="11906" w:orient="landscape" w:code="9"/>
          <w:pgMar w:top="1120" w:right="1680" w:bottom="1120" w:left="840" w:header="920" w:footer="280" w:gutter="0"/>
          <w:cols w:space="708"/>
          <w:docGrid w:linePitch="360"/>
        </w:sectPr>
      </w:pPr>
    </w:p>
    <w:p w14:paraId="6E356233" w14:textId="77777777" w:rsidR="00F31590" w:rsidRDefault="00F31590">
      <w:pPr>
        <w:pStyle w:val="AnnexTI"/>
        <w:spacing w:after="360"/>
        <w:rPr>
          <w:b/>
          <w:i w:val="0"/>
          <w:u w:val="single"/>
        </w:rPr>
      </w:pPr>
      <w:r>
        <w:rPr>
          <w:b/>
          <w:i w:val="0"/>
          <w:u w:val="single"/>
        </w:rPr>
        <w:lastRenderedPageBreak/>
        <w:t xml:space="preserve">VEDLEGG IX </w:t>
      </w:r>
    </w:p>
    <w:p w14:paraId="11051DD7" w14:textId="77777777" w:rsidR="00F31590" w:rsidRDefault="00F31590">
      <w:pPr>
        <w:pStyle w:val="AnnexNormal"/>
      </w:pPr>
      <w:r>
        <w:t>I vedlegg IX gjøres følgende endringer:</w:t>
      </w:r>
    </w:p>
    <w:p w14:paraId="0C567662" w14:textId="77777777" w:rsidR="00F31590" w:rsidRDefault="00F31590">
      <w:pPr>
        <w:pStyle w:val="AnnexNormal"/>
      </w:pPr>
      <w:r>
        <w:t>1) I avsnitt 1 skal andre ledd lyde:</w:t>
      </w:r>
    </w:p>
    <w:p w14:paraId="6C0846B2" w14:textId="77777777" w:rsidR="00F31590" w:rsidRDefault="00F31590">
      <w:pPr>
        <w:pStyle w:val="AnnexNormal"/>
      </w:pPr>
      <w:r>
        <w:t>«Med investeringer menes alle direkte og indirekte investeringer og eksponeringer som er omfattet av artikkel 7 nr. 6, herunder investeringer i innretninger for kollektiv investering og kapitalinteresser, lån og pantelån.»</w:t>
      </w:r>
    </w:p>
    <w:p w14:paraId="148D043E" w14:textId="77777777" w:rsidR="00F31590" w:rsidRDefault="00F31590">
      <w:pPr>
        <w:pStyle w:val="AnnexNormal"/>
      </w:pPr>
      <w:r>
        <w:t>2) I avsnitt 1 tredje ledd skal andre punktum lyde:</w:t>
      </w:r>
    </w:p>
    <w:p w14:paraId="00E86F75" w14:textId="77777777" w:rsidR="00F31590" w:rsidRDefault="00F31590">
      <w:pPr>
        <w:pStyle w:val="AnnexNormal"/>
      </w:pPr>
      <w:r>
        <w:t>«Andelen av dekkede investeringer i eksponeringer som omfattes av artikkel 7 nr. 6 i denne forordningen, i den samlede balansen, skal offentliggjøres.»</w:t>
      </w:r>
    </w:p>
    <w:p w14:paraId="70088011" w14:textId="77777777" w:rsidR="00F31590" w:rsidRDefault="00F31590">
      <w:pPr>
        <w:pStyle w:val="AnnexNormal"/>
      </w:pPr>
      <w:r>
        <w:t>3) I avsnitt 2 utgår andre og tredje ledd.</w:t>
      </w:r>
      <w:r>
        <w:br w:type="page"/>
      </w:r>
    </w:p>
    <w:p w14:paraId="1125FE98" w14:textId="71BAF289" w:rsidR="00F31590" w:rsidRDefault="00F31590">
      <w:pPr>
        <w:pStyle w:val="AnnexTI"/>
        <w:spacing w:after="360"/>
        <w:rPr>
          <w:b/>
          <w:i w:val="0"/>
          <w:u w:val="single"/>
        </w:rPr>
      </w:pPr>
      <w:r>
        <w:rPr>
          <w:b/>
          <w:i w:val="0"/>
          <w:u w:val="single"/>
        </w:rPr>
        <w:lastRenderedPageBreak/>
        <w:t xml:space="preserve">VEDLEGG X </w:t>
      </w:r>
    </w:p>
    <w:p w14:paraId="79A4DA51" w14:textId="77777777" w:rsidR="00F31590" w:rsidRDefault="00F31590">
      <w:pPr>
        <w:pStyle w:val="AnnexTI"/>
        <w:spacing w:after="360"/>
        <w:rPr>
          <w:b/>
          <w:i w:val="0"/>
        </w:rPr>
      </w:pPr>
      <w:r>
        <w:rPr>
          <w:b/>
          <w:i w:val="0"/>
        </w:rPr>
        <w:t>«VEDLEGG X</w:t>
      </w:r>
    </w:p>
    <w:p w14:paraId="4458521B" w14:textId="77777777" w:rsidR="00F31590" w:rsidRDefault="00F31590">
      <w:pPr>
        <w:pStyle w:val="AnnexNormal"/>
        <w:jc w:val="center"/>
      </w:pPr>
      <w:r>
        <w:t>MALER FOR KPI-ER FOR FORSIKRINGS- OG GJENFORSIKRINGSFORETAK</w:t>
      </w:r>
    </w:p>
    <w:p w14:paraId="0B52B93E" w14:textId="77777777" w:rsidR="00F31590" w:rsidRDefault="00F31590">
      <w:pPr>
        <w:pStyle w:val="TableTitle"/>
        <w:ind w:left="100"/>
        <w:rPr>
          <w:b/>
          <w:i/>
        </w:rPr>
      </w:pPr>
      <w:r>
        <w:rPr>
          <w:b/>
          <w:i/>
        </w:rPr>
        <w:t>Mal 1: KPI for forsikringsvirksomheten</w:t>
      </w:r>
    </w:p>
    <w:tbl>
      <w:tblPr>
        <w:tblStyle w:val="EFTATable"/>
        <w:tblW w:w="4994" w:type="pct"/>
        <w:tblInd w:w="12" w:type="dxa"/>
        <w:tblLayout w:type="fixed"/>
        <w:tblLook w:val="04A0" w:firstRow="1" w:lastRow="0" w:firstColumn="1" w:lastColumn="0" w:noHBand="0" w:noVBand="1"/>
      </w:tblPr>
      <w:tblGrid>
        <w:gridCol w:w="3448"/>
        <w:gridCol w:w="1446"/>
        <w:gridCol w:w="1446"/>
        <w:gridCol w:w="1446"/>
        <w:gridCol w:w="1448"/>
      </w:tblGrid>
      <w:tr w:rsidR="00F31590" w14:paraId="4BB00E53" w14:textId="77777777">
        <w:tc>
          <w:tcPr>
            <w:tcW w:w="1867" w:type="pct"/>
            <w:tcBorders>
              <w:left w:val="single" w:sz="4" w:space="0" w:color="auto"/>
            </w:tcBorders>
            <w:tcMar>
              <w:top w:w="60" w:type="dxa"/>
              <w:left w:w="0" w:type="dxa"/>
              <w:bottom w:w="60" w:type="dxa"/>
            </w:tcMar>
          </w:tcPr>
          <w:p w14:paraId="7F99346B" w14:textId="77777777" w:rsidR="00F31590" w:rsidRDefault="00F31590">
            <w:pPr>
              <w:pStyle w:val="AnnexTableHeader"/>
              <w:spacing w:line="200" w:lineRule="exact"/>
              <w:ind w:left="120"/>
              <w:jc w:val="left"/>
              <w:rPr>
                <w:b/>
              </w:rPr>
            </w:pPr>
            <w:r>
              <w:rPr>
                <w:b/>
              </w:rPr>
              <w:t>Referanseperiode for opplysningene t</w:t>
            </w:r>
          </w:p>
        </w:tc>
        <w:tc>
          <w:tcPr>
            <w:tcW w:w="783" w:type="pct"/>
            <w:tcMar>
              <w:top w:w="60" w:type="dxa"/>
              <w:bottom w:w="60" w:type="dxa"/>
            </w:tcMar>
          </w:tcPr>
          <w:p w14:paraId="337CF637" w14:textId="77777777" w:rsidR="00F31590" w:rsidRDefault="00F31590">
            <w:pPr>
              <w:pStyle w:val="AnnexTableHeader"/>
              <w:spacing w:line="200" w:lineRule="exact"/>
              <w:rPr>
                <w:b/>
              </w:rPr>
            </w:pPr>
          </w:p>
        </w:tc>
        <w:tc>
          <w:tcPr>
            <w:tcW w:w="2350" w:type="pct"/>
            <w:gridSpan w:val="3"/>
            <w:tcBorders>
              <w:top w:val="nil"/>
              <w:right w:val="nil"/>
            </w:tcBorders>
            <w:tcMar>
              <w:top w:w="60" w:type="dxa"/>
              <w:bottom w:w="60" w:type="dxa"/>
              <w:right w:w="0" w:type="dxa"/>
            </w:tcMar>
          </w:tcPr>
          <w:p w14:paraId="5BFE73DF" w14:textId="77777777" w:rsidR="00F31590" w:rsidRDefault="00F31590">
            <w:pPr>
              <w:pStyle w:val="AnnexTableHeader"/>
              <w:spacing w:line="200" w:lineRule="exact"/>
              <w:rPr>
                <w:b/>
              </w:rPr>
            </w:pPr>
          </w:p>
        </w:tc>
      </w:tr>
      <w:tr w:rsidR="00F31590" w14:paraId="579415B5" w14:textId="77777777">
        <w:tc>
          <w:tcPr>
            <w:tcW w:w="1867" w:type="pct"/>
            <w:tcBorders>
              <w:left w:val="single" w:sz="4" w:space="0" w:color="auto"/>
            </w:tcBorders>
            <w:tcMar>
              <w:top w:w="60" w:type="dxa"/>
              <w:left w:w="0" w:type="dxa"/>
              <w:bottom w:w="60" w:type="dxa"/>
            </w:tcMar>
            <w:vAlign w:val="center"/>
          </w:tcPr>
          <w:p w14:paraId="3C22579A" w14:textId="77777777" w:rsidR="00F31590" w:rsidRDefault="00F31590">
            <w:pPr>
              <w:pStyle w:val="AnnexTableHeader"/>
              <w:spacing w:line="200" w:lineRule="exact"/>
              <w:rPr>
                <w:b/>
              </w:rPr>
            </w:pPr>
            <w:r>
              <w:rPr>
                <w:b/>
              </w:rPr>
              <w:t>Økonomiske aktiviteter: Aktiviteter knyttet til skadeforsikrings- og gjenforsikringsvirksomhet (1)</w:t>
            </w:r>
          </w:p>
        </w:tc>
        <w:tc>
          <w:tcPr>
            <w:tcW w:w="783" w:type="pct"/>
            <w:tcMar>
              <w:top w:w="60" w:type="dxa"/>
              <w:bottom w:w="60" w:type="dxa"/>
            </w:tcMar>
            <w:vAlign w:val="center"/>
          </w:tcPr>
          <w:p w14:paraId="0C87736F" w14:textId="77777777" w:rsidR="00F31590" w:rsidRDefault="00F31590">
            <w:pPr>
              <w:pStyle w:val="AnnexTableHeader"/>
              <w:spacing w:line="200" w:lineRule="exact"/>
              <w:rPr>
                <w:b/>
              </w:rPr>
            </w:pPr>
            <w:r>
              <w:rPr>
                <w:b/>
              </w:rPr>
              <w:t>Absolutte premier, år t (2)</w:t>
            </w:r>
          </w:p>
        </w:tc>
        <w:tc>
          <w:tcPr>
            <w:tcW w:w="783" w:type="pct"/>
            <w:tcMar>
              <w:top w:w="60" w:type="dxa"/>
              <w:bottom w:w="60" w:type="dxa"/>
            </w:tcMar>
            <w:vAlign w:val="center"/>
          </w:tcPr>
          <w:p w14:paraId="43641D8D" w14:textId="77777777" w:rsidR="00F31590" w:rsidRDefault="00F31590">
            <w:pPr>
              <w:pStyle w:val="AnnexTableHeader"/>
              <w:spacing w:line="200" w:lineRule="exact"/>
              <w:rPr>
                <w:b/>
              </w:rPr>
            </w:pPr>
            <w:r>
              <w:rPr>
                <w:b/>
              </w:rPr>
              <w:t>Premieandel, år t (3)</w:t>
            </w:r>
          </w:p>
        </w:tc>
        <w:tc>
          <w:tcPr>
            <w:tcW w:w="783" w:type="pct"/>
            <w:tcMar>
              <w:top w:w="60" w:type="dxa"/>
              <w:bottom w:w="60" w:type="dxa"/>
            </w:tcMar>
            <w:vAlign w:val="center"/>
          </w:tcPr>
          <w:p w14:paraId="72CE74D9" w14:textId="77777777" w:rsidR="00F31590" w:rsidRDefault="00F31590">
            <w:pPr>
              <w:pStyle w:val="AnnexTableHeader"/>
              <w:spacing w:line="200" w:lineRule="exact"/>
              <w:rPr>
                <w:b/>
              </w:rPr>
            </w:pPr>
            <w:r>
              <w:rPr>
                <w:b/>
              </w:rPr>
              <w:t>Absolutte premier, år t-1 (4)</w:t>
            </w:r>
          </w:p>
        </w:tc>
        <w:tc>
          <w:tcPr>
            <w:tcW w:w="784" w:type="pct"/>
            <w:tcBorders>
              <w:right w:val="single" w:sz="4" w:space="0" w:color="auto"/>
            </w:tcBorders>
            <w:tcMar>
              <w:top w:w="60" w:type="dxa"/>
              <w:bottom w:w="60" w:type="dxa"/>
              <w:right w:w="0" w:type="dxa"/>
            </w:tcMar>
            <w:vAlign w:val="center"/>
          </w:tcPr>
          <w:p w14:paraId="7565A5BC" w14:textId="77777777" w:rsidR="00F31590" w:rsidRDefault="00F31590">
            <w:pPr>
              <w:pStyle w:val="AnnexTableHeader"/>
              <w:spacing w:line="200" w:lineRule="exact"/>
              <w:rPr>
                <w:b/>
              </w:rPr>
            </w:pPr>
            <w:r>
              <w:rPr>
                <w:b/>
              </w:rPr>
              <w:t>Premieandel, år t-1 (5)</w:t>
            </w:r>
          </w:p>
        </w:tc>
      </w:tr>
      <w:tr w:rsidR="00F31590" w14:paraId="2CBA1CAA" w14:textId="77777777">
        <w:tc>
          <w:tcPr>
            <w:tcW w:w="1867" w:type="pct"/>
            <w:tcBorders>
              <w:left w:val="single" w:sz="4" w:space="0" w:color="auto"/>
            </w:tcBorders>
            <w:tcMar>
              <w:top w:w="60" w:type="dxa"/>
              <w:left w:w="0" w:type="dxa"/>
              <w:bottom w:w="60" w:type="dxa"/>
            </w:tcMar>
          </w:tcPr>
          <w:p w14:paraId="671196B2" w14:textId="77777777" w:rsidR="00F31590" w:rsidRDefault="00F31590">
            <w:pPr>
              <w:pStyle w:val="EFTATableCellLeft"/>
            </w:pPr>
          </w:p>
        </w:tc>
        <w:tc>
          <w:tcPr>
            <w:tcW w:w="783" w:type="pct"/>
            <w:tcMar>
              <w:top w:w="60" w:type="dxa"/>
              <w:bottom w:w="60" w:type="dxa"/>
            </w:tcMar>
          </w:tcPr>
          <w:p w14:paraId="28CF119E" w14:textId="77777777" w:rsidR="00F31590" w:rsidRDefault="00F31590">
            <w:pPr>
              <w:pStyle w:val="EFTATableCellLeft"/>
              <w:rPr>
                <w:color w:val="818181"/>
              </w:rPr>
            </w:pPr>
            <w:r>
              <w:rPr>
                <w:color w:val="818181"/>
              </w:rPr>
              <w:t>Valuta</w:t>
            </w:r>
          </w:p>
        </w:tc>
        <w:tc>
          <w:tcPr>
            <w:tcW w:w="783" w:type="pct"/>
            <w:tcMar>
              <w:top w:w="60" w:type="dxa"/>
              <w:bottom w:w="60" w:type="dxa"/>
            </w:tcMar>
          </w:tcPr>
          <w:p w14:paraId="2AE3A3E8" w14:textId="77777777" w:rsidR="00F31590" w:rsidRDefault="00F31590">
            <w:pPr>
              <w:pStyle w:val="EFTATableCellLeft"/>
              <w:rPr>
                <w:color w:val="818181"/>
              </w:rPr>
            </w:pPr>
            <w:r>
              <w:rPr>
                <w:color w:val="818181"/>
              </w:rPr>
              <w:t>%</w:t>
            </w:r>
          </w:p>
        </w:tc>
        <w:tc>
          <w:tcPr>
            <w:tcW w:w="783" w:type="pct"/>
            <w:tcMar>
              <w:top w:w="60" w:type="dxa"/>
              <w:bottom w:w="60" w:type="dxa"/>
            </w:tcMar>
          </w:tcPr>
          <w:p w14:paraId="7A13B606" w14:textId="77777777" w:rsidR="00F31590" w:rsidRDefault="00F31590">
            <w:pPr>
              <w:pStyle w:val="EFTATableCellLeft"/>
              <w:rPr>
                <w:color w:val="818181"/>
              </w:rPr>
            </w:pPr>
            <w:r>
              <w:rPr>
                <w:color w:val="818181"/>
              </w:rPr>
              <w:t>Valuta</w:t>
            </w:r>
          </w:p>
        </w:tc>
        <w:tc>
          <w:tcPr>
            <w:tcW w:w="784" w:type="pct"/>
            <w:tcBorders>
              <w:right w:val="single" w:sz="4" w:space="0" w:color="auto"/>
            </w:tcBorders>
            <w:tcMar>
              <w:top w:w="60" w:type="dxa"/>
              <w:bottom w:w="60" w:type="dxa"/>
              <w:right w:w="0" w:type="dxa"/>
            </w:tcMar>
          </w:tcPr>
          <w:p w14:paraId="613AED9A" w14:textId="77777777" w:rsidR="00F31590" w:rsidRDefault="00F31590">
            <w:pPr>
              <w:pStyle w:val="EFTATableCellLeft"/>
              <w:rPr>
                <w:color w:val="818181"/>
              </w:rPr>
            </w:pPr>
            <w:r>
              <w:rPr>
                <w:color w:val="818181"/>
              </w:rPr>
              <w:t>%</w:t>
            </w:r>
          </w:p>
        </w:tc>
      </w:tr>
      <w:tr w:rsidR="00F31590" w14:paraId="48E57F2E" w14:textId="77777777">
        <w:tc>
          <w:tcPr>
            <w:tcW w:w="1867" w:type="pct"/>
            <w:tcBorders>
              <w:left w:val="single" w:sz="4" w:space="0" w:color="auto"/>
            </w:tcBorders>
            <w:tcMar>
              <w:top w:w="60" w:type="dxa"/>
              <w:left w:w="0" w:type="dxa"/>
              <w:bottom w:w="60" w:type="dxa"/>
            </w:tcMar>
          </w:tcPr>
          <w:p w14:paraId="7AEA78ED" w14:textId="77777777" w:rsidR="00F31590" w:rsidRDefault="00F31590">
            <w:pPr>
              <w:pStyle w:val="EFTATableCellLeft"/>
              <w:ind w:left="120"/>
              <w:jc w:val="left"/>
              <w:rPr>
                <w:b/>
              </w:rPr>
            </w:pPr>
            <w:r>
              <w:rPr>
                <w:b/>
              </w:rPr>
              <w:t>Taksonomiforenlige aktiviteter</w:t>
            </w:r>
          </w:p>
        </w:tc>
        <w:tc>
          <w:tcPr>
            <w:tcW w:w="783" w:type="pct"/>
            <w:tcMar>
              <w:top w:w="60" w:type="dxa"/>
              <w:bottom w:w="60" w:type="dxa"/>
            </w:tcMar>
          </w:tcPr>
          <w:p w14:paraId="102E0DC4" w14:textId="77777777" w:rsidR="00F31590" w:rsidRDefault="00F31590">
            <w:pPr>
              <w:pStyle w:val="EFTATableCellLeft"/>
              <w:ind w:left="120"/>
              <w:rPr>
                <w:b/>
              </w:rPr>
            </w:pPr>
          </w:p>
        </w:tc>
        <w:tc>
          <w:tcPr>
            <w:tcW w:w="783" w:type="pct"/>
            <w:tcMar>
              <w:top w:w="60" w:type="dxa"/>
              <w:bottom w:w="60" w:type="dxa"/>
            </w:tcMar>
          </w:tcPr>
          <w:p w14:paraId="51D2E0CF" w14:textId="77777777" w:rsidR="00F31590" w:rsidRDefault="00F31590">
            <w:pPr>
              <w:pStyle w:val="EFTATableCellLeft"/>
              <w:ind w:left="120"/>
              <w:rPr>
                <w:b/>
              </w:rPr>
            </w:pPr>
          </w:p>
        </w:tc>
        <w:tc>
          <w:tcPr>
            <w:tcW w:w="783" w:type="pct"/>
            <w:tcMar>
              <w:top w:w="60" w:type="dxa"/>
              <w:bottom w:w="60" w:type="dxa"/>
            </w:tcMar>
          </w:tcPr>
          <w:p w14:paraId="22073F6A" w14:textId="77777777" w:rsidR="00F31590" w:rsidRDefault="00F31590">
            <w:pPr>
              <w:pStyle w:val="EFTATableCellLeft"/>
              <w:ind w:left="120"/>
              <w:rPr>
                <w:b/>
              </w:rPr>
            </w:pPr>
          </w:p>
        </w:tc>
        <w:tc>
          <w:tcPr>
            <w:tcW w:w="784" w:type="pct"/>
            <w:tcBorders>
              <w:right w:val="single" w:sz="4" w:space="0" w:color="auto"/>
            </w:tcBorders>
            <w:tcMar>
              <w:top w:w="60" w:type="dxa"/>
              <w:bottom w:w="60" w:type="dxa"/>
              <w:right w:w="0" w:type="dxa"/>
            </w:tcMar>
          </w:tcPr>
          <w:p w14:paraId="0B1893A9" w14:textId="77777777" w:rsidR="00F31590" w:rsidRDefault="00F31590">
            <w:pPr>
              <w:pStyle w:val="EFTATableCellLeft"/>
              <w:ind w:left="120"/>
              <w:rPr>
                <w:b/>
              </w:rPr>
            </w:pPr>
          </w:p>
        </w:tc>
      </w:tr>
      <w:tr w:rsidR="00F31590" w14:paraId="0C1A1673" w14:textId="77777777">
        <w:tc>
          <w:tcPr>
            <w:tcW w:w="1867" w:type="pct"/>
            <w:tcBorders>
              <w:left w:val="single" w:sz="4" w:space="0" w:color="auto"/>
            </w:tcBorders>
            <w:tcMar>
              <w:top w:w="60" w:type="dxa"/>
              <w:left w:w="0" w:type="dxa"/>
              <w:bottom w:w="60" w:type="dxa"/>
            </w:tcMar>
          </w:tcPr>
          <w:p w14:paraId="274CD7D0" w14:textId="77777777" w:rsidR="00F31590" w:rsidRDefault="00F31590">
            <w:pPr>
              <w:pStyle w:val="EFTATableCellLeft"/>
              <w:ind w:left="300"/>
              <w:jc w:val="left"/>
            </w:pPr>
            <w:r>
              <w:t>Kjernefysiske aktiviteter (6)</w:t>
            </w:r>
          </w:p>
        </w:tc>
        <w:tc>
          <w:tcPr>
            <w:tcW w:w="783" w:type="pct"/>
            <w:tcMar>
              <w:top w:w="60" w:type="dxa"/>
              <w:bottom w:w="60" w:type="dxa"/>
            </w:tcMar>
          </w:tcPr>
          <w:p w14:paraId="4A0000B5" w14:textId="77777777" w:rsidR="00F31590" w:rsidRDefault="00F31590">
            <w:pPr>
              <w:pStyle w:val="EFTATableCellLeft"/>
              <w:ind w:left="300"/>
            </w:pPr>
          </w:p>
        </w:tc>
        <w:tc>
          <w:tcPr>
            <w:tcW w:w="783" w:type="pct"/>
            <w:tcMar>
              <w:top w:w="60" w:type="dxa"/>
              <w:bottom w:w="60" w:type="dxa"/>
            </w:tcMar>
          </w:tcPr>
          <w:p w14:paraId="7D27F7CB" w14:textId="77777777" w:rsidR="00F31590" w:rsidRDefault="00F31590">
            <w:pPr>
              <w:pStyle w:val="EFTATableCellLeft"/>
              <w:ind w:left="300"/>
            </w:pPr>
          </w:p>
        </w:tc>
        <w:tc>
          <w:tcPr>
            <w:tcW w:w="783" w:type="pct"/>
            <w:tcMar>
              <w:top w:w="60" w:type="dxa"/>
              <w:bottom w:w="60" w:type="dxa"/>
            </w:tcMar>
          </w:tcPr>
          <w:p w14:paraId="015A1100" w14:textId="77777777" w:rsidR="00F31590" w:rsidRDefault="00F31590">
            <w:pPr>
              <w:pStyle w:val="EFTATableCellLeft"/>
              <w:ind w:left="300"/>
            </w:pPr>
          </w:p>
        </w:tc>
        <w:tc>
          <w:tcPr>
            <w:tcW w:w="784" w:type="pct"/>
            <w:tcBorders>
              <w:right w:val="single" w:sz="4" w:space="0" w:color="auto"/>
            </w:tcBorders>
            <w:tcMar>
              <w:top w:w="60" w:type="dxa"/>
              <w:bottom w:w="60" w:type="dxa"/>
              <w:right w:w="0" w:type="dxa"/>
            </w:tcMar>
          </w:tcPr>
          <w:p w14:paraId="774ACFFD" w14:textId="77777777" w:rsidR="00F31590" w:rsidRDefault="00F31590">
            <w:pPr>
              <w:pStyle w:val="EFTATableCellLeft"/>
              <w:ind w:left="300"/>
            </w:pPr>
          </w:p>
        </w:tc>
      </w:tr>
      <w:tr w:rsidR="00F31590" w14:paraId="1165E1ED" w14:textId="77777777">
        <w:tc>
          <w:tcPr>
            <w:tcW w:w="1867" w:type="pct"/>
            <w:tcBorders>
              <w:left w:val="single" w:sz="4" w:space="0" w:color="auto"/>
            </w:tcBorders>
            <w:tcMar>
              <w:top w:w="60" w:type="dxa"/>
              <w:left w:w="0" w:type="dxa"/>
              <w:bottom w:w="60" w:type="dxa"/>
            </w:tcMar>
          </w:tcPr>
          <w:p w14:paraId="5FDBEA41" w14:textId="77777777" w:rsidR="00F31590" w:rsidRDefault="00F31590">
            <w:pPr>
              <w:pStyle w:val="EFTATableCellLeft"/>
              <w:ind w:left="300"/>
              <w:jc w:val="left"/>
            </w:pPr>
            <w:r>
              <w:t>Fossilgassaktiviteter (7)</w:t>
            </w:r>
          </w:p>
        </w:tc>
        <w:tc>
          <w:tcPr>
            <w:tcW w:w="783" w:type="pct"/>
            <w:tcMar>
              <w:top w:w="60" w:type="dxa"/>
              <w:bottom w:w="60" w:type="dxa"/>
            </w:tcMar>
          </w:tcPr>
          <w:p w14:paraId="12B6AD76" w14:textId="77777777" w:rsidR="00F31590" w:rsidRDefault="00F31590">
            <w:pPr>
              <w:pStyle w:val="EFTATableCellLeft"/>
              <w:ind w:left="300"/>
            </w:pPr>
          </w:p>
        </w:tc>
        <w:tc>
          <w:tcPr>
            <w:tcW w:w="783" w:type="pct"/>
            <w:tcMar>
              <w:top w:w="60" w:type="dxa"/>
              <w:bottom w:w="60" w:type="dxa"/>
            </w:tcMar>
          </w:tcPr>
          <w:p w14:paraId="05294649" w14:textId="77777777" w:rsidR="00F31590" w:rsidRDefault="00F31590">
            <w:pPr>
              <w:pStyle w:val="EFTATableCellLeft"/>
              <w:ind w:left="300"/>
            </w:pPr>
          </w:p>
        </w:tc>
        <w:tc>
          <w:tcPr>
            <w:tcW w:w="783" w:type="pct"/>
            <w:tcMar>
              <w:top w:w="60" w:type="dxa"/>
              <w:bottom w:w="60" w:type="dxa"/>
            </w:tcMar>
          </w:tcPr>
          <w:p w14:paraId="1B7A1DC3" w14:textId="77777777" w:rsidR="00F31590" w:rsidRDefault="00F31590">
            <w:pPr>
              <w:pStyle w:val="EFTATableCellLeft"/>
              <w:ind w:left="300"/>
            </w:pPr>
          </w:p>
        </w:tc>
        <w:tc>
          <w:tcPr>
            <w:tcW w:w="784" w:type="pct"/>
            <w:tcBorders>
              <w:right w:val="single" w:sz="4" w:space="0" w:color="auto"/>
            </w:tcBorders>
            <w:tcMar>
              <w:top w:w="60" w:type="dxa"/>
              <w:bottom w:w="60" w:type="dxa"/>
              <w:right w:w="0" w:type="dxa"/>
            </w:tcMar>
          </w:tcPr>
          <w:p w14:paraId="36D48101" w14:textId="77777777" w:rsidR="00F31590" w:rsidRDefault="00F31590">
            <w:pPr>
              <w:pStyle w:val="EFTATableCellLeft"/>
              <w:ind w:left="300"/>
            </w:pPr>
          </w:p>
        </w:tc>
      </w:tr>
      <w:tr w:rsidR="00F31590" w14:paraId="489F2C0E" w14:textId="77777777">
        <w:tc>
          <w:tcPr>
            <w:tcW w:w="1867" w:type="pct"/>
            <w:tcBorders>
              <w:left w:val="single" w:sz="4" w:space="0" w:color="auto"/>
            </w:tcBorders>
            <w:tcMar>
              <w:top w:w="60" w:type="dxa"/>
              <w:left w:w="0" w:type="dxa"/>
              <w:bottom w:w="60" w:type="dxa"/>
            </w:tcMar>
          </w:tcPr>
          <w:p w14:paraId="0C98FD6B" w14:textId="77777777" w:rsidR="00F31590" w:rsidRDefault="00F31590">
            <w:pPr>
              <w:pStyle w:val="EFTATableCellLeft"/>
              <w:ind w:left="120"/>
              <w:jc w:val="left"/>
              <w:rPr>
                <w:b/>
              </w:rPr>
            </w:pPr>
            <w:r>
              <w:rPr>
                <w:b/>
              </w:rPr>
              <w:t>Aktiviteter som er omfattet av taksonomien</w:t>
            </w:r>
          </w:p>
        </w:tc>
        <w:tc>
          <w:tcPr>
            <w:tcW w:w="783" w:type="pct"/>
            <w:tcMar>
              <w:top w:w="60" w:type="dxa"/>
              <w:bottom w:w="60" w:type="dxa"/>
            </w:tcMar>
          </w:tcPr>
          <w:p w14:paraId="643EADD0" w14:textId="77777777" w:rsidR="00F31590" w:rsidRDefault="00F31590">
            <w:pPr>
              <w:pStyle w:val="EFTATableCellLeft"/>
              <w:ind w:left="120"/>
              <w:rPr>
                <w:b/>
              </w:rPr>
            </w:pPr>
          </w:p>
        </w:tc>
        <w:tc>
          <w:tcPr>
            <w:tcW w:w="783" w:type="pct"/>
            <w:tcMar>
              <w:top w:w="60" w:type="dxa"/>
              <w:bottom w:w="60" w:type="dxa"/>
            </w:tcMar>
          </w:tcPr>
          <w:p w14:paraId="539EEA64" w14:textId="77777777" w:rsidR="00F31590" w:rsidRDefault="00F31590">
            <w:pPr>
              <w:pStyle w:val="EFTATableCellLeft"/>
              <w:ind w:left="120"/>
              <w:rPr>
                <w:b/>
              </w:rPr>
            </w:pPr>
          </w:p>
        </w:tc>
        <w:tc>
          <w:tcPr>
            <w:tcW w:w="783" w:type="pct"/>
            <w:tcMar>
              <w:top w:w="60" w:type="dxa"/>
              <w:bottom w:w="60" w:type="dxa"/>
            </w:tcMar>
          </w:tcPr>
          <w:p w14:paraId="1292D267" w14:textId="77777777" w:rsidR="00F31590" w:rsidRDefault="00F31590">
            <w:pPr>
              <w:pStyle w:val="EFTATableCellLeft"/>
              <w:ind w:left="120"/>
              <w:rPr>
                <w:b/>
              </w:rPr>
            </w:pPr>
          </w:p>
        </w:tc>
        <w:tc>
          <w:tcPr>
            <w:tcW w:w="784" w:type="pct"/>
            <w:tcBorders>
              <w:right w:val="single" w:sz="4" w:space="0" w:color="auto"/>
            </w:tcBorders>
            <w:tcMar>
              <w:top w:w="60" w:type="dxa"/>
              <w:bottom w:w="60" w:type="dxa"/>
              <w:right w:w="0" w:type="dxa"/>
            </w:tcMar>
          </w:tcPr>
          <w:p w14:paraId="259E6541" w14:textId="77777777" w:rsidR="00F31590" w:rsidRDefault="00F31590">
            <w:pPr>
              <w:pStyle w:val="EFTATableCellLeft"/>
              <w:ind w:left="120"/>
              <w:rPr>
                <w:b/>
              </w:rPr>
            </w:pPr>
          </w:p>
        </w:tc>
      </w:tr>
      <w:tr w:rsidR="00F31590" w14:paraId="0ACAE10A" w14:textId="77777777">
        <w:tc>
          <w:tcPr>
            <w:tcW w:w="1867" w:type="pct"/>
            <w:tcBorders>
              <w:left w:val="single" w:sz="4" w:space="0" w:color="auto"/>
            </w:tcBorders>
            <w:tcMar>
              <w:top w:w="60" w:type="dxa"/>
              <w:left w:w="0" w:type="dxa"/>
              <w:bottom w:w="60" w:type="dxa"/>
            </w:tcMar>
          </w:tcPr>
          <w:p w14:paraId="1D69ECD4" w14:textId="77777777" w:rsidR="00F31590" w:rsidRDefault="00F31590">
            <w:pPr>
              <w:pStyle w:val="EFTATableCellLeft"/>
              <w:ind w:left="300"/>
              <w:jc w:val="left"/>
            </w:pPr>
            <w:r>
              <w:t>Kjernefysiske aktiviteter (6)</w:t>
            </w:r>
          </w:p>
        </w:tc>
        <w:tc>
          <w:tcPr>
            <w:tcW w:w="783" w:type="pct"/>
            <w:tcMar>
              <w:top w:w="60" w:type="dxa"/>
              <w:bottom w:w="60" w:type="dxa"/>
            </w:tcMar>
          </w:tcPr>
          <w:p w14:paraId="03AF4F65" w14:textId="77777777" w:rsidR="00F31590" w:rsidRDefault="00F31590">
            <w:pPr>
              <w:pStyle w:val="EFTATableCellLeft"/>
              <w:ind w:left="300"/>
            </w:pPr>
          </w:p>
        </w:tc>
        <w:tc>
          <w:tcPr>
            <w:tcW w:w="783" w:type="pct"/>
            <w:tcMar>
              <w:top w:w="60" w:type="dxa"/>
              <w:bottom w:w="60" w:type="dxa"/>
            </w:tcMar>
          </w:tcPr>
          <w:p w14:paraId="77858904" w14:textId="77777777" w:rsidR="00F31590" w:rsidRDefault="00F31590">
            <w:pPr>
              <w:pStyle w:val="EFTATableCellLeft"/>
              <w:ind w:left="300"/>
            </w:pPr>
          </w:p>
        </w:tc>
        <w:tc>
          <w:tcPr>
            <w:tcW w:w="783" w:type="pct"/>
            <w:tcMar>
              <w:top w:w="60" w:type="dxa"/>
              <w:bottom w:w="60" w:type="dxa"/>
            </w:tcMar>
          </w:tcPr>
          <w:p w14:paraId="58E6488D" w14:textId="77777777" w:rsidR="00F31590" w:rsidRDefault="00F31590">
            <w:pPr>
              <w:pStyle w:val="EFTATableCellLeft"/>
              <w:ind w:left="300"/>
            </w:pPr>
          </w:p>
        </w:tc>
        <w:tc>
          <w:tcPr>
            <w:tcW w:w="784" w:type="pct"/>
            <w:tcBorders>
              <w:right w:val="single" w:sz="4" w:space="0" w:color="auto"/>
            </w:tcBorders>
            <w:tcMar>
              <w:top w:w="60" w:type="dxa"/>
              <w:bottom w:w="60" w:type="dxa"/>
              <w:right w:w="0" w:type="dxa"/>
            </w:tcMar>
          </w:tcPr>
          <w:p w14:paraId="157A2ADB" w14:textId="77777777" w:rsidR="00F31590" w:rsidRDefault="00F31590">
            <w:pPr>
              <w:pStyle w:val="EFTATableCellLeft"/>
              <w:ind w:left="300"/>
            </w:pPr>
          </w:p>
        </w:tc>
      </w:tr>
      <w:tr w:rsidR="00F31590" w14:paraId="64253DB8" w14:textId="77777777">
        <w:tc>
          <w:tcPr>
            <w:tcW w:w="1867" w:type="pct"/>
            <w:tcBorders>
              <w:left w:val="single" w:sz="4" w:space="0" w:color="auto"/>
            </w:tcBorders>
            <w:tcMar>
              <w:top w:w="60" w:type="dxa"/>
              <w:left w:w="0" w:type="dxa"/>
              <w:bottom w:w="60" w:type="dxa"/>
            </w:tcMar>
          </w:tcPr>
          <w:p w14:paraId="2427E911" w14:textId="77777777" w:rsidR="00F31590" w:rsidRDefault="00F31590">
            <w:pPr>
              <w:pStyle w:val="EFTATableCellLeft"/>
              <w:ind w:left="300"/>
              <w:jc w:val="left"/>
            </w:pPr>
            <w:r>
              <w:t>Fossilgassaktiviteter (7)</w:t>
            </w:r>
          </w:p>
        </w:tc>
        <w:tc>
          <w:tcPr>
            <w:tcW w:w="783" w:type="pct"/>
            <w:tcMar>
              <w:top w:w="60" w:type="dxa"/>
              <w:bottom w:w="60" w:type="dxa"/>
            </w:tcMar>
          </w:tcPr>
          <w:p w14:paraId="2A250001" w14:textId="77777777" w:rsidR="00F31590" w:rsidRDefault="00F31590">
            <w:pPr>
              <w:pStyle w:val="EFTATableCellLeft"/>
              <w:ind w:left="300"/>
            </w:pPr>
          </w:p>
        </w:tc>
        <w:tc>
          <w:tcPr>
            <w:tcW w:w="783" w:type="pct"/>
            <w:tcMar>
              <w:top w:w="60" w:type="dxa"/>
              <w:bottom w:w="60" w:type="dxa"/>
            </w:tcMar>
          </w:tcPr>
          <w:p w14:paraId="687DDD22" w14:textId="77777777" w:rsidR="00F31590" w:rsidRDefault="00F31590">
            <w:pPr>
              <w:pStyle w:val="EFTATableCellLeft"/>
              <w:ind w:left="300"/>
            </w:pPr>
          </w:p>
        </w:tc>
        <w:tc>
          <w:tcPr>
            <w:tcW w:w="783" w:type="pct"/>
            <w:tcMar>
              <w:top w:w="60" w:type="dxa"/>
              <w:bottom w:w="60" w:type="dxa"/>
            </w:tcMar>
          </w:tcPr>
          <w:p w14:paraId="3F995916" w14:textId="77777777" w:rsidR="00F31590" w:rsidRDefault="00F31590">
            <w:pPr>
              <w:pStyle w:val="EFTATableCellLeft"/>
              <w:ind w:left="300"/>
            </w:pPr>
          </w:p>
        </w:tc>
        <w:tc>
          <w:tcPr>
            <w:tcW w:w="784" w:type="pct"/>
            <w:tcBorders>
              <w:right w:val="single" w:sz="4" w:space="0" w:color="auto"/>
            </w:tcBorders>
            <w:tcMar>
              <w:top w:w="60" w:type="dxa"/>
              <w:bottom w:w="60" w:type="dxa"/>
              <w:right w:w="0" w:type="dxa"/>
            </w:tcMar>
          </w:tcPr>
          <w:p w14:paraId="78FB84DE" w14:textId="77777777" w:rsidR="00F31590" w:rsidRDefault="00F31590">
            <w:pPr>
              <w:pStyle w:val="EFTATableCellLeft"/>
              <w:ind w:left="300"/>
            </w:pPr>
          </w:p>
        </w:tc>
      </w:tr>
      <w:tr w:rsidR="00F31590" w14:paraId="332D7F93" w14:textId="77777777">
        <w:tc>
          <w:tcPr>
            <w:tcW w:w="1867" w:type="pct"/>
            <w:tcBorders>
              <w:left w:val="single" w:sz="4" w:space="0" w:color="auto"/>
            </w:tcBorders>
            <w:tcMar>
              <w:top w:w="60" w:type="dxa"/>
              <w:left w:w="0" w:type="dxa"/>
              <w:bottom w:w="60" w:type="dxa"/>
            </w:tcMar>
          </w:tcPr>
          <w:p w14:paraId="03BDAC77" w14:textId="77777777" w:rsidR="00F31590" w:rsidRDefault="00F31590">
            <w:pPr>
              <w:pStyle w:val="EFTATableCellLeft"/>
              <w:ind w:left="120"/>
              <w:jc w:val="left"/>
              <w:rPr>
                <w:b/>
              </w:rPr>
            </w:pPr>
            <w:r>
              <w:rPr>
                <w:b/>
              </w:rPr>
              <w:t>Ikke-vurderte aktiviteter som anses som ikke-vesentlige (8)</w:t>
            </w:r>
          </w:p>
        </w:tc>
        <w:tc>
          <w:tcPr>
            <w:tcW w:w="783" w:type="pct"/>
            <w:tcMar>
              <w:top w:w="60" w:type="dxa"/>
              <w:bottom w:w="60" w:type="dxa"/>
            </w:tcMar>
          </w:tcPr>
          <w:p w14:paraId="1E8E04EF" w14:textId="77777777" w:rsidR="00F31590" w:rsidRDefault="00F31590">
            <w:pPr>
              <w:pStyle w:val="EFTATableCellLeft"/>
              <w:ind w:left="120"/>
              <w:rPr>
                <w:b/>
              </w:rPr>
            </w:pPr>
          </w:p>
        </w:tc>
        <w:tc>
          <w:tcPr>
            <w:tcW w:w="783" w:type="pct"/>
            <w:tcMar>
              <w:top w:w="60" w:type="dxa"/>
              <w:bottom w:w="60" w:type="dxa"/>
            </w:tcMar>
          </w:tcPr>
          <w:p w14:paraId="4960050A" w14:textId="77777777" w:rsidR="00F31590" w:rsidRDefault="00F31590">
            <w:pPr>
              <w:pStyle w:val="EFTATableCellLeft"/>
              <w:ind w:left="120"/>
              <w:rPr>
                <w:b/>
              </w:rPr>
            </w:pPr>
          </w:p>
        </w:tc>
        <w:tc>
          <w:tcPr>
            <w:tcW w:w="783" w:type="pct"/>
            <w:tcMar>
              <w:top w:w="60" w:type="dxa"/>
              <w:bottom w:w="60" w:type="dxa"/>
            </w:tcMar>
          </w:tcPr>
          <w:p w14:paraId="03AE1DAA" w14:textId="77777777" w:rsidR="00F31590" w:rsidRDefault="00F31590">
            <w:pPr>
              <w:pStyle w:val="EFTATableCellLeft"/>
              <w:ind w:left="120"/>
              <w:rPr>
                <w:b/>
              </w:rPr>
            </w:pPr>
          </w:p>
        </w:tc>
        <w:tc>
          <w:tcPr>
            <w:tcW w:w="784" w:type="pct"/>
            <w:tcBorders>
              <w:right w:val="single" w:sz="4" w:space="0" w:color="auto"/>
            </w:tcBorders>
            <w:tcMar>
              <w:top w:w="60" w:type="dxa"/>
              <w:bottom w:w="60" w:type="dxa"/>
              <w:right w:w="0" w:type="dxa"/>
            </w:tcMar>
          </w:tcPr>
          <w:p w14:paraId="49B4ABBE" w14:textId="77777777" w:rsidR="00F31590" w:rsidRDefault="00F31590">
            <w:pPr>
              <w:pStyle w:val="EFTATableCellLeft"/>
              <w:ind w:left="120"/>
              <w:rPr>
                <w:b/>
              </w:rPr>
            </w:pPr>
          </w:p>
        </w:tc>
      </w:tr>
      <w:tr w:rsidR="00F31590" w14:paraId="576D1318" w14:textId="77777777">
        <w:tc>
          <w:tcPr>
            <w:tcW w:w="1867" w:type="pct"/>
            <w:tcBorders>
              <w:left w:val="single" w:sz="4" w:space="0" w:color="auto"/>
            </w:tcBorders>
            <w:tcMar>
              <w:top w:w="60" w:type="dxa"/>
              <w:left w:w="0" w:type="dxa"/>
              <w:bottom w:w="60" w:type="dxa"/>
            </w:tcMar>
          </w:tcPr>
          <w:p w14:paraId="7384054A" w14:textId="77777777" w:rsidR="00F31590" w:rsidRDefault="00F31590">
            <w:pPr>
              <w:pStyle w:val="EFTATableCellLeft"/>
              <w:ind w:left="120"/>
              <w:jc w:val="left"/>
            </w:pPr>
            <w:r>
              <w:t>Sum (9)</w:t>
            </w:r>
          </w:p>
        </w:tc>
        <w:tc>
          <w:tcPr>
            <w:tcW w:w="783" w:type="pct"/>
            <w:tcMar>
              <w:top w:w="60" w:type="dxa"/>
              <w:bottom w:w="60" w:type="dxa"/>
            </w:tcMar>
          </w:tcPr>
          <w:p w14:paraId="2ACBCE63" w14:textId="77777777" w:rsidR="00F31590" w:rsidRDefault="00F31590">
            <w:pPr>
              <w:pStyle w:val="EFTATableCellLeft"/>
            </w:pPr>
          </w:p>
        </w:tc>
        <w:tc>
          <w:tcPr>
            <w:tcW w:w="783" w:type="pct"/>
            <w:tcMar>
              <w:top w:w="60" w:type="dxa"/>
              <w:bottom w:w="60" w:type="dxa"/>
            </w:tcMar>
          </w:tcPr>
          <w:p w14:paraId="67B97205" w14:textId="77777777" w:rsidR="00F31590" w:rsidRDefault="00F31590">
            <w:pPr>
              <w:pStyle w:val="EFTATableCellLeft"/>
              <w:rPr>
                <w:b/>
              </w:rPr>
            </w:pPr>
            <w:r>
              <w:rPr>
                <w:b/>
              </w:rPr>
              <w:t>100 %</w:t>
            </w:r>
          </w:p>
        </w:tc>
        <w:tc>
          <w:tcPr>
            <w:tcW w:w="783" w:type="pct"/>
            <w:tcMar>
              <w:top w:w="60" w:type="dxa"/>
              <w:bottom w:w="60" w:type="dxa"/>
            </w:tcMar>
          </w:tcPr>
          <w:p w14:paraId="505823A6" w14:textId="77777777" w:rsidR="00F31590" w:rsidRDefault="00F31590">
            <w:pPr>
              <w:pStyle w:val="EFTATableCellLeft"/>
              <w:rPr>
                <w:b/>
              </w:rPr>
            </w:pPr>
          </w:p>
        </w:tc>
        <w:tc>
          <w:tcPr>
            <w:tcW w:w="784" w:type="pct"/>
            <w:tcBorders>
              <w:right w:val="single" w:sz="4" w:space="0" w:color="auto"/>
            </w:tcBorders>
            <w:tcMar>
              <w:top w:w="60" w:type="dxa"/>
              <w:bottom w:w="60" w:type="dxa"/>
              <w:right w:w="0" w:type="dxa"/>
            </w:tcMar>
          </w:tcPr>
          <w:p w14:paraId="605C7E7B" w14:textId="77777777" w:rsidR="00F31590" w:rsidRDefault="00F31590">
            <w:pPr>
              <w:pStyle w:val="EFTATableCellLeft"/>
              <w:rPr>
                <w:b/>
              </w:rPr>
            </w:pPr>
            <w:r>
              <w:rPr>
                <w:b/>
              </w:rPr>
              <w:t>100 %</w:t>
            </w:r>
          </w:p>
        </w:tc>
      </w:tr>
    </w:tbl>
    <w:p w14:paraId="0E825477" w14:textId="77777777" w:rsidR="00F31590" w:rsidRDefault="00F31590">
      <w:pPr>
        <w:pStyle w:val="AnnexNormal"/>
        <w:widowControl w:val="0"/>
        <w:spacing w:before="200"/>
      </w:pPr>
      <w:r>
        <w:t>1) Skadeforsikring og gjenforsikring kan omfattes av eller være forenlig med forordning (EU) 2020/852 bare dersom aktiviteten muliggjør tilpasning til klimaendringer.</w:t>
      </w:r>
    </w:p>
    <w:p w14:paraId="38EF1D6A" w14:textId="77777777" w:rsidR="00F31590" w:rsidRDefault="00F31590">
      <w:pPr>
        <w:pStyle w:val="AnnexNormal"/>
        <w:widowControl w:val="0"/>
      </w:pPr>
      <w:r>
        <w:t>«Premier» i kolonne 2 og 3 skal rapporteres som tegnede bruttopremier eller eventuelt inntekter som knytter seg til skadeforsikrings- eller gjenforsikringsvirksomhet. Opplysningene i kolonne 4 og 5 skal rapporteres fra og med år 2024. (t-1): Angir det siste regnskapsåret da data om taksonomiforenlighet ble rapportert. Dersom ingen data ble rapportert for regnskapsår N-1, skal kolonne 4 og 5 ikke fylles ut.</w:t>
      </w:r>
    </w:p>
    <w:p w14:paraId="48485096" w14:textId="77777777" w:rsidR="00F31590" w:rsidRDefault="00F31590">
      <w:pPr>
        <w:pStyle w:val="AnnexNormal"/>
        <w:widowControl w:val="0"/>
      </w:pPr>
      <w:r>
        <w:t>6) nevnt i avsnitt 4.26, 4.27 og 4.28 i vedlegg I og II til delegert forordning 2021/2139</w:t>
      </w:r>
    </w:p>
    <w:p w14:paraId="1948659C" w14:textId="77777777" w:rsidR="00F31590" w:rsidRDefault="00F31590">
      <w:pPr>
        <w:pStyle w:val="AnnexNormal"/>
        <w:widowControl w:val="0"/>
      </w:pPr>
      <w:r>
        <w:t>7) nevnt i avsnitt 4.29, 4.30 og 4.31 i vedlegg I og II til delegert forordning 2021/2139</w:t>
      </w:r>
    </w:p>
    <w:p w14:paraId="096EC05B" w14:textId="77777777" w:rsidR="00F31590" w:rsidRDefault="00F31590">
      <w:pPr>
        <w:pStyle w:val="AnnexNormal"/>
        <w:widowControl w:val="0"/>
      </w:pPr>
      <w:r>
        <w:t>8) I samsvar med artikkel 7 nr. 8 i denne forordningen</w:t>
      </w:r>
    </w:p>
    <w:p w14:paraId="78D61CC0" w14:textId="77777777" w:rsidR="00F31590" w:rsidRDefault="00F31590">
      <w:pPr>
        <w:pStyle w:val="AnnexNormal"/>
        <w:spacing w:after="300"/>
      </w:pPr>
      <w:r>
        <w:t>9) Det samlede tallet skal inneholde ett av følgende: a) Samlede tegnede bruttopremier for skadeforsikring, b) samlede tegnede bruttopremier for gjenforsikring av annen forsikring enn livsforsikring, c) samlede skadeforsikringsinntekter, d) samlede inntekter fra gjenforsikring av annen forsikring enn livsforsikring.</w:t>
      </w:r>
    </w:p>
    <w:p w14:paraId="4919ECB5" w14:textId="77777777" w:rsidR="00F31590" w:rsidRDefault="00F31590">
      <w:pPr>
        <w:pStyle w:val="TableTitle"/>
        <w:rPr>
          <w:b/>
          <w:i/>
        </w:rPr>
      </w:pPr>
      <w:r>
        <w:rPr>
          <w:b/>
          <w:i/>
        </w:rPr>
        <w:t>Mal 2: KPI for investeringer</w:t>
      </w:r>
    </w:p>
    <w:tbl>
      <w:tblPr>
        <w:tblStyle w:val="EFTATable"/>
        <w:tblW w:w="9252" w:type="dxa"/>
        <w:tblLayout w:type="fixed"/>
        <w:tblLook w:val="04A0" w:firstRow="1" w:lastRow="0" w:firstColumn="1" w:lastColumn="0" w:noHBand="0" w:noVBand="1"/>
      </w:tblPr>
      <w:tblGrid>
        <w:gridCol w:w="516"/>
        <w:gridCol w:w="6420"/>
        <w:gridCol w:w="1128"/>
        <w:gridCol w:w="1188"/>
      </w:tblGrid>
      <w:tr w:rsidR="00F31590" w14:paraId="59199C49" w14:textId="77777777">
        <w:tc>
          <w:tcPr>
            <w:tcW w:w="516" w:type="dxa"/>
            <w:tcBorders>
              <w:left w:val="single" w:sz="4" w:space="0" w:color="auto"/>
            </w:tcBorders>
            <w:tcMar>
              <w:top w:w="60" w:type="dxa"/>
              <w:left w:w="0" w:type="dxa"/>
              <w:bottom w:w="60" w:type="dxa"/>
            </w:tcMar>
            <w:vAlign w:val="center"/>
          </w:tcPr>
          <w:p w14:paraId="029AB872" w14:textId="77777777" w:rsidR="00F31590" w:rsidRDefault="00F31590">
            <w:pPr>
              <w:pStyle w:val="AnnexTableHeader"/>
              <w:spacing w:line="200" w:lineRule="exact"/>
            </w:pPr>
          </w:p>
        </w:tc>
        <w:tc>
          <w:tcPr>
            <w:tcW w:w="6420" w:type="dxa"/>
            <w:tcMar>
              <w:top w:w="60" w:type="dxa"/>
              <w:bottom w:w="60" w:type="dxa"/>
            </w:tcMar>
            <w:vAlign w:val="center"/>
          </w:tcPr>
          <w:p w14:paraId="04A294FB" w14:textId="77777777" w:rsidR="00F31590" w:rsidRDefault="00F31590">
            <w:pPr>
              <w:pStyle w:val="AnnexTableHeader"/>
              <w:spacing w:line="200" w:lineRule="exact"/>
              <w:rPr>
                <w:b/>
              </w:rPr>
            </w:pPr>
            <w:r>
              <w:rPr>
                <w:b/>
              </w:rPr>
              <w:t>Eksponeringer</w:t>
            </w:r>
          </w:p>
        </w:tc>
        <w:tc>
          <w:tcPr>
            <w:tcW w:w="1128" w:type="dxa"/>
            <w:tcMar>
              <w:top w:w="60" w:type="dxa"/>
              <w:bottom w:w="60" w:type="dxa"/>
            </w:tcMar>
            <w:vAlign w:val="center"/>
          </w:tcPr>
          <w:p w14:paraId="6C3A1110" w14:textId="77777777" w:rsidR="00F31590" w:rsidRDefault="00F31590">
            <w:pPr>
              <w:pStyle w:val="AnnexTableHeader"/>
              <w:spacing w:line="200" w:lineRule="exact"/>
            </w:pPr>
            <w:r>
              <w:t>%</w:t>
            </w:r>
          </w:p>
        </w:tc>
        <w:tc>
          <w:tcPr>
            <w:tcW w:w="1188" w:type="dxa"/>
            <w:tcBorders>
              <w:right w:val="single" w:sz="4" w:space="0" w:color="auto"/>
            </w:tcBorders>
            <w:tcMar>
              <w:top w:w="60" w:type="dxa"/>
              <w:bottom w:w="60" w:type="dxa"/>
              <w:right w:w="0" w:type="dxa"/>
            </w:tcMar>
            <w:vAlign w:val="center"/>
          </w:tcPr>
          <w:p w14:paraId="0AAD8645" w14:textId="77777777" w:rsidR="00F31590" w:rsidRDefault="00F31590">
            <w:pPr>
              <w:pStyle w:val="AnnexTableHeader"/>
              <w:spacing w:line="200" w:lineRule="exact"/>
            </w:pPr>
            <w:r>
              <w:t>Millioner</w:t>
            </w:r>
          </w:p>
          <w:p w14:paraId="3E04CC2C" w14:textId="77777777" w:rsidR="00F31590" w:rsidRDefault="00F31590">
            <w:pPr>
              <w:pStyle w:val="AnnexTableHeader"/>
              <w:spacing w:line="200" w:lineRule="exact"/>
            </w:pPr>
            <w:r>
              <w:t>euro</w:t>
            </w:r>
          </w:p>
        </w:tc>
      </w:tr>
      <w:tr w:rsidR="00F31590" w14:paraId="2BADA64A" w14:textId="77777777">
        <w:tc>
          <w:tcPr>
            <w:tcW w:w="516" w:type="dxa"/>
            <w:tcBorders>
              <w:left w:val="single" w:sz="4" w:space="0" w:color="auto"/>
            </w:tcBorders>
            <w:tcMar>
              <w:top w:w="60" w:type="dxa"/>
              <w:left w:w="0" w:type="dxa"/>
              <w:bottom w:w="60" w:type="dxa"/>
            </w:tcMar>
          </w:tcPr>
          <w:p w14:paraId="468D705D" w14:textId="77777777" w:rsidR="00F31590" w:rsidRDefault="00F31590">
            <w:pPr>
              <w:pStyle w:val="AnnexTableCellLeft"/>
              <w:jc w:val="center"/>
            </w:pPr>
            <w:r>
              <w:t>1</w:t>
            </w:r>
          </w:p>
        </w:tc>
        <w:tc>
          <w:tcPr>
            <w:tcW w:w="6420" w:type="dxa"/>
            <w:tcMar>
              <w:top w:w="60" w:type="dxa"/>
              <w:bottom w:w="60" w:type="dxa"/>
            </w:tcMar>
          </w:tcPr>
          <w:p w14:paraId="3B1C8371" w14:textId="77777777" w:rsidR="00F31590" w:rsidRDefault="00F31590">
            <w:pPr>
              <w:pStyle w:val="AnnexTableCellLeft"/>
              <w:ind w:left="120"/>
              <w:rPr>
                <w:b/>
              </w:rPr>
            </w:pPr>
            <w:r>
              <w:rPr>
                <w:b/>
              </w:rPr>
              <w:t>Samlede eiendeler under forvaltning</w:t>
            </w:r>
          </w:p>
        </w:tc>
        <w:tc>
          <w:tcPr>
            <w:tcW w:w="1128" w:type="dxa"/>
            <w:tcMar>
              <w:top w:w="60" w:type="dxa"/>
              <w:bottom w:w="60" w:type="dxa"/>
            </w:tcMar>
          </w:tcPr>
          <w:p w14:paraId="4FEB4FDB" w14:textId="77777777" w:rsidR="00F31590" w:rsidRDefault="00F31590">
            <w:pPr>
              <w:pStyle w:val="AnnexTableCellLeft"/>
              <w:jc w:val="center"/>
            </w:pPr>
            <w:r>
              <w:t>100 %</w:t>
            </w:r>
          </w:p>
        </w:tc>
        <w:tc>
          <w:tcPr>
            <w:tcW w:w="1188" w:type="dxa"/>
            <w:tcBorders>
              <w:right w:val="single" w:sz="4" w:space="0" w:color="auto"/>
            </w:tcBorders>
            <w:tcMar>
              <w:top w:w="60" w:type="dxa"/>
              <w:bottom w:w="60" w:type="dxa"/>
              <w:right w:w="0" w:type="dxa"/>
            </w:tcMar>
          </w:tcPr>
          <w:p w14:paraId="11635B2E" w14:textId="77777777" w:rsidR="00F31590" w:rsidRDefault="00F31590">
            <w:pPr>
              <w:pStyle w:val="AnnexTableCellLeft"/>
            </w:pPr>
          </w:p>
        </w:tc>
      </w:tr>
    </w:tbl>
    <w:p w14:paraId="3FD12FA9" w14:textId="77777777" w:rsidR="00F31590" w:rsidRDefault="00F31590">
      <w:pPr>
        <w:shd w:val="clear" w:color="auto" w:fill="auto"/>
        <w:spacing w:line="0" w:lineRule="auto"/>
        <w:jc w:val="left"/>
        <w:rPr>
          <w:color w:val="auto"/>
          <w14:ligatures w14:val="standard"/>
        </w:rPr>
      </w:pPr>
      <w:r>
        <w:br w:type="page"/>
      </w:r>
    </w:p>
    <w:tbl>
      <w:tblPr>
        <w:tblOverlap w:val="never"/>
        <w:tblW w:w="9235" w:type="dxa"/>
        <w:tblInd w:w="10" w:type="dxa"/>
        <w:tblLayout w:type="fixed"/>
        <w:tblCellMar>
          <w:left w:w="10" w:type="dxa"/>
          <w:right w:w="10" w:type="dxa"/>
        </w:tblCellMar>
        <w:tblLook w:val="04A0" w:firstRow="1" w:lastRow="0" w:firstColumn="1" w:lastColumn="0" w:noHBand="0" w:noVBand="1"/>
      </w:tblPr>
      <w:tblGrid>
        <w:gridCol w:w="466"/>
        <w:gridCol w:w="6525"/>
        <w:gridCol w:w="1140"/>
        <w:gridCol w:w="1104"/>
      </w:tblGrid>
      <w:tr w:rsidR="00F31590" w14:paraId="5E965A14" w14:textId="77777777">
        <w:trPr>
          <w:trHeight w:val="302"/>
        </w:trPr>
        <w:tc>
          <w:tcPr>
            <w:tcW w:w="466" w:type="dxa"/>
            <w:tcBorders>
              <w:top w:val="single" w:sz="4" w:space="0" w:color="auto"/>
              <w:left w:val="single" w:sz="4" w:space="0" w:color="auto"/>
            </w:tcBorders>
            <w:shd w:val="clear" w:color="auto" w:fill="FFFFFF"/>
            <w:tcMar>
              <w:left w:w="0" w:type="dxa"/>
            </w:tcMar>
            <w:vAlign w:val="bottom"/>
          </w:tcPr>
          <w:p w14:paraId="571E4ADF" w14:textId="77777777" w:rsidR="00F31590" w:rsidRDefault="00F31590">
            <w:pPr>
              <w:pStyle w:val="AnnexTableCellLeft"/>
              <w:jc w:val="center"/>
            </w:pPr>
            <w:r>
              <w:lastRenderedPageBreak/>
              <w:t>2</w:t>
            </w:r>
          </w:p>
        </w:tc>
        <w:tc>
          <w:tcPr>
            <w:tcW w:w="6525" w:type="dxa"/>
            <w:tcBorders>
              <w:top w:val="single" w:sz="4" w:space="0" w:color="auto"/>
              <w:left w:val="single" w:sz="4" w:space="0" w:color="auto"/>
            </w:tcBorders>
            <w:shd w:val="clear" w:color="auto" w:fill="FFFFFF"/>
            <w:vAlign w:val="bottom"/>
          </w:tcPr>
          <w:p w14:paraId="402B3D1B" w14:textId="77777777" w:rsidR="00F31590" w:rsidRDefault="00F31590">
            <w:pPr>
              <w:pStyle w:val="AnnexTableCellLeft"/>
              <w:ind w:left="120"/>
              <w:rPr>
                <w:b/>
              </w:rPr>
            </w:pPr>
            <w:r>
              <w:rPr>
                <w:b/>
              </w:rPr>
              <w:t>Eiendeler dekket av KPI-en</w:t>
            </w:r>
          </w:p>
        </w:tc>
        <w:tc>
          <w:tcPr>
            <w:tcW w:w="1140" w:type="dxa"/>
            <w:tcBorders>
              <w:top w:val="single" w:sz="4" w:space="0" w:color="auto"/>
              <w:left w:val="single" w:sz="4" w:space="0" w:color="auto"/>
            </w:tcBorders>
            <w:shd w:val="clear" w:color="auto" w:fill="FFFFFF"/>
          </w:tcPr>
          <w:p w14:paraId="55D40475"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41BBD991" w14:textId="77777777" w:rsidR="00F31590" w:rsidRDefault="00F31590">
            <w:pPr>
              <w:pStyle w:val="AnnexTableCellLeft"/>
            </w:pPr>
          </w:p>
        </w:tc>
      </w:tr>
      <w:tr w:rsidR="00F31590" w14:paraId="5D86BD7B" w14:textId="77777777">
        <w:trPr>
          <w:trHeight w:val="893"/>
        </w:trPr>
        <w:tc>
          <w:tcPr>
            <w:tcW w:w="466" w:type="dxa"/>
            <w:tcBorders>
              <w:top w:val="single" w:sz="4" w:space="0" w:color="auto"/>
              <w:left w:val="single" w:sz="4" w:space="0" w:color="auto"/>
            </w:tcBorders>
            <w:shd w:val="clear" w:color="auto" w:fill="FFFFFF"/>
            <w:tcMar>
              <w:left w:w="0" w:type="dxa"/>
            </w:tcMar>
            <w:vAlign w:val="bottom"/>
          </w:tcPr>
          <w:p w14:paraId="490A9944" w14:textId="77777777" w:rsidR="00F31590" w:rsidRDefault="00F31590">
            <w:pPr>
              <w:pStyle w:val="AnnexTableCellLeft"/>
              <w:jc w:val="center"/>
            </w:pPr>
          </w:p>
        </w:tc>
        <w:tc>
          <w:tcPr>
            <w:tcW w:w="6525" w:type="dxa"/>
            <w:tcBorders>
              <w:top w:val="single" w:sz="4" w:space="0" w:color="auto"/>
              <w:left w:val="single" w:sz="4" w:space="0" w:color="auto"/>
            </w:tcBorders>
            <w:shd w:val="clear" w:color="auto" w:fill="FFFFFF"/>
            <w:vAlign w:val="center"/>
          </w:tcPr>
          <w:p w14:paraId="36A6A40A" w14:textId="77777777" w:rsidR="00F31590" w:rsidRDefault="00F31590">
            <w:pPr>
              <w:pStyle w:val="AnnexTableCellLeft"/>
              <w:jc w:val="center"/>
              <w:rPr>
                <w:b/>
              </w:rPr>
            </w:pPr>
            <w:r>
              <w:rPr>
                <w:b/>
              </w:rPr>
              <w:t>% av dekkede eiendeler</w:t>
            </w:r>
          </w:p>
        </w:tc>
        <w:tc>
          <w:tcPr>
            <w:tcW w:w="1140" w:type="dxa"/>
            <w:tcBorders>
              <w:top w:val="single" w:sz="4" w:space="0" w:color="auto"/>
              <w:left w:val="single" w:sz="4" w:space="0" w:color="auto"/>
            </w:tcBorders>
            <w:shd w:val="clear" w:color="auto" w:fill="FFFFFF"/>
            <w:vAlign w:val="center"/>
          </w:tcPr>
          <w:p w14:paraId="54B22570" w14:textId="77777777" w:rsidR="003C5890" w:rsidRDefault="00F31590">
            <w:pPr>
              <w:pStyle w:val="AnnexTableCellLeft"/>
              <w:jc w:val="center"/>
            </w:pPr>
            <w:r>
              <w:t>%</w:t>
            </w:r>
          </w:p>
          <w:p w14:paraId="31EFE169" w14:textId="37370471" w:rsidR="00F31590" w:rsidRDefault="00F31590">
            <w:pPr>
              <w:pStyle w:val="AnnexTableCellLeft"/>
              <w:jc w:val="center"/>
            </w:pPr>
            <w:r>
              <w:t>Basert på omsetning</w:t>
            </w:r>
          </w:p>
        </w:tc>
        <w:tc>
          <w:tcPr>
            <w:tcW w:w="1104" w:type="dxa"/>
            <w:tcBorders>
              <w:top w:val="single" w:sz="4" w:space="0" w:color="auto"/>
              <w:left w:val="single" w:sz="4" w:space="0" w:color="auto"/>
              <w:right w:val="single" w:sz="4" w:space="0" w:color="auto"/>
            </w:tcBorders>
            <w:shd w:val="clear" w:color="auto" w:fill="FFFFFF"/>
            <w:tcMar>
              <w:right w:w="0" w:type="dxa"/>
            </w:tcMar>
            <w:vAlign w:val="center"/>
          </w:tcPr>
          <w:p w14:paraId="14D87C97" w14:textId="77777777" w:rsidR="003C5890" w:rsidRDefault="00F31590">
            <w:pPr>
              <w:pStyle w:val="AnnexTableCellLeft"/>
              <w:jc w:val="center"/>
            </w:pPr>
            <w:r>
              <w:t>%</w:t>
            </w:r>
          </w:p>
          <w:p w14:paraId="5AA74173" w14:textId="3AE1D1D0" w:rsidR="00F31590" w:rsidRDefault="00F31590">
            <w:pPr>
              <w:pStyle w:val="AnnexTableCellLeft"/>
              <w:jc w:val="center"/>
            </w:pPr>
            <w:r>
              <w:t>Basert på investerings</w:t>
            </w:r>
            <w:r w:rsidR="00233FCF">
              <w:softHyphen/>
            </w:r>
            <w:r>
              <w:t>utgifter</w:t>
            </w:r>
          </w:p>
        </w:tc>
      </w:tr>
      <w:tr w:rsidR="00F31590" w14:paraId="658B3EB6"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151FF652" w14:textId="77777777" w:rsidR="00F31590" w:rsidRDefault="00F31590">
            <w:pPr>
              <w:pStyle w:val="AnnexTableCellLeft"/>
              <w:jc w:val="center"/>
            </w:pPr>
            <w:r>
              <w:t>3</w:t>
            </w:r>
          </w:p>
        </w:tc>
        <w:tc>
          <w:tcPr>
            <w:tcW w:w="6525" w:type="dxa"/>
            <w:tcBorders>
              <w:top w:val="single" w:sz="4" w:space="0" w:color="auto"/>
              <w:left w:val="single" w:sz="4" w:space="0" w:color="auto"/>
            </w:tcBorders>
            <w:shd w:val="clear" w:color="auto" w:fill="FFFFFF"/>
            <w:vAlign w:val="bottom"/>
          </w:tcPr>
          <w:p w14:paraId="06396B14" w14:textId="77777777" w:rsidR="00F31590" w:rsidRDefault="00F31590">
            <w:pPr>
              <w:pStyle w:val="AnnexTableCellLeft"/>
              <w:ind w:left="120"/>
              <w:rPr>
                <w:b/>
              </w:rPr>
            </w:pPr>
            <w:r>
              <w:rPr>
                <w:b/>
              </w:rPr>
              <w:t>Omfattet av taksonomien</w:t>
            </w:r>
          </w:p>
        </w:tc>
        <w:tc>
          <w:tcPr>
            <w:tcW w:w="1140" w:type="dxa"/>
            <w:tcBorders>
              <w:top w:val="single" w:sz="4" w:space="0" w:color="auto"/>
              <w:left w:val="single" w:sz="4" w:space="0" w:color="auto"/>
            </w:tcBorders>
            <w:shd w:val="clear" w:color="auto" w:fill="FFFFFF"/>
          </w:tcPr>
          <w:p w14:paraId="63CD9616"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6103B031" w14:textId="77777777" w:rsidR="00F31590" w:rsidRDefault="00F31590">
            <w:pPr>
              <w:pStyle w:val="AnnexTableCellLeft"/>
            </w:pPr>
          </w:p>
        </w:tc>
      </w:tr>
      <w:tr w:rsidR="00F31590" w14:paraId="4853F19B"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29F1B013" w14:textId="77777777" w:rsidR="00F31590" w:rsidRDefault="00F31590">
            <w:pPr>
              <w:pStyle w:val="AnnexTableCellLeft"/>
              <w:jc w:val="center"/>
            </w:pPr>
            <w:r>
              <w:t>4</w:t>
            </w:r>
          </w:p>
        </w:tc>
        <w:tc>
          <w:tcPr>
            <w:tcW w:w="6525" w:type="dxa"/>
            <w:tcBorders>
              <w:top w:val="single" w:sz="4" w:space="0" w:color="auto"/>
              <w:left w:val="single" w:sz="4" w:space="0" w:color="auto"/>
            </w:tcBorders>
            <w:shd w:val="clear" w:color="auto" w:fill="FFFFFF"/>
            <w:vAlign w:val="bottom"/>
          </w:tcPr>
          <w:p w14:paraId="37FC8838" w14:textId="77777777" w:rsidR="00F31590" w:rsidRDefault="00F31590">
            <w:pPr>
              <w:pStyle w:val="AnnexTableCellLeft"/>
              <w:ind w:left="300"/>
            </w:pPr>
            <w:r>
              <w:t>Kjernefysiske aktiviteter (1)</w:t>
            </w:r>
          </w:p>
        </w:tc>
        <w:tc>
          <w:tcPr>
            <w:tcW w:w="1140" w:type="dxa"/>
            <w:tcBorders>
              <w:top w:val="single" w:sz="4" w:space="0" w:color="auto"/>
              <w:left w:val="single" w:sz="4" w:space="0" w:color="auto"/>
            </w:tcBorders>
            <w:shd w:val="clear" w:color="auto" w:fill="FFFFFF"/>
          </w:tcPr>
          <w:p w14:paraId="6E029279"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73BA2CC2" w14:textId="77777777" w:rsidR="00F31590" w:rsidRDefault="00F31590">
            <w:pPr>
              <w:pStyle w:val="AnnexTableCellLeft"/>
            </w:pPr>
          </w:p>
        </w:tc>
      </w:tr>
      <w:tr w:rsidR="00F31590" w14:paraId="01DCC3C4"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5768AD23" w14:textId="77777777" w:rsidR="00F31590" w:rsidRDefault="00F31590">
            <w:pPr>
              <w:pStyle w:val="AnnexTableCellLeft"/>
              <w:jc w:val="center"/>
            </w:pPr>
            <w:r>
              <w:t>5</w:t>
            </w:r>
          </w:p>
        </w:tc>
        <w:tc>
          <w:tcPr>
            <w:tcW w:w="6525" w:type="dxa"/>
            <w:tcBorders>
              <w:top w:val="single" w:sz="4" w:space="0" w:color="auto"/>
              <w:left w:val="single" w:sz="4" w:space="0" w:color="auto"/>
            </w:tcBorders>
            <w:shd w:val="clear" w:color="auto" w:fill="FFFFFF"/>
            <w:vAlign w:val="bottom"/>
          </w:tcPr>
          <w:p w14:paraId="65C6EBC8" w14:textId="77777777" w:rsidR="00F31590" w:rsidRDefault="00F31590">
            <w:pPr>
              <w:pStyle w:val="AnnexTableCellLeft"/>
              <w:ind w:left="300"/>
            </w:pPr>
            <w:r>
              <w:t>Fossilgassaktiviteter (2)</w:t>
            </w:r>
          </w:p>
        </w:tc>
        <w:tc>
          <w:tcPr>
            <w:tcW w:w="1140" w:type="dxa"/>
            <w:tcBorders>
              <w:top w:val="single" w:sz="4" w:space="0" w:color="auto"/>
              <w:left w:val="single" w:sz="4" w:space="0" w:color="auto"/>
            </w:tcBorders>
            <w:shd w:val="clear" w:color="auto" w:fill="FFFFFF"/>
          </w:tcPr>
          <w:p w14:paraId="1B505038"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732231C8" w14:textId="77777777" w:rsidR="00F31590" w:rsidRDefault="00F31590">
            <w:pPr>
              <w:pStyle w:val="AnnexTableCellLeft"/>
            </w:pPr>
          </w:p>
        </w:tc>
      </w:tr>
      <w:tr w:rsidR="00F31590" w14:paraId="5BAEC2CF"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0D4EDE4B" w14:textId="77777777" w:rsidR="00F31590" w:rsidRDefault="00F31590">
            <w:pPr>
              <w:pStyle w:val="AnnexTableCellLeft"/>
              <w:jc w:val="center"/>
            </w:pPr>
            <w:r>
              <w:t>6</w:t>
            </w:r>
          </w:p>
        </w:tc>
        <w:tc>
          <w:tcPr>
            <w:tcW w:w="6525" w:type="dxa"/>
            <w:tcBorders>
              <w:top w:val="single" w:sz="4" w:space="0" w:color="auto"/>
              <w:left w:val="single" w:sz="4" w:space="0" w:color="auto"/>
            </w:tcBorders>
            <w:shd w:val="clear" w:color="auto" w:fill="FFFFFF"/>
            <w:vAlign w:val="bottom"/>
          </w:tcPr>
          <w:p w14:paraId="25B29D8B" w14:textId="77777777" w:rsidR="00F31590" w:rsidRDefault="00F31590">
            <w:pPr>
              <w:pStyle w:val="AnnexTableCellLeft"/>
              <w:ind w:left="120"/>
              <w:rPr>
                <w:b/>
              </w:rPr>
            </w:pPr>
            <w:r>
              <w:rPr>
                <w:b/>
              </w:rPr>
              <w:t>Taksonomiforenlige</w:t>
            </w:r>
          </w:p>
        </w:tc>
        <w:tc>
          <w:tcPr>
            <w:tcW w:w="1140" w:type="dxa"/>
            <w:tcBorders>
              <w:top w:val="single" w:sz="4" w:space="0" w:color="auto"/>
              <w:left w:val="single" w:sz="4" w:space="0" w:color="auto"/>
            </w:tcBorders>
            <w:shd w:val="clear" w:color="auto" w:fill="FFFFFF"/>
          </w:tcPr>
          <w:p w14:paraId="5052B41A"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0FD43981" w14:textId="77777777" w:rsidR="00F31590" w:rsidRDefault="00F31590">
            <w:pPr>
              <w:pStyle w:val="AnnexTableCellLeft"/>
            </w:pPr>
          </w:p>
        </w:tc>
      </w:tr>
      <w:tr w:rsidR="00F31590" w14:paraId="7E7836B7"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5A745AD6" w14:textId="77777777" w:rsidR="00F31590" w:rsidRDefault="00F31590">
            <w:pPr>
              <w:pStyle w:val="AnnexTableCellLeft"/>
              <w:jc w:val="center"/>
            </w:pPr>
            <w:r>
              <w:t>7</w:t>
            </w:r>
          </w:p>
        </w:tc>
        <w:tc>
          <w:tcPr>
            <w:tcW w:w="6525" w:type="dxa"/>
            <w:tcBorders>
              <w:top w:val="single" w:sz="4" w:space="0" w:color="auto"/>
              <w:left w:val="single" w:sz="4" w:space="0" w:color="auto"/>
            </w:tcBorders>
            <w:shd w:val="clear" w:color="auto" w:fill="FFFFFF"/>
            <w:vAlign w:val="bottom"/>
          </w:tcPr>
          <w:p w14:paraId="3CCDA334" w14:textId="77777777" w:rsidR="00F31590" w:rsidRDefault="00F31590">
            <w:pPr>
              <w:pStyle w:val="AnnexTableCellLeft"/>
              <w:ind w:left="300"/>
            </w:pPr>
            <w:r>
              <w:t>Foretak som er omfattet av artikkel 19a og 29a i direktiv 2013/34/EU</w:t>
            </w:r>
          </w:p>
        </w:tc>
        <w:tc>
          <w:tcPr>
            <w:tcW w:w="1140" w:type="dxa"/>
            <w:tcBorders>
              <w:top w:val="single" w:sz="4" w:space="0" w:color="auto"/>
              <w:left w:val="single" w:sz="4" w:space="0" w:color="auto"/>
            </w:tcBorders>
            <w:shd w:val="clear" w:color="auto" w:fill="FFFFFF"/>
          </w:tcPr>
          <w:p w14:paraId="37FAC51A"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2A684DAA" w14:textId="77777777" w:rsidR="00F31590" w:rsidRDefault="00F31590">
            <w:pPr>
              <w:pStyle w:val="AnnexTableCellLeft"/>
            </w:pPr>
          </w:p>
        </w:tc>
      </w:tr>
      <w:tr w:rsidR="00F31590" w14:paraId="25ED8A60"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64D80104" w14:textId="77777777" w:rsidR="00F31590" w:rsidRDefault="00F31590">
            <w:pPr>
              <w:pStyle w:val="AnnexTableCellLeft"/>
              <w:jc w:val="center"/>
            </w:pPr>
            <w:r>
              <w:t>8</w:t>
            </w:r>
          </w:p>
        </w:tc>
        <w:tc>
          <w:tcPr>
            <w:tcW w:w="6525" w:type="dxa"/>
            <w:tcBorders>
              <w:top w:val="single" w:sz="4" w:space="0" w:color="auto"/>
              <w:left w:val="single" w:sz="4" w:space="0" w:color="auto"/>
            </w:tcBorders>
            <w:shd w:val="clear" w:color="auto" w:fill="FFFFFF"/>
            <w:vAlign w:val="bottom"/>
          </w:tcPr>
          <w:p w14:paraId="4DABDE14" w14:textId="77777777" w:rsidR="00F31590" w:rsidRDefault="00F31590">
            <w:pPr>
              <w:pStyle w:val="AnnexTableCellLeft"/>
              <w:ind w:left="400"/>
            </w:pPr>
            <w:r>
              <w:t>hvorav ikke-finansielle foretak</w:t>
            </w:r>
          </w:p>
        </w:tc>
        <w:tc>
          <w:tcPr>
            <w:tcW w:w="1140" w:type="dxa"/>
            <w:tcBorders>
              <w:top w:val="single" w:sz="4" w:space="0" w:color="auto"/>
              <w:left w:val="single" w:sz="4" w:space="0" w:color="auto"/>
            </w:tcBorders>
            <w:shd w:val="clear" w:color="auto" w:fill="FFFFFF"/>
          </w:tcPr>
          <w:p w14:paraId="5573871F"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4C1392A4" w14:textId="77777777" w:rsidR="00F31590" w:rsidRDefault="00F31590">
            <w:pPr>
              <w:pStyle w:val="AnnexTableCellLeft"/>
            </w:pPr>
          </w:p>
        </w:tc>
      </w:tr>
      <w:tr w:rsidR="00F31590" w14:paraId="40B03665"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24E254D3" w14:textId="77777777" w:rsidR="00F31590" w:rsidRDefault="00F31590">
            <w:pPr>
              <w:pStyle w:val="AnnexTableCellLeft"/>
              <w:jc w:val="center"/>
            </w:pPr>
            <w:r>
              <w:t>9</w:t>
            </w:r>
          </w:p>
        </w:tc>
        <w:tc>
          <w:tcPr>
            <w:tcW w:w="6525" w:type="dxa"/>
            <w:tcBorders>
              <w:top w:val="single" w:sz="4" w:space="0" w:color="auto"/>
              <w:left w:val="single" w:sz="4" w:space="0" w:color="auto"/>
            </w:tcBorders>
            <w:shd w:val="clear" w:color="auto" w:fill="FFFFFF"/>
            <w:vAlign w:val="bottom"/>
          </w:tcPr>
          <w:p w14:paraId="19DCF53A" w14:textId="77777777" w:rsidR="00F31590" w:rsidRDefault="00F31590">
            <w:pPr>
              <w:pStyle w:val="AnnexTableCellLeft"/>
              <w:ind w:left="400"/>
            </w:pPr>
            <w:r>
              <w:t>hvorav finansforetak</w:t>
            </w:r>
          </w:p>
        </w:tc>
        <w:tc>
          <w:tcPr>
            <w:tcW w:w="1140" w:type="dxa"/>
            <w:tcBorders>
              <w:top w:val="single" w:sz="4" w:space="0" w:color="auto"/>
              <w:left w:val="single" w:sz="4" w:space="0" w:color="auto"/>
            </w:tcBorders>
            <w:shd w:val="clear" w:color="auto" w:fill="FFFFFF"/>
          </w:tcPr>
          <w:p w14:paraId="4CB86BFD"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5A13B268" w14:textId="77777777" w:rsidR="00F31590" w:rsidRDefault="00F31590">
            <w:pPr>
              <w:pStyle w:val="AnnexTableCellLeft"/>
            </w:pPr>
          </w:p>
        </w:tc>
      </w:tr>
      <w:tr w:rsidR="00F31590" w14:paraId="75AACD46" w14:textId="77777777">
        <w:trPr>
          <w:trHeight w:val="302"/>
        </w:trPr>
        <w:tc>
          <w:tcPr>
            <w:tcW w:w="466" w:type="dxa"/>
            <w:tcBorders>
              <w:top w:val="single" w:sz="4" w:space="0" w:color="auto"/>
              <w:left w:val="single" w:sz="4" w:space="0" w:color="auto"/>
            </w:tcBorders>
            <w:shd w:val="clear" w:color="auto" w:fill="FFFFFF"/>
            <w:tcMar>
              <w:left w:w="0" w:type="dxa"/>
            </w:tcMar>
            <w:vAlign w:val="bottom"/>
          </w:tcPr>
          <w:p w14:paraId="432388C6" w14:textId="77777777" w:rsidR="00F31590" w:rsidRDefault="00F31590">
            <w:pPr>
              <w:pStyle w:val="AnnexTableCellLeft"/>
              <w:jc w:val="center"/>
            </w:pPr>
            <w:r>
              <w:t>10</w:t>
            </w:r>
          </w:p>
        </w:tc>
        <w:tc>
          <w:tcPr>
            <w:tcW w:w="6525" w:type="dxa"/>
            <w:tcBorders>
              <w:top w:val="single" w:sz="4" w:space="0" w:color="auto"/>
              <w:left w:val="single" w:sz="4" w:space="0" w:color="auto"/>
            </w:tcBorders>
            <w:shd w:val="clear" w:color="auto" w:fill="FFFFFF"/>
            <w:vAlign w:val="bottom"/>
          </w:tcPr>
          <w:p w14:paraId="4542E3BA" w14:textId="77777777" w:rsidR="00F31590" w:rsidRDefault="00F31590">
            <w:pPr>
              <w:pStyle w:val="AnnexTableCellLeft"/>
              <w:ind w:left="300"/>
            </w:pPr>
            <w:r>
              <w:t>Andre omfattede motparter og annen omfattet fast eiendom</w:t>
            </w:r>
          </w:p>
        </w:tc>
        <w:tc>
          <w:tcPr>
            <w:tcW w:w="1140" w:type="dxa"/>
            <w:tcBorders>
              <w:top w:val="single" w:sz="4" w:space="0" w:color="auto"/>
              <w:left w:val="single" w:sz="4" w:space="0" w:color="auto"/>
            </w:tcBorders>
            <w:shd w:val="clear" w:color="auto" w:fill="FFFFFF"/>
          </w:tcPr>
          <w:p w14:paraId="32274192"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270B4034" w14:textId="77777777" w:rsidR="00F31590" w:rsidRDefault="00F31590">
            <w:pPr>
              <w:pStyle w:val="AnnexTableCellLeft"/>
            </w:pPr>
          </w:p>
        </w:tc>
      </w:tr>
      <w:tr w:rsidR="00F31590" w14:paraId="3CE98C9D" w14:textId="77777777">
        <w:trPr>
          <w:trHeight w:val="514"/>
        </w:trPr>
        <w:tc>
          <w:tcPr>
            <w:tcW w:w="466" w:type="dxa"/>
            <w:tcBorders>
              <w:top w:val="single" w:sz="4" w:space="0" w:color="auto"/>
              <w:left w:val="single" w:sz="4" w:space="0" w:color="auto"/>
            </w:tcBorders>
            <w:shd w:val="clear" w:color="auto" w:fill="FFFFFF"/>
            <w:tcMar>
              <w:left w:w="0" w:type="dxa"/>
            </w:tcMar>
            <w:vAlign w:val="bottom"/>
          </w:tcPr>
          <w:p w14:paraId="3491F416" w14:textId="77777777" w:rsidR="00F31590" w:rsidRDefault="00F31590">
            <w:pPr>
              <w:pStyle w:val="AnnexTableCellLeft"/>
              <w:jc w:val="center"/>
            </w:pPr>
            <w:r>
              <w:t>11</w:t>
            </w:r>
          </w:p>
        </w:tc>
        <w:tc>
          <w:tcPr>
            <w:tcW w:w="6525" w:type="dxa"/>
            <w:tcBorders>
              <w:top w:val="single" w:sz="4" w:space="0" w:color="auto"/>
              <w:left w:val="single" w:sz="4" w:space="0" w:color="auto"/>
            </w:tcBorders>
            <w:shd w:val="clear" w:color="auto" w:fill="FFFFFF"/>
            <w:vAlign w:val="bottom"/>
          </w:tcPr>
          <w:p w14:paraId="5E4DBAFE" w14:textId="77777777" w:rsidR="00F31590" w:rsidRDefault="00F31590">
            <w:pPr>
              <w:pStyle w:val="AnnexTableCellLeft"/>
              <w:ind w:left="300"/>
            </w:pPr>
            <w:r>
              <w:t>Andre investeringer enn investeringer som innehas med hensyn til livsforsikringsavtaler, dersom investeringsrisikoen bæres av forsikringstakerne.</w:t>
            </w:r>
          </w:p>
        </w:tc>
        <w:tc>
          <w:tcPr>
            <w:tcW w:w="1140" w:type="dxa"/>
            <w:tcBorders>
              <w:top w:val="single" w:sz="4" w:space="0" w:color="auto"/>
              <w:left w:val="single" w:sz="4" w:space="0" w:color="auto"/>
            </w:tcBorders>
            <w:shd w:val="clear" w:color="auto" w:fill="FFFFFF"/>
          </w:tcPr>
          <w:p w14:paraId="670B9BA8"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435F5FC3" w14:textId="77777777" w:rsidR="00F31590" w:rsidRDefault="00F31590">
            <w:pPr>
              <w:pStyle w:val="AnnexTableCellLeft"/>
            </w:pPr>
          </w:p>
        </w:tc>
      </w:tr>
      <w:tr w:rsidR="00F31590" w14:paraId="7D75AF8F"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66C43587" w14:textId="77777777" w:rsidR="00F31590" w:rsidRDefault="00F31590">
            <w:pPr>
              <w:pStyle w:val="AnnexTableCellLeft"/>
              <w:jc w:val="center"/>
            </w:pPr>
            <w:r>
              <w:t>12</w:t>
            </w:r>
          </w:p>
        </w:tc>
        <w:tc>
          <w:tcPr>
            <w:tcW w:w="6525" w:type="dxa"/>
            <w:tcBorders>
              <w:top w:val="single" w:sz="4" w:space="0" w:color="auto"/>
              <w:left w:val="single" w:sz="4" w:space="0" w:color="auto"/>
            </w:tcBorders>
            <w:shd w:val="clear" w:color="auto" w:fill="FFFFFF"/>
            <w:vAlign w:val="bottom"/>
          </w:tcPr>
          <w:p w14:paraId="10467BB9" w14:textId="77777777" w:rsidR="00F31590" w:rsidRDefault="00F31590">
            <w:pPr>
              <w:pStyle w:val="AnnexTableCellLeft"/>
              <w:ind w:left="300"/>
            </w:pPr>
            <w:r>
              <w:t>Eksponeringer som tas med på frivillig grunnlag (3)</w:t>
            </w:r>
          </w:p>
        </w:tc>
        <w:tc>
          <w:tcPr>
            <w:tcW w:w="1140" w:type="dxa"/>
            <w:tcBorders>
              <w:top w:val="single" w:sz="4" w:space="0" w:color="auto"/>
              <w:left w:val="single" w:sz="4" w:space="0" w:color="auto"/>
            </w:tcBorders>
            <w:shd w:val="clear" w:color="auto" w:fill="FFFFFF"/>
          </w:tcPr>
          <w:p w14:paraId="7B052F76"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10FAB81B" w14:textId="77777777" w:rsidR="00F31590" w:rsidRDefault="00F31590">
            <w:pPr>
              <w:pStyle w:val="AnnexTableCellLeft"/>
            </w:pPr>
          </w:p>
        </w:tc>
      </w:tr>
      <w:tr w:rsidR="00F31590" w14:paraId="62F5EDC1"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26DCF34B" w14:textId="77777777" w:rsidR="00F31590" w:rsidRDefault="00F31590">
            <w:pPr>
              <w:pStyle w:val="AnnexTableCellLeft"/>
              <w:jc w:val="center"/>
            </w:pPr>
            <w:r>
              <w:t>13</w:t>
            </w:r>
          </w:p>
        </w:tc>
        <w:tc>
          <w:tcPr>
            <w:tcW w:w="6525" w:type="dxa"/>
            <w:tcBorders>
              <w:top w:val="single" w:sz="4" w:space="0" w:color="auto"/>
              <w:left w:val="single" w:sz="4" w:space="0" w:color="auto"/>
            </w:tcBorders>
            <w:shd w:val="clear" w:color="auto" w:fill="FFFFFF"/>
            <w:vAlign w:val="bottom"/>
          </w:tcPr>
          <w:p w14:paraId="056E3EEB" w14:textId="77777777" w:rsidR="00F31590" w:rsidRDefault="00F31590">
            <w:pPr>
              <w:pStyle w:val="AnnexTableCellLeft"/>
              <w:ind w:left="300"/>
            </w:pPr>
            <w:r>
              <w:t>Omstillingsaktiviteter</w:t>
            </w:r>
          </w:p>
        </w:tc>
        <w:tc>
          <w:tcPr>
            <w:tcW w:w="1140" w:type="dxa"/>
            <w:tcBorders>
              <w:top w:val="single" w:sz="4" w:space="0" w:color="auto"/>
              <w:left w:val="single" w:sz="4" w:space="0" w:color="auto"/>
            </w:tcBorders>
            <w:shd w:val="clear" w:color="auto" w:fill="FFFFFF"/>
          </w:tcPr>
          <w:p w14:paraId="71707976"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02F097A3" w14:textId="77777777" w:rsidR="00F31590" w:rsidRDefault="00F31590">
            <w:pPr>
              <w:pStyle w:val="AnnexTableCellLeft"/>
            </w:pPr>
          </w:p>
        </w:tc>
      </w:tr>
      <w:tr w:rsidR="00F31590" w14:paraId="7D718584"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0FAEDF08" w14:textId="77777777" w:rsidR="00F31590" w:rsidRDefault="00F31590">
            <w:pPr>
              <w:pStyle w:val="AnnexTableCellLeft"/>
              <w:jc w:val="center"/>
            </w:pPr>
            <w:r>
              <w:t>14</w:t>
            </w:r>
          </w:p>
        </w:tc>
        <w:tc>
          <w:tcPr>
            <w:tcW w:w="6525" w:type="dxa"/>
            <w:tcBorders>
              <w:top w:val="single" w:sz="4" w:space="0" w:color="auto"/>
              <w:left w:val="single" w:sz="4" w:space="0" w:color="auto"/>
            </w:tcBorders>
            <w:shd w:val="clear" w:color="auto" w:fill="FFFFFF"/>
            <w:vAlign w:val="bottom"/>
          </w:tcPr>
          <w:p w14:paraId="42AEFF30" w14:textId="77777777" w:rsidR="00F31590" w:rsidRDefault="00F31590">
            <w:pPr>
              <w:pStyle w:val="AnnexTableCellLeft"/>
              <w:ind w:left="300"/>
            </w:pPr>
            <w:r>
              <w:t>Muliggjørende aktiviteter</w:t>
            </w:r>
          </w:p>
        </w:tc>
        <w:tc>
          <w:tcPr>
            <w:tcW w:w="1140" w:type="dxa"/>
            <w:tcBorders>
              <w:top w:val="single" w:sz="4" w:space="0" w:color="auto"/>
              <w:left w:val="single" w:sz="4" w:space="0" w:color="auto"/>
            </w:tcBorders>
            <w:shd w:val="clear" w:color="auto" w:fill="FFFFFF"/>
          </w:tcPr>
          <w:p w14:paraId="4E80A0A4"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379F8301" w14:textId="77777777" w:rsidR="00F31590" w:rsidRDefault="00F31590">
            <w:pPr>
              <w:pStyle w:val="AnnexTableCellLeft"/>
            </w:pPr>
          </w:p>
        </w:tc>
      </w:tr>
      <w:tr w:rsidR="00F31590" w14:paraId="2C3A12A2"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071C1616" w14:textId="77777777" w:rsidR="00F31590" w:rsidRDefault="00F31590">
            <w:pPr>
              <w:pStyle w:val="AnnexTableCellLeft"/>
              <w:jc w:val="center"/>
            </w:pPr>
            <w:r>
              <w:t>15</w:t>
            </w:r>
          </w:p>
        </w:tc>
        <w:tc>
          <w:tcPr>
            <w:tcW w:w="6525" w:type="dxa"/>
            <w:tcBorders>
              <w:top w:val="single" w:sz="4" w:space="0" w:color="auto"/>
              <w:left w:val="single" w:sz="4" w:space="0" w:color="auto"/>
            </w:tcBorders>
            <w:shd w:val="clear" w:color="auto" w:fill="FFFFFF"/>
            <w:vAlign w:val="bottom"/>
          </w:tcPr>
          <w:p w14:paraId="5B880AA7" w14:textId="77777777" w:rsidR="00F31590" w:rsidRDefault="00F31590">
            <w:pPr>
              <w:pStyle w:val="AnnexTableCellLeft"/>
              <w:ind w:left="360"/>
            </w:pPr>
            <w:r>
              <w:t>Kjernefysiske aktiviteter (1)</w:t>
            </w:r>
          </w:p>
        </w:tc>
        <w:tc>
          <w:tcPr>
            <w:tcW w:w="1140" w:type="dxa"/>
            <w:tcBorders>
              <w:top w:val="single" w:sz="4" w:space="0" w:color="auto"/>
              <w:left w:val="single" w:sz="4" w:space="0" w:color="auto"/>
            </w:tcBorders>
            <w:shd w:val="clear" w:color="auto" w:fill="FFFFFF"/>
          </w:tcPr>
          <w:p w14:paraId="0D0D9F82"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5EACF4D9" w14:textId="77777777" w:rsidR="00F31590" w:rsidRDefault="00F31590">
            <w:pPr>
              <w:pStyle w:val="AnnexTableCellLeft"/>
            </w:pPr>
          </w:p>
        </w:tc>
      </w:tr>
      <w:tr w:rsidR="00F31590" w14:paraId="2307492F"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4AE9969C" w14:textId="77777777" w:rsidR="00F31590" w:rsidRDefault="00F31590">
            <w:pPr>
              <w:pStyle w:val="AnnexTableCellLeft"/>
              <w:jc w:val="center"/>
            </w:pPr>
            <w:r>
              <w:t>16</w:t>
            </w:r>
          </w:p>
        </w:tc>
        <w:tc>
          <w:tcPr>
            <w:tcW w:w="6525" w:type="dxa"/>
            <w:tcBorders>
              <w:top w:val="single" w:sz="4" w:space="0" w:color="auto"/>
              <w:left w:val="single" w:sz="4" w:space="0" w:color="auto"/>
            </w:tcBorders>
            <w:shd w:val="clear" w:color="auto" w:fill="FFFFFF"/>
            <w:vAlign w:val="bottom"/>
          </w:tcPr>
          <w:p w14:paraId="7E43BCA1" w14:textId="77777777" w:rsidR="00F31590" w:rsidRDefault="00F31590">
            <w:pPr>
              <w:pStyle w:val="AnnexTableCellLeft"/>
              <w:ind w:left="360"/>
            </w:pPr>
            <w:r>
              <w:t>Fossilgassaktiviteter (2)</w:t>
            </w:r>
          </w:p>
        </w:tc>
        <w:tc>
          <w:tcPr>
            <w:tcW w:w="1140" w:type="dxa"/>
            <w:tcBorders>
              <w:top w:val="single" w:sz="4" w:space="0" w:color="auto"/>
              <w:left w:val="single" w:sz="4" w:space="0" w:color="auto"/>
            </w:tcBorders>
            <w:shd w:val="clear" w:color="auto" w:fill="FFFFFF"/>
          </w:tcPr>
          <w:p w14:paraId="07A86427"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6216E2CA" w14:textId="77777777" w:rsidR="00F31590" w:rsidRDefault="00F31590">
            <w:pPr>
              <w:pStyle w:val="AnnexTableCellLeft"/>
            </w:pPr>
          </w:p>
        </w:tc>
      </w:tr>
      <w:tr w:rsidR="00F31590" w14:paraId="33E575D9" w14:textId="77777777">
        <w:trPr>
          <w:trHeight w:val="878"/>
        </w:trPr>
        <w:tc>
          <w:tcPr>
            <w:tcW w:w="466" w:type="dxa"/>
            <w:tcBorders>
              <w:top w:val="single" w:sz="4" w:space="0" w:color="auto"/>
              <w:left w:val="single" w:sz="4" w:space="0" w:color="auto"/>
            </w:tcBorders>
            <w:shd w:val="clear" w:color="auto" w:fill="FFFFFF"/>
            <w:tcMar>
              <w:left w:w="0" w:type="dxa"/>
            </w:tcMar>
            <w:vAlign w:val="bottom"/>
          </w:tcPr>
          <w:p w14:paraId="698F55D5" w14:textId="77777777" w:rsidR="00F31590" w:rsidRDefault="00F31590">
            <w:pPr>
              <w:pStyle w:val="AnnexTableCellLeft"/>
              <w:jc w:val="center"/>
            </w:pPr>
          </w:p>
        </w:tc>
        <w:tc>
          <w:tcPr>
            <w:tcW w:w="6525" w:type="dxa"/>
            <w:tcBorders>
              <w:top w:val="single" w:sz="4" w:space="0" w:color="auto"/>
              <w:left w:val="single" w:sz="4" w:space="0" w:color="auto"/>
            </w:tcBorders>
            <w:shd w:val="clear" w:color="auto" w:fill="FFFFFF"/>
            <w:vAlign w:val="center"/>
          </w:tcPr>
          <w:p w14:paraId="3ADCAA57" w14:textId="77777777" w:rsidR="00F31590" w:rsidRDefault="00F31590">
            <w:pPr>
              <w:pStyle w:val="AnnexTableCellLeft"/>
              <w:ind w:left="120"/>
              <w:rPr>
                <w:b/>
              </w:rPr>
            </w:pPr>
            <w:r>
              <w:rPr>
                <w:b/>
              </w:rPr>
              <w:t>Taksonomiforenlighet per mål</w:t>
            </w:r>
          </w:p>
        </w:tc>
        <w:tc>
          <w:tcPr>
            <w:tcW w:w="1140" w:type="dxa"/>
            <w:tcBorders>
              <w:top w:val="single" w:sz="4" w:space="0" w:color="auto"/>
              <w:left w:val="single" w:sz="4" w:space="0" w:color="auto"/>
            </w:tcBorders>
            <w:shd w:val="clear" w:color="auto" w:fill="FFFFFF"/>
            <w:vAlign w:val="center"/>
          </w:tcPr>
          <w:p w14:paraId="070FB410" w14:textId="77777777" w:rsidR="003C5890" w:rsidRDefault="00F31590">
            <w:pPr>
              <w:pStyle w:val="AnnexTableCellLeft"/>
              <w:jc w:val="center"/>
            </w:pPr>
            <w:r>
              <w:t>%</w:t>
            </w:r>
          </w:p>
          <w:p w14:paraId="3E7F9CE7" w14:textId="6D08D63C" w:rsidR="00F31590" w:rsidRDefault="00F31590">
            <w:pPr>
              <w:pStyle w:val="AnnexTableCellLeft"/>
              <w:jc w:val="center"/>
            </w:pPr>
            <w:r>
              <w:t>Basert på omsetning</w:t>
            </w:r>
          </w:p>
        </w:tc>
        <w:tc>
          <w:tcPr>
            <w:tcW w:w="1104" w:type="dxa"/>
            <w:tcBorders>
              <w:top w:val="single" w:sz="4" w:space="0" w:color="auto"/>
              <w:left w:val="single" w:sz="4" w:space="0" w:color="auto"/>
              <w:right w:val="single" w:sz="4" w:space="0" w:color="auto"/>
            </w:tcBorders>
            <w:shd w:val="clear" w:color="auto" w:fill="FFFFFF"/>
            <w:tcMar>
              <w:right w:w="0" w:type="dxa"/>
            </w:tcMar>
            <w:vAlign w:val="center"/>
          </w:tcPr>
          <w:p w14:paraId="49091C00" w14:textId="77777777" w:rsidR="003C5890" w:rsidRDefault="00F31590">
            <w:pPr>
              <w:pStyle w:val="AnnexTableCellLeft"/>
              <w:jc w:val="center"/>
            </w:pPr>
            <w:r>
              <w:t>%</w:t>
            </w:r>
          </w:p>
          <w:p w14:paraId="40B326D4" w14:textId="043AEC90" w:rsidR="00F31590" w:rsidRDefault="00F31590">
            <w:pPr>
              <w:pStyle w:val="AnnexTableCellLeft"/>
              <w:jc w:val="center"/>
            </w:pPr>
            <w:r>
              <w:t>Basert på investerings</w:t>
            </w:r>
            <w:r w:rsidR="00233FCF">
              <w:softHyphen/>
            </w:r>
            <w:r>
              <w:t>utgifter</w:t>
            </w:r>
          </w:p>
        </w:tc>
      </w:tr>
      <w:tr w:rsidR="00F31590" w14:paraId="6C7BEC85"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04E6CFB7" w14:textId="77777777" w:rsidR="00F31590" w:rsidRDefault="00F31590">
            <w:pPr>
              <w:pStyle w:val="AnnexTableCellLeft"/>
              <w:jc w:val="center"/>
            </w:pPr>
            <w:r>
              <w:t>17</w:t>
            </w:r>
          </w:p>
        </w:tc>
        <w:tc>
          <w:tcPr>
            <w:tcW w:w="6525" w:type="dxa"/>
            <w:tcBorders>
              <w:top w:val="single" w:sz="4" w:space="0" w:color="auto"/>
              <w:left w:val="single" w:sz="4" w:space="0" w:color="auto"/>
            </w:tcBorders>
            <w:shd w:val="clear" w:color="auto" w:fill="FFFFFF"/>
            <w:vAlign w:val="bottom"/>
          </w:tcPr>
          <w:p w14:paraId="25BB56B4" w14:textId="77777777" w:rsidR="00F31590" w:rsidRDefault="00F31590">
            <w:pPr>
              <w:pStyle w:val="AnnexTableCellLeft"/>
              <w:ind w:left="300"/>
            </w:pPr>
            <w:r>
              <w:t>Begrensning av klimaendringer (CCM)</w:t>
            </w:r>
          </w:p>
        </w:tc>
        <w:tc>
          <w:tcPr>
            <w:tcW w:w="1140" w:type="dxa"/>
            <w:tcBorders>
              <w:top w:val="single" w:sz="4" w:space="0" w:color="auto"/>
              <w:left w:val="single" w:sz="4" w:space="0" w:color="auto"/>
            </w:tcBorders>
            <w:shd w:val="clear" w:color="auto" w:fill="FFFFFF"/>
          </w:tcPr>
          <w:p w14:paraId="1EFA0C36"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79B33EC4" w14:textId="77777777" w:rsidR="00F31590" w:rsidRDefault="00F31590">
            <w:pPr>
              <w:pStyle w:val="AnnexTableCellLeft"/>
            </w:pPr>
          </w:p>
        </w:tc>
      </w:tr>
      <w:tr w:rsidR="00F31590" w14:paraId="0BB88958"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692DAC51" w14:textId="77777777" w:rsidR="00F31590" w:rsidRDefault="00F31590">
            <w:pPr>
              <w:pStyle w:val="AnnexTableCellLeft"/>
              <w:jc w:val="center"/>
            </w:pPr>
            <w:r>
              <w:t>18</w:t>
            </w:r>
          </w:p>
        </w:tc>
        <w:tc>
          <w:tcPr>
            <w:tcW w:w="6525" w:type="dxa"/>
            <w:tcBorders>
              <w:top w:val="single" w:sz="4" w:space="0" w:color="auto"/>
              <w:left w:val="single" w:sz="4" w:space="0" w:color="auto"/>
            </w:tcBorders>
            <w:shd w:val="clear" w:color="auto" w:fill="FFFFFF"/>
            <w:vAlign w:val="bottom"/>
          </w:tcPr>
          <w:p w14:paraId="18387EF6" w14:textId="77777777" w:rsidR="00F31590" w:rsidRDefault="00F31590">
            <w:pPr>
              <w:pStyle w:val="AnnexTableCellLeft"/>
              <w:ind w:left="300"/>
            </w:pPr>
            <w:r>
              <w:t>Tilpasning til klimaendringer (CCA)</w:t>
            </w:r>
          </w:p>
        </w:tc>
        <w:tc>
          <w:tcPr>
            <w:tcW w:w="1140" w:type="dxa"/>
            <w:tcBorders>
              <w:top w:val="single" w:sz="4" w:space="0" w:color="auto"/>
              <w:left w:val="single" w:sz="4" w:space="0" w:color="auto"/>
            </w:tcBorders>
            <w:shd w:val="clear" w:color="auto" w:fill="FFFFFF"/>
          </w:tcPr>
          <w:p w14:paraId="4A6B6D8C"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165666F5" w14:textId="77777777" w:rsidR="00F31590" w:rsidRDefault="00F31590">
            <w:pPr>
              <w:pStyle w:val="AnnexTableCellLeft"/>
            </w:pPr>
          </w:p>
        </w:tc>
      </w:tr>
      <w:tr w:rsidR="00F31590" w14:paraId="701B80B1"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41799B42" w14:textId="77777777" w:rsidR="00F31590" w:rsidRDefault="00F31590">
            <w:pPr>
              <w:pStyle w:val="AnnexTableCellLeft"/>
              <w:jc w:val="center"/>
            </w:pPr>
            <w:r>
              <w:t>19</w:t>
            </w:r>
          </w:p>
        </w:tc>
        <w:tc>
          <w:tcPr>
            <w:tcW w:w="6525" w:type="dxa"/>
            <w:tcBorders>
              <w:top w:val="single" w:sz="4" w:space="0" w:color="auto"/>
              <w:left w:val="single" w:sz="4" w:space="0" w:color="auto"/>
            </w:tcBorders>
            <w:shd w:val="clear" w:color="auto" w:fill="FFFFFF"/>
            <w:vAlign w:val="bottom"/>
          </w:tcPr>
          <w:p w14:paraId="714605D8" w14:textId="77777777" w:rsidR="00F31590" w:rsidRDefault="00F31590">
            <w:pPr>
              <w:pStyle w:val="AnnexTableCellLeft"/>
              <w:ind w:left="300"/>
            </w:pPr>
            <w:r>
              <w:t>Vann- og havressurser (WTR)</w:t>
            </w:r>
          </w:p>
        </w:tc>
        <w:tc>
          <w:tcPr>
            <w:tcW w:w="1140" w:type="dxa"/>
            <w:tcBorders>
              <w:top w:val="single" w:sz="4" w:space="0" w:color="auto"/>
              <w:left w:val="single" w:sz="4" w:space="0" w:color="auto"/>
            </w:tcBorders>
            <w:shd w:val="clear" w:color="auto" w:fill="FFFFFF"/>
          </w:tcPr>
          <w:p w14:paraId="265B2BA0"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12A57238" w14:textId="77777777" w:rsidR="00F31590" w:rsidRDefault="00F31590">
            <w:pPr>
              <w:pStyle w:val="AnnexTableCellLeft"/>
            </w:pPr>
          </w:p>
        </w:tc>
      </w:tr>
      <w:tr w:rsidR="00F31590" w14:paraId="2E33C107"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6A2508E6" w14:textId="77777777" w:rsidR="00F31590" w:rsidRDefault="00F31590">
            <w:pPr>
              <w:pStyle w:val="AnnexTableCellLeft"/>
              <w:jc w:val="center"/>
            </w:pPr>
            <w:r>
              <w:t>20</w:t>
            </w:r>
          </w:p>
        </w:tc>
        <w:tc>
          <w:tcPr>
            <w:tcW w:w="6525" w:type="dxa"/>
            <w:tcBorders>
              <w:top w:val="single" w:sz="4" w:space="0" w:color="auto"/>
              <w:left w:val="single" w:sz="4" w:space="0" w:color="auto"/>
            </w:tcBorders>
            <w:shd w:val="clear" w:color="auto" w:fill="FFFFFF"/>
            <w:vAlign w:val="bottom"/>
          </w:tcPr>
          <w:p w14:paraId="29D35079" w14:textId="77777777" w:rsidR="00F31590" w:rsidRDefault="00F31590">
            <w:pPr>
              <w:pStyle w:val="AnnexTableCellLeft"/>
              <w:ind w:left="300"/>
            </w:pPr>
            <w:r>
              <w:t>Sirkulær økonomi (CE)</w:t>
            </w:r>
          </w:p>
        </w:tc>
        <w:tc>
          <w:tcPr>
            <w:tcW w:w="1140" w:type="dxa"/>
            <w:tcBorders>
              <w:top w:val="single" w:sz="4" w:space="0" w:color="auto"/>
              <w:left w:val="single" w:sz="4" w:space="0" w:color="auto"/>
            </w:tcBorders>
            <w:shd w:val="clear" w:color="auto" w:fill="FFFFFF"/>
          </w:tcPr>
          <w:p w14:paraId="2AC30188"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161E9480" w14:textId="77777777" w:rsidR="00F31590" w:rsidRDefault="00F31590">
            <w:pPr>
              <w:pStyle w:val="AnnexTableCellLeft"/>
            </w:pPr>
          </w:p>
        </w:tc>
      </w:tr>
      <w:tr w:rsidR="00F31590" w14:paraId="73336E8B"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1280EACF" w14:textId="77777777" w:rsidR="00F31590" w:rsidRDefault="00F31590">
            <w:pPr>
              <w:pStyle w:val="AnnexTableCellLeft"/>
              <w:jc w:val="center"/>
            </w:pPr>
            <w:r>
              <w:t>21</w:t>
            </w:r>
          </w:p>
        </w:tc>
        <w:tc>
          <w:tcPr>
            <w:tcW w:w="6525" w:type="dxa"/>
            <w:tcBorders>
              <w:top w:val="single" w:sz="4" w:space="0" w:color="auto"/>
              <w:left w:val="single" w:sz="4" w:space="0" w:color="auto"/>
            </w:tcBorders>
            <w:shd w:val="clear" w:color="auto" w:fill="FFFFFF"/>
            <w:vAlign w:val="bottom"/>
          </w:tcPr>
          <w:p w14:paraId="76BCC2B0" w14:textId="77777777" w:rsidR="00F31590" w:rsidRDefault="00F31590">
            <w:pPr>
              <w:pStyle w:val="AnnexTableCellLeft"/>
              <w:ind w:left="300"/>
            </w:pPr>
            <w:r>
              <w:t>Forurensning (PPC)</w:t>
            </w:r>
          </w:p>
        </w:tc>
        <w:tc>
          <w:tcPr>
            <w:tcW w:w="1140" w:type="dxa"/>
            <w:tcBorders>
              <w:top w:val="single" w:sz="4" w:space="0" w:color="auto"/>
              <w:left w:val="single" w:sz="4" w:space="0" w:color="auto"/>
            </w:tcBorders>
            <w:shd w:val="clear" w:color="auto" w:fill="FFFFFF"/>
          </w:tcPr>
          <w:p w14:paraId="4285E2AF"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25561A15" w14:textId="77777777" w:rsidR="00F31590" w:rsidRDefault="00F31590">
            <w:pPr>
              <w:pStyle w:val="AnnexTableCellLeft"/>
            </w:pPr>
          </w:p>
        </w:tc>
      </w:tr>
      <w:tr w:rsidR="00F31590" w14:paraId="5E9DFFC4"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1724BF50" w14:textId="77777777" w:rsidR="00F31590" w:rsidRDefault="00F31590">
            <w:pPr>
              <w:pStyle w:val="AnnexTableCellLeft"/>
              <w:jc w:val="center"/>
            </w:pPr>
            <w:r>
              <w:t>22</w:t>
            </w:r>
          </w:p>
        </w:tc>
        <w:tc>
          <w:tcPr>
            <w:tcW w:w="6525" w:type="dxa"/>
            <w:tcBorders>
              <w:top w:val="single" w:sz="4" w:space="0" w:color="auto"/>
              <w:left w:val="single" w:sz="4" w:space="0" w:color="auto"/>
            </w:tcBorders>
            <w:shd w:val="clear" w:color="auto" w:fill="FFFFFF"/>
            <w:vAlign w:val="bottom"/>
          </w:tcPr>
          <w:p w14:paraId="77CC1A6E" w14:textId="77777777" w:rsidR="00F31590" w:rsidRDefault="00F31590">
            <w:pPr>
              <w:pStyle w:val="AnnexTableCellLeft"/>
              <w:ind w:left="300"/>
            </w:pPr>
            <w:r>
              <w:t>Biologisk mangfold og økosystemer (BIO)</w:t>
            </w:r>
          </w:p>
        </w:tc>
        <w:tc>
          <w:tcPr>
            <w:tcW w:w="1140" w:type="dxa"/>
            <w:tcBorders>
              <w:top w:val="single" w:sz="4" w:space="0" w:color="auto"/>
              <w:left w:val="single" w:sz="4" w:space="0" w:color="auto"/>
            </w:tcBorders>
            <w:shd w:val="clear" w:color="auto" w:fill="FFFFFF"/>
          </w:tcPr>
          <w:p w14:paraId="6C1EDAE8"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76C0D450" w14:textId="77777777" w:rsidR="00F31590" w:rsidRDefault="00F31590">
            <w:pPr>
              <w:pStyle w:val="AnnexTableCellLeft"/>
            </w:pPr>
          </w:p>
        </w:tc>
      </w:tr>
      <w:tr w:rsidR="00F31590" w14:paraId="59FC61D9"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6E69E209" w14:textId="77777777" w:rsidR="00F31590" w:rsidRDefault="00F31590">
            <w:pPr>
              <w:pStyle w:val="AnnexTableCellLeft"/>
              <w:jc w:val="center"/>
            </w:pPr>
            <w:r>
              <w:t>23</w:t>
            </w:r>
          </w:p>
        </w:tc>
        <w:tc>
          <w:tcPr>
            <w:tcW w:w="6525" w:type="dxa"/>
            <w:tcBorders>
              <w:top w:val="single" w:sz="4" w:space="0" w:color="auto"/>
              <w:left w:val="single" w:sz="4" w:space="0" w:color="auto"/>
            </w:tcBorders>
            <w:shd w:val="clear" w:color="auto" w:fill="FFFFFF"/>
            <w:vAlign w:val="bottom"/>
          </w:tcPr>
          <w:p w14:paraId="6F115952" w14:textId="77777777" w:rsidR="00F31590" w:rsidRDefault="00F31590">
            <w:pPr>
              <w:pStyle w:val="AnnexTableCellLeft"/>
              <w:ind w:left="120"/>
              <w:rPr>
                <w:b/>
              </w:rPr>
            </w:pPr>
            <w:r>
              <w:rPr>
                <w:b/>
              </w:rPr>
              <w:t>Ikke-vurderte eksponeringer</w:t>
            </w:r>
          </w:p>
        </w:tc>
        <w:tc>
          <w:tcPr>
            <w:tcW w:w="1140" w:type="dxa"/>
            <w:tcBorders>
              <w:top w:val="single" w:sz="4" w:space="0" w:color="auto"/>
              <w:left w:val="single" w:sz="4" w:space="0" w:color="auto"/>
            </w:tcBorders>
            <w:shd w:val="clear" w:color="auto" w:fill="FFFFFF"/>
          </w:tcPr>
          <w:p w14:paraId="079C87EB"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1B16EFDB" w14:textId="77777777" w:rsidR="00F31590" w:rsidRDefault="00F31590">
            <w:pPr>
              <w:pStyle w:val="AnnexTableCellLeft"/>
            </w:pPr>
          </w:p>
        </w:tc>
      </w:tr>
      <w:tr w:rsidR="00F31590" w14:paraId="28124E15" w14:textId="77777777">
        <w:trPr>
          <w:trHeight w:val="518"/>
        </w:trPr>
        <w:tc>
          <w:tcPr>
            <w:tcW w:w="466" w:type="dxa"/>
            <w:tcBorders>
              <w:top w:val="single" w:sz="4" w:space="0" w:color="auto"/>
              <w:left w:val="single" w:sz="4" w:space="0" w:color="auto"/>
            </w:tcBorders>
            <w:shd w:val="clear" w:color="auto" w:fill="FFFFFF"/>
            <w:tcMar>
              <w:left w:w="0" w:type="dxa"/>
            </w:tcMar>
            <w:vAlign w:val="bottom"/>
          </w:tcPr>
          <w:p w14:paraId="4242B200" w14:textId="77777777" w:rsidR="00F31590" w:rsidRDefault="00F31590">
            <w:pPr>
              <w:pStyle w:val="AnnexTableCellLeft"/>
              <w:jc w:val="center"/>
            </w:pPr>
            <w:r>
              <w:t>24</w:t>
            </w:r>
          </w:p>
        </w:tc>
        <w:tc>
          <w:tcPr>
            <w:tcW w:w="6525" w:type="dxa"/>
            <w:tcBorders>
              <w:top w:val="single" w:sz="4" w:space="0" w:color="auto"/>
              <w:left w:val="single" w:sz="4" w:space="0" w:color="auto"/>
            </w:tcBorders>
            <w:shd w:val="clear" w:color="auto" w:fill="FFFFFF"/>
            <w:vAlign w:val="bottom"/>
          </w:tcPr>
          <w:p w14:paraId="13B3809F" w14:textId="77777777" w:rsidR="00F31590" w:rsidRDefault="00F31590">
            <w:pPr>
              <w:pStyle w:val="AnnexTableCellLeft"/>
              <w:ind w:left="300"/>
            </w:pPr>
            <w:r>
              <w:t>Eksponeringer som finansierer motparters ikke-vurderte ikke-vesentlige aktiviteter (4)</w:t>
            </w:r>
          </w:p>
        </w:tc>
        <w:tc>
          <w:tcPr>
            <w:tcW w:w="1140" w:type="dxa"/>
            <w:tcBorders>
              <w:top w:val="single" w:sz="4" w:space="0" w:color="auto"/>
              <w:left w:val="single" w:sz="4" w:space="0" w:color="auto"/>
            </w:tcBorders>
            <w:shd w:val="clear" w:color="auto" w:fill="FFFFFF"/>
          </w:tcPr>
          <w:p w14:paraId="685A0656"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60B20262" w14:textId="77777777" w:rsidR="00F31590" w:rsidRDefault="00F31590">
            <w:pPr>
              <w:pStyle w:val="AnnexTableCellLeft"/>
            </w:pPr>
          </w:p>
        </w:tc>
      </w:tr>
      <w:tr w:rsidR="00F31590" w14:paraId="10583D14" w14:textId="77777777">
        <w:trPr>
          <w:trHeight w:val="514"/>
        </w:trPr>
        <w:tc>
          <w:tcPr>
            <w:tcW w:w="466" w:type="dxa"/>
            <w:tcBorders>
              <w:top w:val="single" w:sz="4" w:space="0" w:color="auto"/>
              <w:left w:val="single" w:sz="4" w:space="0" w:color="auto"/>
            </w:tcBorders>
            <w:shd w:val="clear" w:color="auto" w:fill="FFFFFF"/>
            <w:tcMar>
              <w:left w:w="0" w:type="dxa"/>
            </w:tcMar>
            <w:vAlign w:val="bottom"/>
          </w:tcPr>
          <w:p w14:paraId="614A455B" w14:textId="77777777" w:rsidR="00F31590" w:rsidRDefault="00F31590">
            <w:pPr>
              <w:pStyle w:val="AnnexTableCellLeft"/>
              <w:jc w:val="center"/>
            </w:pPr>
            <w:r>
              <w:t>25</w:t>
            </w:r>
          </w:p>
        </w:tc>
        <w:tc>
          <w:tcPr>
            <w:tcW w:w="6525" w:type="dxa"/>
            <w:tcBorders>
              <w:top w:val="single" w:sz="4" w:space="0" w:color="auto"/>
              <w:left w:val="single" w:sz="4" w:space="0" w:color="auto"/>
            </w:tcBorders>
            <w:shd w:val="clear" w:color="auto" w:fill="FFFFFF"/>
            <w:vAlign w:val="bottom"/>
          </w:tcPr>
          <w:p w14:paraId="7953AA11" w14:textId="77777777" w:rsidR="00F31590" w:rsidRDefault="00F31590">
            <w:pPr>
              <w:pStyle w:val="AnnexTableCellLeft"/>
              <w:ind w:left="300"/>
            </w:pPr>
            <w:r>
              <w:t>Eksponeringer som finansierer motparters rapportering i samsvar med artikkel 7 nr. 9 i denne forordningen  (5)</w:t>
            </w:r>
          </w:p>
        </w:tc>
        <w:tc>
          <w:tcPr>
            <w:tcW w:w="1140" w:type="dxa"/>
            <w:tcBorders>
              <w:top w:val="single" w:sz="4" w:space="0" w:color="auto"/>
              <w:left w:val="single" w:sz="4" w:space="0" w:color="auto"/>
            </w:tcBorders>
            <w:shd w:val="clear" w:color="auto" w:fill="FFFFFF"/>
          </w:tcPr>
          <w:p w14:paraId="19B0519A"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1C374B80" w14:textId="77777777" w:rsidR="00F31590" w:rsidRDefault="00F31590">
            <w:pPr>
              <w:pStyle w:val="AnnexTableCellLeft"/>
            </w:pPr>
          </w:p>
        </w:tc>
      </w:tr>
      <w:tr w:rsidR="00F31590" w14:paraId="28E2165E"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242BD7FF" w14:textId="77777777" w:rsidR="00F31590" w:rsidRDefault="00F31590">
            <w:pPr>
              <w:pStyle w:val="AnnexTableCellLeft"/>
              <w:jc w:val="center"/>
            </w:pPr>
            <w:r>
              <w:t>26</w:t>
            </w:r>
          </w:p>
        </w:tc>
        <w:tc>
          <w:tcPr>
            <w:tcW w:w="6525" w:type="dxa"/>
            <w:tcBorders>
              <w:top w:val="single" w:sz="4" w:space="0" w:color="auto"/>
              <w:left w:val="single" w:sz="4" w:space="0" w:color="auto"/>
            </w:tcBorders>
            <w:shd w:val="clear" w:color="auto" w:fill="FFFFFF"/>
            <w:vAlign w:val="bottom"/>
          </w:tcPr>
          <w:p w14:paraId="410A2029" w14:textId="77777777" w:rsidR="00F31590" w:rsidRDefault="00F31590">
            <w:pPr>
              <w:pStyle w:val="AnnexTableCellLeft"/>
              <w:ind w:left="300"/>
            </w:pPr>
            <w:r>
              <w:t>Ikke-vurderte eksponeringer som den rapporterende enheten anser som ikke-vesentlige (6)</w:t>
            </w:r>
          </w:p>
        </w:tc>
        <w:tc>
          <w:tcPr>
            <w:tcW w:w="1140" w:type="dxa"/>
            <w:tcBorders>
              <w:top w:val="single" w:sz="4" w:space="0" w:color="auto"/>
              <w:left w:val="single" w:sz="4" w:space="0" w:color="auto"/>
            </w:tcBorders>
            <w:shd w:val="clear" w:color="auto" w:fill="FFFFFF"/>
          </w:tcPr>
          <w:p w14:paraId="3C80AC85"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2F674C2D" w14:textId="77777777" w:rsidR="00F31590" w:rsidRDefault="00F31590">
            <w:pPr>
              <w:pStyle w:val="AnnexTableCellLeft"/>
            </w:pPr>
          </w:p>
        </w:tc>
      </w:tr>
      <w:tr w:rsidR="00F31590" w14:paraId="6EBD80C0" w14:textId="77777777">
        <w:trPr>
          <w:trHeight w:val="518"/>
        </w:trPr>
        <w:tc>
          <w:tcPr>
            <w:tcW w:w="466" w:type="dxa"/>
            <w:tcBorders>
              <w:top w:val="single" w:sz="4" w:space="0" w:color="auto"/>
              <w:left w:val="single" w:sz="4" w:space="0" w:color="auto"/>
            </w:tcBorders>
            <w:shd w:val="clear" w:color="auto" w:fill="FFFFFF"/>
            <w:tcMar>
              <w:left w:w="0" w:type="dxa"/>
            </w:tcMar>
            <w:vAlign w:val="bottom"/>
          </w:tcPr>
          <w:p w14:paraId="0480DA96" w14:textId="77777777" w:rsidR="00F31590" w:rsidRDefault="00F31590">
            <w:pPr>
              <w:pStyle w:val="AnnexTableCellLeft"/>
              <w:jc w:val="center"/>
            </w:pPr>
          </w:p>
        </w:tc>
        <w:tc>
          <w:tcPr>
            <w:tcW w:w="6525" w:type="dxa"/>
            <w:tcBorders>
              <w:top w:val="single" w:sz="4" w:space="0" w:color="auto"/>
              <w:left w:val="single" w:sz="4" w:space="0" w:color="auto"/>
            </w:tcBorders>
            <w:shd w:val="clear" w:color="auto" w:fill="FFFFFF"/>
            <w:vAlign w:val="bottom"/>
          </w:tcPr>
          <w:p w14:paraId="5E4E5613" w14:textId="77777777" w:rsidR="00F31590" w:rsidRDefault="00F31590">
            <w:pPr>
              <w:pStyle w:val="AnnexTableCellLeft"/>
              <w:jc w:val="center"/>
              <w:rPr>
                <w:b/>
              </w:rPr>
            </w:pPr>
            <w:r>
              <w:rPr>
                <w:b/>
              </w:rPr>
              <w:t>Spesifisering av dekkede eiendeler</w:t>
            </w:r>
          </w:p>
        </w:tc>
        <w:tc>
          <w:tcPr>
            <w:tcW w:w="1140" w:type="dxa"/>
            <w:tcBorders>
              <w:top w:val="single" w:sz="4" w:space="0" w:color="auto"/>
              <w:left w:val="single" w:sz="4" w:space="0" w:color="auto"/>
            </w:tcBorders>
            <w:shd w:val="clear" w:color="auto" w:fill="FFFFFF"/>
            <w:vAlign w:val="center"/>
          </w:tcPr>
          <w:p w14:paraId="7E490FD5" w14:textId="77777777" w:rsidR="00F31590" w:rsidRDefault="00F31590">
            <w:pPr>
              <w:pStyle w:val="AnnexTableCellLeft"/>
              <w:jc w:val="center"/>
            </w:pPr>
            <w:r>
              <w:t>%</w:t>
            </w:r>
          </w:p>
        </w:tc>
        <w:tc>
          <w:tcPr>
            <w:tcW w:w="1104" w:type="dxa"/>
            <w:tcBorders>
              <w:top w:val="single" w:sz="4" w:space="0" w:color="auto"/>
              <w:left w:val="single" w:sz="4" w:space="0" w:color="auto"/>
              <w:right w:val="single" w:sz="4" w:space="0" w:color="auto"/>
            </w:tcBorders>
            <w:shd w:val="clear" w:color="auto" w:fill="FFFFFF"/>
            <w:tcMar>
              <w:right w:w="0" w:type="dxa"/>
            </w:tcMar>
            <w:vAlign w:val="center"/>
          </w:tcPr>
          <w:p w14:paraId="42222510" w14:textId="77777777" w:rsidR="003C5890" w:rsidRDefault="00F31590">
            <w:pPr>
              <w:pStyle w:val="AnnexTableCellLeft"/>
              <w:jc w:val="center"/>
            </w:pPr>
            <w:r>
              <w:t>Millioner</w:t>
            </w:r>
          </w:p>
          <w:p w14:paraId="53F16506" w14:textId="4AFF6067" w:rsidR="00F31590" w:rsidRDefault="00F31590">
            <w:pPr>
              <w:pStyle w:val="AnnexTableCellLeft"/>
              <w:jc w:val="center"/>
            </w:pPr>
            <w:r>
              <w:t>euro</w:t>
            </w:r>
          </w:p>
        </w:tc>
      </w:tr>
      <w:tr w:rsidR="00F31590" w14:paraId="6A4C8EE0"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77014354" w14:textId="77777777" w:rsidR="00F31590" w:rsidRDefault="00F31590">
            <w:pPr>
              <w:pStyle w:val="AnnexTableCellLeft"/>
              <w:jc w:val="center"/>
            </w:pPr>
            <w:r>
              <w:t>27</w:t>
            </w:r>
          </w:p>
        </w:tc>
        <w:tc>
          <w:tcPr>
            <w:tcW w:w="6525" w:type="dxa"/>
            <w:tcBorders>
              <w:top w:val="single" w:sz="4" w:space="0" w:color="auto"/>
              <w:left w:val="single" w:sz="4" w:space="0" w:color="auto"/>
            </w:tcBorders>
            <w:shd w:val="clear" w:color="auto" w:fill="FFFFFF"/>
            <w:vAlign w:val="bottom"/>
          </w:tcPr>
          <w:p w14:paraId="0680D7D8" w14:textId="77777777" w:rsidR="00F31590" w:rsidRDefault="00F31590">
            <w:pPr>
              <w:pStyle w:val="AnnexTableCellLeft"/>
              <w:ind w:left="120"/>
            </w:pPr>
            <w:r>
              <w:t>Foretak som er omfattet av artikkel 19a og 29a i direktiv 2013/34/EU</w:t>
            </w:r>
          </w:p>
        </w:tc>
        <w:tc>
          <w:tcPr>
            <w:tcW w:w="1140" w:type="dxa"/>
            <w:tcBorders>
              <w:top w:val="single" w:sz="4" w:space="0" w:color="auto"/>
              <w:left w:val="single" w:sz="4" w:space="0" w:color="auto"/>
            </w:tcBorders>
            <w:shd w:val="clear" w:color="auto" w:fill="FFFFFF"/>
          </w:tcPr>
          <w:p w14:paraId="17E5235B"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4C8A2224" w14:textId="77777777" w:rsidR="00F31590" w:rsidRDefault="00F31590">
            <w:pPr>
              <w:pStyle w:val="AnnexTableCellLeft"/>
            </w:pPr>
          </w:p>
        </w:tc>
      </w:tr>
      <w:tr w:rsidR="00F31590" w14:paraId="3BC5151A"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16121260" w14:textId="77777777" w:rsidR="00F31590" w:rsidRDefault="00F31590">
            <w:pPr>
              <w:pStyle w:val="AnnexTableCellLeft"/>
              <w:jc w:val="center"/>
            </w:pPr>
            <w:r>
              <w:t>28</w:t>
            </w:r>
          </w:p>
        </w:tc>
        <w:tc>
          <w:tcPr>
            <w:tcW w:w="6525" w:type="dxa"/>
            <w:tcBorders>
              <w:top w:val="single" w:sz="4" w:space="0" w:color="auto"/>
              <w:left w:val="single" w:sz="4" w:space="0" w:color="auto"/>
            </w:tcBorders>
            <w:shd w:val="clear" w:color="auto" w:fill="FFFFFF"/>
            <w:vAlign w:val="bottom"/>
          </w:tcPr>
          <w:p w14:paraId="4E57AF09" w14:textId="77777777" w:rsidR="00F31590" w:rsidRDefault="00F31590">
            <w:pPr>
              <w:pStyle w:val="AnnexTableCellLeft"/>
              <w:ind w:left="300"/>
            </w:pPr>
            <w:r>
              <w:t>hvorav ikke-finansielle foretak</w:t>
            </w:r>
          </w:p>
        </w:tc>
        <w:tc>
          <w:tcPr>
            <w:tcW w:w="1140" w:type="dxa"/>
            <w:tcBorders>
              <w:top w:val="single" w:sz="4" w:space="0" w:color="auto"/>
              <w:left w:val="single" w:sz="4" w:space="0" w:color="auto"/>
            </w:tcBorders>
            <w:shd w:val="clear" w:color="auto" w:fill="FFFFFF"/>
          </w:tcPr>
          <w:p w14:paraId="14E2D506"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5D12F81B" w14:textId="77777777" w:rsidR="00F31590" w:rsidRDefault="00F31590">
            <w:pPr>
              <w:pStyle w:val="AnnexTableCellLeft"/>
            </w:pPr>
          </w:p>
        </w:tc>
      </w:tr>
      <w:tr w:rsidR="00F31590" w14:paraId="6EDC7D66"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12C75280" w14:textId="77777777" w:rsidR="00F31590" w:rsidRDefault="00F31590">
            <w:pPr>
              <w:pStyle w:val="AnnexTableCellLeft"/>
              <w:jc w:val="center"/>
            </w:pPr>
            <w:r>
              <w:t>29</w:t>
            </w:r>
          </w:p>
        </w:tc>
        <w:tc>
          <w:tcPr>
            <w:tcW w:w="6525" w:type="dxa"/>
            <w:tcBorders>
              <w:top w:val="single" w:sz="4" w:space="0" w:color="auto"/>
              <w:left w:val="single" w:sz="4" w:space="0" w:color="auto"/>
            </w:tcBorders>
            <w:shd w:val="clear" w:color="auto" w:fill="FFFFFF"/>
            <w:vAlign w:val="bottom"/>
          </w:tcPr>
          <w:p w14:paraId="03B4B9FE" w14:textId="77777777" w:rsidR="00F31590" w:rsidRDefault="00F31590">
            <w:pPr>
              <w:pStyle w:val="AnnexTableCellLeft"/>
              <w:ind w:left="300"/>
            </w:pPr>
            <w:r>
              <w:t>hvorav finansforetak</w:t>
            </w:r>
          </w:p>
        </w:tc>
        <w:tc>
          <w:tcPr>
            <w:tcW w:w="1140" w:type="dxa"/>
            <w:tcBorders>
              <w:top w:val="single" w:sz="4" w:space="0" w:color="auto"/>
              <w:left w:val="single" w:sz="4" w:space="0" w:color="auto"/>
            </w:tcBorders>
            <w:shd w:val="clear" w:color="auto" w:fill="FFFFFF"/>
          </w:tcPr>
          <w:p w14:paraId="474FEF4F"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609C7FB7" w14:textId="77777777" w:rsidR="00F31590" w:rsidRDefault="00F31590">
            <w:pPr>
              <w:pStyle w:val="AnnexTableCellLeft"/>
            </w:pPr>
          </w:p>
        </w:tc>
      </w:tr>
      <w:tr w:rsidR="00F31590" w14:paraId="16245941" w14:textId="77777777">
        <w:trPr>
          <w:trHeight w:val="298"/>
        </w:trPr>
        <w:tc>
          <w:tcPr>
            <w:tcW w:w="466" w:type="dxa"/>
            <w:tcBorders>
              <w:top w:val="single" w:sz="4" w:space="0" w:color="auto"/>
              <w:left w:val="single" w:sz="4" w:space="0" w:color="auto"/>
            </w:tcBorders>
            <w:shd w:val="clear" w:color="auto" w:fill="FFFFFF"/>
            <w:tcMar>
              <w:left w:w="0" w:type="dxa"/>
            </w:tcMar>
            <w:vAlign w:val="bottom"/>
          </w:tcPr>
          <w:p w14:paraId="1BC39DCE" w14:textId="77777777" w:rsidR="00F31590" w:rsidRDefault="00F31590">
            <w:pPr>
              <w:pStyle w:val="AnnexTableCellLeft"/>
              <w:jc w:val="center"/>
            </w:pPr>
            <w:r>
              <w:t>30</w:t>
            </w:r>
          </w:p>
        </w:tc>
        <w:tc>
          <w:tcPr>
            <w:tcW w:w="6525" w:type="dxa"/>
            <w:tcBorders>
              <w:top w:val="single" w:sz="4" w:space="0" w:color="auto"/>
              <w:left w:val="single" w:sz="4" w:space="0" w:color="auto"/>
            </w:tcBorders>
            <w:shd w:val="clear" w:color="auto" w:fill="FFFFFF"/>
            <w:vAlign w:val="bottom"/>
          </w:tcPr>
          <w:p w14:paraId="3A89A31B" w14:textId="77777777" w:rsidR="00F31590" w:rsidRDefault="00F31590">
            <w:pPr>
              <w:pStyle w:val="AnnexTableCellLeft"/>
              <w:ind w:left="120"/>
            </w:pPr>
            <w:r>
              <w:t>Andre omfattede motparter og annen omfattet fast eiendom</w:t>
            </w:r>
          </w:p>
        </w:tc>
        <w:tc>
          <w:tcPr>
            <w:tcW w:w="1140" w:type="dxa"/>
            <w:tcBorders>
              <w:top w:val="single" w:sz="4" w:space="0" w:color="auto"/>
              <w:left w:val="single" w:sz="4" w:space="0" w:color="auto"/>
            </w:tcBorders>
            <w:shd w:val="clear" w:color="auto" w:fill="FFFFFF"/>
          </w:tcPr>
          <w:p w14:paraId="4D431049"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20D49351" w14:textId="77777777" w:rsidR="00F31590" w:rsidRDefault="00F31590">
            <w:pPr>
              <w:pStyle w:val="AnnexTableCellLeft"/>
            </w:pPr>
          </w:p>
        </w:tc>
      </w:tr>
      <w:tr w:rsidR="00F31590" w14:paraId="6E2E4CB5" w14:textId="77777777">
        <w:trPr>
          <w:trHeight w:val="518"/>
        </w:trPr>
        <w:tc>
          <w:tcPr>
            <w:tcW w:w="466" w:type="dxa"/>
            <w:tcBorders>
              <w:top w:val="single" w:sz="4" w:space="0" w:color="auto"/>
              <w:left w:val="single" w:sz="4" w:space="0" w:color="auto"/>
            </w:tcBorders>
            <w:shd w:val="clear" w:color="auto" w:fill="FFFFFF"/>
            <w:tcMar>
              <w:left w:w="0" w:type="dxa"/>
            </w:tcMar>
            <w:vAlign w:val="bottom"/>
          </w:tcPr>
          <w:p w14:paraId="0B80C964" w14:textId="77777777" w:rsidR="00F31590" w:rsidRDefault="00F31590">
            <w:pPr>
              <w:pStyle w:val="AnnexTableCellLeft"/>
              <w:jc w:val="center"/>
            </w:pPr>
            <w:r>
              <w:t>31</w:t>
            </w:r>
          </w:p>
        </w:tc>
        <w:tc>
          <w:tcPr>
            <w:tcW w:w="6525" w:type="dxa"/>
            <w:tcBorders>
              <w:top w:val="single" w:sz="4" w:space="0" w:color="auto"/>
              <w:left w:val="single" w:sz="4" w:space="0" w:color="auto"/>
            </w:tcBorders>
            <w:shd w:val="clear" w:color="auto" w:fill="FFFFFF"/>
            <w:vAlign w:val="bottom"/>
          </w:tcPr>
          <w:p w14:paraId="66BAAC56" w14:textId="77777777" w:rsidR="00F31590" w:rsidRDefault="00F31590">
            <w:pPr>
              <w:pStyle w:val="AnnexTableCellLeft"/>
              <w:ind w:left="120"/>
            </w:pPr>
            <w:r>
              <w:t>Andre investeringer enn investeringer som innehas med hensyn til livsforsikringsavtaler, dersom investeringsrisikoen bæres av forsikringstakerne.</w:t>
            </w:r>
          </w:p>
        </w:tc>
        <w:tc>
          <w:tcPr>
            <w:tcW w:w="1140" w:type="dxa"/>
            <w:tcBorders>
              <w:top w:val="single" w:sz="4" w:space="0" w:color="auto"/>
              <w:left w:val="single" w:sz="4" w:space="0" w:color="auto"/>
            </w:tcBorders>
            <w:shd w:val="clear" w:color="auto" w:fill="FFFFFF"/>
          </w:tcPr>
          <w:p w14:paraId="22724320" w14:textId="77777777" w:rsidR="00F31590" w:rsidRDefault="00F31590">
            <w:pPr>
              <w:pStyle w:val="AnnexTableCellLeft"/>
            </w:pPr>
          </w:p>
        </w:tc>
        <w:tc>
          <w:tcPr>
            <w:tcW w:w="1104" w:type="dxa"/>
            <w:tcBorders>
              <w:top w:val="single" w:sz="4" w:space="0" w:color="auto"/>
              <w:left w:val="single" w:sz="4" w:space="0" w:color="auto"/>
              <w:right w:val="single" w:sz="4" w:space="0" w:color="auto"/>
            </w:tcBorders>
            <w:shd w:val="clear" w:color="auto" w:fill="FFFFFF"/>
            <w:tcMar>
              <w:right w:w="0" w:type="dxa"/>
            </w:tcMar>
          </w:tcPr>
          <w:p w14:paraId="1485DAF9" w14:textId="77777777" w:rsidR="00F31590" w:rsidRDefault="00F31590">
            <w:pPr>
              <w:pStyle w:val="AnnexTableCellLeft"/>
            </w:pPr>
          </w:p>
        </w:tc>
      </w:tr>
      <w:tr w:rsidR="00F31590" w14:paraId="26F14772" w14:textId="77777777">
        <w:trPr>
          <w:trHeight w:val="307"/>
        </w:trPr>
        <w:tc>
          <w:tcPr>
            <w:tcW w:w="466" w:type="dxa"/>
            <w:tcBorders>
              <w:top w:val="single" w:sz="4" w:space="0" w:color="auto"/>
              <w:left w:val="single" w:sz="4" w:space="0" w:color="auto"/>
              <w:bottom w:val="single" w:sz="4" w:space="0" w:color="auto"/>
            </w:tcBorders>
            <w:shd w:val="clear" w:color="auto" w:fill="FFFFFF"/>
            <w:tcMar>
              <w:left w:w="0" w:type="dxa"/>
            </w:tcMar>
            <w:vAlign w:val="bottom"/>
          </w:tcPr>
          <w:p w14:paraId="0141BC2F" w14:textId="77777777" w:rsidR="00F31590" w:rsidRDefault="00F31590">
            <w:pPr>
              <w:pStyle w:val="AnnexTableCellLeft"/>
              <w:jc w:val="center"/>
            </w:pPr>
            <w:r>
              <w:t>32</w:t>
            </w:r>
          </w:p>
        </w:tc>
        <w:tc>
          <w:tcPr>
            <w:tcW w:w="6525" w:type="dxa"/>
            <w:tcBorders>
              <w:top w:val="single" w:sz="4" w:space="0" w:color="auto"/>
              <w:left w:val="single" w:sz="4" w:space="0" w:color="auto"/>
              <w:bottom w:val="single" w:sz="4" w:space="0" w:color="auto"/>
            </w:tcBorders>
            <w:shd w:val="clear" w:color="auto" w:fill="FFFFFF"/>
            <w:vAlign w:val="bottom"/>
          </w:tcPr>
          <w:p w14:paraId="51DD1770" w14:textId="77777777" w:rsidR="00F31590" w:rsidRDefault="00F31590">
            <w:pPr>
              <w:pStyle w:val="AnnexTableCellLeft"/>
              <w:ind w:left="120"/>
            </w:pPr>
            <w:r>
              <w:t>Eksponeringer som tas med på frivillig grunnlag (3)</w:t>
            </w:r>
          </w:p>
        </w:tc>
        <w:tc>
          <w:tcPr>
            <w:tcW w:w="1140" w:type="dxa"/>
            <w:tcBorders>
              <w:top w:val="single" w:sz="4" w:space="0" w:color="auto"/>
              <w:left w:val="single" w:sz="4" w:space="0" w:color="auto"/>
              <w:bottom w:val="single" w:sz="4" w:space="0" w:color="auto"/>
            </w:tcBorders>
            <w:shd w:val="clear" w:color="auto" w:fill="FFFFFF"/>
          </w:tcPr>
          <w:p w14:paraId="29D8FEA7" w14:textId="77777777" w:rsidR="00F31590" w:rsidRDefault="00F31590">
            <w:pPr>
              <w:pStyle w:val="AnnexTableCellLeft"/>
            </w:pPr>
          </w:p>
        </w:tc>
        <w:tc>
          <w:tcPr>
            <w:tcW w:w="1104" w:type="dxa"/>
            <w:tcBorders>
              <w:top w:val="single" w:sz="4" w:space="0" w:color="auto"/>
              <w:left w:val="single" w:sz="4" w:space="0" w:color="auto"/>
              <w:bottom w:val="single" w:sz="4" w:space="0" w:color="auto"/>
              <w:right w:val="single" w:sz="4" w:space="0" w:color="auto"/>
            </w:tcBorders>
            <w:shd w:val="clear" w:color="auto" w:fill="FFFFFF"/>
            <w:tcMar>
              <w:right w:w="0" w:type="dxa"/>
            </w:tcMar>
          </w:tcPr>
          <w:p w14:paraId="04AE1F3E" w14:textId="77777777" w:rsidR="00F31590" w:rsidRDefault="00F31590">
            <w:pPr>
              <w:pStyle w:val="AnnexTableCellLeft"/>
            </w:pPr>
          </w:p>
        </w:tc>
      </w:tr>
    </w:tbl>
    <w:p w14:paraId="114EA38E" w14:textId="2718B34B" w:rsidR="00F31590" w:rsidRDefault="00F31590">
      <w:pPr>
        <w:pStyle w:val="AnnexNormal"/>
        <w:spacing w:before="200" w:after="0"/>
      </w:pPr>
      <w:r>
        <w:t xml:space="preserve">1) </w:t>
      </w:r>
      <w:r w:rsidR="005605F3">
        <w:t>N</w:t>
      </w:r>
      <w:r>
        <w:t>evnt i avsnitt 4.26, 4.27 og 4.28 i vedlegg I og II til delegert forordning 2021/2139</w:t>
      </w:r>
      <w:r>
        <w:br w:type="page"/>
      </w:r>
    </w:p>
    <w:p w14:paraId="10E52879" w14:textId="016A07CE" w:rsidR="00F31590" w:rsidRDefault="00F31590">
      <w:pPr>
        <w:pStyle w:val="AnnexNormal"/>
      </w:pPr>
      <w:r>
        <w:lastRenderedPageBreak/>
        <w:t xml:space="preserve">2) </w:t>
      </w:r>
      <w:r w:rsidR="005605F3">
        <w:t>N</w:t>
      </w:r>
      <w:r>
        <w:t>evnt i avsnitt 4.29, 4.30 og 4.31 i vedlegg I og II til delegert forordning 2021/2139</w:t>
      </w:r>
    </w:p>
    <w:p w14:paraId="424E720A" w14:textId="107BBB49" w:rsidR="00F31590" w:rsidRDefault="00F31590">
      <w:pPr>
        <w:pStyle w:val="AnnexNormal"/>
      </w:pPr>
      <w:r>
        <w:t xml:space="preserve">3) </w:t>
      </w:r>
      <w:r w:rsidR="005605F3">
        <w:t>I</w:t>
      </w:r>
      <w:r>
        <w:t xml:space="preserve"> samsvar med artikkel 7 nr. 3 i denne forordningen</w:t>
      </w:r>
    </w:p>
    <w:p w14:paraId="5679B96E" w14:textId="47F306FC" w:rsidR="00F31590" w:rsidRDefault="00F31590">
      <w:pPr>
        <w:pStyle w:val="AnnexNormal"/>
      </w:pPr>
      <w:r>
        <w:t xml:space="preserve">4) </w:t>
      </w:r>
      <w:r w:rsidR="005605F3">
        <w:t>I</w:t>
      </w:r>
      <w:r>
        <w:t xml:space="preserve"> samsvar med artikkel 7 nr. 8 bokstav a) og b) i denne forordningen</w:t>
      </w:r>
    </w:p>
    <w:p w14:paraId="16CB9BF6" w14:textId="63102660" w:rsidR="00F31590" w:rsidRDefault="00F31590">
      <w:pPr>
        <w:pStyle w:val="AnnexNormal"/>
      </w:pPr>
      <w:r>
        <w:t xml:space="preserve">5) </w:t>
      </w:r>
      <w:r w:rsidR="005605F3">
        <w:t>T</w:t>
      </w:r>
      <w:r>
        <w:t>allene bør være de samme i begge kolonnene</w:t>
      </w:r>
    </w:p>
    <w:p w14:paraId="1C2AEE88" w14:textId="11232CF1" w:rsidR="00F31590" w:rsidRDefault="00F31590">
      <w:pPr>
        <w:pStyle w:val="AnnexNormal"/>
      </w:pPr>
      <w:r>
        <w:t xml:space="preserve">6) </w:t>
      </w:r>
      <w:r w:rsidR="005605F3">
        <w:t>I</w:t>
      </w:r>
      <w:r>
        <w:t xml:space="preserve"> samsvar med artikkel 6 bokstav 1b i denne forordningen. Tallene bør være de samme i begge kolonnene.»</w:t>
      </w:r>
      <w:r>
        <w:br w:type="page"/>
      </w:r>
    </w:p>
    <w:p w14:paraId="360D99CB" w14:textId="77777777" w:rsidR="00F31590" w:rsidRDefault="00F31590">
      <w:pPr>
        <w:pStyle w:val="AnnexTI"/>
        <w:spacing w:after="360"/>
        <w:rPr>
          <w:b/>
          <w:i w:val="0"/>
          <w:u w:val="single"/>
        </w:rPr>
      </w:pPr>
      <w:r>
        <w:rPr>
          <w:b/>
          <w:i w:val="0"/>
          <w:u w:val="single"/>
        </w:rPr>
        <w:lastRenderedPageBreak/>
        <w:t>VEDLEGG XI</w:t>
      </w:r>
    </w:p>
    <w:p w14:paraId="42D1D80A" w14:textId="77777777" w:rsidR="00F31590" w:rsidRDefault="00F31590">
      <w:pPr>
        <w:pStyle w:val="AnnexNormal"/>
      </w:pPr>
      <w:r>
        <w:t>I vedlegg XI gjøres følgende endringer:</w:t>
      </w:r>
    </w:p>
    <w:p w14:paraId="0759C291" w14:textId="77777777" w:rsidR="00F31590" w:rsidRDefault="00F31590">
      <w:pPr>
        <w:pStyle w:val="AnnexNormal"/>
      </w:pPr>
      <w:r>
        <w:t>Følgende strekpunkt innsettes etter første strekpunkt:</w:t>
      </w:r>
    </w:p>
    <w:p w14:paraId="1989DA5E" w14:textId="77777777" w:rsidR="00F31590" w:rsidRDefault="00F31590">
      <w:pPr>
        <w:pStyle w:val="AnnexNormal"/>
      </w:pPr>
      <w:r>
        <w:t>«– bakgrunnsopplysninger om de eiendelene og aktivitetene som dekkes av KPI-er og anses som ikke-vesentlige i samsvar med artikkel 3 nr. 1a, artikkel 4 nr. 1a–1f, artikkel 5 nr. 1a og 1b, artikkel 6 nr. 1a og 1b, alt etter hva som er relevant, herunder sektoren for de økonomiske aktivitetene som er forbundet med disse eiendelene og aktivitetene, og en redegjørelse for hvorfor disse økonomiske aktivitetene ikke er vesentlige.»</w:t>
      </w:r>
      <w:r>
        <w:br w:type="page"/>
      </w:r>
    </w:p>
    <w:p w14:paraId="588B09A2" w14:textId="77777777" w:rsidR="00F31590" w:rsidRDefault="00F31590">
      <w:pPr>
        <w:pStyle w:val="AnnexTI"/>
        <w:spacing w:after="360"/>
        <w:rPr>
          <w:b/>
          <w:i w:val="0"/>
          <w:u w:val="single"/>
        </w:rPr>
      </w:pPr>
      <w:r>
        <w:rPr>
          <w:b/>
          <w:i w:val="0"/>
          <w:u w:val="single"/>
        </w:rPr>
        <w:lastRenderedPageBreak/>
        <w:t>VEDLEGG XII</w:t>
      </w:r>
    </w:p>
    <w:p w14:paraId="68FD829C" w14:textId="77777777" w:rsidR="00F31590" w:rsidRDefault="00F31590">
      <w:pPr>
        <w:pStyle w:val="AnnexTableTitle"/>
      </w:pPr>
      <w:r>
        <w:t>Endring av vedlegg I til delegert forordning (EU) 2021/2139</w:t>
      </w:r>
    </w:p>
    <w:p w14:paraId="6088970D" w14:textId="77777777" w:rsidR="00F31590" w:rsidRDefault="00F31590">
      <w:pPr>
        <w:pStyle w:val="AnnexNormal"/>
      </w:pPr>
      <w:r>
        <w:t>I vedlegg I til delegert forordning (EU) 2021/2139 gjøres følgende endringer:</w:t>
      </w:r>
    </w:p>
    <w:p w14:paraId="7317BBA4" w14:textId="77777777" w:rsidR="00F31590" w:rsidRDefault="00F31590">
      <w:pPr>
        <w:pStyle w:val="AnnexNormal"/>
      </w:pPr>
      <w:r>
        <w:t>1) Tillegg C skal lyde:</w:t>
      </w:r>
    </w:p>
    <w:p w14:paraId="70866E53" w14:textId="32F4A1E4" w:rsidR="00F31590" w:rsidRDefault="00F31590">
      <w:pPr>
        <w:pStyle w:val="AnnexNormal"/>
        <w:rPr>
          <w:b/>
        </w:rPr>
      </w:pPr>
      <w:r>
        <w:rPr>
          <w:b/>
        </w:rPr>
        <w:t>«TILLEGG C: GENERISKE DNSH-KRITERIER FOR FOREBYGGING OG BEGRENSNING AV FORURENSNING MED HENSYN TIL BRUK OG FOREKOMST AV KJEMIKALIER</w:t>
      </w:r>
    </w:p>
    <w:tbl>
      <w:tblPr>
        <w:tblStyle w:val="EFTATable"/>
        <w:tblW w:w="4994" w:type="pct"/>
        <w:tblLook w:val="04A0" w:firstRow="1" w:lastRow="0" w:firstColumn="1" w:lastColumn="0" w:noHBand="0" w:noVBand="1"/>
      </w:tblPr>
      <w:tblGrid>
        <w:gridCol w:w="9239"/>
      </w:tblGrid>
      <w:tr w:rsidR="00F31590" w14:paraId="4041C1E9" w14:textId="77777777">
        <w:trPr>
          <w:trHeight w:val="255"/>
        </w:trPr>
        <w:tc>
          <w:tcPr>
            <w:tcW w:w="5000" w:type="pct"/>
            <w:tcBorders>
              <w:left w:val="single" w:sz="4" w:space="0" w:color="auto"/>
              <w:right w:val="single" w:sz="4" w:space="0" w:color="auto"/>
            </w:tcBorders>
            <w:shd w:val="clear" w:color="auto" w:fill="F2F2F2"/>
            <w:tcMar>
              <w:left w:w="0" w:type="dxa"/>
              <w:right w:w="0" w:type="dxa"/>
            </w:tcMar>
          </w:tcPr>
          <w:p w14:paraId="704347C8" w14:textId="77777777" w:rsidR="00F31590" w:rsidRDefault="00F31590">
            <w:pPr>
              <w:pStyle w:val="AnnexNormal"/>
              <w:spacing w:after="120"/>
              <w:ind w:leftChars="60" w:left="108" w:rightChars="60" w:right="108"/>
            </w:pPr>
            <w:r>
              <w:t>Aktiviteten fører ikke til at følgende stoffer produseres, bringes i omsetning eller brukes:</w:t>
            </w:r>
          </w:p>
          <w:p w14:paraId="6025B792" w14:textId="77777777" w:rsidR="00F31590" w:rsidRDefault="00F31590">
            <w:pPr>
              <w:pStyle w:val="AnnexNormal"/>
              <w:spacing w:after="120"/>
              <w:ind w:leftChars="60" w:left="108" w:rightChars="60" w:right="108"/>
            </w:pPr>
            <w:r>
              <w:t>a) Stoffer for seg, i stoffblandinger eller i et produkt, oppført i vedlegg I eller II til europaparlaments- og rådsforordning (EU) 2019/1021(</w:t>
            </w:r>
            <w:r>
              <w:rPr>
                <w:vertAlign w:val="superscript"/>
              </w:rPr>
              <w:t>*1</w:t>
            </w:r>
            <w:r>
              <w:t>), med unntak av stoffer som forekommer som utilsiktede sporforurensninger.</w:t>
            </w:r>
          </w:p>
          <w:p w14:paraId="220035E1" w14:textId="77777777" w:rsidR="00F31590" w:rsidRDefault="00F31590">
            <w:pPr>
              <w:pStyle w:val="AnnexNormal"/>
              <w:spacing w:after="120"/>
              <w:ind w:leftChars="60" w:left="108" w:rightChars="60" w:right="108"/>
            </w:pPr>
            <w:r>
              <w:t>b) Kvikksølv og kvikksølvforbindelser, blandinger av disse og produkter tilsatt kvikksølv som definert i artikkel 2 i europaparlaments- og rådsforordning (EU) 2017/852(</w:t>
            </w:r>
            <w:r>
              <w:rPr>
                <w:vertAlign w:val="superscript"/>
              </w:rPr>
              <w:t>*2</w:t>
            </w:r>
            <w:r>
              <w:t>).</w:t>
            </w:r>
          </w:p>
          <w:p w14:paraId="7D1FCA68" w14:textId="77777777" w:rsidR="00F31590" w:rsidRDefault="00F31590">
            <w:pPr>
              <w:pStyle w:val="AnnexNormal"/>
              <w:spacing w:after="120"/>
              <w:ind w:leftChars="60" w:left="108" w:rightChars="60" w:right="108"/>
            </w:pPr>
            <w:r>
              <w:t>c) Stoffer for seg, i stoffblandinger eller i et produkt, oppført i vedlegg I eller II til europaparlaments- og rådsforordning (EU) nr. 2024/590(</w:t>
            </w:r>
            <w:r>
              <w:rPr>
                <w:vertAlign w:val="superscript"/>
              </w:rPr>
              <w:t>*3</w:t>
            </w:r>
            <w:r>
              <w:t>), unntatt alle følgende:</w:t>
            </w:r>
          </w:p>
          <w:p w14:paraId="47A4F789" w14:textId="77777777" w:rsidR="00F31590" w:rsidRDefault="00F31590">
            <w:pPr>
              <w:pStyle w:val="AnnexNormal"/>
              <w:spacing w:after="120"/>
              <w:ind w:leftChars="60" w:left="108" w:rightChars="60" w:right="108"/>
            </w:pPr>
            <w:r>
              <w:t>i) Stoffer oppført i vedlegg I til nevnte forordning, på de vilkårene for unntak som får anvendelse i henhold til nevnte forordning.</w:t>
            </w:r>
          </w:p>
          <w:p w14:paraId="1EB91112" w14:textId="77777777" w:rsidR="00F31590" w:rsidRDefault="00F31590">
            <w:pPr>
              <w:pStyle w:val="AnnexNormal"/>
              <w:spacing w:after="120"/>
              <w:ind w:leftChars="60" w:left="108" w:rightChars="60" w:right="108"/>
            </w:pPr>
            <w:r>
              <w:t xml:space="preserve">ii) Stoffer oppført i vedlegg II til nevnte forordning, for de bruksområdene som er tillatt for stoffer oppført i vedlegg I til nevnte forordning. </w:t>
            </w:r>
          </w:p>
          <w:p w14:paraId="3CD0B243" w14:textId="77777777" w:rsidR="00F31590" w:rsidRDefault="00F31590">
            <w:pPr>
              <w:pStyle w:val="AnnexNormal"/>
              <w:spacing w:after="120"/>
              <w:ind w:leftChars="60" w:left="108" w:rightChars="60" w:right="108"/>
            </w:pPr>
            <w:r>
              <w:t>iii) Stoffer som er oppført i vedlegg II til nevnte forordning og brukes i brannslokkingsapparater om bord i luftfartøyer eller brannvernsystemer om bord i luftfartøyer.</w:t>
            </w:r>
          </w:p>
          <w:p w14:paraId="2D537C33" w14:textId="77777777" w:rsidR="00F31590" w:rsidRDefault="00F31590">
            <w:pPr>
              <w:pStyle w:val="AnnexNormal"/>
              <w:spacing w:after="120"/>
              <w:ind w:leftChars="60" w:left="108" w:rightChars="60" w:right="108"/>
            </w:pPr>
            <w:r>
              <w:t>d) Stoffer for seg, i stoffblandinger eller i et produkt, oppført i vedlegg II til direktiv 2011/65/EU, med mindre det er fullt samsvar med bruksområdene oppført i vedlegg III og IV i det nevnte direktivet.</w:t>
            </w:r>
          </w:p>
          <w:p w14:paraId="76D06B6B" w14:textId="77777777" w:rsidR="00F31590" w:rsidRDefault="00F31590">
            <w:pPr>
              <w:pStyle w:val="AnnexNormal"/>
              <w:spacing w:after="120"/>
              <w:ind w:leftChars="60" w:left="108" w:rightChars="60" w:right="108"/>
            </w:pPr>
            <w:r>
              <w:t>e) Stoffer for seg, i stoffblandinger eller i et produkt, oppført i vedlegg XVII til europaparlaments- og rådsforordning (EF) 1907/2006(</w:t>
            </w:r>
            <w:r>
              <w:rPr>
                <w:vertAlign w:val="superscript"/>
              </w:rPr>
              <w:t>*4</w:t>
            </w:r>
            <w:r>
              <w:t>), med mindre vilkårene angitt i det nevnte vedlegget oppfylles fullt ut.</w:t>
            </w:r>
          </w:p>
          <w:p w14:paraId="34B5DF3C" w14:textId="77777777" w:rsidR="00F31590" w:rsidRDefault="00F31590">
            <w:pPr>
              <w:pStyle w:val="AnnexNormal"/>
              <w:ind w:leftChars="60" w:left="108" w:rightChars="60" w:right="108"/>
            </w:pPr>
            <w:r>
              <w:t>f) Stoffer for seg, i stoffblandinger eller i et produkt i en konsentrasjon på over 0,1 vektprosent (w/w) som oppfyller kriteriene fastsatt i artikkel 57 i forordning (EF) nr. 1907/2006, og som er identifisert i samsvar med artikkel 59 nr. 1 i den forordningen i en periode på minst 18 måneder, med mindre aktivitetsutøverne har vurdert og dokumentert at det ikke finnes andre egnede alternative stoffer eller teknologier på markedet, og at de brukes under kontrollerte forhold.</w:t>
            </w:r>
          </w:p>
        </w:tc>
      </w:tr>
    </w:tbl>
    <w:p w14:paraId="35B8DB91" w14:textId="77777777" w:rsidR="00F31590" w:rsidRDefault="00F31590">
      <w:pPr>
        <w:pStyle w:val="AnnexNormal"/>
        <w:spacing w:before="200" w:after="0"/>
        <w:ind w:left="684" w:hanging="564"/>
      </w:pPr>
      <w:r>
        <w:t>1*</w:t>
      </w:r>
      <w:r>
        <w:tab/>
        <w:t>Europaparlaments- og rådsforordning (EF) 2019/1021 av 20. juni 2019 om persistente organiske forurensende stoffer (EUT L 169 av 25.6.2019, s. 45).</w:t>
      </w:r>
      <w:r>
        <w:br w:type="page"/>
      </w:r>
    </w:p>
    <w:p w14:paraId="0FCC0DF0" w14:textId="77777777" w:rsidR="00F31590" w:rsidRDefault="00F31590">
      <w:pPr>
        <w:pStyle w:val="AnnexNormal"/>
        <w:spacing w:before="200"/>
        <w:ind w:left="684" w:hanging="564"/>
      </w:pPr>
      <w:r>
        <w:lastRenderedPageBreak/>
        <w:t>2*</w:t>
      </w:r>
      <w:r>
        <w:tab/>
        <w:t>Europaparlaments- og rådsforordning (EU) 2017/852 av 17. mai 2017 om kvikksølv og om oppheving av forordning (EF) nr. 1102/2008 (EUT L 137 av 24.5.2017, s. 1).</w:t>
      </w:r>
    </w:p>
    <w:p w14:paraId="223F75DF" w14:textId="77777777" w:rsidR="00F31590" w:rsidRDefault="00F31590">
      <w:pPr>
        <w:pStyle w:val="AnnexNormal"/>
        <w:spacing w:before="200"/>
        <w:ind w:left="684" w:hanging="564"/>
      </w:pPr>
      <w:r>
        <w:t>3*</w:t>
      </w:r>
      <w:r>
        <w:tab/>
        <w:t>Europaparlaments- og rådsforordning (EU) 2024/590 av 7. februar 2024 om stoffer som bryter ned ozonlaget, og om oppheving av forordning (EF) nr. 1005/2009.</w:t>
      </w:r>
    </w:p>
    <w:p w14:paraId="7799C300" w14:textId="0D7FDE6A" w:rsidR="00F31590" w:rsidRDefault="00F31590">
      <w:pPr>
        <w:pStyle w:val="AnnexNormal"/>
        <w:spacing w:before="200" w:after="0"/>
        <w:ind w:left="684" w:hanging="564"/>
      </w:pPr>
      <w:r>
        <w:t>4*</w:t>
      </w:r>
      <w:r>
        <w:tab/>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r>
        <w:br w:type="page"/>
      </w:r>
    </w:p>
    <w:p w14:paraId="60DAD2C8" w14:textId="77777777" w:rsidR="00F31590" w:rsidRDefault="00F31590">
      <w:pPr>
        <w:pStyle w:val="AnnexTI"/>
        <w:spacing w:after="360"/>
        <w:rPr>
          <w:b/>
          <w:i w:val="0"/>
          <w:u w:val="single"/>
        </w:rPr>
      </w:pPr>
      <w:r>
        <w:rPr>
          <w:b/>
          <w:i w:val="0"/>
          <w:u w:val="single"/>
        </w:rPr>
        <w:lastRenderedPageBreak/>
        <w:t>VEDLEGG XIII</w:t>
      </w:r>
    </w:p>
    <w:p w14:paraId="45D51F31" w14:textId="77777777" w:rsidR="00F31590" w:rsidRDefault="00F31590">
      <w:pPr>
        <w:pStyle w:val="AnnexTableTitle"/>
      </w:pPr>
      <w:r>
        <w:t>Endring av vedlegg II til delegert forordning (EU) 2021/2139</w:t>
      </w:r>
    </w:p>
    <w:p w14:paraId="1C1A8128" w14:textId="77777777" w:rsidR="00F31590" w:rsidRDefault="00F31590">
      <w:pPr>
        <w:pStyle w:val="AnnexNormal"/>
      </w:pPr>
      <w:r>
        <w:t>I vedlegg II til delegert forordning (EU) 2021/2139 gjøres følgende endringer:</w:t>
      </w:r>
    </w:p>
    <w:p w14:paraId="3FD993A7" w14:textId="77777777" w:rsidR="00F31590" w:rsidRDefault="00F31590">
      <w:pPr>
        <w:pStyle w:val="AnnexNormal"/>
      </w:pPr>
      <w:r>
        <w:t>1) Tillegg C skal lyde:</w:t>
      </w:r>
    </w:p>
    <w:p w14:paraId="19024962" w14:textId="6DF381D1" w:rsidR="00F31590" w:rsidRDefault="00F31590">
      <w:pPr>
        <w:pStyle w:val="AnnexNormal"/>
        <w:rPr>
          <w:b/>
        </w:rPr>
      </w:pPr>
      <w:r>
        <w:rPr>
          <w:b/>
        </w:rPr>
        <w:t>«TILLEGG C: GENERISKE DNSH-KRITERIER FOR FOREBYGGING OG BEGRENSNING AV FORURENSNING MED HENSYN TIL BRUK OG FOREKOMST AV KJEMIKALIER</w:t>
      </w:r>
    </w:p>
    <w:tbl>
      <w:tblPr>
        <w:tblStyle w:val="EFTATable"/>
        <w:tblW w:w="9252" w:type="dxa"/>
        <w:tblBorders>
          <w:left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9252"/>
      </w:tblGrid>
      <w:tr w:rsidR="00F31590" w14:paraId="05887B26" w14:textId="77777777">
        <w:tc>
          <w:tcPr>
            <w:tcW w:w="9252" w:type="dxa"/>
            <w:shd w:val="clear" w:color="auto" w:fill="F2F2F2"/>
            <w:tcMar>
              <w:top w:w="60" w:type="dxa"/>
              <w:left w:w="0" w:type="dxa"/>
              <w:bottom w:w="60" w:type="dxa"/>
              <w:right w:w="0" w:type="dxa"/>
            </w:tcMar>
          </w:tcPr>
          <w:p w14:paraId="07C5F4AB" w14:textId="77777777" w:rsidR="00F31590" w:rsidRDefault="00F31590">
            <w:pPr>
              <w:pStyle w:val="AnnexNormal"/>
              <w:spacing w:after="120"/>
              <w:ind w:left="60" w:right="60"/>
            </w:pPr>
            <w:r>
              <w:t>Aktiviteten fører ikke til at følgende stoffer produseres, bringes i omsetning eller brukes:</w:t>
            </w:r>
          </w:p>
          <w:p w14:paraId="50480336" w14:textId="77777777" w:rsidR="00F31590" w:rsidRDefault="00F31590">
            <w:pPr>
              <w:pStyle w:val="AnnexNormal"/>
              <w:spacing w:after="120"/>
              <w:ind w:left="60" w:right="60"/>
            </w:pPr>
            <w:r>
              <w:t>a) Stoffer for seg, i stoffblandinger eller i et produkt, oppført i vedlegg I eller II til forordning (EU) 2019/1021, med unntak av stoffer som forekommer som utilsiktede sporforurensninger.</w:t>
            </w:r>
          </w:p>
          <w:p w14:paraId="75B00635" w14:textId="77777777" w:rsidR="00F31590" w:rsidRDefault="00F31590">
            <w:pPr>
              <w:pStyle w:val="AnnexNormal"/>
              <w:spacing w:after="120"/>
              <w:ind w:left="60" w:right="60"/>
            </w:pPr>
            <w:r>
              <w:t>b) Kvikksølv og kvikksølvforbindelser, deres stoffblandinger og produkter tilsatt kvikksølv som definert i artikkel 2 i forordning (EU) 2017/852.</w:t>
            </w:r>
          </w:p>
          <w:p w14:paraId="7CEB060D" w14:textId="77777777" w:rsidR="00F31590" w:rsidRDefault="00F31590">
            <w:pPr>
              <w:pStyle w:val="AnnexNormal"/>
              <w:spacing w:after="120"/>
              <w:ind w:left="60" w:right="60"/>
            </w:pPr>
            <w:r>
              <w:t>c) Stoffer for seg, i stoffblandinger eller i et produkt, oppført i vedlegg I eller II til europaparlaments- og rådsforordning (EU) nr. 2024/590, unntatt alle følgende:</w:t>
            </w:r>
          </w:p>
          <w:p w14:paraId="5F542904" w14:textId="77777777" w:rsidR="00F31590" w:rsidRDefault="00F31590">
            <w:pPr>
              <w:pStyle w:val="AnnexNormal"/>
              <w:spacing w:after="120"/>
              <w:ind w:left="60" w:right="60"/>
            </w:pPr>
            <w:r>
              <w:t>i) Stoffer som er oppført i vedlegg I til nevnte forordning, på de vilkårene for unntak som får anvendelse i henhold til nevnte forordning.</w:t>
            </w:r>
          </w:p>
          <w:p w14:paraId="3AB667E1" w14:textId="77777777" w:rsidR="00F31590" w:rsidRDefault="00F31590">
            <w:pPr>
              <w:pStyle w:val="AnnexNormal"/>
              <w:spacing w:after="120"/>
              <w:ind w:left="60" w:right="60"/>
            </w:pPr>
            <w:r>
              <w:t>ii) Stoffer oppført i vedlegg II til nevnte forordning, for de bruksområdene som er tillatt for stoffer oppført i vedlegg I til nevnte forordning.</w:t>
            </w:r>
          </w:p>
          <w:p w14:paraId="02BBEC06" w14:textId="77777777" w:rsidR="00F31590" w:rsidRDefault="00F31590">
            <w:pPr>
              <w:pStyle w:val="AnnexNormal"/>
              <w:spacing w:after="120"/>
              <w:ind w:left="60" w:right="60"/>
            </w:pPr>
            <w:r>
              <w:t>iii) Stoffer som er oppført i vedlegg II til nevnte forordning og brukes i brannslokkingsapparater om bord i luftfartøyer eller brannvernsystemer om bord i luftfartøyer.</w:t>
            </w:r>
          </w:p>
          <w:p w14:paraId="7E5A4804" w14:textId="77777777" w:rsidR="00F31590" w:rsidRDefault="00F31590">
            <w:pPr>
              <w:pStyle w:val="AnnexNormal"/>
              <w:spacing w:after="120"/>
              <w:ind w:left="60" w:right="60"/>
            </w:pPr>
            <w:r>
              <w:t>d) Stoffer for seg, i stoffblandinger eller i et produkt, oppført i vedlegg II til direktiv 2011/65/EU, med mindre det er fullt samsvar med bruksområdene oppført i vedlegg III og IV i det nevnte direktivet.</w:t>
            </w:r>
          </w:p>
          <w:p w14:paraId="6889B73E" w14:textId="77777777" w:rsidR="00F31590" w:rsidRDefault="00F31590">
            <w:pPr>
              <w:pStyle w:val="AnnexNormal"/>
              <w:spacing w:after="120"/>
              <w:ind w:left="60" w:right="60"/>
            </w:pPr>
            <w:r>
              <w:t>e) Stoffer for seg, i stoffblandinger eller i et produkt, som er oppført i vedlegg XVII til forordning (EF) 1907/2006, med mindre vilkårene angitt i nevnte vedlegg oppfylles fullt ut.</w:t>
            </w:r>
          </w:p>
          <w:p w14:paraId="0647A4C3" w14:textId="7AA131F6" w:rsidR="00F31590" w:rsidRDefault="00F31590">
            <w:pPr>
              <w:pStyle w:val="AnnexNormal"/>
              <w:ind w:left="60" w:right="60"/>
            </w:pPr>
            <w:r>
              <w:t>f) Stoffer for seg, i stoffblandinger eller i et produkt i en konsentrasjon på over 0,1 vektprosent (w/w) som oppfyller kriteriene fastsatt i artikkel 57 i forordning (EF) nr. 1907/2006, og som er identifisert i samsvar med artikkel 59 nr. 1 i den forordningen i en periode på minst 18 måneder, med mindre aktivitetsutøverne har vurdert og dokumentert at det ikke finnes andre egnede alternative stoffer eller teknologier på markedet, og at de brukes under kontrollerte forhold.»</w:t>
            </w:r>
          </w:p>
        </w:tc>
      </w:tr>
    </w:tbl>
    <w:p w14:paraId="5FE91E05" w14:textId="77777777" w:rsidR="00F31590" w:rsidRDefault="00F31590">
      <w:pPr>
        <w:shd w:val="clear" w:color="auto" w:fill="auto"/>
        <w:spacing w:line="0" w:lineRule="auto"/>
        <w:jc w:val="left"/>
        <w:rPr>
          <w:b/>
          <w:color w:val="auto"/>
          <w14:ligatures w14:val="standard"/>
        </w:rPr>
      </w:pPr>
      <w:r>
        <w:br w:type="page"/>
      </w:r>
    </w:p>
    <w:p w14:paraId="0D318F05" w14:textId="77777777" w:rsidR="00F31590" w:rsidRDefault="00F31590">
      <w:pPr>
        <w:pStyle w:val="AnnexTI"/>
        <w:spacing w:after="360"/>
        <w:rPr>
          <w:b/>
          <w:i w:val="0"/>
          <w:u w:val="single"/>
        </w:rPr>
      </w:pPr>
      <w:r>
        <w:rPr>
          <w:b/>
          <w:i w:val="0"/>
          <w:u w:val="single"/>
        </w:rPr>
        <w:lastRenderedPageBreak/>
        <w:t>VEDLEGG XIV</w:t>
      </w:r>
    </w:p>
    <w:p w14:paraId="41486731" w14:textId="77777777" w:rsidR="00F31590" w:rsidRDefault="00F31590">
      <w:pPr>
        <w:pStyle w:val="AnnexTableTitle"/>
      </w:pPr>
      <w:r>
        <w:t>Endring av vedlegg I til delegert forordning (EU) 2023/2486</w:t>
      </w:r>
    </w:p>
    <w:p w14:paraId="11AB9B5F" w14:textId="77777777" w:rsidR="00F31590" w:rsidRDefault="00F31590">
      <w:pPr>
        <w:pStyle w:val="AnnexNormal"/>
      </w:pPr>
      <w:r>
        <w:t>I vedlegg I til delegert forordning (EU) 2023/2486 gjøres følgende endringer:</w:t>
      </w:r>
    </w:p>
    <w:p w14:paraId="7F743372" w14:textId="77777777" w:rsidR="00F31590" w:rsidRDefault="00F31590">
      <w:pPr>
        <w:pStyle w:val="AnnexNormal"/>
      </w:pPr>
      <w:r>
        <w:t>1) Tillegg C skal lyde:</w:t>
      </w:r>
    </w:p>
    <w:p w14:paraId="27E69580" w14:textId="77777777" w:rsidR="00F31590" w:rsidRDefault="00F31590">
      <w:pPr>
        <w:pStyle w:val="AnnexNormal"/>
        <w:rPr>
          <w:b/>
        </w:rPr>
      </w:pPr>
      <w:r>
        <w:rPr>
          <w:b/>
        </w:rPr>
        <w:t>«TILLEGG C: GENERISKE DNSH-KRITERIER FOR FOREBYGGING OG BEGRENSNING AV FORURENSNING MED HENSYN TIL BRUK OG FOREKOMST AV KJEMIKALIER</w:t>
      </w:r>
    </w:p>
    <w:tbl>
      <w:tblPr>
        <w:tblStyle w:val="EFTATable"/>
        <w:tblW w:w="9264" w:type="dxa"/>
        <w:tblBorders>
          <w:left w:val="single" w:sz="4" w:space="0" w:color="auto"/>
          <w:right w:val="single" w:sz="4" w:space="0" w:color="auto"/>
          <w:insideH w:val="none" w:sz="0" w:space="0" w:color="auto"/>
          <w:insideV w:val="none" w:sz="0" w:space="0" w:color="auto"/>
        </w:tblBorders>
        <w:shd w:val="clear" w:color="auto" w:fill="F2F2F2"/>
        <w:tblLayout w:type="fixed"/>
        <w:tblLook w:val="04A0" w:firstRow="1" w:lastRow="0" w:firstColumn="1" w:lastColumn="0" w:noHBand="0" w:noVBand="1"/>
      </w:tblPr>
      <w:tblGrid>
        <w:gridCol w:w="9264"/>
      </w:tblGrid>
      <w:tr w:rsidR="00F31590" w14:paraId="28AE0A30" w14:textId="77777777">
        <w:tc>
          <w:tcPr>
            <w:tcW w:w="9264" w:type="dxa"/>
            <w:shd w:val="clear" w:color="auto" w:fill="F2F2F2"/>
            <w:tcMar>
              <w:left w:w="0" w:type="dxa"/>
              <w:right w:w="0" w:type="dxa"/>
            </w:tcMar>
          </w:tcPr>
          <w:p w14:paraId="5402175B" w14:textId="77777777" w:rsidR="00F31590" w:rsidRDefault="00F31590">
            <w:pPr>
              <w:pStyle w:val="AnnexNormal"/>
              <w:spacing w:after="120"/>
              <w:ind w:left="60" w:right="60"/>
            </w:pPr>
            <w:r>
              <w:t>Aktiviteten fører ikke til at følgende stoffer produseres, bringes i omsetning eller brukes:</w:t>
            </w:r>
          </w:p>
          <w:p w14:paraId="6F46DF50" w14:textId="77777777" w:rsidR="00F31590" w:rsidRDefault="00F31590">
            <w:pPr>
              <w:pStyle w:val="AnnexNormal"/>
              <w:spacing w:after="120"/>
              <w:ind w:left="60" w:right="60"/>
            </w:pPr>
            <w:r>
              <w:t>a) Stoffer for seg, i stoffblandinger eller i et produkt, oppført i vedlegg I eller II til europaparlaments- og rådsforordning (EU) 2019/1021(</w:t>
            </w:r>
            <w:r>
              <w:rPr>
                <w:vertAlign w:val="superscript"/>
              </w:rPr>
              <w:t>*1</w:t>
            </w:r>
            <w:r>
              <w:t>), med unntak av stoffer som forekommer som utilsiktede sporforurensninger.</w:t>
            </w:r>
          </w:p>
          <w:p w14:paraId="0CF1F76D" w14:textId="77777777" w:rsidR="00F31590" w:rsidRDefault="00F31590">
            <w:pPr>
              <w:pStyle w:val="AnnexNormal"/>
              <w:spacing w:after="120"/>
              <w:ind w:left="60" w:right="60"/>
            </w:pPr>
            <w:r>
              <w:t>b) Kvikksølv og kvikksølvforbindelser, blandinger av disse og produkter tilsatt kvikksølv som definert i artikkel 2 i europaparlaments- og rådsforordning (EU) 2017/852(</w:t>
            </w:r>
            <w:r>
              <w:rPr>
                <w:vertAlign w:val="superscript"/>
              </w:rPr>
              <w:t>*2</w:t>
            </w:r>
            <w:r>
              <w:t>).</w:t>
            </w:r>
          </w:p>
          <w:p w14:paraId="39ADD1B6" w14:textId="77777777" w:rsidR="00F31590" w:rsidRDefault="00F31590">
            <w:pPr>
              <w:pStyle w:val="AnnexNormal"/>
              <w:spacing w:after="120"/>
              <w:ind w:left="60" w:right="60"/>
            </w:pPr>
            <w:r>
              <w:t>c) Stoffer for seg, i stoffblandinger eller i et produkt, oppført i vedlegg I eller II til europaparlaments- og rådsforordning (EU) nr. 2024/590(</w:t>
            </w:r>
            <w:r>
              <w:rPr>
                <w:vertAlign w:val="superscript"/>
              </w:rPr>
              <w:t>*3</w:t>
            </w:r>
            <w:r>
              <w:t>), unntatt alle følgende:</w:t>
            </w:r>
          </w:p>
          <w:p w14:paraId="5C530709" w14:textId="77777777" w:rsidR="00F31590" w:rsidRDefault="00F31590">
            <w:pPr>
              <w:pStyle w:val="AnnexNormal"/>
              <w:spacing w:after="120"/>
              <w:ind w:left="60" w:right="60"/>
            </w:pPr>
            <w:r>
              <w:t>i) Stoffer som er oppført i vedlegg I til nevnte forordning, på de vilkårene for unntak som får anvendelse i henhold til nevnte forordning.</w:t>
            </w:r>
          </w:p>
          <w:p w14:paraId="7841CEE4" w14:textId="77777777" w:rsidR="00F31590" w:rsidRDefault="00F31590">
            <w:pPr>
              <w:pStyle w:val="AnnexNormal"/>
              <w:spacing w:after="120"/>
              <w:ind w:left="60" w:right="60"/>
            </w:pPr>
            <w:r>
              <w:t>ii) Stoffer oppført i vedlegg II til nevnte forordning, for de bruksområdene som er tillatt for stoffer oppført i vedlegg I til nevnte forordning.</w:t>
            </w:r>
          </w:p>
          <w:p w14:paraId="0FAAECE1" w14:textId="77777777" w:rsidR="00F31590" w:rsidRDefault="00F31590">
            <w:pPr>
              <w:pStyle w:val="AnnexNormal"/>
              <w:spacing w:after="120"/>
              <w:ind w:left="60" w:right="60"/>
            </w:pPr>
            <w:r>
              <w:t>iii) Stoffer som er oppført i vedlegg II til nevnte forordning og brukes i brannslokkingsapparater om bord i luftfartøyer eller brannvernsystemer om bord i luftfartøyer.</w:t>
            </w:r>
          </w:p>
          <w:p w14:paraId="2B4E2485" w14:textId="77777777" w:rsidR="00F31590" w:rsidRDefault="00F31590">
            <w:pPr>
              <w:pStyle w:val="AnnexNormal"/>
              <w:spacing w:after="120"/>
              <w:ind w:left="60" w:right="60"/>
            </w:pPr>
            <w:r>
              <w:t>d) Stoffer for seg, i stoffblandinger eller i et produkt, oppført i vedlegg II til direktiv 2011/65/EU, med mindre det er fullt samsvar med bruksområdene oppført i vedlegg III og IV i det nevnte direktivet.</w:t>
            </w:r>
          </w:p>
          <w:p w14:paraId="6FDBBF4E" w14:textId="77777777" w:rsidR="00F31590" w:rsidRDefault="00F31590">
            <w:pPr>
              <w:pStyle w:val="AnnexNormal"/>
              <w:spacing w:after="120"/>
              <w:ind w:left="60" w:right="60"/>
            </w:pPr>
            <w:r>
              <w:t>e) Stoffer for seg, i stoffblandinger eller i et produkt, oppført i vedlegg XVII til europaparlaments- og rådsforordning (EF) 1907/2006(</w:t>
            </w:r>
            <w:r>
              <w:rPr>
                <w:vertAlign w:val="superscript"/>
              </w:rPr>
              <w:t>*4</w:t>
            </w:r>
            <w:r>
              <w:t>), med mindre vilkårene angitt i det nevnte vedlegget oppfylles fullt ut.</w:t>
            </w:r>
          </w:p>
          <w:p w14:paraId="5C470DFE" w14:textId="77777777" w:rsidR="00F31590" w:rsidRDefault="00F31590">
            <w:pPr>
              <w:pStyle w:val="AnnexNormal"/>
              <w:ind w:left="60" w:right="60"/>
            </w:pPr>
            <w:r>
              <w:t>f) Stoffer for seg, i stoffblandinger eller i et produkt i en konsentrasjon på over 0,1 vektprosent (w/w) som oppfyller kriteriene fastsatt i artikkel 57 i forordning (EF) nr. 1907/2006, og som er identifisert i samsvar med artikkel 59 nr. 1 i den forordningen i en periode på minst 18 måneder, med mindre aktivitetsutøverne har vurdert og dokumentert at det ikke finnes andre egnede alternative stoffer eller teknologier på markedet, og at de brukes under kontrollerte forhold.</w:t>
            </w:r>
          </w:p>
          <w:p w14:paraId="2CF0B074" w14:textId="77777777" w:rsidR="00F31590" w:rsidRDefault="00F31590">
            <w:pPr>
              <w:pStyle w:val="AnnexNormal"/>
              <w:ind w:left="60" w:right="60"/>
            </w:pPr>
          </w:p>
        </w:tc>
      </w:tr>
    </w:tbl>
    <w:p w14:paraId="37C9A82F" w14:textId="77777777" w:rsidR="00F31590" w:rsidRDefault="00F31590">
      <w:pPr>
        <w:pStyle w:val="AnnexNormal"/>
        <w:spacing w:before="200" w:after="0"/>
        <w:ind w:left="564" w:hanging="564"/>
      </w:pPr>
      <w:r>
        <w:t>1*</w:t>
      </w:r>
      <w:r>
        <w:tab/>
        <w:t>Europaparlaments- og rådsforordning (EF) 2019/1021 av 20. juni 2019 om persistente organiske forurensende stoffer (EUT L 169 av 25.6.2019, s. 45).</w:t>
      </w:r>
      <w:r>
        <w:br w:type="page"/>
      </w:r>
    </w:p>
    <w:p w14:paraId="4E45D742" w14:textId="77777777" w:rsidR="00F31590" w:rsidRDefault="00F31590">
      <w:pPr>
        <w:pStyle w:val="AnnexNormal"/>
        <w:spacing w:before="200"/>
        <w:ind w:left="564" w:hanging="564"/>
      </w:pPr>
      <w:r>
        <w:lastRenderedPageBreak/>
        <w:t>2*</w:t>
      </w:r>
      <w:r>
        <w:tab/>
        <w:t>Europaparlaments- og rådsforordning (EU) 2017/852 av 17. mai 2017 om kvikksølv og om oppheving av forordning (EF) nr. 1102/2008 (EUT L 137 av 24.5.2017, s. 1).</w:t>
      </w:r>
    </w:p>
    <w:p w14:paraId="685FE40D" w14:textId="77777777" w:rsidR="00F31590" w:rsidRDefault="00F31590">
      <w:pPr>
        <w:pStyle w:val="AnnexNormal"/>
        <w:ind w:left="552" w:hanging="552"/>
      </w:pPr>
      <w:r>
        <w:t>3*</w:t>
      </w:r>
      <w:r>
        <w:tab/>
        <w:t>Europaparlaments- og rådsforordning (EU) 2024/590 av 7. februar 2024 om stoffer som bryter ned ozonlaget, og om oppheving av forordning (EF) nr. 1005/2009.</w:t>
      </w:r>
    </w:p>
    <w:p w14:paraId="41BCC833" w14:textId="3FC763DB" w:rsidR="00F31590" w:rsidRDefault="00F31590">
      <w:pPr>
        <w:pStyle w:val="AnnexNormal"/>
        <w:spacing w:after="0"/>
        <w:ind w:left="552" w:hanging="552"/>
      </w:pPr>
      <w:r>
        <w:t>4*</w:t>
      </w:r>
      <w:r>
        <w:tab/>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r>
        <w:br w:type="page"/>
      </w:r>
    </w:p>
    <w:p w14:paraId="02592193" w14:textId="77777777" w:rsidR="00F31590" w:rsidRDefault="00F31590">
      <w:pPr>
        <w:pStyle w:val="AnnexTI"/>
        <w:spacing w:after="360"/>
        <w:rPr>
          <w:b/>
          <w:i w:val="0"/>
          <w:u w:val="single"/>
        </w:rPr>
      </w:pPr>
      <w:r>
        <w:rPr>
          <w:b/>
          <w:i w:val="0"/>
          <w:u w:val="single"/>
        </w:rPr>
        <w:lastRenderedPageBreak/>
        <w:t>VEDLEGG XV</w:t>
      </w:r>
    </w:p>
    <w:p w14:paraId="3069BE19" w14:textId="77777777" w:rsidR="00F31590" w:rsidRDefault="00F31590">
      <w:pPr>
        <w:pStyle w:val="AnnexTableTitle"/>
      </w:pPr>
      <w:r>
        <w:t>Endring av vedlegg II til delegert forordning (EU) 2023/2486</w:t>
      </w:r>
    </w:p>
    <w:p w14:paraId="63AE99AD" w14:textId="77777777" w:rsidR="00F31590" w:rsidRDefault="00F31590">
      <w:pPr>
        <w:pStyle w:val="AnnexNormal"/>
      </w:pPr>
      <w:r>
        <w:t>I vedlegg II til delegert forordning (EU) 2023/2486 gjøres følgende endringer:</w:t>
      </w:r>
    </w:p>
    <w:p w14:paraId="3C4A7576" w14:textId="77777777" w:rsidR="00F31590" w:rsidRDefault="00F31590">
      <w:pPr>
        <w:pStyle w:val="AnnexNormal"/>
      </w:pPr>
      <w:r>
        <w:t>1) Tillegg C skal lyde:</w:t>
      </w:r>
    </w:p>
    <w:p w14:paraId="0F891420" w14:textId="77777777" w:rsidR="00F31590" w:rsidRDefault="00F31590">
      <w:pPr>
        <w:pStyle w:val="AnnexNormal"/>
        <w:rPr>
          <w:b/>
        </w:rPr>
      </w:pPr>
      <w:r>
        <w:rPr>
          <w:b/>
        </w:rPr>
        <w:t>«TILLEGG C: GENERISKE DNSH-KRITERIER FOR FOREBYGGING OG BEGRENSNING AV FORURENSNING MED HENSYN TIL BRUK OG FOREKOMST AV KJEMIKALIER</w:t>
      </w:r>
    </w:p>
    <w:tbl>
      <w:tblPr>
        <w:tblStyle w:val="EFTATable"/>
        <w:tblW w:w="0" w:type="auto"/>
        <w:tblBorders>
          <w:left w:val="single" w:sz="4" w:space="0" w:color="auto"/>
          <w:right w:val="single" w:sz="4" w:space="0" w:color="auto"/>
          <w:insideH w:val="none" w:sz="0" w:space="0" w:color="auto"/>
          <w:insideV w:val="none" w:sz="0" w:space="0" w:color="auto"/>
        </w:tblBorders>
        <w:shd w:val="clear" w:color="auto" w:fill="F2F2F2"/>
        <w:tblLayout w:type="fixed"/>
        <w:tblLook w:val="04A0" w:firstRow="1" w:lastRow="0" w:firstColumn="1" w:lastColumn="0" w:noHBand="0" w:noVBand="1"/>
      </w:tblPr>
      <w:tblGrid>
        <w:gridCol w:w="9240"/>
      </w:tblGrid>
      <w:tr w:rsidR="00F31590" w14:paraId="19B7C0EC" w14:textId="77777777">
        <w:tc>
          <w:tcPr>
            <w:tcW w:w="9240" w:type="dxa"/>
            <w:shd w:val="clear" w:color="auto" w:fill="F2F2F2"/>
            <w:tcMar>
              <w:top w:w="60" w:type="dxa"/>
              <w:left w:w="0" w:type="dxa"/>
              <w:bottom w:w="60" w:type="dxa"/>
              <w:right w:w="0" w:type="dxa"/>
            </w:tcMar>
          </w:tcPr>
          <w:p w14:paraId="18D5C474" w14:textId="77777777" w:rsidR="00F31590" w:rsidRDefault="00F31590">
            <w:pPr>
              <w:pStyle w:val="AnnexNormal"/>
              <w:spacing w:after="120"/>
              <w:ind w:left="60" w:right="60"/>
            </w:pPr>
            <w:r>
              <w:t>Aktiviteten fører ikke til at følgende stoffer produseres, bringes i omsetning eller brukes:</w:t>
            </w:r>
          </w:p>
          <w:p w14:paraId="5BDE4BCA" w14:textId="77777777" w:rsidR="00F31590" w:rsidRDefault="00F31590">
            <w:pPr>
              <w:pStyle w:val="AnnexNormal"/>
              <w:spacing w:after="120"/>
              <w:ind w:left="60" w:right="60"/>
            </w:pPr>
            <w:r>
              <w:t>a) Stoffer for seg, i stoffblandinger eller i et produkt, oppført i vedlegg I eller II til forordning (EU) 2019/1021, med unntak av stoffer som forekommer som utilsiktede sporforurensninger.</w:t>
            </w:r>
          </w:p>
          <w:p w14:paraId="7A0E6051" w14:textId="77777777" w:rsidR="00F31590" w:rsidRDefault="00F31590">
            <w:pPr>
              <w:pStyle w:val="AnnexNormal"/>
              <w:spacing w:after="120"/>
              <w:ind w:left="60" w:right="60"/>
            </w:pPr>
            <w:r>
              <w:t>b) Kvikksølv og kvikksølvforbindelser, deres stoffblandinger og produkter tilsatt kvikksølv som definert i artikkel 2 i forordning (EU) 2017/852.</w:t>
            </w:r>
          </w:p>
          <w:p w14:paraId="1491FEC3" w14:textId="77777777" w:rsidR="00F31590" w:rsidRDefault="00F31590">
            <w:pPr>
              <w:pStyle w:val="AnnexNormal"/>
              <w:spacing w:after="120"/>
              <w:ind w:left="60" w:right="60"/>
            </w:pPr>
            <w:r>
              <w:t>c) Stoffer for seg, i stoffblandinger eller i et produkt, oppført i vedlegg I eller II til europaparlaments- og rådsforordning (EU) nr. 2024/590, unntatt alle følgende:</w:t>
            </w:r>
          </w:p>
          <w:p w14:paraId="3FE731B7" w14:textId="7AF0D391" w:rsidR="00F31590" w:rsidRDefault="00F31590">
            <w:pPr>
              <w:pStyle w:val="AnnexNormal"/>
              <w:spacing w:after="120"/>
              <w:ind w:left="60" w:right="60"/>
            </w:pPr>
            <w:r>
              <w:t>i) Stoffer som er oppført i vedlegg I til nevnte forordning, på de vilkårene for unntak som får anvendelse i henhold til nevnte forordning.</w:t>
            </w:r>
          </w:p>
          <w:p w14:paraId="236B2022" w14:textId="3DEE967B" w:rsidR="00F31590" w:rsidRDefault="00F31590">
            <w:pPr>
              <w:pStyle w:val="AnnexNormal"/>
              <w:spacing w:after="120"/>
              <w:ind w:left="60" w:right="60"/>
            </w:pPr>
            <w:r>
              <w:t>ii) Stoffer som er oppført i vedlegg II til nevnte forordning, for de bruksområdene som er tillatt for stoffer oppført i vedlegg I til nevnte forordning.</w:t>
            </w:r>
          </w:p>
          <w:p w14:paraId="5FBC8C58" w14:textId="49C08B02" w:rsidR="00F31590" w:rsidRDefault="00F31590">
            <w:pPr>
              <w:pStyle w:val="AnnexNormal"/>
              <w:spacing w:after="120"/>
              <w:ind w:left="60" w:right="60"/>
            </w:pPr>
            <w:r>
              <w:t>iii) Stoffer som er oppført i vedlegg II til nevnte forordning og brukes i brannslokkingsapparater om bord i luftfartøyer eller brannvernsystemer om bord i luftfartøyer.</w:t>
            </w:r>
          </w:p>
          <w:p w14:paraId="5F60FD8F" w14:textId="083C70A9" w:rsidR="00F31590" w:rsidRDefault="00F31590">
            <w:pPr>
              <w:pStyle w:val="AnnexNormal"/>
              <w:spacing w:after="120"/>
              <w:ind w:left="60" w:right="60"/>
            </w:pPr>
            <w:r>
              <w:t>d) Stoffer for seg, i stoffblandinger eller i et produkt, oppført i vedlegg II til direktiv 2011/65/EU, med mindre det er fullt samsvar med bruksområdene oppført i vedlegg III og IV i det nevnte direktivet.</w:t>
            </w:r>
          </w:p>
          <w:p w14:paraId="26EC3EE0" w14:textId="3CF4362F" w:rsidR="00F31590" w:rsidRDefault="00F31590">
            <w:pPr>
              <w:pStyle w:val="AnnexNormal"/>
              <w:spacing w:after="120"/>
              <w:ind w:left="60" w:right="60"/>
            </w:pPr>
            <w:r>
              <w:t>e) Stoffer for seg, i stoffblandinger eller i et produkt, som er oppført i vedlegg XVII til forordning (EF) 1907/2006, med mindre vilkårene angitt i nevnte vedlegg oppfylles fullt ut.</w:t>
            </w:r>
          </w:p>
          <w:p w14:paraId="5034EEBE" w14:textId="5F4E8FE4" w:rsidR="00F31590" w:rsidRDefault="00F31590">
            <w:pPr>
              <w:pStyle w:val="AnnexNormal"/>
              <w:ind w:left="60" w:right="60"/>
            </w:pPr>
            <w:r>
              <w:t>f) Stoffer for seg, i stoffblandinger eller i et produkt i en konsentrasjon på over 0,1 vektprosent (w/w) som oppfyller kriteriene fastsatt i artikkel 57 i forordning (EF) nr. 1907/2006, og som er identifisert i samsvar med artikkel 59 nr. 1 i den forordningen i en periode på minst 18 måneder, med mindre aktivitetsutøverne har vurdert og dokumentert at det ikke finnes andre egnede alternative stoffer eller teknologier på markedet, og at de brukes under kontrollerte forhold.»</w:t>
            </w:r>
          </w:p>
        </w:tc>
      </w:tr>
    </w:tbl>
    <w:p w14:paraId="3970E5AB" w14:textId="77777777" w:rsidR="00F31590" w:rsidRDefault="00F31590">
      <w:pPr>
        <w:shd w:val="clear" w:color="auto" w:fill="auto"/>
        <w:spacing w:line="0" w:lineRule="auto"/>
        <w:jc w:val="left"/>
        <w:rPr>
          <w:b/>
          <w:color w:val="auto"/>
          <w14:ligatures w14:val="standard"/>
        </w:rPr>
      </w:pPr>
      <w:r>
        <w:br w:type="page"/>
      </w:r>
    </w:p>
    <w:p w14:paraId="3B2792FC" w14:textId="77777777" w:rsidR="00F31590" w:rsidRDefault="00F31590">
      <w:pPr>
        <w:pStyle w:val="AnnexTI"/>
        <w:spacing w:after="360"/>
        <w:rPr>
          <w:b/>
          <w:i w:val="0"/>
          <w:u w:val="single"/>
        </w:rPr>
      </w:pPr>
      <w:r>
        <w:rPr>
          <w:b/>
          <w:i w:val="0"/>
          <w:u w:val="single"/>
        </w:rPr>
        <w:lastRenderedPageBreak/>
        <w:t>VEDLEGG XVI</w:t>
      </w:r>
    </w:p>
    <w:p w14:paraId="783E9A6C" w14:textId="77777777" w:rsidR="00F31590" w:rsidRDefault="00F31590">
      <w:pPr>
        <w:pStyle w:val="AnnexTableTitle"/>
      </w:pPr>
      <w:r>
        <w:t>Endring av vedlegg IV til delegert forordning (EU) 2023/2486</w:t>
      </w:r>
    </w:p>
    <w:p w14:paraId="14B70903" w14:textId="77777777" w:rsidR="00F31590" w:rsidRDefault="00F31590">
      <w:pPr>
        <w:pStyle w:val="AnnexNormal"/>
      </w:pPr>
      <w:r>
        <w:t>I vedlegg IV til delegert forordning (EU) 2023/2486 gjøres følgende endringer:</w:t>
      </w:r>
    </w:p>
    <w:p w14:paraId="4CE18198" w14:textId="77777777" w:rsidR="00F31590" w:rsidRDefault="00F31590">
      <w:pPr>
        <w:pStyle w:val="AnnexNormal"/>
      </w:pPr>
      <w:r>
        <w:t>1) Tillegg C skal lyde:</w:t>
      </w:r>
    </w:p>
    <w:p w14:paraId="02358554" w14:textId="7D29183B" w:rsidR="00F31590" w:rsidRDefault="00F31590">
      <w:pPr>
        <w:pStyle w:val="AnnexNormal"/>
        <w:rPr>
          <w:b/>
        </w:rPr>
      </w:pPr>
      <w:r>
        <w:rPr>
          <w:b/>
        </w:rPr>
        <w:t>«TILLEGG C: GENERISKE DNSH-KRITERIER FOR FOREBYGGING OG BEGRENSNING AV FORURENSNING MED HENSYN TIL BRUK OG FOREKOMST AV KJEMIKALIER</w:t>
      </w:r>
    </w:p>
    <w:tbl>
      <w:tblPr>
        <w:tblStyle w:val="EFTATable"/>
        <w:tblW w:w="9252" w:type="dxa"/>
        <w:tblBorders>
          <w:left w:val="single" w:sz="4" w:space="0" w:color="auto"/>
          <w:right w:val="single" w:sz="4" w:space="0" w:color="auto"/>
          <w:insideH w:val="none" w:sz="0" w:space="0" w:color="auto"/>
          <w:insideV w:val="none" w:sz="0" w:space="0" w:color="auto"/>
        </w:tblBorders>
        <w:shd w:val="clear" w:color="auto" w:fill="F2F2F2"/>
        <w:tblLayout w:type="fixed"/>
        <w:tblLook w:val="04A0" w:firstRow="1" w:lastRow="0" w:firstColumn="1" w:lastColumn="0" w:noHBand="0" w:noVBand="1"/>
      </w:tblPr>
      <w:tblGrid>
        <w:gridCol w:w="9252"/>
      </w:tblGrid>
      <w:tr w:rsidR="00F31590" w14:paraId="7979DC3A" w14:textId="77777777">
        <w:tc>
          <w:tcPr>
            <w:tcW w:w="9252" w:type="dxa"/>
            <w:shd w:val="clear" w:color="auto" w:fill="F2F2F2"/>
            <w:tcMar>
              <w:left w:w="0" w:type="dxa"/>
              <w:right w:w="0" w:type="dxa"/>
            </w:tcMar>
          </w:tcPr>
          <w:p w14:paraId="5A48AA93" w14:textId="77777777" w:rsidR="00F31590" w:rsidRDefault="00F31590" w:rsidP="003C5890">
            <w:pPr>
              <w:pStyle w:val="AnnexNormal"/>
              <w:spacing w:after="120"/>
              <w:ind w:left="60" w:right="60"/>
            </w:pPr>
            <w:r>
              <w:t>Aktiviteten fører ikke til at følgende stoffer produseres, bringes i omsetning eller brukes:</w:t>
            </w:r>
          </w:p>
          <w:p w14:paraId="30C4B90D" w14:textId="77777777" w:rsidR="00F31590" w:rsidRDefault="00F31590" w:rsidP="003C5890">
            <w:pPr>
              <w:pStyle w:val="AnnexNormal"/>
              <w:spacing w:after="120"/>
              <w:ind w:left="60" w:right="60"/>
            </w:pPr>
            <w:r>
              <w:t>a) Stoffer for seg, i stoffblandinger eller i et produkt, oppført i vedlegg I eller II til forordning (EU) 2019/1021, med unntak av stoffer som forekommer som utilsiktede sporforurensninger.</w:t>
            </w:r>
          </w:p>
          <w:p w14:paraId="05FBE491" w14:textId="77777777" w:rsidR="00F31590" w:rsidRDefault="00F31590" w:rsidP="003C5890">
            <w:pPr>
              <w:pStyle w:val="AnnexNormal"/>
              <w:spacing w:after="120"/>
              <w:ind w:left="60" w:right="60"/>
            </w:pPr>
            <w:r>
              <w:t>b) Kvikksølv og kvikksølvforbindelser, deres stoffblandinger og produkter tilsatt kvikksølv som definert i artikkel 2 i forordning (EU) 2017/852.</w:t>
            </w:r>
          </w:p>
          <w:p w14:paraId="2B7C5509" w14:textId="77777777" w:rsidR="00F31590" w:rsidRDefault="00F31590" w:rsidP="003C5890">
            <w:pPr>
              <w:pStyle w:val="AnnexNormal"/>
              <w:spacing w:after="120"/>
              <w:ind w:left="60" w:right="60"/>
            </w:pPr>
            <w:r>
              <w:t>c) Stoffer for seg, i stoffblandinger eller i et produkt, oppført i vedlegg I eller II til europaparlaments- og rådsforordning (EU) nr. 2024/590, unntatt alle følgende:</w:t>
            </w:r>
          </w:p>
          <w:p w14:paraId="5BD70340" w14:textId="64A3BE6E" w:rsidR="00F31590" w:rsidRDefault="00F31590" w:rsidP="003C5890">
            <w:pPr>
              <w:pStyle w:val="AnnexNormal"/>
              <w:spacing w:after="120"/>
              <w:ind w:left="60" w:right="60"/>
            </w:pPr>
            <w:r>
              <w:t>i) Stoffer som er oppført i vedlegg I til nevnte forordning, på de vilkårene for unntak som får anvendelse i henhold til nevnte forordning.</w:t>
            </w:r>
          </w:p>
          <w:p w14:paraId="62A484F1" w14:textId="24AE3BC4" w:rsidR="00F31590" w:rsidRDefault="00F31590" w:rsidP="003C5890">
            <w:pPr>
              <w:pStyle w:val="AnnexNormal"/>
              <w:spacing w:after="120"/>
              <w:ind w:left="60" w:right="60"/>
            </w:pPr>
            <w:r>
              <w:t>ii) Stoffer som er oppført i vedlegg II til nevnte forordning, for de bruksområdene som er tillatt for stoffer oppført i vedlegg I til nevnte forordning.</w:t>
            </w:r>
          </w:p>
          <w:p w14:paraId="5C8CF175" w14:textId="09823177" w:rsidR="00F31590" w:rsidRDefault="00F31590" w:rsidP="003C5890">
            <w:pPr>
              <w:pStyle w:val="AnnexNormal"/>
              <w:spacing w:after="120"/>
              <w:ind w:left="60" w:right="60"/>
            </w:pPr>
            <w:r>
              <w:t>iii) Stoffer som er oppført i vedlegg II til nevnte forordning og brukes i brannslokkingsapparater om bord i luftfartøyer eller brannvernsystemer om bord i luftfartøyer.</w:t>
            </w:r>
          </w:p>
          <w:p w14:paraId="26180287" w14:textId="4CFF06E5" w:rsidR="00F31590" w:rsidRDefault="00F31590" w:rsidP="003C5890">
            <w:pPr>
              <w:pStyle w:val="AnnexNormal"/>
              <w:spacing w:after="120"/>
              <w:ind w:left="60" w:right="60"/>
            </w:pPr>
            <w:r>
              <w:t>d) Stoffer for seg, i stoffblandinger eller i et produkt, oppført i vedlegg II til direktiv 2011/65/EU, med mindre det er fullt samsvar med bruksområdene oppført i vedlegg III og IV i det nevnte direktivet.</w:t>
            </w:r>
          </w:p>
          <w:p w14:paraId="0225B38A" w14:textId="6619377F" w:rsidR="00F31590" w:rsidRDefault="00F31590" w:rsidP="003C5890">
            <w:pPr>
              <w:pStyle w:val="AnnexNormal"/>
              <w:spacing w:after="120"/>
              <w:ind w:left="60" w:right="60"/>
            </w:pPr>
            <w:r>
              <w:t>e) Stoffer for seg, i stoffblandinger eller i et produkt, som er oppført i vedlegg XVII til forordning (EF) 1907/2006, med mindre vilkårene angitt i nevnte vedlegg oppfylles fullt ut.</w:t>
            </w:r>
          </w:p>
          <w:p w14:paraId="7B6554F9" w14:textId="63F2F4AB" w:rsidR="00F31590" w:rsidRDefault="00F31590" w:rsidP="003C5890">
            <w:pPr>
              <w:pStyle w:val="AnnexNormal"/>
              <w:ind w:left="60" w:right="60"/>
            </w:pPr>
            <w:r>
              <w:t>f) Stoffer for seg, i stoffblandinger eller i et produkt i en konsentrasjon på over 0,1 vektprosent (w/w) som oppfyller kriteriene fastsatt i artikkel 57 i forordning (EF) nr. 1907/2006, og som er identifisert i samsvar med artikkel 59 nr. 1 i den forordningen i en periode på minst 18 måneder, med mindre aktivitetsutøverne har vurdert og dokumentert at det ikke finnes andre egnede alternative stoffer eller teknologier på markedet, og at de brukes under kontrollerte forhold.»</w:t>
            </w:r>
          </w:p>
        </w:tc>
      </w:tr>
    </w:tbl>
    <w:p w14:paraId="734A2990" w14:textId="73F6DC68" w:rsidR="00F31590" w:rsidRPr="009A21EF" w:rsidRDefault="00F31590" w:rsidP="009A21EF">
      <w:pPr>
        <w:pStyle w:val="AnnexNormal"/>
      </w:pPr>
    </w:p>
    <w:sectPr w:rsidR="00F31590" w:rsidRPr="009A21EF">
      <w:headerReference w:type="even" r:id="rId14"/>
      <w:headerReference w:type="default" r:id="rId15"/>
      <w:headerReference w:type="first" r:id="rId16"/>
      <w:pgSz w:w="11906" w:h="16838" w:code="9"/>
      <w:pgMar w:top="1680" w:right="1333" w:bottom="840" w:left="1333" w:header="92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98B3" w14:textId="77777777" w:rsidR="00CC0E0C" w:rsidRDefault="00CC0E0C">
      <w:pPr>
        <w:spacing w:after="0" w:line="240" w:lineRule="auto"/>
      </w:pPr>
      <w:r>
        <w:separator/>
      </w:r>
    </w:p>
  </w:endnote>
  <w:endnote w:type="continuationSeparator" w:id="0">
    <w:p w14:paraId="0567E71B" w14:textId="77777777" w:rsidR="00CC0E0C" w:rsidRDefault="00CC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B75B" w14:textId="77777777" w:rsidR="00CC0E0C" w:rsidRDefault="00CC0E0C">
      <w:pPr>
        <w:pStyle w:val="FooterRule"/>
        <w:rPr>
          <w:lang w:val="de-DE"/>
        </w:rPr>
      </w:pPr>
      <w:r>
        <w:rPr>
          <w:lang w:val="de-DE"/>
        </w:rPr>
        <w:tab/>
      </w:r>
    </w:p>
  </w:footnote>
  <w:footnote w:type="continuationSeparator" w:id="0">
    <w:p w14:paraId="2733D14E" w14:textId="77777777" w:rsidR="00CC0E0C" w:rsidRDefault="00CC0E0C">
      <w:pPr>
        <w:pStyle w:val="Fotnotetekst"/>
      </w:pPr>
      <w:r>
        <w:continuationSeparator/>
      </w:r>
    </w:p>
  </w:footnote>
  <w:footnote w:type="continuationNotice" w:id="1">
    <w:p w14:paraId="0F870A3F" w14:textId="77777777" w:rsidR="00CC0E0C" w:rsidRDefault="00CC0E0C">
      <w:pPr>
        <w:pStyle w:val="Fotnotetekst"/>
      </w:pPr>
    </w:p>
  </w:footnote>
  <w:footnote w:id="2">
    <w:p w14:paraId="1F56C2DB" w14:textId="77777777" w:rsidR="006C68E6" w:rsidRPr="00535290" w:rsidRDefault="006C68E6">
      <w:pPr>
        <w:pStyle w:val="Fotnotetekst"/>
      </w:pPr>
      <w:r>
        <w:t>(</w:t>
      </w:r>
      <w:r>
        <w:rPr>
          <w:rStyle w:val="Fotnotereferanse"/>
        </w:rPr>
        <w:footnoteRef/>
      </w:r>
      <w:r>
        <w:t>)</w:t>
      </w:r>
      <w:r>
        <w:tab/>
        <w:t>EUT L 198 av 22.6.2020, s. 13, ELI: http://data.europa.eu/eli/reg/2020/852/oj.</w:t>
      </w:r>
    </w:p>
  </w:footnote>
  <w:footnote w:id="3">
    <w:p w14:paraId="5E7E130A" w14:textId="77777777" w:rsidR="006C68E6" w:rsidRPr="00535290" w:rsidRDefault="006C68E6">
      <w:pPr>
        <w:pStyle w:val="Fotnotetekst"/>
      </w:pPr>
      <w:r>
        <w:t>(</w:t>
      </w:r>
      <w:r>
        <w:rPr>
          <w:rStyle w:val="Fotnotereferanse"/>
        </w:rPr>
        <w:footnoteRef/>
      </w:r>
      <w:r>
        <w:t>)</w:t>
      </w:r>
      <w:r>
        <w:tab/>
        <w:t>Delegert kommisjonsforordning (EU) 2021/2178 av 6. juli 2021 om utfylling av europaparlaments- og rådsforordning (EU) 2020/852 ved å presisere innholdet i og presentasjonen av opplysninger som skal gis av foretak som er omfattet av artikkel 19a eller 29a i direktiv 2013/34/EU med hensyn til miljømessig bærekraftige økonomiske aktiviteter, og ved å fastsette metoden som skal anvendes for å overholde denne opplysningsplikten (EUT L 443 av 10.12.2021, s. 9, ELI: http://data.europa.eu/eli/reg_del/2021/2178/2024-01-01).</w:t>
      </w:r>
    </w:p>
  </w:footnote>
  <w:footnote w:id="4">
    <w:p w14:paraId="25AD4B6A" w14:textId="77777777" w:rsidR="006C68E6" w:rsidRPr="00860B60" w:rsidRDefault="006C68E6" w:rsidP="00535290">
      <w:pPr>
        <w:pStyle w:val="Fotnotetekst"/>
      </w:pPr>
      <w:r>
        <w:t>(</w:t>
      </w:r>
      <w:r>
        <w:rPr>
          <w:rStyle w:val="Fotnotereferanse"/>
        </w:rPr>
        <w:footnoteRef/>
      </w:r>
      <w:r>
        <w:t>)</w:t>
      </w:r>
      <w:r>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 ELI: http://data.europa.eu/eli/dir/2013/34/oj).</w:t>
      </w:r>
    </w:p>
  </w:footnote>
  <w:footnote w:id="5">
    <w:p w14:paraId="0432E0C0" w14:textId="77777777" w:rsidR="006C68E6" w:rsidRPr="00860B60" w:rsidRDefault="006C68E6" w:rsidP="00535290">
      <w:pPr>
        <w:pStyle w:val="Fotnotetekst"/>
      </w:pPr>
      <w:r>
        <w:t>(</w:t>
      </w:r>
      <w:r>
        <w:rPr>
          <w:rStyle w:val="Fotnotereferanse"/>
        </w:rPr>
        <w:footnoteRef/>
      </w:r>
      <w:r>
        <w:t>)</w:t>
      </w:r>
      <w:r>
        <w:tab/>
        <w:t>Delegert kommisjonsforordning (EU) 2021/2139 av 4. juni 2021 om utfylling av europaparlaments- og rådsforordning (EU) 2020/852 ved fastsettelse av de tekniske screeningkriteriene for å fastslå vilkårene for at en økonomisk aktivitet skal anses å bidra vesentlig til begrensning av klimaendringer eller tilpasning til klimaendringer, og for å fastslå om det er slik at den økonomiske aktiviteten ikke er til betydelig skade for noen av de andre miljømålene (EUT L 442 av 9.12.2021, s. 1, ELI: http://data.europa.eu/eli/reg_del/2021/2139/oj).</w:t>
      </w:r>
    </w:p>
  </w:footnote>
  <w:footnote w:id="6">
    <w:p w14:paraId="2EE4E4EA" w14:textId="77777777" w:rsidR="006C68E6" w:rsidRPr="00535290" w:rsidRDefault="006C68E6" w:rsidP="00535290">
      <w:pPr>
        <w:pStyle w:val="Fotnotetekst"/>
      </w:pPr>
      <w:r>
        <w:t>(</w:t>
      </w:r>
      <w:r>
        <w:rPr>
          <w:rStyle w:val="Fotnotereferanse"/>
        </w:rPr>
        <w:footnoteRef/>
      </w:r>
      <w:r>
        <w:t>)</w:t>
      </w:r>
      <w:r>
        <w:tab/>
        <w:t>Delegert kommisjonsforordning (EU) 2023/2486 av 27. juni 2023 om utfylling av europaparlaments- og rådsforordning (EU) 2020/852 ved fastsettelse av de tekniske screeningkriteriene for å fastslå vilkårene for at en økonomisk aktivitet skal anses å bidra vesentlig til bærekraftig bruk og beskyttelse av vann- og havressurser, til omstilling til en sirkulær økonomi, til forebygging og begrensning av forurensning, eller til beskyttelse og restaurering av biologisk mangfold og økosystemer, og for å fastslå om det er slik at den økonomiske aktiviteten ikke er til betydelig skade for noen av de andre miljømålene, og om endring av delegert kommisjonsforordning (EU) 2021/2178 med hensyn til særskilte opplysninger som skal offentliggjøres for slike økonomiske aktiviteter (EUT L, 2023/2486, 21.11.2023, s.1, ELI: http://data.europa.eu/eli/reg_del/2023/2486/oj).</w:t>
      </w:r>
    </w:p>
  </w:footnote>
  <w:footnote w:id="7">
    <w:p w14:paraId="1E2EC392" w14:textId="77777777" w:rsidR="006C68E6" w:rsidRPr="00535290" w:rsidRDefault="006C68E6" w:rsidP="00535290">
      <w:pPr>
        <w:pStyle w:val="Fotnotetekst"/>
      </w:pPr>
      <w:r>
        <w:t>(</w:t>
      </w:r>
      <w:r>
        <w:rPr>
          <w:rStyle w:val="Fotnotereferanse"/>
        </w:rPr>
        <w:footnoteRef/>
      </w:r>
      <w:r>
        <w:t>)</w:t>
      </w:r>
      <w:r>
        <w:tab/>
        <w:t>Europaparlaments- og rådsforordning (EF) nr. 1893/2006 av 20. desember 2006 om innføring av en standard for næringsgruppering NACE Revisjon 2, og om endring av rådsforordning (EØF) nr. 3037/90 og visse EF-forordninger innenfor særlige statistikkområder (EUT L 393 av 30.12.2006, s. 1).</w:t>
      </w:r>
    </w:p>
  </w:footnote>
  <w:footnote w:id="8">
    <w:p w14:paraId="0311745C" w14:textId="77777777" w:rsidR="006C68E6" w:rsidRPr="00535290" w:rsidRDefault="006C68E6" w:rsidP="00535290">
      <w:pPr>
        <w:pStyle w:val="Fotnotetekst"/>
      </w:pPr>
      <w:r>
        <w:t>(</w:t>
      </w:r>
      <w:r>
        <w:rPr>
          <w:rStyle w:val="Fotnotereferanse"/>
        </w:rPr>
        <w:footnoteRef/>
      </w:r>
      <w:r>
        <w:t>)</w:t>
      </w:r>
      <w:r>
        <w:tab/>
        <w:t>Forslag til et europaparlaments- og rådsdirektiv om endring av direktiv 2006/43/EF, 2013/34/EU, (EU) 2022/2464 og (EU) 2024/1760 med hensyn til visse krav til virksomheters bærekraftsrapportering og krav om behørig aktsomhet (COM (2025) 81 final).</w:t>
      </w:r>
    </w:p>
  </w:footnote>
  <w:footnote w:id="9">
    <w:p w14:paraId="4FA9A95D" w14:textId="77777777" w:rsidR="006C68E6" w:rsidRPr="00535290" w:rsidRDefault="006C68E6" w:rsidP="00535290">
      <w:pPr>
        <w:pStyle w:val="Fotnotetekst"/>
      </w:pPr>
      <w:r>
        <w:t>(</w:t>
      </w:r>
      <w:r>
        <w:rPr>
          <w:rStyle w:val="Fotnotereferanse"/>
        </w:rPr>
        <w:footnoteRef/>
      </w:r>
      <w:r>
        <w:t>)</w:t>
      </w:r>
      <w:r>
        <w:tab/>
        <w:t>Europaparlaments- og rådsforordning (EU) 2024/590 av 7. februar 2024 om stoffer som bryter ned ozonlaget, og om oppheving av forordning (EF) nr. 1005/2009 (EUT L, 2024/590, 20.2.2024, ELI: http://data.europa.eu/eli/reg/2024/590/oj).</w:t>
      </w:r>
    </w:p>
  </w:footnote>
  <w:footnote w:id="10">
    <w:p w14:paraId="3AD33A9E" w14:textId="77777777" w:rsidR="006C68E6" w:rsidRPr="00535290" w:rsidRDefault="006C68E6" w:rsidP="00535290">
      <w:pPr>
        <w:pStyle w:val="Fotnotetekst"/>
      </w:pPr>
      <w:r>
        <w:t>(</w:t>
      </w:r>
      <w:r>
        <w:rPr>
          <w:rStyle w:val="Fotnotereferanse"/>
        </w:rPr>
        <w:footnoteRef/>
      </w:r>
      <w:r>
        <w:t>)</w:t>
      </w:r>
      <w:r>
        <w:tab/>
        <w:t>Europaparlaments- og rådsdirektiv 2011/65/EU av 8. juni 2011 om begrensning av bruken av visse farlige stoffer i elektrisk og elektronisk utstyr (omarbeiding) (EUT L 174 av 1.7.2011, s. 88, ELI: http://data.europa.eu/eli/dir/2011/65/oj).</w:t>
      </w:r>
    </w:p>
  </w:footnote>
  <w:footnote w:id="11">
    <w:p w14:paraId="547C841B" w14:textId="77777777" w:rsidR="006C68E6" w:rsidRPr="00535290" w:rsidRDefault="006C68E6" w:rsidP="00535290">
      <w:pPr>
        <w:pStyle w:val="Fotnotetekst"/>
      </w:pPr>
      <w:r>
        <w:t>(</w:t>
      </w:r>
      <w:r>
        <w:rPr>
          <w:rStyle w:val="Fotnotereferanse"/>
        </w:rPr>
        <w:footnoteRef/>
      </w:r>
      <w:r>
        <w:t>)</w:t>
      </w:r>
      <w:r>
        <w:tab/>
        <w:t>Europaparlaments- og rådsforordning (EF) nr. 1272/2008 av 16. desember 2008 om klassifisering, merking og emballering av stoffer og stoffblandinger, om endring og oppheving av direktiv 67/548/EØF og 1999/45/EF, og om endring av forordning (EF) nr. 1907/2006 (EUT L 353 av 31.12.2008, s. 1, ELI: http://data.europa.eu/eli/reg/2008/1272/oj).</w:t>
      </w:r>
    </w:p>
  </w:footnote>
  <w:footnote w:id="12">
    <w:p w14:paraId="47E4EF4D" w14:textId="77777777" w:rsidR="006C68E6" w:rsidRPr="00535290" w:rsidRDefault="006C68E6" w:rsidP="00535290">
      <w:pPr>
        <w:pStyle w:val="Fotnotetekst"/>
      </w:pPr>
      <w:r>
        <w:t>(</w:t>
      </w:r>
      <w:r>
        <w:rPr>
          <w:rStyle w:val="Fotnotereferanse"/>
        </w:rPr>
        <w:footnoteRef/>
      </w:r>
      <w:r>
        <w:t>)</w:t>
      </w:r>
      <w:r>
        <w:tab/>
        <w:t>Europaparlaments- og rådsforordning (EF) nr. 1907/2006 av 18. desember 2006 om registrering, vurdering og godkjenning av samt begrensninger for kjemikalier (REACH), om opprettelse av et europeisk kjemikaliebyrå, om endring av direktiv 1999/45/EF og om oppheving av rådsforordning (EØF) nr. 793/93 og kommisjonsforordning (EF) nr. 1488/94 samt rådsdirektiv 76/769/EØF og kommisjonsdirektiv 91/155/EØF, 93/67/EØF, 93/105/EF og 2000/21/EF (EUT L 396 av 30.12.2006, s. 1).</w:t>
      </w:r>
    </w:p>
  </w:footnote>
  <w:footnote w:id="13">
    <w:p w14:paraId="34BD419A" w14:textId="77777777" w:rsidR="006C68E6" w:rsidRPr="00535290" w:rsidRDefault="006C68E6" w:rsidP="00535290">
      <w:pPr>
        <w:pStyle w:val="Fotnotetekst"/>
      </w:pPr>
      <w:r>
        <w:t>(</w:t>
      </w:r>
      <w:r>
        <w:rPr>
          <w:rStyle w:val="Fotnotereferanse"/>
        </w:rPr>
        <w:footnoteRef/>
      </w:r>
      <w:r>
        <w:t>)</w:t>
      </w:r>
      <w:r>
        <w:tab/>
        <w:t xml:space="preserve">Europaparlaments- og rådsforordning (EU) 2021/1119 av 30. juni 2021 om fastsettelse av en ramme for å oppnå klimanøytralitet og om endring av forordning (EF) nr. 401/2009 og (EU) 2018/1999 («den europeiske klimaloven») (EUT L 243 av 9.7.2021, s.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679"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0"/>
      <w:gridCol w:w="5219"/>
      <w:gridCol w:w="2230"/>
    </w:tblGrid>
    <w:tr w:rsidR="006C68E6" w14:paraId="6B2619FD" w14:textId="77777777">
      <w:trPr>
        <w:jc w:val="center"/>
      </w:trPr>
      <w:tc>
        <w:tcPr>
          <w:tcW w:w="2000" w:type="dxa"/>
        </w:tcPr>
        <w:p w14:paraId="752F1766" w14:textId="18B52C1A" w:rsidR="006C68E6" w:rsidRDefault="00000000">
          <w:pPr>
            <w:pStyle w:val="Topptekst"/>
          </w:pPr>
          <w:r>
            <w:pict w14:anchorId="79699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3" o:spid="_x0000_s1026" type="#_x0000_t75" style="position:absolute;left:0;text-align:left;margin-left:0;margin-top:0;width:461.45pt;height:450.95pt;z-index:-251657216;mso-position-horizontal:center;mso-position-horizontal-relative:margin;mso-position-vertical:center;mso-position-vertical-relative:margin" o:allowincell="f">
                <v:imagedata r:id="rId1" o:title="Vannmerke-NBO"/>
                <w10:wrap anchorx="margin" anchory="margin"/>
              </v:shape>
            </w:pict>
          </w:r>
          <w:r w:rsidR="00D33D36">
            <w:t xml:space="preserve">Nr. </w:t>
          </w:r>
          <w:fldSimple w:instr=" DOCPROPERTY  volume  \* MERGEFORMAT ">
            <w:r w:rsidR="00320A60">
              <w:t>XX</w:t>
            </w:r>
          </w:fldSimple>
          <w:r w:rsidR="00D33D36">
            <w:t>/</w:t>
          </w:r>
          <w:r w:rsidR="006C68E6">
            <w:fldChar w:fldCharType="begin"/>
          </w:r>
          <w:r w:rsidR="006C68E6">
            <w:instrText xml:space="preserve"> PAGE  \* Arabic  \* MERGEFORMAT </w:instrText>
          </w:r>
          <w:r w:rsidR="006C68E6">
            <w:fldChar w:fldCharType="separate"/>
          </w:r>
          <w:r w:rsidR="006C68E6">
            <w:t>6</w:t>
          </w:r>
          <w:r w:rsidR="006C68E6">
            <w:fldChar w:fldCharType="end"/>
          </w:r>
        </w:p>
      </w:tc>
      <w:tc>
        <w:tcPr>
          <w:tcW w:w="4680" w:type="dxa"/>
        </w:tcPr>
        <w:p w14:paraId="2AA18BFB" w14:textId="46D713BE" w:rsidR="006C68E6" w:rsidRDefault="006C68E6">
          <w:pPr>
            <w:pStyle w:val="Topptekst"/>
            <w:jc w:val="center"/>
          </w:pPr>
          <w:fldSimple w:instr=" DOCPROPERTY  rhead  \* MERGEFORMAT ">
            <w:r w:rsidR="00320A60">
              <w:t>Header Title</w:t>
            </w:r>
          </w:fldSimple>
        </w:p>
      </w:tc>
      <w:tc>
        <w:tcPr>
          <w:tcW w:w="2000" w:type="dxa"/>
        </w:tcPr>
        <w:p w14:paraId="1283F3A1" w14:textId="2E13FE0C" w:rsidR="006C68E6" w:rsidRDefault="00320A60">
          <w:pPr>
            <w:pStyle w:val="Topptekst"/>
            <w:jc w:val="right"/>
          </w:pPr>
          <w:fldSimple w:instr=" DOCPROPERTY  issue_date  \* MERGEFORMAT ">
            <w:r>
              <w:t>XX.XX.XXXX</w:t>
            </w:r>
          </w:fldSimple>
        </w:p>
      </w:tc>
    </w:tr>
  </w:tbl>
  <w:p w14:paraId="2FBFE916" w14:textId="77777777" w:rsidR="006C68E6" w:rsidRDefault="006C68E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87A8" w14:textId="64042213" w:rsidR="006C68E6" w:rsidRPr="00860B60" w:rsidRDefault="00000000" w:rsidP="00860B60">
    <w:pPr>
      <w:pStyle w:val="Topptekst"/>
      <w:jc w:val="right"/>
    </w:pPr>
    <w:r>
      <w:pict w14:anchorId="0D9C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4" o:spid="_x0000_s1027" type="#_x0000_t75" style="position:absolute;left:0;text-align:left;margin-left:0;margin-top:0;width:461.45pt;height:450.95pt;z-index:-251656192;mso-position-horizontal:center;mso-position-horizontal-relative:margin;mso-position-vertical:center;mso-position-vertical-relative:margin" o:allowincell="f">
          <v:imagedata r:id="rId1" o:title="Vannmerke-NBO"/>
          <w10:wrap anchorx="margin" anchory="margin"/>
        </v:shape>
      </w:pict>
    </w:r>
    <w:r w:rsidR="006C68E6">
      <w:fldChar w:fldCharType="begin"/>
    </w:r>
    <w:r w:rsidR="006C68E6">
      <w:instrText xml:space="preserve"> PAGE   \* MERGEFORMAT </w:instrText>
    </w:r>
    <w:r w:rsidR="006C68E6">
      <w:fldChar w:fldCharType="separate"/>
    </w:r>
    <w:r w:rsidR="006C68E6">
      <w:t>1</w:t>
    </w:r>
    <w:r w:rsidR="006C68E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EC8A" w14:textId="3220806B" w:rsidR="00D33D36" w:rsidRDefault="00000000">
    <w:pPr>
      <w:pStyle w:val="Topptekst"/>
    </w:pPr>
    <w:r>
      <w:pict w14:anchorId="23EB6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2" o:spid="_x0000_s1025" type="#_x0000_t75" style="position:absolute;left:0;text-align:left;margin-left:0;margin-top:0;width:461.45pt;height:450.95pt;z-index:-251658240;mso-position-horizontal:center;mso-position-horizontal-relative:margin;mso-position-vertical:center;mso-position-vertical-relative:margin" o:allowincell="f">
          <v:imagedata r:id="rId1" o:title="Vannmerke-NB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679"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0"/>
      <w:gridCol w:w="5219"/>
      <w:gridCol w:w="2230"/>
    </w:tblGrid>
    <w:tr w:rsidR="006C68E6" w14:paraId="7F01166A" w14:textId="77777777">
      <w:trPr>
        <w:jc w:val="center"/>
      </w:trPr>
      <w:tc>
        <w:tcPr>
          <w:tcW w:w="2000" w:type="dxa"/>
        </w:tcPr>
        <w:p w14:paraId="6C6D3A17" w14:textId="79C4D5C1" w:rsidR="006C68E6" w:rsidRDefault="00000000">
          <w:pPr>
            <w:pStyle w:val="Topptekst"/>
          </w:pPr>
          <w:r>
            <w:pict w14:anchorId="0F49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6" o:spid="_x0000_s1029" type="#_x0000_t75" style="position:absolute;left:0;text-align:left;margin-left:0;margin-top:0;width:461.45pt;height:450.95pt;z-index:-251654144;mso-position-horizontal:center;mso-position-horizontal-relative:margin;mso-position-vertical:center;mso-position-vertical-relative:margin" o:allowincell="f">
                <v:imagedata r:id="rId1" o:title="Vannmerke-NBO"/>
                <w10:wrap anchorx="margin" anchory="margin"/>
              </v:shape>
            </w:pict>
          </w:r>
          <w:r w:rsidR="00D33D36">
            <w:t xml:space="preserve">Nr. </w:t>
          </w:r>
          <w:fldSimple w:instr=" DOCPROPERTY  volume  \* MERGEFORMAT ">
            <w:r w:rsidR="00320A60">
              <w:t>XX</w:t>
            </w:r>
          </w:fldSimple>
          <w:r w:rsidR="00D33D36">
            <w:t>/</w:t>
          </w:r>
          <w:r w:rsidR="006C68E6">
            <w:fldChar w:fldCharType="begin"/>
          </w:r>
          <w:r w:rsidR="006C68E6">
            <w:instrText xml:space="preserve"> PAGE  \* Arabic  \* MERGEFORMAT </w:instrText>
          </w:r>
          <w:r w:rsidR="006C68E6">
            <w:fldChar w:fldCharType="separate"/>
          </w:r>
          <w:r w:rsidR="006C68E6">
            <w:t>6</w:t>
          </w:r>
          <w:r w:rsidR="006C68E6">
            <w:fldChar w:fldCharType="end"/>
          </w:r>
        </w:p>
      </w:tc>
      <w:tc>
        <w:tcPr>
          <w:tcW w:w="4680" w:type="dxa"/>
        </w:tcPr>
        <w:p w14:paraId="355A6FBB" w14:textId="76A01EC0" w:rsidR="006C68E6" w:rsidRDefault="006C68E6">
          <w:pPr>
            <w:pStyle w:val="Topptekst"/>
            <w:jc w:val="center"/>
          </w:pPr>
          <w:fldSimple w:instr=" DOCPROPERTY  rhead  \* MERGEFORMAT ">
            <w:r w:rsidR="00320A60">
              <w:t>Header Title</w:t>
            </w:r>
          </w:fldSimple>
        </w:p>
      </w:tc>
      <w:tc>
        <w:tcPr>
          <w:tcW w:w="2000" w:type="dxa"/>
        </w:tcPr>
        <w:p w14:paraId="697D17A5" w14:textId="66D01487" w:rsidR="006C68E6" w:rsidRDefault="00320A60">
          <w:pPr>
            <w:pStyle w:val="Topptekst"/>
            <w:jc w:val="right"/>
          </w:pPr>
          <w:fldSimple w:instr=" DOCPROPERTY  issue_date  \* MERGEFORMAT ">
            <w:r>
              <w:t>XX.XX.XXXX</w:t>
            </w:r>
          </w:fldSimple>
        </w:p>
      </w:tc>
    </w:tr>
  </w:tbl>
  <w:p w14:paraId="67C5DBEA" w14:textId="77777777" w:rsidR="006C68E6" w:rsidRDefault="006C68E6">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C0A5" w14:textId="0650DA68" w:rsidR="006C68E6" w:rsidRPr="00652815" w:rsidRDefault="00000000" w:rsidP="00652815">
    <w:pPr>
      <w:pStyle w:val="Topptekst"/>
      <w:jc w:val="right"/>
    </w:pPr>
    <w:r>
      <w:pict w14:anchorId="66D77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7" o:spid="_x0000_s1030" type="#_x0000_t75" style="position:absolute;left:0;text-align:left;margin-left:118pt;margin-top:13.7pt;width:461.45pt;height:450.95pt;z-index:-251653120;mso-position-horizontal-relative:margin;mso-position-vertical-relative:margin" o:allowincell="f">
          <v:imagedata r:id="rId1" o:title="Vannmerke-NBO"/>
          <w10:wrap anchorx="margin" anchory="margin"/>
        </v:shape>
      </w:pict>
    </w:r>
    <w:r w:rsidR="006C68E6">
      <w:fldChar w:fldCharType="begin"/>
    </w:r>
    <w:r w:rsidR="006C68E6">
      <w:instrText xml:space="preserve"> PAGE   \* MERGEFORMAT </w:instrText>
    </w:r>
    <w:r w:rsidR="006C68E6">
      <w:fldChar w:fldCharType="separate"/>
    </w:r>
    <w:r w:rsidR="006C68E6">
      <w:t>1</w:t>
    </w:r>
    <w:r w:rsidR="006C68E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28F3" w14:textId="2B9AE7FE" w:rsidR="00D33D36" w:rsidRDefault="00000000">
    <w:pPr>
      <w:pStyle w:val="Topptekst"/>
    </w:pPr>
    <w:r>
      <w:pict w14:anchorId="70C2B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5" o:spid="_x0000_s1028" type="#_x0000_t75" style="position:absolute;left:0;text-align:left;margin-left:0;margin-top:0;width:461.45pt;height:450.95pt;z-index:-251655168;mso-position-horizontal:center;mso-position-horizontal-relative:margin;mso-position-vertical:center;mso-position-vertical-relative:margin" o:allowincell="f">
          <v:imagedata r:id="rId1" o:title="Vannmerke-NBO"/>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679" w:type="dxa"/>
      <w:jc w:val="center"/>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0"/>
      <w:gridCol w:w="5219"/>
      <w:gridCol w:w="2230"/>
    </w:tblGrid>
    <w:tr w:rsidR="006C68E6" w14:paraId="5E2842E7" w14:textId="77777777">
      <w:trPr>
        <w:jc w:val="center"/>
      </w:trPr>
      <w:tc>
        <w:tcPr>
          <w:tcW w:w="2000" w:type="dxa"/>
        </w:tcPr>
        <w:p w14:paraId="10D35594" w14:textId="6C001448" w:rsidR="006C68E6" w:rsidRDefault="00000000">
          <w:pPr>
            <w:pStyle w:val="Topptekst"/>
          </w:pPr>
          <w:r>
            <w:pict w14:anchorId="5A170A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9" o:spid="_x0000_s1032" type="#_x0000_t75" style="position:absolute;left:0;text-align:left;margin-left:0;margin-top:0;width:461.45pt;height:450.95pt;z-index:-251651072;mso-position-horizontal:center;mso-position-horizontal-relative:margin;mso-position-vertical:center;mso-position-vertical-relative:margin" o:allowincell="f">
                <v:imagedata r:id="rId1" o:title="Vannmerke-NBO"/>
                <w10:wrap anchorx="margin" anchory="margin"/>
              </v:shape>
            </w:pict>
          </w:r>
          <w:r w:rsidR="00D33D36">
            <w:t xml:space="preserve">Nr. </w:t>
          </w:r>
          <w:fldSimple w:instr=" DOCPROPERTY  volume  \* MERGEFORMAT ">
            <w:r w:rsidR="00320A60">
              <w:t>XX</w:t>
            </w:r>
          </w:fldSimple>
          <w:r w:rsidR="00D33D36">
            <w:t>/</w:t>
          </w:r>
          <w:r w:rsidR="006C68E6">
            <w:fldChar w:fldCharType="begin"/>
          </w:r>
          <w:r w:rsidR="006C68E6">
            <w:instrText xml:space="preserve"> PAGE  \* Arabic  \* MERGEFORMAT </w:instrText>
          </w:r>
          <w:r w:rsidR="006C68E6">
            <w:fldChar w:fldCharType="separate"/>
          </w:r>
          <w:r w:rsidR="006C68E6">
            <w:t>6</w:t>
          </w:r>
          <w:r w:rsidR="006C68E6">
            <w:fldChar w:fldCharType="end"/>
          </w:r>
        </w:p>
      </w:tc>
      <w:tc>
        <w:tcPr>
          <w:tcW w:w="4680" w:type="dxa"/>
        </w:tcPr>
        <w:p w14:paraId="1686CC49" w14:textId="2310CF51" w:rsidR="006C68E6" w:rsidRDefault="006C68E6">
          <w:pPr>
            <w:pStyle w:val="Topptekst"/>
            <w:jc w:val="center"/>
          </w:pPr>
          <w:fldSimple w:instr=" DOCPROPERTY  rhead  \* MERGEFORMAT ">
            <w:r w:rsidR="00320A60">
              <w:t>Header Title</w:t>
            </w:r>
          </w:fldSimple>
        </w:p>
      </w:tc>
      <w:tc>
        <w:tcPr>
          <w:tcW w:w="2000" w:type="dxa"/>
        </w:tcPr>
        <w:p w14:paraId="4C57C4DD" w14:textId="06E19EDE" w:rsidR="006C68E6" w:rsidRDefault="00320A60">
          <w:pPr>
            <w:pStyle w:val="Topptekst"/>
            <w:jc w:val="right"/>
          </w:pPr>
          <w:fldSimple w:instr=" DOCPROPERTY  issue_date  \* MERGEFORMAT ">
            <w:r>
              <w:t>XX.XX.XXXX</w:t>
            </w:r>
          </w:fldSimple>
        </w:p>
      </w:tc>
    </w:tr>
  </w:tbl>
  <w:p w14:paraId="499B71FB" w14:textId="77777777" w:rsidR="006C68E6" w:rsidRDefault="006C68E6">
    <w:pPr>
      <w:pStyle w:val="Top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4E3F" w14:textId="26A9A9DE" w:rsidR="00D33D36" w:rsidRDefault="00000000">
    <w:pPr>
      <w:pStyle w:val="Topptekst"/>
    </w:pPr>
    <w:r>
      <w:pict w14:anchorId="55E68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70" o:spid="_x0000_s1033" type="#_x0000_t75" style="position:absolute;left:0;text-align:left;margin-left:0;margin-top:0;width:461.45pt;height:450.95pt;z-index:-251650048;mso-position-horizontal:center;mso-position-horizontal-relative:margin;mso-position-vertical:center;mso-position-vertical-relative:margin" o:allowincell="f">
          <v:imagedata r:id="rId1" o:title="Vannmerke-NBO"/>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9CD6" w14:textId="45117A82" w:rsidR="00D33D36" w:rsidRDefault="00000000">
    <w:pPr>
      <w:pStyle w:val="Topptekst"/>
    </w:pPr>
    <w:r>
      <w:pict w14:anchorId="4A95B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271068" o:spid="_x0000_s1031" type="#_x0000_t75" style="position:absolute;left:0;text-align:left;margin-left:0;margin-top:0;width:461.45pt;height:450.95pt;z-index:-251652096;mso-position-horizontal:center;mso-position-horizontal-relative:margin;mso-position-vertical:center;mso-position-vertical-relative:margin" o:allowincell="f">
          <v:imagedata r:id="rId1" o:title="Vannmerke-NB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0231997">
    <w:abstractNumId w:val="2"/>
  </w:num>
  <w:num w:numId="2" w16cid:durableId="1601179531">
    <w:abstractNumId w:val="0"/>
  </w:num>
  <w:num w:numId="3" w16cid:durableId="150165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onsecutiveHyphenLimit w:val="2"/>
  <w:hyphenationZone w:val="357"/>
  <w:doNotHyphenateCaps/>
  <w:defaultTableStyle w:val="EFTATable"/>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443"/>
    <w:rsid w:val="00026240"/>
    <w:rsid w:val="000D64AF"/>
    <w:rsid w:val="000E37B8"/>
    <w:rsid w:val="000F3E9D"/>
    <w:rsid w:val="00125578"/>
    <w:rsid w:val="001E15AE"/>
    <w:rsid w:val="001E7D70"/>
    <w:rsid w:val="002120C5"/>
    <w:rsid w:val="00214FF3"/>
    <w:rsid w:val="00223CA0"/>
    <w:rsid w:val="00233FCF"/>
    <w:rsid w:val="00286E2C"/>
    <w:rsid w:val="002A153D"/>
    <w:rsid w:val="002E79C4"/>
    <w:rsid w:val="00320A60"/>
    <w:rsid w:val="003520FD"/>
    <w:rsid w:val="0039753E"/>
    <w:rsid w:val="003B1B62"/>
    <w:rsid w:val="003C5890"/>
    <w:rsid w:val="003D3189"/>
    <w:rsid w:val="003E3BB2"/>
    <w:rsid w:val="004174D8"/>
    <w:rsid w:val="004474DD"/>
    <w:rsid w:val="0046207D"/>
    <w:rsid w:val="004A2CAF"/>
    <w:rsid w:val="00504A61"/>
    <w:rsid w:val="00517B8C"/>
    <w:rsid w:val="00535290"/>
    <w:rsid w:val="005605F3"/>
    <w:rsid w:val="00595D4B"/>
    <w:rsid w:val="005E6B58"/>
    <w:rsid w:val="005E75A2"/>
    <w:rsid w:val="00647D81"/>
    <w:rsid w:val="00652815"/>
    <w:rsid w:val="006C68E6"/>
    <w:rsid w:val="006D408D"/>
    <w:rsid w:val="006D5517"/>
    <w:rsid w:val="00727987"/>
    <w:rsid w:val="00745AC8"/>
    <w:rsid w:val="00755020"/>
    <w:rsid w:val="007A1BD6"/>
    <w:rsid w:val="007B5BD9"/>
    <w:rsid w:val="007D7541"/>
    <w:rsid w:val="007E13EF"/>
    <w:rsid w:val="007E59F7"/>
    <w:rsid w:val="007F06F4"/>
    <w:rsid w:val="00823443"/>
    <w:rsid w:val="0083109E"/>
    <w:rsid w:val="00833F83"/>
    <w:rsid w:val="00860B60"/>
    <w:rsid w:val="008860FD"/>
    <w:rsid w:val="008A19A5"/>
    <w:rsid w:val="0090057A"/>
    <w:rsid w:val="00956D44"/>
    <w:rsid w:val="00966BC8"/>
    <w:rsid w:val="0097192F"/>
    <w:rsid w:val="009A21EF"/>
    <w:rsid w:val="009B5BB8"/>
    <w:rsid w:val="009D66E2"/>
    <w:rsid w:val="00A65C9C"/>
    <w:rsid w:val="00A9167B"/>
    <w:rsid w:val="00AC6D47"/>
    <w:rsid w:val="00AE6B3B"/>
    <w:rsid w:val="00AE7F98"/>
    <w:rsid w:val="00AF1391"/>
    <w:rsid w:val="00B25863"/>
    <w:rsid w:val="00B310F8"/>
    <w:rsid w:val="00B40B9F"/>
    <w:rsid w:val="00B67842"/>
    <w:rsid w:val="00B7012D"/>
    <w:rsid w:val="00B82B31"/>
    <w:rsid w:val="00C20350"/>
    <w:rsid w:val="00C3581C"/>
    <w:rsid w:val="00C57E42"/>
    <w:rsid w:val="00CC0E0C"/>
    <w:rsid w:val="00CF19A5"/>
    <w:rsid w:val="00CF31FC"/>
    <w:rsid w:val="00D0760A"/>
    <w:rsid w:val="00D33D36"/>
    <w:rsid w:val="00D94629"/>
    <w:rsid w:val="00DE4EF6"/>
    <w:rsid w:val="00DE7ADC"/>
    <w:rsid w:val="00DF4027"/>
    <w:rsid w:val="00DF7B9C"/>
    <w:rsid w:val="00E10EBC"/>
    <w:rsid w:val="00E456F1"/>
    <w:rsid w:val="00EA514B"/>
    <w:rsid w:val="00EE5171"/>
    <w:rsid w:val="00F0608B"/>
    <w:rsid w:val="00F31590"/>
    <w:rsid w:val="00F92E7B"/>
    <w:rsid w:val="00FC0CD2"/>
    <w:rsid w:val="00FD5E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A1102"/>
  <w15:docId w15:val="{6483CE8F-A931-447A-8A70-E990CF6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0000"/>
      <w:spacing w:line="240" w:lineRule="exact"/>
      <w:jc w:val="both"/>
    </w:pPr>
    <w:rPr>
      <w:rFonts w:ascii="Times New Roman" w:hAnsi="Times New Roman"/>
      <w:color w:val="00B050"/>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line4">
    <w:name w:val="line4"/>
    <w:next w:val="Para"/>
    <w:qFormat/>
    <w:pPr>
      <w:widowControl w:val="0"/>
      <w:pBdr>
        <w:bottom w:val="single" w:sz="4" w:space="1" w:color="auto"/>
      </w:pBdr>
      <w:suppressAutoHyphens/>
      <w:spacing w:after="257" w:line="240" w:lineRule="exact"/>
      <w:ind w:left="4162" w:right="4162"/>
      <w:jc w:val="center"/>
    </w:pPr>
    <w:rPr>
      <w:rFonts w:ascii="Times New Roman" w:hAnsi="Times New Roman"/>
      <w:sz w:val="18"/>
    </w:rPr>
  </w:style>
  <w:style w:type="paragraph" w:customStyle="1" w:styleId="line2">
    <w:name w:val="line2"/>
    <w:basedOn w:val="line4"/>
    <w:next w:val="Para"/>
    <w:qFormat/>
    <w:pPr>
      <w:ind w:left="4282" w:right="4282"/>
    </w:pPr>
  </w:style>
  <w:style w:type="paragraph" w:customStyle="1" w:styleId="line8">
    <w:name w:val="line8"/>
    <w:basedOn w:val="line2"/>
    <w:next w:val="Para"/>
    <w:qFormat/>
    <w:pPr>
      <w:ind w:left="4126" w:right="4126"/>
    </w:pPr>
  </w:style>
  <w:style w:type="paragraph" w:customStyle="1" w:styleId="line12">
    <w:name w:val="line12"/>
    <w:basedOn w:val="line2"/>
    <w:next w:val="Para"/>
    <w:qFormat/>
    <w:pPr>
      <w:ind w:left="3614" w:right="3614"/>
    </w:pPr>
  </w:style>
  <w:style w:type="paragraph" w:styleId="Topptekst">
    <w:name w:val="header"/>
    <w:basedOn w:val="Para"/>
    <w:link w:val="TopptekstTegn"/>
    <w:uiPriority w:val="99"/>
    <w:unhideWhenUsed/>
    <w:pPr>
      <w:spacing w:after="100" w:line="200" w:lineRule="exact"/>
    </w:pPr>
  </w:style>
  <w:style w:type="character" w:customStyle="1" w:styleId="TopptekstTegn">
    <w:name w:val="Topptekst Tegn"/>
    <w:basedOn w:val="Standardskriftforavsnitt"/>
    <w:link w:val="Topptekst"/>
    <w:uiPriority w:val="99"/>
    <w:rPr>
      <w:rFonts w:ascii="Times New Roman" w:hAnsi="Times New Roman"/>
      <w:sz w:val="18"/>
      <w14:ligatures w14:val="standard"/>
    </w:rPr>
  </w:style>
  <w:style w:type="paragraph" w:styleId="Bunntekst">
    <w:name w:val="footer"/>
    <w:basedOn w:val="Para"/>
    <w:link w:val="BunntekstTegn"/>
    <w:uiPriority w:val="99"/>
    <w:unhideWhenUse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Pr>
      <w:rFonts w:ascii="Times New Roman" w:hAnsi="Times New Roman"/>
      <w:sz w:val="18"/>
      <w14:ligatures w14:val="standard"/>
    </w:rPr>
  </w:style>
  <w:style w:type="table" w:styleId="Tabellrutenett">
    <w:name w:val="Table Grid"/>
    <w:basedOn w:val="Vanlig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Para"/>
    <w:next w:val="SectionSubTitle"/>
    <w:qFormat/>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pPr>
      <w:keepNext/>
      <w:suppressAutoHyphens/>
      <w:spacing w:after="120"/>
      <w:jc w:val="center"/>
      <w:outlineLvl w:val="2"/>
    </w:pPr>
    <w:rPr>
      <w:b/>
    </w:rPr>
  </w:style>
  <w:style w:type="paragraph" w:customStyle="1" w:styleId="MainTitleItalic">
    <w:name w:val="MainTitleItalic"/>
    <w:basedOn w:val="MainTitle"/>
    <w:next w:val="Normal"/>
    <w:qFormat/>
    <w:pPr>
      <w:spacing w:after="240"/>
    </w:pPr>
    <w:rPr>
      <w:b w:val="0"/>
      <w:i/>
    </w:rPr>
  </w:style>
  <w:style w:type="paragraph" w:customStyle="1" w:styleId="PreambleInit">
    <w:name w:val="PreambleInit"/>
    <w:basedOn w:val="ParaSmall"/>
    <w:qFormat/>
    <w:pPr>
      <w:spacing w:before="240" w:after="240"/>
    </w:pPr>
  </w:style>
  <w:style w:type="paragraph" w:customStyle="1" w:styleId="Pa8">
    <w:name w:val="Pa8"/>
    <w:basedOn w:val="Normal"/>
    <w:next w:val="Normal"/>
    <w:uiPriority w:val="99"/>
    <w:pPr>
      <w:autoSpaceDE w:val="0"/>
      <w:autoSpaceDN w:val="0"/>
      <w:adjustRightInd w:val="0"/>
      <w:spacing w:after="0" w:line="241" w:lineRule="atLeast"/>
    </w:pPr>
    <w:rPr>
      <w:rFonts w:cs="Times New Roman"/>
      <w:sz w:val="24"/>
      <w:szCs w:val="24"/>
    </w:rPr>
  </w:style>
  <w:style w:type="paragraph" w:customStyle="1" w:styleId="GrSeq1">
    <w:name w:val="GrSeq1"/>
    <w:basedOn w:val="Para"/>
    <w:qFormat/>
    <w:pPr>
      <w:keepNext/>
      <w:keepLines/>
      <w:tabs>
        <w:tab w:val="left" w:pos="2027"/>
      </w:tabs>
      <w:suppressAutoHyphens/>
      <w:ind w:left="1020" w:hanging="1020"/>
    </w:pPr>
    <w:rPr>
      <w:rFonts w:eastAsia="Times New Roman" w:cs="Times New Roman"/>
      <w:b/>
      <w:bCs/>
      <w:szCs w:val="18"/>
    </w:rPr>
  </w:style>
  <w:style w:type="paragraph" w:customStyle="1" w:styleId="NumberedText">
    <w:name w:val="NumberedText"/>
    <w:basedOn w:val="Para"/>
    <w:qFormat/>
    <w:pPr>
      <w:tabs>
        <w:tab w:val="left" w:pos="2047"/>
      </w:tabs>
      <w:ind w:left="1020" w:hanging="1020"/>
    </w:pPr>
    <w:rPr>
      <w:rFonts w:eastAsia="Times New Roman" w:cs="Times New Roman"/>
      <w:szCs w:val="18"/>
    </w:rPr>
  </w:style>
  <w:style w:type="paragraph" w:styleId="Fotnotetekst">
    <w:name w:val="footnote text"/>
    <w:basedOn w:val="ParaSmall"/>
    <w:link w:val="FotnotetekstTegn"/>
    <w:uiPriority w:val="99"/>
    <w:semiHidden/>
    <w:unhideWhenUsed/>
    <w:pPr>
      <w:spacing w:after="0"/>
      <w:ind w:left="300" w:hanging="300"/>
    </w:pPr>
    <w:rPr>
      <w:szCs w:val="20"/>
    </w:rPr>
  </w:style>
  <w:style w:type="character" w:customStyle="1" w:styleId="FotnotetekstTegn">
    <w:name w:val="Fotnotetekst Tegn"/>
    <w:basedOn w:val="Standardskriftforavsnitt"/>
    <w:link w:val="Fotnotetekst"/>
    <w:uiPriority w:val="99"/>
    <w:semiHidden/>
    <w:rPr>
      <w:rFonts w:ascii="Times New Roman" w:hAnsi="Times New Roman"/>
      <w:sz w:val="16"/>
      <w:szCs w:val="20"/>
      <w14:ligatures w14:val="standard"/>
    </w:rPr>
  </w:style>
  <w:style w:type="character" w:styleId="Fotnotereferanse">
    <w:name w:val="footnote reference"/>
    <w:basedOn w:val="Standardskriftforavsnitt"/>
    <w:uiPriority w:val="99"/>
    <w:semiHidden/>
    <w:unhideWhenUsed/>
    <w:rPr>
      <w:rFonts w:ascii="Times New Roman" w:hAnsi="Times New Roman"/>
      <w:b w:val="0"/>
      <w:i w:val="0"/>
      <w:color w:val="auto"/>
      <w:position w:val="-2"/>
      <w:sz w:val="16"/>
      <w:vertAlign w:val="superscript"/>
    </w:rPr>
  </w:style>
  <w:style w:type="paragraph" w:customStyle="1" w:styleId="Footnote">
    <w:name w:val="Footnote"/>
    <w:basedOn w:val="Fotnotetekst"/>
    <w:qFormat/>
    <w:pPr>
      <w:spacing w:line="180" w:lineRule="exact"/>
    </w:pPr>
    <w:rPr>
      <w:rFonts w:eastAsia="Times New Roman" w:cs="Times New Roman"/>
      <w:sz w:val="14"/>
      <w:szCs w:val="14"/>
    </w:rPr>
  </w:style>
  <w:style w:type="paragraph" w:customStyle="1" w:styleId="FooterRule">
    <w:name w:val="FooterRule"/>
    <w:basedOn w:val="Para"/>
    <w:next w:val="Para"/>
    <w:qFormat/>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pPr>
      <w:spacing w:before="480" w:after="480" w:line="240" w:lineRule="exact"/>
      <w:jc w:val="left"/>
    </w:pPr>
  </w:style>
  <w:style w:type="paragraph" w:customStyle="1" w:styleId="Visas">
    <w:name w:val="Visas"/>
    <w:basedOn w:val="PreambleInit"/>
    <w:qFormat/>
    <w:pPr>
      <w:spacing w:line="240" w:lineRule="exact"/>
    </w:pPr>
    <w:rPr>
      <w:sz w:val="18"/>
    </w:rPr>
  </w:style>
  <w:style w:type="paragraph" w:customStyle="1" w:styleId="GrSeq2">
    <w:name w:val="GrSeq2"/>
    <w:basedOn w:val="GrSeq1"/>
    <w:qFormat/>
    <w:rPr>
      <w:i/>
    </w:rPr>
  </w:style>
  <w:style w:type="paragraph" w:customStyle="1" w:styleId="GrSeq3">
    <w:name w:val="GrSeq3"/>
    <w:basedOn w:val="GrSeq2"/>
    <w:next w:val="Para"/>
    <w:qFormat/>
    <w:rPr>
      <w:b w:val="0"/>
    </w:rPr>
  </w:style>
  <w:style w:type="paragraph" w:customStyle="1" w:styleId="GrSeq4">
    <w:name w:val="GrSeq4"/>
    <w:basedOn w:val="GrSeq3"/>
    <w:next w:val="Para"/>
    <w:qFormat/>
    <w:rPr>
      <w:i w:val="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pPr>
      <w:spacing w:line="241" w:lineRule="atLeast"/>
    </w:pPr>
    <w:rPr>
      <w:color w:val="auto"/>
    </w:rPr>
  </w:style>
  <w:style w:type="paragraph" w:customStyle="1" w:styleId="TableTitle">
    <w:name w:val="TableTitle"/>
    <w:basedOn w:val="Para"/>
    <w:next w:val="Para"/>
    <w:qFormat/>
    <w:pPr>
      <w:keepNext/>
      <w:spacing w:after="120"/>
    </w:pPr>
  </w:style>
  <w:style w:type="paragraph" w:customStyle="1" w:styleId="Pa4">
    <w:name w:val="Pa4"/>
    <w:basedOn w:val="Default"/>
    <w:next w:val="Default"/>
    <w:uiPriority w:val="99"/>
    <w:pPr>
      <w:spacing w:line="241" w:lineRule="atLeast"/>
    </w:pPr>
    <w:rPr>
      <w:color w:val="auto"/>
    </w:rPr>
  </w:style>
  <w:style w:type="paragraph" w:customStyle="1" w:styleId="TableHeader">
    <w:name w:val="TableHeader"/>
    <w:basedOn w:val="Para"/>
    <w:qFormat/>
    <w:pPr>
      <w:spacing w:after="100" w:afterAutospacing="1" w:line="200" w:lineRule="exact"/>
      <w:jc w:val="center"/>
    </w:pPr>
    <w:rPr>
      <w:bCs/>
      <w:sz w:val="16"/>
    </w:rPr>
  </w:style>
  <w:style w:type="paragraph" w:customStyle="1" w:styleId="Pa15">
    <w:name w:val="Pa15"/>
    <w:basedOn w:val="Default"/>
    <w:next w:val="Default"/>
    <w:uiPriority w:val="99"/>
    <w:pPr>
      <w:spacing w:line="22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TableCell">
    <w:name w:val="TableCell"/>
    <w:basedOn w:val="TableHeader"/>
    <w:qFormat/>
    <w:rPr>
      <w:sz w:val="18"/>
    </w:rPr>
  </w:style>
  <w:style w:type="paragraph" w:customStyle="1" w:styleId="Pa16">
    <w:name w:val="Pa16"/>
    <w:basedOn w:val="Default"/>
    <w:next w:val="Default"/>
    <w:uiPriority w:val="99"/>
    <w:pPr>
      <w:spacing w:line="221" w:lineRule="atLeast"/>
    </w:pPr>
    <w:rPr>
      <w:color w:val="auto"/>
    </w:rPr>
  </w:style>
  <w:style w:type="paragraph" w:customStyle="1" w:styleId="TableCellRight">
    <w:name w:val="TableCellRight"/>
    <w:basedOn w:val="TableCell"/>
    <w:qFormat/>
    <w:pPr>
      <w:jc w:val="right"/>
    </w:pPr>
  </w:style>
  <w:style w:type="paragraph" w:customStyle="1" w:styleId="TableCellLeft">
    <w:name w:val="TableCellLeft"/>
    <w:basedOn w:val="TableCell"/>
    <w:qFormat/>
    <w:pPr>
      <w:jc w:val="left"/>
    </w:pPr>
  </w:style>
  <w:style w:type="paragraph" w:customStyle="1" w:styleId="TableGrNotes">
    <w:name w:val="TableGrNotes"/>
    <w:basedOn w:val="Para"/>
    <w:qFormat/>
    <w:pPr>
      <w:spacing w:after="0" w:line="180" w:lineRule="exact"/>
      <w:ind w:left="280" w:hanging="280"/>
    </w:pPr>
    <w:rPr>
      <w:sz w:val="16"/>
    </w:rPr>
  </w:style>
  <w:style w:type="paragraph" w:customStyle="1" w:styleId="NormalSmall">
    <w:name w:val="NormalSmall"/>
    <w:basedOn w:val="Normal"/>
    <w:qFormat/>
    <w:pPr>
      <w:spacing w:after="120" w:line="200" w:lineRule="exact"/>
    </w:pPr>
    <w:rPr>
      <w:sz w:val="16"/>
    </w:rPr>
  </w:style>
  <w:style w:type="paragraph" w:customStyle="1" w:styleId="TIART">
    <w:name w:val="TIART"/>
    <w:basedOn w:val="Para"/>
    <w:qFormat/>
    <w:pPr>
      <w:keepNext/>
      <w:keepLines/>
      <w:suppressAutoHyphens/>
      <w:jc w:val="center"/>
    </w:pPr>
    <w:rPr>
      <w:i/>
    </w:rPr>
  </w:style>
  <w:style w:type="paragraph" w:customStyle="1" w:styleId="STIART">
    <w:name w:val="STIART"/>
    <w:basedOn w:val="Para"/>
    <w:qFormat/>
    <w:pPr>
      <w:keepNext/>
      <w:keepLines/>
      <w:suppressAutoHyphens/>
      <w:jc w:val="center"/>
    </w:pPr>
    <w:rPr>
      <w:b/>
    </w:rPr>
  </w:style>
  <w:style w:type="paragraph" w:customStyle="1" w:styleId="Final">
    <w:name w:val="Final"/>
    <w:basedOn w:val="Para"/>
    <w:qFormat/>
    <w:pPr>
      <w:ind w:left="547" w:right="547"/>
    </w:pPr>
  </w:style>
  <w:style w:type="paragraph" w:customStyle="1" w:styleId="AnnexTI">
    <w:name w:val="AnnexTI"/>
    <w:basedOn w:val="ParaSmall"/>
    <w:qFormat/>
    <w:pPr>
      <w:keepNext/>
      <w:keepLines/>
      <w:suppressAutoHyphens/>
      <w:jc w:val="center"/>
    </w:pPr>
    <w:rPr>
      <w:i/>
    </w:rPr>
  </w:style>
  <w:style w:type="paragraph" w:customStyle="1" w:styleId="AnnexSTI">
    <w:name w:val="AnnexSTI"/>
    <w:basedOn w:val="Para"/>
    <w:qFormat/>
    <w:pPr>
      <w:keepNext/>
      <w:keepLines/>
      <w:suppressAutoHyphens/>
      <w:spacing w:after="400"/>
      <w:jc w:val="center"/>
    </w:pPr>
    <w:rPr>
      <w:b/>
    </w:rPr>
  </w:style>
  <w:style w:type="paragraph" w:customStyle="1" w:styleId="SmallNumberedText">
    <w:name w:val="SmallNumberedText"/>
    <w:basedOn w:val="ParaSmall"/>
    <w:qFormat/>
    <w:pPr>
      <w:ind w:left="280" w:hanging="280"/>
    </w:pPr>
  </w:style>
  <w:style w:type="paragraph" w:customStyle="1" w:styleId="QuoteStart">
    <w:name w:val="QuoteStart"/>
    <w:basedOn w:val="NumberedText"/>
    <w:qFormat/>
    <w:pPr>
      <w:spacing w:after="100" w:afterAutospacing="1"/>
      <w:ind w:left="0" w:firstLine="0"/>
    </w:pPr>
    <w:rPr>
      <w:i/>
    </w:rPr>
  </w:style>
  <w:style w:type="character" w:styleId="Hyperkobling">
    <w:name w:val="Hyperlink"/>
    <w:basedOn w:val="Standardskriftforavsnitt"/>
    <w:uiPriority w:val="99"/>
    <w:unhideWhenUsed/>
    <w:rPr>
      <w:color w:val="0000FF" w:themeColor="hyperlink"/>
      <w:u w:val="none"/>
    </w:rPr>
  </w:style>
  <w:style w:type="paragraph" w:customStyle="1" w:styleId="SNF">
    <w:name w:val="SNF"/>
    <w:basedOn w:val="Para"/>
    <w:qFormat/>
    <w:rPr>
      <w:color w:val="FF0000"/>
    </w:rPr>
  </w:style>
  <w:style w:type="paragraph" w:customStyle="1" w:styleId="QuoteFootnoteRule">
    <w:name w:val="QuoteFootnoteRule"/>
    <w:basedOn w:val="Para"/>
    <w:qFormat/>
    <w:pPr>
      <w:keepNext/>
      <w:keepLines/>
      <w:pBdr>
        <w:bottom w:val="single" w:sz="4" w:space="1" w:color="auto"/>
      </w:pBdr>
      <w:spacing w:after="0" w:line="180" w:lineRule="exact"/>
      <w:ind w:right="8226"/>
    </w:pPr>
  </w:style>
  <w:style w:type="character" w:styleId="Merknadsreferanse">
    <w:name w:val="annotation reference"/>
    <w:basedOn w:val="Standardskriftforavsnitt"/>
    <w:uiPriority w:val="99"/>
    <w:semiHidden/>
    <w:unhideWhenUsed/>
    <w:rPr>
      <w:sz w:val="16"/>
      <w:szCs w:val="1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Pr>
      <w:b/>
      <w:bCs/>
    </w:rPr>
  </w:style>
  <w:style w:type="character" w:customStyle="1" w:styleId="KommentaremneTegn">
    <w:name w:val="Kommentaremne Tegn"/>
    <w:basedOn w:val="MerknadstekstTegn"/>
    <w:link w:val="Kommentaremne"/>
    <w:uiPriority w:val="99"/>
    <w:semiHidden/>
    <w:rPr>
      <w:rFonts w:ascii="Times New Roman" w:hAnsi="Times New Roman"/>
      <w:b/>
      <w:bCs/>
      <w:sz w:val="20"/>
      <w:szCs w:val="20"/>
    </w:rPr>
  </w:style>
  <w:style w:type="paragraph" w:styleId="Revisjon">
    <w:name w:val="Revision"/>
    <w:hidden/>
    <w:uiPriority w:val="99"/>
    <w:semiHidden/>
    <w:pPr>
      <w:spacing w:after="0" w:line="240" w:lineRule="auto"/>
    </w:pPr>
    <w:rPr>
      <w:rFonts w:ascii="Times New Roman" w:hAnsi="Times New Roman"/>
      <w:sz w:val="18"/>
    </w:rPr>
  </w:style>
  <w:style w:type="paragraph" w:styleId="Bobletekst">
    <w:name w:val="Balloon Text"/>
    <w:basedOn w:val="Normal"/>
    <w:link w:val="BobletekstTegn"/>
    <w:uiPriority w:val="99"/>
    <w:semiHidden/>
    <w:unhideWhenUs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paragraph" w:customStyle="1" w:styleId="Consid">
    <w:name w:val="Consid"/>
    <w:basedOn w:val="Para"/>
    <w:qFormat/>
    <w:pPr>
      <w:ind w:left="540" w:hanging="540"/>
    </w:pPr>
  </w:style>
  <w:style w:type="paragraph" w:customStyle="1" w:styleId="ConsidWithoutNumber">
    <w:name w:val="ConsidWithoutNumber"/>
    <w:basedOn w:val="Consid"/>
    <w:qFormat/>
    <w:pPr>
      <w:ind w:left="0" w:firstLine="0"/>
    </w:pPr>
  </w:style>
  <w:style w:type="paragraph" w:customStyle="1" w:styleId="Alinea">
    <w:name w:val="Alinea"/>
    <w:basedOn w:val="Para"/>
    <w:qFormat/>
  </w:style>
  <w:style w:type="paragraph" w:customStyle="1" w:styleId="AlineaWithParag">
    <w:name w:val="AlineaWithParag"/>
    <w:basedOn w:val="Para"/>
    <w:qFormat/>
    <w:pPr>
      <w:tabs>
        <w:tab w:val="left" w:pos="400"/>
      </w:tabs>
    </w:pPr>
  </w:style>
  <w:style w:type="paragraph" w:customStyle="1" w:styleId="SignatoryItalic">
    <w:name w:val="SignatoryItalic"/>
    <w:basedOn w:val="Para"/>
    <w:qFormat/>
    <w:pPr>
      <w:spacing w:after="60"/>
      <w:jc w:val="center"/>
    </w:pPr>
    <w:rPr>
      <w:i/>
    </w:rPr>
  </w:style>
  <w:style w:type="paragraph" w:customStyle="1" w:styleId="Signatory">
    <w:name w:val="Signatory"/>
    <w:basedOn w:val="Para"/>
    <w:qFormat/>
    <w:pPr>
      <w:keepNext/>
      <w:keepLines/>
      <w:suppressAutoHyphens/>
      <w:spacing w:after="60"/>
      <w:jc w:val="center"/>
    </w:pPr>
  </w:style>
  <w:style w:type="paragraph" w:customStyle="1" w:styleId="TIARTquoted">
    <w:name w:val="TIART_quoted"/>
    <w:basedOn w:val="TIART"/>
    <w:qFormat/>
    <w:pPr>
      <w:jc w:val="left"/>
    </w:pPr>
  </w:style>
  <w:style w:type="paragraph" w:customStyle="1" w:styleId="STIARTquoted">
    <w:name w:val="STIART_quoted"/>
    <w:basedOn w:val="STIART"/>
    <w:qFormat/>
    <w:pPr>
      <w:jc w:val="left"/>
    </w:pPr>
  </w:style>
  <w:style w:type="paragraph" w:customStyle="1" w:styleId="MainTitleRoman">
    <w:name w:val="MainTitleRoman"/>
    <w:basedOn w:val="MainTitle"/>
    <w:qFormat/>
    <w:rPr>
      <w:b w:val="0"/>
    </w:rPr>
  </w:style>
  <w:style w:type="paragraph" w:customStyle="1" w:styleId="MainTitleSmall">
    <w:name w:val="MainTitleSmall"/>
    <w:basedOn w:val="MainTitle"/>
    <w:qFormat/>
    <w:pPr>
      <w:spacing w:line="200" w:lineRule="exact"/>
    </w:pPr>
    <w:rPr>
      <w:sz w:val="16"/>
    </w:rPr>
  </w:style>
  <w:style w:type="paragraph" w:customStyle="1" w:styleId="MainTitleRomanSmall">
    <w:name w:val="MainTitleRomanSmall"/>
    <w:basedOn w:val="MainTitleSmall"/>
    <w:qFormat/>
    <w:rPr>
      <w:b w:val="0"/>
    </w:rPr>
  </w:style>
  <w:style w:type="paragraph" w:customStyle="1" w:styleId="Formula">
    <w:name w:val="Formula"/>
    <w:basedOn w:val="Para"/>
    <w:qFormat/>
    <w:pPr>
      <w:spacing w:line="240" w:lineRule="auto"/>
    </w:pPr>
    <w:rPr>
      <w:rFonts w:ascii="Cambria Math" w:hAnsi="Cambria Math"/>
    </w:rPr>
  </w:style>
  <w:style w:type="paragraph" w:customStyle="1" w:styleId="FormulaSmall">
    <w:name w:val="FormulaSmall"/>
    <w:basedOn w:val="Formula"/>
    <w:qFormat/>
    <w:rPr>
      <w:rFonts w:eastAsiaTheme="minorEastAsia"/>
      <w:sz w:val="16"/>
    </w:rPr>
  </w:style>
  <w:style w:type="table" w:customStyle="1" w:styleId="EFTATable">
    <w:name w:val="EFTATable"/>
    <w:basedOn w:val="Vanligtabell"/>
    <w:uiPriority w:val="99"/>
    <w:pPr>
      <w:spacing w:after="0" w:line="200" w:lineRule="exact"/>
    </w:pPr>
    <w:rPr>
      <w:rFonts w:ascii="Times New Roman" w:hAnsi="Times New Roman"/>
      <w:sz w:val="16"/>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pPr>
      <w:spacing w:after="120"/>
    </w:pPr>
  </w:style>
  <w:style w:type="paragraph" w:customStyle="1" w:styleId="TableGrAnnotations">
    <w:name w:val="TableGrAnnotations"/>
    <w:basedOn w:val="ParaSmall"/>
    <w:qFormat/>
    <w:pPr>
      <w:spacing w:after="0" w:line="180" w:lineRule="exact"/>
    </w:pPr>
    <w:rPr>
      <w:sz w:val="14"/>
    </w:rPr>
  </w:style>
  <w:style w:type="paragraph" w:customStyle="1" w:styleId="FigureTI">
    <w:name w:val="FigureTI"/>
    <w:basedOn w:val="Para"/>
    <w:qFormat/>
    <w:pPr>
      <w:keepNext/>
      <w:keepLines/>
      <w:suppressAutoHyphens/>
      <w:jc w:val="center"/>
    </w:pPr>
    <w:rPr>
      <w:i/>
    </w:rPr>
  </w:style>
  <w:style w:type="paragraph" w:customStyle="1" w:styleId="FigureSTI">
    <w:name w:val="FigureSTI"/>
    <w:basedOn w:val="Para"/>
    <w:qFormat/>
    <w:pPr>
      <w:keepNext/>
      <w:keepLines/>
      <w:suppressAutoHyphens/>
      <w:jc w:val="center"/>
    </w:pPr>
    <w:rPr>
      <w:b/>
    </w:rPr>
  </w:style>
  <w:style w:type="paragraph" w:customStyle="1" w:styleId="FigureTISmall">
    <w:name w:val="FigureTISmall"/>
    <w:basedOn w:val="ParaSmall"/>
    <w:qFormat/>
    <w:pPr>
      <w:keepNext/>
      <w:keepLines/>
      <w:suppressAutoHyphens/>
      <w:jc w:val="center"/>
    </w:pPr>
    <w:rPr>
      <w:i/>
    </w:rPr>
  </w:style>
  <w:style w:type="paragraph" w:customStyle="1" w:styleId="FigureSTISmall">
    <w:name w:val="FigureSTISmall"/>
    <w:basedOn w:val="ParaSmall"/>
    <w:qFormat/>
    <w:pPr>
      <w:keepNext/>
      <w:keepLines/>
      <w:suppressAutoHyphens/>
      <w:jc w:val="center"/>
    </w:pPr>
    <w:rPr>
      <w:b/>
    </w:rPr>
  </w:style>
  <w:style w:type="paragraph" w:customStyle="1" w:styleId="AnnexNumberedText">
    <w:name w:val="AnnexNumberedText"/>
    <w:basedOn w:val="AnnexNormal"/>
    <w:qFormat/>
    <w:pPr>
      <w:spacing w:after="120"/>
      <w:ind w:left="280" w:hanging="280"/>
    </w:pPr>
  </w:style>
  <w:style w:type="paragraph" w:customStyle="1" w:styleId="AnnexNormal">
    <w:name w:val="AnnexNormal"/>
    <w:basedOn w:val="Para"/>
    <w:qFormat/>
  </w:style>
  <w:style w:type="paragraph" w:customStyle="1" w:styleId="AnnexGrSeq4">
    <w:name w:val="AnnexGrSeq4"/>
    <w:basedOn w:val="ParaSmall"/>
    <w:qFormat/>
    <w:pPr>
      <w:keepNext/>
      <w:keepLines/>
      <w:suppressAutoHyphens/>
      <w:jc w:val="center"/>
    </w:pPr>
  </w:style>
  <w:style w:type="paragraph" w:customStyle="1" w:styleId="AnnexTableCellLeft">
    <w:name w:val="AnnexTableCellLeft"/>
    <w:basedOn w:val="Para"/>
    <w:qFormat/>
    <w:pPr>
      <w:spacing w:after="0"/>
    </w:pPr>
  </w:style>
  <w:style w:type="paragraph" w:customStyle="1" w:styleId="AnnexTableHeader">
    <w:name w:val="AnnexTableHeader"/>
    <w:basedOn w:val="Para"/>
    <w:qFormat/>
    <w:pPr>
      <w:spacing w:after="0"/>
      <w:jc w:val="center"/>
    </w:pPr>
    <w:rPr>
      <w:sz w:val="16"/>
    </w:rPr>
  </w:style>
  <w:style w:type="paragraph" w:customStyle="1" w:styleId="AnnexTableGrNotes">
    <w:name w:val="AnnexTableGrNotes"/>
    <w:basedOn w:val="Para"/>
    <w:qFormat/>
    <w:pPr>
      <w:spacing w:after="0" w:line="220" w:lineRule="exact"/>
      <w:ind w:left="280" w:hanging="280"/>
    </w:pPr>
    <w:rPr>
      <w:sz w:val="16"/>
    </w:rPr>
  </w:style>
  <w:style w:type="paragraph" w:customStyle="1" w:styleId="AnnexTableGrAnnotations">
    <w:name w:val="AnnexTableGrAnnotations"/>
    <w:basedOn w:val="AnnexTableGrNotes"/>
    <w:qFormat/>
    <w:pPr>
      <w:ind w:left="0" w:firstLine="0"/>
    </w:pPr>
  </w:style>
  <w:style w:type="paragraph" w:customStyle="1" w:styleId="AnnexTableCell">
    <w:name w:val="AnnexTableCell"/>
    <w:basedOn w:val="Para"/>
    <w:qFormat/>
    <w:pPr>
      <w:spacing w:after="0"/>
      <w:jc w:val="center"/>
    </w:pPr>
  </w:style>
  <w:style w:type="paragraph" w:customStyle="1" w:styleId="Style1">
    <w:name w:val="Style1"/>
    <w:basedOn w:val="AnnexTableCell"/>
    <w:qFormat/>
  </w:style>
  <w:style w:type="paragraph" w:customStyle="1" w:styleId="AnnexTableCellRight">
    <w:name w:val="AnnexTableCellRight"/>
    <w:basedOn w:val="AnnexTableCell"/>
    <w:qFormat/>
    <w:pPr>
      <w:jc w:val="right"/>
    </w:pPr>
  </w:style>
  <w:style w:type="paragraph" w:customStyle="1" w:styleId="AnnexGrSeq1">
    <w:name w:val="AnnexGrSeq1"/>
    <w:basedOn w:val="ParaSmall"/>
    <w:qFormat/>
    <w:pPr>
      <w:keepNext/>
      <w:keepLines/>
      <w:suppressAutoHyphens/>
      <w:jc w:val="center"/>
    </w:pPr>
  </w:style>
  <w:style w:type="paragraph" w:customStyle="1" w:styleId="AnnexGrSeq2">
    <w:name w:val="AnnexGrSeq2"/>
    <w:basedOn w:val="AnnexGrSeq1"/>
    <w:qFormat/>
    <w:pPr>
      <w:spacing w:line="240" w:lineRule="exact"/>
    </w:pPr>
    <w:rPr>
      <w:sz w:val="18"/>
    </w:rPr>
  </w:style>
  <w:style w:type="paragraph" w:customStyle="1" w:styleId="AnnexGrSeq3">
    <w:name w:val="AnnexGrSeq3"/>
    <w:basedOn w:val="AnnexGrSeq2"/>
    <w:qFormat/>
  </w:style>
  <w:style w:type="paragraph" w:customStyle="1" w:styleId="AnnexAlinea">
    <w:name w:val="AnnexAlinea"/>
    <w:basedOn w:val="ParaSmall"/>
    <w:qFormat/>
  </w:style>
  <w:style w:type="paragraph" w:customStyle="1" w:styleId="AnnexAlineaWithParag">
    <w:name w:val="AnnexAlineaWithParag"/>
    <w:basedOn w:val="AnnexNormal"/>
    <w:qFormat/>
    <w:pPr>
      <w:tabs>
        <w:tab w:val="left" w:pos="400"/>
      </w:tabs>
    </w:pPr>
  </w:style>
  <w:style w:type="paragraph" w:customStyle="1" w:styleId="AnnexTIART">
    <w:name w:val="AnnexTIART"/>
    <w:basedOn w:val="ParaSmall"/>
    <w:qFormat/>
    <w:pPr>
      <w:keepNext/>
      <w:keepLines/>
      <w:suppressAutoHyphens/>
      <w:jc w:val="center"/>
    </w:pPr>
    <w:rPr>
      <w:i/>
    </w:rPr>
  </w:style>
  <w:style w:type="paragraph" w:customStyle="1" w:styleId="AnnexSTIART">
    <w:name w:val="AnnexSTIART"/>
    <w:basedOn w:val="AnnexTIART"/>
    <w:qFormat/>
    <w:rPr>
      <w:b/>
      <w:i w:val="0"/>
    </w:rPr>
  </w:style>
  <w:style w:type="paragraph" w:customStyle="1" w:styleId="AnnexDivisionTI">
    <w:name w:val="AnnexDivisionTI"/>
    <w:basedOn w:val="ParaSmall"/>
    <w:qFormat/>
    <w:pPr>
      <w:keepNext/>
      <w:keepLines/>
      <w:suppressAutoHyphens/>
      <w:jc w:val="center"/>
    </w:pPr>
  </w:style>
  <w:style w:type="paragraph" w:customStyle="1" w:styleId="AnnexDivisionSTI">
    <w:name w:val="AnnexDivisionSTI"/>
    <w:basedOn w:val="ParaSmall"/>
    <w:qFormat/>
    <w:pPr>
      <w:keepNext/>
      <w:keepLines/>
      <w:suppressAutoHyphens/>
      <w:jc w:val="center"/>
    </w:pPr>
  </w:style>
  <w:style w:type="paragraph" w:customStyle="1" w:styleId="DivConsidTIlt51">
    <w:name w:val="DivConsidTIlt51"/>
    <w:basedOn w:val="Para"/>
    <w:qFormat/>
    <w:pPr>
      <w:keepNext/>
      <w:keepLines/>
      <w:suppressAutoHyphens/>
      <w:jc w:val="center"/>
    </w:pPr>
    <w:rPr>
      <w:caps/>
      <w:sz w:val="16"/>
    </w:rPr>
  </w:style>
  <w:style w:type="paragraph" w:customStyle="1" w:styleId="DivConsidSTIlt51">
    <w:name w:val="DivConsidSTIlt51"/>
    <w:basedOn w:val="Para"/>
    <w:qFormat/>
    <w:pPr>
      <w:keepNext/>
      <w:keepLines/>
      <w:suppressAutoHyphens/>
      <w:jc w:val="center"/>
    </w:pPr>
    <w:rPr>
      <w:b/>
    </w:rPr>
  </w:style>
  <w:style w:type="paragraph" w:customStyle="1" w:styleId="AnnexFigureSTI">
    <w:name w:val="AnnexFigureSTI"/>
    <w:basedOn w:val="ParaSmall"/>
    <w:qFormat/>
    <w:pPr>
      <w:keepNext/>
      <w:keepLines/>
      <w:suppressAutoHyphens/>
      <w:jc w:val="center"/>
    </w:pPr>
    <w:rPr>
      <w:b/>
    </w:rPr>
  </w:style>
  <w:style w:type="paragraph" w:customStyle="1" w:styleId="AnnexFigureTI">
    <w:name w:val="AnnexFigureTI"/>
    <w:basedOn w:val="ParaSmall"/>
    <w:qFormat/>
    <w:pPr>
      <w:keepNext/>
      <w:keepLines/>
      <w:suppressAutoHyphens/>
      <w:jc w:val="center"/>
    </w:pPr>
    <w:rPr>
      <w:i/>
    </w:rPr>
  </w:style>
  <w:style w:type="paragraph" w:customStyle="1" w:styleId="Para">
    <w:name w:val="Para"/>
    <w:qFormat/>
    <w:pPr>
      <w:spacing w:line="240" w:lineRule="exact"/>
      <w:jc w:val="both"/>
    </w:pPr>
    <w:rPr>
      <w:rFonts w:ascii="Times New Roman" w:hAnsi="Times New Roman"/>
      <w:sz w:val="18"/>
      <w14:ligatures w14:val="standard"/>
    </w:rPr>
  </w:style>
  <w:style w:type="paragraph" w:customStyle="1" w:styleId="ParaSmall">
    <w:name w:val="ParaSmall"/>
    <w:basedOn w:val="Para"/>
    <w:qFormat/>
    <w:pPr>
      <w:spacing w:line="200" w:lineRule="exact"/>
    </w:pPr>
    <w:rPr>
      <w:sz w:val="16"/>
    </w:rPr>
  </w:style>
  <w:style w:type="paragraph" w:styleId="Sitat">
    <w:name w:val="Quote"/>
    <w:basedOn w:val="Para"/>
    <w:next w:val="Para"/>
    <w:link w:val="SitatTegn"/>
    <w:uiPriority w:val="29"/>
    <w:qFormat/>
    <w:rPr>
      <w:i/>
      <w:iCs/>
      <w:color w:val="000000" w:themeColor="text1"/>
    </w:rPr>
  </w:style>
  <w:style w:type="character" w:customStyle="1" w:styleId="SitatTegn">
    <w:name w:val="Sitat Tegn"/>
    <w:basedOn w:val="Standardskriftforavsnitt"/>
    <w:link w:val="Sitat"/>
    <w:uiPriority w:val="29"/>
    <w:rPr>
      <w:rFonts w:ascii="Times New Roman" w:hAnsi="Times New Roman"/>
      <w:i/>
      <w:iCs/>
      <w:color w:val="000000" w:themeColor="text1"/>
      <w:sz w:val="18"/>
      <w14:ligatures w14:val="standard"/>
    </w:rPr>
  </w:style>
  <w:style w:type="paragraph" w:customStyle="1" w:styleId="SequenceNumber">
    <w:name w:val="SequenceNumber"/>
    <w:basedOn w:val="Para"/>
    <w:qFormat/>
    <w:pPr>
      <w:jc w:val="right"/>
    </w:pPr>
    <w:rPr>
      <w:b/>
    </w:rPr>
  </w:style>
  <w:style w:type="paragraph" w:customStyle="1" w:styleId="SignatorySmall">
    <w:name w:val="SignatorySmall"/>
    <w:basedOn w:val="ParaSmall"/>
    <w:qFormat/>
    <w:pPr>
      <w:spacing w:after="60"/>
      <w:jc w:val="center"/>
    </w:pPr>
  </w:style>
  <w:style w:type="paragraph" w:customStyle="1" w:styleId="SignatoryItalicSmall">
    <w:name w:val="SignatoryItalicSmall"/>
    <w:basedOn w:val="SignatorySmall"/>
    <w:qFormat/>
    <w:rPr>
      <w:i/>
    </w:rPr>
  </w:style>
  <w:style w:type="paragraph" w:customStyle="1" w:styleId="GrSeq5">
    <w:name w:val="GrSeq5"/>
    <w:basedOn w:val="GrSeq1"/>
    <w:qFormat/>
    <w:rPr>
      <w:b w:val="0"/>
    </w:rPr>
  </w:style>
  <w:style w:type="paragraph" w:customStyle="1" w:styleId="GrSeq6">
    <w:name w:val="GrSeq6"/>
    <w:basedOn w:val="GrSeq5"/>
    <w:qFormat/>
  </w:style>
  <w:style w:type="paragraph" w:customStyle="1" w:styleId="GrSeq7">
    <w:name w:val="GrSeq7"/>
    <w:basedOn w:val="GrSeq6"/>
    <w:qFormat/>
  </w:style>
  <w:style w:type="paragraph" w:customStyle="1" w:styleId="AnnexGrSeq5">
    <w:name w:val="AnnexGrSeq5"/>
    <w:basedOn w:val="AnnexGrSeq4"/>
    <w:qFormat/>
    <w:pPr>
      <w:spacing w:line="240" w:lineRule="exact"/>
    </w:pPr>
    <w:rPr>
      <w:sz w:val="18"/>
    </w:rPr>
  </w:style>
  <w:style w:type="paragraph" w:customStyle="1" w:styleId="AnnexGrSeq6">
    <w:name w:val="AnnexGrSeq6"/>
    <w:basedOn w:val="AnnexGrSeq5"/>
    <w:qFormat/>
  </w:style>
  <w:style w:type="paragraph" w:customStyle="1" w:styleId="AnnexGrSeq7">
    <w:name w:val="AnnexGrSeq7"/>
    <w:basedOn w:val="AnnexGrSeq6"/>
    <w:qFormat/>
  </w:style>
  <w:style w:type="paragraph" w:customStyle="1" w:styleId="AnnexQuoteFootnoteRule">
    <w:name w:val="AnnexQuoteFootnoteRule"/>
    <w:basedOn w:val="AnnexNormal"/>
    <w:qFormat/>
    <w:pPr>
      <w:pBdr>
        <w:bottom w:val="single" w:sz="4" w:space="1" w:color="auto"/>
      </w:pBdr>
      <w:spacing w:after="0"/>
      <w:ind w:right="7500"/>
    </w:pPr>
  </w:style>
  <w:style w:type="paragraph" w:customStyle="1" w:styleId="RotatedHeader">
    <w:name w:val="RotatedHeader"/>
    <w:basedOn w:val="Topptekst"/>
    <w:qFormat/>
    <w:pPr>
      <w:pBdr>
        <w:bottom w:val="single" w:sz="4" w:space="6" w:color="auto"/>
      </w:pBdr>
      <w:tabs>
        <w:tab w:val="center" w:pos="4848"/>
        <w:tab w:val="right" w:pos="9611"/>
      </w:tabs>
      <w:spacing w:after="120"/>
    </w:pPr>
  </w:style>
  <w:style w:type="paragraph" w:customStyle="1" w:styleId="DivConsidTIlt52">
    <w:name w:val="DivConsidTIlt52"/>
    <w:basedOn w:val="Para"/>
    <w:qFormat/>
    <w:pPr>
      <w:keepNext/>
      <w:keepLines/>
      <w:suppressAutoHyphens/>
      <w:jc w:val="center"/>
    </w:pPr>
    <w:rPr>
      <w:caps/>
      <w:sz w:val="16"/>
    </w:rPr>
  </w:style>
  <w:style w:type="paragraph" w:customStyle="1" w:styleId="DivConsidSTIlt52">
    <w:name w:val="DivConsidSTIlt52"/>
    <w:basedOn w:val="Para"/>
    <w:qFormat/>
    <w:pPr>
      <w:keepNext/>
      <w:suppressAutoHyphens/>
      <w:jc w:val="center"/>
    </w:pPr>
    <w:rPr>
      <w:b/>
    </w:rPr>
  </w:style>
  <w:style w:type="paragraph" w:customStyle="1" w:styleId="DivConsidTIlt53">
    <w:name w:val="DivConsidTIlt53"/>
    <w:basedOn w:val="Para"/>
    <w:qFormat/>
    <w:pPr>
      <w:keepNext/>
      <w:keepLines/>
      <w:suppressAutoHyphens/>
      <w:jc w:val="left"/>
    </w:pPr>
  </w:style>
  <w:style w:type="paragraph" w:customStyle="1" w:styleId="DivConsidSTIlt53">
    <w:name w:val="DivConsidSTIlt53"/>
    <w:basedOn w:val="Para"/>
    <w:qFormat/>
    <w:pPr>
      <w:keepNext/>
      <w:keepLines/>
      <w:suppressAutoHyphens/>
      <w:jc w:val="left"/>
    </w:pPr>
  </w:style>
  <w:style w:type="paragraph" w:customStyle="1" w:styleId="DivConsidTIlt54">
    <w:name w:val="DivConsidTIlt54"/>
    <w:basedOn w:val="Para"/>
    <w:qFormat/>
    <w:pPr>
      <w:keepNext/>
      <w:keepLines/>
      <w:suppressAutoHyphens/>
      <w:jc w:val="left"/>
    </w:pPr>
  </w:style>
  <w:style w:type="paragraph" w:customStyle="1" w:styleId="DivConsidSTIlt54">
    <w:name w:val="DivConsidSTIlt54"/>
    <w:basedOn w:val="Para"/>
    <w:qFormat/>
    <w:pPr>
      <w:keepNext/>
      <w:keepLines/>
      <w:suppressAutoHyphens/>
      <w:jc w:val="left"/>
    </w:pPr>
  </w:style>
  <w:style w:type="paragraph" w:customStyle="1" w:styleId="DivConsidTIgt51">
    <w:name w:val="DivConsidTIgt51"/>
    <w:basedOn w:val="Para"/>
    <w:qFormat/>
    <w:pPr>
      <w:jc w:val="center"/>
    </w:pPr>
    <w:rPr>
      <w:caps/>
      <w:sz w:val="16"/>
    </w:rPr>
  </w:style>
  <w:style w:type="paragraph" w:customStyle="1" w:styleId="DivConsidSTIgt55">
    <w:name w:val="DivConsidSTIgt55"/>
    <w:basedOn w:val="Para"/>
    <w:qFormat/>
    <w:pPr>
      <w:jc w:val="left"/>
    </w:pPr>
  </w:style>
  <w:style w:type="paragraph" w:customStyle="1" w:styleId="DivConsidTIgt56">
    <w:name w:val="DivConsidTIgt56"/>
    <w:basedOn w:val="Para"/>
    <w:qFormat/>
    <w:pPr>
      <w:keepNext/>
      <w:keepLines/>
      <w:suppressAutoHyphens/>
      <w:jc w:val="left"/>
    </w:pPr>
  </w:style>
  <w:style w:type="paragraph" w:customStyle="1" w:styleId="DivConsidSTIgt56">
    <w:name w:val="DivConsidSTIgt56"/>
    <w:basedOn w:val="Para"/>
    <w:qFormat/>
    <w:pPr>
      <w:jc w:val="left"/>
    </w:pPr>
  </w:style>
  <w:style w:type="paragraph" w:customStyle="1" w:styleId="DivConsidTIgt57">
    <w:name w:val="DivConsidTIgt57"/>
    <w:basedOn w:val="DivConsidTIgt56"/>
    <w:qFormat/>
  </w:style>
  <w:style w:type="paragraph" w:customStyle="1" w:styleId="DivConsidSTIgt57">
    <w:name w:val="DivConsidSTIgt57"/>
    <w:basedOn w:val="DivConsidSTIgt56"/>
    <w:qFormat/>
  </w:style>
  <w:style w:type="paragraph" w:customStyle="1" w:styleId="DivConsidTIgt58">
    <w:name w:val="DivConsidTIgt58"/>
    <w:basedOn w:val="DivConsidTIgt57"/>
    <w:qFormat/>
  </w:style>
  <w:style w:type="paragraph" w:customStyle="1" w:styleId="DivConsidSTIgt58">
    <w:name w:val="DivConsidSTIgt58"/>
    <w:basedOn w:val="DivConsidSTIgt57"/>
    <w:qFormat/>
  </w:style>
  <w:style w:type="paragraph" w:customStyle="1" w:styleId="DivisionTI1">
    <w:name w:val="DivisionTI1"/>
    <w:basedOn w:val="Para"/>
    <w:qFormat/>
    <w:pPr>
      <w:keepNext/>
      <w:keepLines/>
      <w:suppressAutoHyphens/>
      <w:jc w:val="center"/>
    </w:pPr>
    <w:rPr>
      <w:caps/>
      <w:sz w:val="16"/>
    </w:rPr>
  </w:style>
  <w:style w:type="paragraph" w:customStyle="1" w:styleId="DivisionSTI1">
    <w:name w:val="DivisionSTI1"/>
    <w:basedOn w:val="Para"/>
    <w:qFormat/>
    <w:pPr>
      <w:keepNext/>
      <w:keepLines/>
      <w:suppressAutoHyphens/>
      <w:jc w:val="center"/>
    </w:pPr>
  </w:style>
  <w:style w:type="paragraph" w:customStyle="1" w:styleId="DivisionTI2">
    <w:name w:val="DivisionTI2"/>
    <w:basedOn w:val="Para"/>
    <w:qFormat/>
    <w:pPr>
      <w:keepNext/>
      <w:keepLines/>
      <w:suppressAutoHyphens/>
      <w:jc w:val="center"/>
    </w:pPr>
  </w:style>
  <w:style w:type="paragraph" w:customStyle="1" w:styleId="DivisionSTI2">
    <w:name w:val="DivisionSTI2"/>
    <w:basedOn w:val="Para"/>
    <w:qFormat/>
    <w:pPr>
      <w:keepNext/>
      <w:keepLines/>
      <w:suppressAutoHyphens/>
      <w:jc w:val="center"/>
    </w:pPr>
  </w:style>
  <w:style w:type="paragraph" w:customStyle="1" w:styleId="DivisionTI3">
    <w:name w:val="DivisionTI3"/>
    <w:basedOn w:val="Para"/>
    <w:qFormat/>
    <w:pPr>
      <w:keepNext/>
      <w:keepLines/>
      <w:suppressAutoHyphens/>
      <w:jc w:val="left"/>
    </w:pPr>
  </w:style>
  <w:style w:type="paragraph" w:customStyle="1" w:styleId="DivisionSTI3">
    <w:name w:val="DivisionSTI3"/>
    <w:basedOn w:val="Para"/>
    <w:qFormat/>
    <w:pPr>
      <w:keepNext/>
      <w:keepLines/>
      <w:suppressAutoHyphens/>
      <w:jc w:val="left"/>
    </w:pPr>
  </w:style>
  <w:style w:type="paragraph" w:customStyle="1" w:styleId="DivisionTI4">
    <w:name w:val="DivisionTI4"/>
    <w:basedOn w:val="DivisionTI3"/>
    <w:qFormat/>
  </w:style>
  <w:style w:type="paragraph" w:customStyle="1" w:styleId="DivisionSTI4">
    <w:name w:val="DivisionSTI4"/>
    <w:basedOn w:val="DivisionSTI3"/>
    <w:qFormat/>
  </w:style>
  <w:style w:type="paragraph" w:customStyle="1" w:styleId="DivisionTI5">
    <w:name w:val="DivisionTI5"/>
    <w:basedOn w:val="DivisionTI4"/>
    <w:qFormat/>
  </w:style>
  <w:style w:type="paragraph" w:customStyle="1" w:styleId="DivisionSTI5">
    <w:name w:val="DivisionSTI5"/>
    <w:basedOn w:val="DivisionSTI4"/>
    <w:qFormat/>
  </w:style>
  <w:style w:type="paragraph" w:customStyle="1" w:styleId="DivisionTI6">
    <w:name w:val="DivisionTI6"/>
    <w:basedOn w:val="DivisionTI5"/>
    <w:qFormat/>
  </w:style>
  <w:style w:type="paragraph" w:customStyle="1" w:styleId="DivisionSTI6">
    <w:name w:val="DivisionSTI6"/>
    <w:basedOn w:val="DivisionSTI5"/>
    <w:qFormat/>
  </w:style>
  <w:style w:type="paragraph" w:customStyle="1" w:styleId="DivisionTI7">
    <w:name w:val="DivisionTI7"/>
    <w:basedOn w:val="DivisionTI6"/>
    <w:qFormat/>
  </w:style>
  <w:style w:type="paragraph" w:customStyle="1" w:styleId="DivisionSTI7">
    <w:name w:val="DivisionSTI7"/>
    <w:basedOn w:val="DivisionSTI6"/>
    <w:qFormat/>
  </w:style>
  <w:style w:type="paragraph" w:customStyle="1" w:styleId="DivisionTI8">
    <w:name w:val="DivisionTI8"/>
    <w:basedOn w:val="DivisionTI7"/>
    <w:qFormat/>
  </w:style>
  <w:style w:type="paragraph" w:customStyle="1" w:styleId="DivisionSTI8">
    <w:name w:val="DivisionSTI8"/>
    <w:basedOn w:val="DivisionSTI7"/>
    <w:qFormat/>
  </w:style>
  <w:style w:type="paragraph" w:customStyle="1" w:styleId="DivConsidSTIgt51">
    <w:name w:val="DivConsidSTIgt51"/>
    <w:basedOn w:val="DivConsidSTIgt55"/>
    <w:qFormat/>
    <w:pPr>
      <w:jc w:val="center"/>
    </w:pPr>
    <w:rPr>
      <w:sz w:val="16"/>
    </w:rPr>
  </w:style>
  <w:style w:type="paragraph" w:customStyle="1" w:styleId="DivConsidTIgt52">
    <w:name w:val="DivConsidTIgt52"/>
    <w:basedOn w:val="DivConsidTIgt51"/>
    <w:qFormat/>
  </w:style>
  <w:style w:type="paragraph" w:customStyle="1" w:styleId="DivConsidSTIgt52">
    <w:name w:val="DivConsidSTIgt52"/>
    <w:basedOn w:val="DivConsidSTIgt51"/>
    <w:qFormat/>
  </w:style>
  <w:style w:type="paragraph" w:customStyle="1" w:styleId="DivConsidTIgt53">
    <w:name w:val="DivConsidTIgt53"/>
    <w:basedOn w:val="DivConsidTIgt51"/>
    <w:qFormat/>
    <w:pPr>
      <w:jc w:val="left"/>
    </w:pPr>
  </w:style>
  <w:style w:type="paragraph" w:customStyle="1" w:styleId="DivConsidSTIgt53">
    <w:name w:val="DivConsidSTIgt53"/>
    <w:basedOn w:val="DivConsidSTIgt55"/>
    <w:qFormat/>
  </w:style>
  <w:style w:type="paragraph" w:customStyle="1" w:styleId="DivConsidTIgt54">
    <w:name w:val="DivConsidTIgt54"/>
    <w:basedOn w:val="DivConsidTIgt51"/>
    <w:qFormat/>
    <w:pPr>
      <w:jc w:val="left"/>
    </w:pPr>
    <w:rPr>
      <w:sz w:val="18"/>
    </w:rPr>
  </w:style>
  <w:style w:type="paragraph" w:customStyle="1" w:styleId="DivConsidSTIgt54">
    <w:name w:val="DivConsidSTIgt54"/>
    <w:basedOn w:val="DivConsidSTIgt55"/>
    <w:qFormat/>
  </w:style>
  <w:style w:type="paragraph" w:customStyle="1" w:styleId="DivConsidTIgt55">
    <w:name w:val="DivConsidTIgt55"/>
    <w:basedOn w:val="DivConsidTIgt51"/>
    <w:qFormat/>
    <w:pPr>
      <w:jc w:val="left"/>
    </w:pPr>
  </w:style>
  <w:style w:type="paragraph" w:customStyle="1" w:styleId="DivisionChapterTI1">
    <w:name w:val="DivisionChapterTI1"/>
    <w:basedOn w:val="Para"/>
    <w:qFormat/>
    <w:pPr>
      <w:keepNext/>
      <w:keepLines/>
      <w:suppressAutoHyphens/>
      <w:jc w:val="center"/>
    </w:pPr>
    <w:rPr>
      <w:caps/>
      <w:sz w:val="16"/>
    </w:rPr>
  </w:style>
  <w:style w:type="paragraph" w:customStyle="1" w:styleId="DivisionChapterSTI1">
    <w:name w:val="DivisionChapterSTI1"/>
    <w:basedOn w:val="Para"/>
    <w:qFormat/>
    <w:pPr>
      <w:keepNext/>
      <w:keepLines/>
      <w:suppressAutoHyphens/>
      <w:jc w:val="center"/>
    </w:pPr>
    <w:rPr>
      <w:b/>
      <w:caps/>
      <w:sz w:val="16"/>
    </w:rPr>
  </w:style>
  <w:style w:type="paragraph" w:customStyle="1" w:styleId="DivisionSectionTI1">
    <w:name w:val="DivisionSectionTI1"/>
    <w:basedOn w:val="Para"/>
    <w:qFormat/>
    <w:pPr>
      <w:keepNext/>
      <w:keepLines/>
      <w:suppressAutoHyphens/>
      <w:jc w:val="center"/>
    </w:pPr>
    <w:rPr>
      <w:caps/>
      <w:sz w:val="16"/>
    </w:rPr>
  </w:style>
  <w:style w:type="paragraph" w:customStyle="1" w:styleId="DivisionSectionSTI1">
    <w:name w:val="DivisionSectionSTI1"/>
    <w:basedOn w:val="Para"/>
    <w:qFormat/>
    <w:pPr>
      <w:jc w:val="center"/>
    </w:pPr>
    <w:rPr>
      <w:b/>
      <w:caps/>
      <w:sz w:val="16"/>
    </w:rPr>
  </w:style>
  <w:style w:type="character" w:styleId="Fulgthyperkobling">
    <w:name w:val="FollowedHyperlink"/>
    <w:basedOn w:val="Standardskriftforavsnitt"/>
    <w:uiPriority w:val="99"/>
    <w:semiHidden/>
    <w:unhideWhenUsed/>
    <w:rPr>
      <w:color w:val="0000FF"/>
      <w:u w:val="none"/>
    </w:rPr>
  </w:style>
  <w:style w:type="character" w:customStyle="1" w:styleId="Footnote8pt">
    <w:name w:val="Footnote8pt"/>
    <w:basedOn w:val="Standardskriftforavsnitt"/>
    <w:uiPriority w:val="1"/>
    <w:qFormat/>
    <w:rPr>
      <w:rFonts w:ascii="Times New Roman" w:hAnsi="Times New Roman"/>
      <w:color w:val="auto"/>
      <w:sz w:val="16"/>
      <w:lang w:val="nb-NO"/>
    </w:rPr>
  </w:style>
  <w:style w:type="character" w:customStyle="1" w:styleId="Footnote7pt">
    <w:name w:val="Footnote7pt"/>
    <w:basedOn w:val="Standardskriftforavsnitt"/>
    <w:uiPriority w:val="1"/>
    <w:qFormat/>
    <w:rPr>
      <w:rFonts w:ascii="Times New Roman" w:hAnsi="Times New Roman"/>
      <w:color w:val="auto"/>
      <w:sz w:val="14"/>
    </w:rPr>
  </w:style>
  <w:style w:type="paragraph" w:customStyle="1" w:styleId="Annex">
    <w:name w:val="Annex"/>
    <w:basedOn w:val="AnnexNormal"/>
    <w:qFormat/>
    <w:rsid w:val="00A65C9C"/>
  </w:style>
  <w:style w:type="paragraph" w:customStyle="1" w:styleId="EFTATableCellLeft">
    <w:name w:val="EFTATableCellLeft"/>
    <w:basedOn w:val="AnnexNormal"/>
    <w:qFormat/>
    <w:rsid w:val="00F31590"/>
    <w:pPr>
      <w:spacing w:after="0"/>
      <w:jc w:val="center"/>
    </w:pPr>
  </w:style>
  <w:style w:type="paragraph" w:customStyle="1" w:styleId="AnnexTableTitle">
    <w:name w:val="AnnexTableTitle"/>
    <w:basedOn w:val="AnnexNormal"/>
    <w:qFormat/>
    <w:rsid w:val="00F31590"/>
    <w:pPr>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2D43-5B37-4038-B563-33DF0BDB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48</Pages>
  <Words>14766</Words>
  <Characters>78265</Characters>
  <Application>Microsoft Office Word</Application>
  <DocSecurity>0</DocSecurity>
  <Lines>652</Lines>
  <Paragraphs>185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92846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dc:creator>
  <cp:revision>238</cp:revision>
  <cp:lastPrinted>2025-09-12T12:25:00Z</cp:lastPrinted>
  <dcterms:created xsi:type="dcterms:W3CDTF">2016-11-02T11:36:00Z</dcterms:created>
  <dcterms:modified xsi:type="dcterms:W3CDTF">2025-09-29T13:34:00Z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lpwstr>XX.XX.XXXX</vt:lpwstr>
  </property>
  <property fmtid="{D5CDD505-2E9C-101B-9397-08002B2CF9AE}" pid="3" name="volume">
    <vt:lpwstr>XX</vt:lpwstr>
  </property>
  <property fmtid="{D5CDD505-2E9C-101B-9397-08002B2CF9AE}" pid="4" name="rhead">
    <vt:lpwstr>Header Title</vt:lpwstr>
  </property>
  <property fmtid="{D5CDD505-2E9C-101B-9397-08002B2CF9AE}" pid="5" name="producer">
    <vt:lpwstr>amplexor</vt:lpwstr>
  </property>
  <property fmtid="{D5CDD505-2E9C-101B-9397-08002B2CF9AE}" pid="6" name="issue_nr">
    <vt:lpwstr>23</vt:lpwstr>
  </property>
  <property fmtid="{D5CDD505-2E9C-101B-9397-08002B2CF9AE}" pid="7" name="MSIP_Label_b22f7043-6caf-4431-9109-8eff758a1d8b_Enabled">
    <vt:lpwstr>true</vt:lpwstr>
  </property>
  <property fmtid="{D5CDD505-2E9C-101B-9397-08002B2CF9AE}" pid="8" name="MSIP_Label_b22f7043-6caf-4431-9109-8eff758a1d8b_SetDate">
    <vt:lpwstr>2025-09-12T13:10:48Z</vt:lpwstr>
  </property>
  <property fmtid="{D5CDD505-2E9C-101B-9397-08002B2CF9AE}" pid="9" name="MSIP_Label_b22f7043-6caf-4431-9109-8eff758a1d8b_Method">
    <vt:lpwstr>Standard</vt:lpwstr>
  </property>
  <property fmtid="{D5CDD505-2E9C-101B-9397-08002B2CF9AE}" pid="10" name="MSIP_Label_b22f7043-6caf-4431-9109-8eff758a1d8b_Name">
    <vt:lpwstr>Intern (DSS)</vt:lpwstr>
  </property>
  <property fmtid="{D5CDD505-2E9C-101B-9397-08002B2CF9AE}" pid="11" name="MSIP_Label_b22f7043-6caf-4431-9109-8eff758a1d8b_SiteId">
    <vt:lpwstr>f696e186-1c3b-44cd-bf76-5ace0e7007bd</vt:lpwstr>
  </property>
  <property fmtid="{D5CDD505-2E9C-101B-9397-08002B2CF9AE}" pid="12" name="MSIP_Label_b22f7043-6caf-4431-9109-8eff758a1d8b_ActionId">
    <vt:lpwstr>1b55acfe-735b-486c-86df-eb35924c75d7</vt:lpwstr>
  </property>
  <property fmtid="{D5CDD505-2E9C-101B-9397-08002B2CF9AE}" pid="13" name="MSIP_Label_b22f7043-6caf-4431-9109-8eff758a1d8b_ContentBits">
    <vt:lpwstr>0</vt:lpwstr>
  </property>
  <property fmtid="{D5CDD505-2E9C-101B-9397-08002B2CF9AE}" pid="14" name="MSIP_Label_b22f7043-6caf-4431-9109-8eff758a1d8b_Tag">
    <vt:lpwstr>10, 3, 0, 1</vt:lpwstr>
  </property>
</Properties>
</file>