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63E2C" w:rsidP="00E63E2C">
      <w:pPr>
        <w:pStyle w:val="is-dep"/>
      </w:pPr>
      <w:bookmarkStart w:id="0" w:name="_GoBack"/>
      <w:bookmarkEnd w:id="0"/>
      <w:r>
        <w:t>Arbeids- og sosialdepartementet</w:t>
      </w:r>
    </w:p>
    <w:p w:rsidR="00000000" w:rsidRDefault="00E63E2C" w:rsidP="00E63E2C">
      <w:pPr>
        <w:pStyle w:val="i-hode"/>
      </w:pPr>
      <w:r>
        <w:t>Prop. 27 L</w:t>
      </w:r>
    </w:p>
    <w:p w:rsidR="00000000" w:rsidRDefault="00E63E2C" w:rsidP="00E63E2C">
      <w:pPr>
        <w:pStyle w:val="i-sesjon"/>
      </w:pPr>
      <w:r>
        <w:t>(2019</w:t>
      </w:r>
      <w:r>
        <w:t>–</w:t>
      </w:r>
      <w:r>
        <w:t>2020)</w:t>
      </w:r>
    </w:p>
    <w:p w:rsidR="00000000" w:rsidRDefault="00E63E2C" w:rsidP="00E63E2C">
      <w:pPr>
        <w:pStyle w:val="i-hode-tit"/>
      </w:pPr>
      <w:r>
        <w:t xml:space="preserve">Proposisjon til Stortinget (forslag til lovvedtak) </w:t>
      </w:r>
    </w:p>
    <w:p w:rsidR="00000000" w:rsidRPr="00E63E2C" w:rsidRDefault="00E63E2C" w:rsidP="00E63E2C">
      <w:pPr>
        <w:pStyle w:val="i-tit"/>
      </w:pPr>
      <w:r w:rsidRPr="00E63E2C">
        <w:t>Lov om informasjonstilgang mv. for utvalget for ekstern gransking av saken kn</w:t>
      </w:r>
      <w:r w:rsidRPr="00E63E2C">
        <w:t>yttet til feilaktig praktisering av adgangen til å motta sykepenger, arbeidsavklaringspenger og pleiepenger ved opphold i et annet EØS-land</w:t>
      </w:r>
    </w:p>
    <w:p w:rsidR="00000000" w:rsidRDefault="00E63E2C" w:rsidP="00E63E2C">
      <w:pPr>
        <w:pStyle w:val="i-dep"/>
      </w:pPr>
      <w:r>
        <w:lastRenderedPageBreak/>
        <w:t>Arbeids- og sosialdepartementet</w:t>
      </w:r>
    </w:p>
    <w:p w:rsidR="00000000" w:rsidRDefault="00E63E2C" w:rsidP="00E63E2C">
      <w:pPr>
        <w:pStyle w:val="i-hode"/>
      </w:pPr>
      <w:r>
        <w:t>Prop. 27 L</w:t>
      </w:r>
    </w:p>
    <w:p w:rsidR="00000000" w:rsidRDefault="00E63E2C" w:rsidP="00E63E2C">
      <w:pPr>
        <w:pStyle w:val="i-sesjon"/>
      </w:pPr>
      <w:r>
        <w:t>(2019</w:t>
      </w:r>
      <w:r>
        <w:t>–</w:t>
      </w:r>
      <w:r>
        <w:t>2020)</w:t>
      </w:r>
    </w:p>
    <w:p w:rsidR="00000000" w:rsidRDefault="00E63E2C" w:rsidP="00E63E2C">
      <w:pPr>
        <w:pStyle w:val="i-hode-tit"/>
      </w:pPr>
      <w:r>
        <w:t xml:space="preserve">Proposisjon til Stortinget (forslag til lovvedtak) </w:t>
      </w:r>
    </w:p>
    <w:p w:rsidR="00000000" w:rsidRPr="00E63E2C" w:rsidRDefault="00E63E2C" w:rsidP="00E63E2C">
      <w:pPr>
        <w:pStyle w:val="i-tit"/>
      </w:pPr>
      <w:r w:rsidRPr="00E63E2C">
        <w:t xml:space="preserve">Lov om informasjonstilgang mv. for utvalget </w:t>
      </w:r>
      <w:r w:rsidRPr="00E63E2C">
        <w:t xml:space="preserve">for ekstern gransking av saken knyttet til </w:t>
      </w:r>
      <w:r w:rsidRPr="00E63E2C">
        <w:t>feilaktig praktisering av adgangen til å motta sykepenger, arbeidsavklaringspenger og pleiepenger ved opphold i et annet EØS-land</w:t>
      </w:r>
    </w:p>
    <w:p w:rsidR="00000000" w:rsidRDefault="00E63E2C" w:rsidP="00E63E2C">
      <w:pPr>
        <w:pStyle w:val="i-statsrdato"/>
      </w:pPr>
      <w:r>
        <w:t>Tilråding fra Arbeids- og sosialdepar</w:t>
      </w:r>
      <w:r>
        <w:t xml:space="preserve">tementet 22. november 2019, </w:t>
      </w:r>
      <w:r>
        <w:br/>
        <w:t xml:space="preserve">godkjent i statsråd samme dag. </w:t>
      </w:r>
      <w:r>
        <w:br/>
        <w:t>(Regjeringen Solberg)</w:t>
      </w:r>
    </w:p>
    <w:p w:rsidR="00000000" w:rsidRDefault="00E63E2C" w:rsidP="00E63E2C">
      <w:pPr>
        <w:pStyle w:val="Overskrift1"/>
      </w:pPr>
      <w:r>
        <w:t>Proposisjonens hovedinnhold</w:t>
      </w:r>
    </w:p>
    <w:p w:rsidR="00000000" w:rsidRDefault="00E63E2C" w:rsidP="00E63E2C">
      <w:r>
        <w:t>Regjeringen har satt ned et ekspertutvalg for å granske saken knyttet til feilaktig praktisering av adgangen til å</w:t>
      </w:r>
      <w:r>
        <w:t xml:space="preserve"> motta sykepenger, arbeidsavklaringspenger og pleiepenger ved opphold i et annet EØS-land. Utvalget skal gjennomgå saker knyttet til regelverket som gjennomfører trygdeforordningen, og som er håndtert av Arbeids- og velferdsetaten, Trygderetten, og i noen </w:t>
      </w:r>
      <w:r>
        <w:t>tilfeller, så langt det ikke utfordrer deres uavhengighet, av påtalemyndigheten og domstolene. Hensikten er å få gjennomført en grundig og fullstendig gjennomgang av saken, med sikte på å avdekke hvordan feilen har kunnet skje og pågå over så lang tid. Arb</w:t>
      </w:r>
      <w:r>
        <w:t>eids- og sosialdepartementet fremmer med dette et forslag til lov om informasjonstilgang mv. for utvalget. Loven skal gi utvalget nødvendig tilgang til informasjon for å kunne utføre sine oppgaver på en best mulig måte. Lovforslaget inneholder regler om in</w:t>
      </w:r>
      <w:r>
        <w:t>formasjonstilgang, taushetsplikt og rettsgrunnlag for behandling av personopplysninger for utvalget, og forbud mot bruk av opplysninger utvalget mottar som bevis i senere rettssaker. Det foreslås ikke at det skal gjelde noen opplysningsplikt overfor utvalg</w:t>
      </w:r>
      <w:r>
        <w:t>et.</w:t>
      </w:r>
    </w:p>
    <w:p w:rsidR="00000000" w:rsidRDefault="00E63E2C" w:rsidP="00E63E2C">
      <w:r>
        <w:t>Ved utformingen av lovforslaget har departementet sett hen til hvordan lignende spørsmål har blitt ivaretatt og regulert ved nedsettelse av andre sammenlignbare utvalg og i andre lovbestemmelser. Det vises blant annet til reguleringen av tilsvarende sp</w:t>
      </w:r>
      <w:r>
        <w:t>ørsmål for Barnevoldsutvalget og Partnerdrapsutvalget, jf. henholdsvis lov 27. mai 2016 nr. 13 om informasjonstilgang m.m. for Barnevoldsutvalget og lovvedtak 5 (2019–2020) om lov informasjonstilgang m.m. for Partnerdrapsutvalget. Departementet har samtidi</w:t>
      </w:r>
      <w:r>
        <w:t>g tilpasset lovutkastet til utvalgets arbeid og mandat.</w:t>
      </w:r>
    </w:p>
    <w:p w:rsidR="00000000" w:rsidRDefault="00E63E2C" w:rsidP="00E63E2C">
      <w:pPr>
        <w:pStyle w:val="Overskrift1"/>
      </w:pPr>
      <w:r>
        <w:lastRenderedPageBreak/>
        <w:t>Bakgrunnen for lovforslaget</w:t>
      </w:r>
    </w:p>
    <w:p w:rsidR="00000000" w:rsidRDefault="00E63E2C" w:rsidP="00E63E2C">
      <w:pPr>
        <w:pStyle w:val="Overskrift2"/>
      </w:pPr>
      <w:r>
        <w:t>Oppnevningen av utvalget og utvalgets mandat</w:t>
      </w:r>
    </w:p>
    <w:p w:rsidR="00000000" w:rsidRDefault="00E63E2C" w:rsidP="00E63E2C">
      <w:r>
        <w:t>Regjeringen oppnevnte 8. november 2019 et utvalg som skal gjennomgå saker som gjelder Arbeids- og velferdsetaten (N</w:t>
      </w:r>
      <w:r>
        <w:t>av) sin praktisering av saker som gjelder rett til korttidsytelser etter folketrygden for personer som har hatt midlertidig opphold i et annet EØS-land. Utvalget ledes av professor Finn Arnesen.</w:t>
      </w:r>
    </w:p>
    <w:p w:rsidR="00000000" w:rsidRDefault="00E63E2C" w:rsidP="00E63E2C">
      <w:r>
        <w:t>Utvalgets mandat, som beskriver bakgrunnen for oppnevningen utvalget, lyder slik:</w:t>
      </w:r>
    </w:p>
    <w:p w:rsidR="00000000" w:rsidRDefault="00E63E2C" w:rsidP="00E63E2C">
      <w:pPr>
        <w:pStyle w:val="blokksit"/>
      </w:pPr>
      <w:r>
        <w:t>«</w:t>
      </w:r>
      <w:r>
        <w:rPr>
          <w:rStyle w:val="halvfet0"/>
          <w:sz w:val="21"/>
          <w:szCs w:val="21"/>
        </w:rPr>
        <w:t>1. Bakgrunn</w:t>
      </w:r>
    </w:p>
    <w:p w:rsidR="00000000" w:rsidRDefault="00E63E2C" w:rsidP="00E63E2C">
      <w:pPr>
        <w:pStyle w:val="blokksit"/>
      </w:pPr>
      <w:r>
        <w:t>Arbeids- og velferdsdirektoratet har orientert Arbeids- og sosialdepartementet om at Arbeids- og velferdsetaten over tid har hatt en feilaktig tolking av artikke</w:t>
      </w:r>
      <w:r>
        <w:t>l 21 i Europaparlamentets og Rådets forordning (EF) 883/2004 (trygdeforordningen). Denne forordningen erstattet Rådsforordning (EØF) nr. 1408/71 og trådte i kraft for Norge 1. juni 2012.</w:t>
      </w:r>
    </w:p>
    <w:p w:rsidR="00000000" w:rsidRDefault="00E63E2C" w:rsidP="00E63E2C">
      <w:pPr>
        <w:pStyle w:val="blokksit"/>
      </w:pPr>
      <w:r>
        <w:t>Etter folketrygdloven kan korttidsytelser (sykepenger, pleiepenger og</w:t>
      </w:r>
      <w:r>
        <w:t xml:space="preserve"> arbeidsavklaringspenger) normalt ikke utbetales til personer som oppholder seg utenfor Norge. Arbeids- og velferdsetaten (Nav) har i sin praksis lagt til grunn at bestemmelsene om krav til opphold i Norge i folketrygdlovens kapitler 8, 9 og 11 om hhv. syk</w:t>
      </w:r>
      <w:r>
        <w:t>epenger, pleiepenger og arbeidsavklaringspenger gjelder for personer bosatt i Norge også ved midlertidige opphold i annet EØS-land. Det følger i midlertid av EØS-avtalens bestemmelser og rettspraksis i tilknytning til disse, at man ikke kan stanse utbetali</w:t>
      </w:r>
      <w:r>
        <w:t>nger av slike kontantytelser bare med den begrunnelse at mottakeren bor eller oppholder seg i et annet EØS-land enn det landet som utbetaler ytelsen.</w:t>
      </w:r>
    </w:p>
    <w:p w:rsidR="00000000" w:rsidRDefault="00E63E2C" w:rsidP="00E63E2C">
      <w:pPr>
        <w:pStyle w:val="blokksit"/>
      </w:pPr>
      <w:r>
        <w:t>Et betydelig antall personer har som følge av Navs forståelse av trygdeforordningen fått urettmessige tilb</w:t>
      </w:r>
      <w:r>
        <w:t>akebetalingskrav, og enkelte har også blitt anmeldt og dømt for trygdesvindel på denne bakgrunn. Flere personer er dømt for trygdesvindel uten at forholdet mellom folketrygdloven og EØS-reglene har blitt vurdert av påtalemyndigheten eller domstolene.</w:t>
      </w:r>
    </w:p>
    <w:p w:rsidR="00000000" w:rsidRDefault="00E63E2C" w:rsidP="00E63E2C">
      <w:pPr>
        <w:pStyle w:val="blokksit"/>
        <w:rPr>
          <w:rStyle w:val="halvfet0"/>
          <w:sz w:val="21"/>
          <w:szCs w:val="21"/>
        </w:rPr>
      </w:pPr>
      <w:r>
        <w:rPr>
          <w:rStyle w:val="halvfet0"/>
          <w:sz w:val="21"/>
          <w:szCs w:val="21"/>
        </w:rPr>
        <w:t>2. Ma</w:t>
      </w:r>
      <w:r>
        <w:rPr>
          <w:rStyle w:val="halvfet0"/>
          <w:sz w:val="21"/>
          <w:szCs w:val="21"/>
        </w:rPr>
        <w:t>ndat</w:t>
      </w:r>
    </w:p>
    <w:p w:rsidR="00000000" w:rsidRDefault="00E63E2C" w:rsidP="00E63E2C">
      <w:pPr>
        <w:pStyle w:val="blokksit"/>
      </w:pPr>
      <w:r>
        <w:t>Utvalget settes ned for å få gjennomført en grundig og fullstendig gjennomgang av saken, med sikte på å avdekke hvordan feilen har kunnet skje og pågå over så lang tid. Utvalget bes vurdere alle relevante sider av saken, herunder:</w:t>
      </w:r>
    </w:p>
    <w:p w:rsidR="00000000" w:rsidRDefault="00E63E2C" w:rsidP="00E63E2C">
      <w:pPr>
        <w:pStyle w:val="Liste2"/>
      </w:pPr>
      <w:r>
        <w:t>Arbeids – og sos</w:t>
      </w:r>
      <w:r>
        <w:t>ialdepartementets håndtering og rolle i saken, herunder også innlemming av forordning 883/2004, styring av/ dialog med Nav og behandlingstid, fram til november 2019. I denne sammenheng skal også informasjon fra regjeringen til Stortinget vurderes.</w:t>
      </w:r>
    </w:p>
    <w:p w:rsidR="00000000" w:rsidRDefault="00E63E2C" w:rsidP="00E63E2C">
      <w:pPr>
        <w:pStyle w:val="Liste2"/>
      </w:pPr>
      <w:r>
        <w:t xml:space="preserve">Nav </w:t>
      </w:r>
      <w:r>
        <w:t>og Trygderettens håndtering og rolle i saken.</w:t>
      </w:r>
    </w:p>
    <w:p w:rsidR="00000000" w:rsidRDefault="00E63E2C" w:rsidP="00E63E2C">
      <w:pPr>
        <w:pStyle w:val="Liste2"/>
      </w:pPr>
      <w:r>
        <w:t>Kartlegge og vurdere bakgrunnen for Arbeids- og velferdsetatens tolkning og praktisering av trygdeforordningen og øvrig EØS-rett knyttet til muligheten for å ta med seg sykepenger, arbeidsavklaringspenger o</w:t>
      </w:r>
      <w:r>
        <w:t>g pleiepenger ved midlertidig opphold i andre EØS-land.</w:t>
      </w:r>
    </w:p>
    <w:p w:rsidR="00000000" w:rsidRDefault="00E63E2C" w:rsidP="00E63E2C">
      <w:pPr>
        <w:pStyle w:val="Liste2"/>
      </w:pPr>
      <w:r>
        <w:t>Påtalemyndighetenes og domstolenes håndtering av sakene, og eventuelle andre saker i det sivile rettssystemet. Vurderingene skal ikke utfordre påtalemyndighetens og domstolenes uavhengighet.</w:t>
      </w:r>
    </w:p>
    <w:p w:rsidR="00000000" w:rsidRDefault="00E63E2C" w:rsidP="00E63E2C">
      <w:pPr>
        <w:pStyle w:val="Liste2"/>
      </w:pPr>
      <w:r>
        <w:t>V</w:t>
      </w:r>
      <w:r>
        <w:t>urdere om praksis før 2012 også må gjennomgås.</w:t>
      </w:r>
    </w:p>
    <w:p w:rsidR="00000000" w:rsidRDefault="00E63E2C" w:rsidP="00E63E2C">
      <w:pPr>
        <w:pStyle w:val="blokksit"/>
      </w:pPr>
      <w:r>
        <w:t>Utvalget skal i sin rapport også redegjøre for andre læringspunkter som avdekkes under gjennomgangen, blant annet for å ivareta rettssikkerheten til personer som mottar ytelser fra Nav. Utvalget skal også rede</w:t>
      </w:r>
      <w:r>
        <w:t>gjøre for læringspunkter som avdekkes og som kan være av generell karakter.</w:t>
      </w:r>
    </w:p>
    <w:p w:rsidR="00000000" w:rsidRDefault="00E63E2C" w:rsidP="00E63E2C">
      <w:pPr>
        <w:pStyle w:val="blokksit"/>
      </w:pPr>
      <w:r>
        <w:t>Det vises til Arbeids – og velferdsdirektoratets juridiske vurdering datert 27.10.2019. Utvalget er i sine vurderinger ikke bundet av de vurderinger og premisser som der er lagt ti</w:t>
      </w:r>
      <w:r>
        <w:t>l grunn.</w:t>
      </w:r>
    </w:p>
    <w:p w:rsidR="00000000" w:rsidRDefault="00E63E2C" w:rsidP="00E63E2C">
      <w:pPr>
        <w:pStyle w:val="blokksit"/>
      </w:pPr>
      <w:r>
        <w:t xml:space="preserve">Utvalget skal foreta de undersøkelser og innhente de opplysninger som er nødvendige for å belyse sakskomplekset. I denne forbindelse kan det også være nødvendig for utvalget å innhente dokumenter som inneholder opplysninger om personlige forhold. </w:t>
      </w:r>
      <w:r>
        <w:t>Regjeringen vil om kort tid fremme et lovforslag for å gi tilstrekkelig tilgang til taushetsbelagte opplysninger til utvalget og utvalgets sekretariat. I for</w:t>
      </w:r>
      <w:r>
        <w:lastRenderedPageBreak/>
        <w:t>bindelse med lovforslaget vil det bli foretatt en nærmere avgrensning av hvilke saker utvalget skal</w:t>
      </w:r>
      <w:r>
        <w:t xml:space="preserve"> kunne vurdere, hvilke taushetsbelagte opplysninger som skal kunne innhentes fra hvilke tjenester/ etater, og hvordan taushetsbelagt informasjon skal behandles.</w:t>
      </w:r>
    </w:p>
    <w:p w:rsidR="00000000" w:rsidRDefault="00E63E2C" w:rsidP="00E63E2C">
      <w:pPr>
        <w:pStyle w:val="blokksit"/>
      </w:pPr>
      <w:r>
        <w:t>Gjennomgangen skal ikke vurdere spørsmålet om kompensasjon for berørte personer, da dette vil b</w:t>
      </w:r>
      <w:r>
        <w:t>li håndtert gjennom de respektive forvaltningsorganers ordinære rutiner.</w:t>
      </w:r>
    </w:p>
    <w:p w:rsidR="00000000" w:rsidRDefault="00E63E2C" w:rsidP="00E63E2C">
      <w:pPr>
        <w:pStyle w:val="blokksit"/>
      </w:pPr>
      <w:r>
        <w:t>Utvalget skal være uavhengig av regjeringen i sitt arbeid.</w:t>
      </w:r>
    </w:p>
    <w:p w:rsidR="00000000" w:rsidRDefault="00E63E2C" w:rsidP="00E63E2C">
      <w:pPr>
        <w:pStyle w:val="blokksit"/>
      </w:pPr>
      <w:r>
        <w:t>Utvalgets arbeid har en frist fram til 1. juni 2020. Utvalget kan avgi delrapporter.»</w:t>
      </w:r>
    </w:p>
    <w:p w:rsidR="00000000" w:rsidRDefault="00E63E2C" w:rsidP="00E63E2C">
      <w:pPr>
        <w:pStyle w:val="Overskrift2"/>
      </w:pPr>
      <w:r>
        <w:t>Utvalgets behov for opplysning</w:t>
      </w:r>
      <w:r>
        <w:t>er</w:t>
      </w:r>
    </w:p>
    <w:p w:rsidR="00000000" w:rsidRDefault="00E63E2C" w:rsidP="00E63E2C">
      <w:r>
        <w:t>For å kunne utføre sitt oppdrag, vil utvalget ha behov blant annet for en generell tilgang til saker som har vært behandlet etter det aktuelle regelverket. Dette vil omfatte en stor mengde taushetsbelagte personopplysninger, og det er derfor nødvendig å</w:t>
      </w:r>
      <w:r>
        <w:t xml:space="preserve"> fastsette hvilke taushetspliktregler som skal gjelde for utvalget. Departementet viser til de nærmere drøftelsene om dette nedenfor. </w:t>
      </w:r>
    </w:p>
    <w:p w:rsidR="00000000" w:rsidRDefault="00E63E2C" w:rsidP="00E63E2C">
      <w:pPr>
        <w:pStyle w:val="Overskrift2"/>
      </w:pPr>
      <w:r>
        <w:t>Høring</w:t>
      </w:r>
    </w:p>
    <w:p w:rsidR="00000000" w:rsidRDefault="00E63E2C" w:rsidP="00E63E2C">
      <w:r>
        <w:t>Lovforslaget har ikke vært på høring. Loven er nødvendig for å gi utvalget tilgang til opplysninger det vi</w:t>
      </w:r>
      <w:r>
        <w:t>l trenge for å utføre sitt arbeid i henhold til mandatet. Utvalget ble oppnevnt 8. november 2019 og har frist frem til 1. juni 2020 med å avlevere sin rapport. Gitt den korte fristen utvalget har til rådighet, må arbeidet påbegynnes raskt. Det følger av ut</w:t>
      </w:r>
      <w:r>
        <w:t xml:space="preserve">redningsinstruksen punkt 3-3 andre ledd at en høring kan unnlates dersom den ikke vil være praktisk gjennomførbar eller kan vanskeliggjøre gjennomføringen av tiltaket. Etter departementets vurdering åpner begge disse vilkårene for å unnlate høring i denne </w:t>
      </w:r>
      <w:r>
        <w:t>saken.</w:t>
      </w:r>
    </w:p>
    <w:p w:rsidR="00000000" w:rsidRDefault="00E63E2C" w:rsidP="00E63E2C">
      <w:pPr>
        <w:pStyle w:val="Overskrift1"/>
      </w:pPr>
      <w:r>
        <w:t xml:space="preserve">Gjeldende rett </w:t>
      </w:r>
    </w:p>
    <w:p w:rsidR="00000000" w:rsidRDefault="00E63E2C" w:rsidP="00E63E2C">
      <w:pPr>
        <w:pStyle w:val="Overskrift2"/>
      </w:pPr>
      <w:r>
        <w:t>Innledning</w:t>
      </w:r>
    </w:p>
    <w:p w:rsidR="00000000" w:rsidRDefault="00E63E2C" w:rsidP="00E63E2C">
      <w:r>
        <w:t>Utvalg oppnevnt av det offentlige regnes som forvaltningsorganer, jf. forvaltningsloven § </w:t>
      </w:r>
      <w:r>
        <w:t>1 andre punktum, og de vil i utgangspunktet omfattes av lov- og regelverk som gjelder for offentlige forvaltningsorganer generelt. Dette innebærer blant annet at forvaltningsloven og offentleglova vil komme til anvendelse. Blant annet gjelder bestemmelsene</w:t>
      </w:r>
      <w:r>
        <w:t xml:space="preserve"> om innsyn i opplysninger og dokumenter etter offentleglova og bestemmelsene i forvaltningsloven om lovbestemt taushetsplikt og adgang til å formidle opplysninger. Det gis en nærmere beskrivelse av reglene om taushetsplikt i forvaltningsloven under i punkt</w:t>
      </w:r>
      <w:r>
        <w:t xml:space="preserve"> 3.2, mens reglene i offentleglova omtales i punkt 3.3. Utvalget vil i sitt arbeid behandle opplysninger som omfattes av personopplysningsloven. Kravene til behandling av personopplysninger omtales nærmere i punkt 3.4.</w:t>
      </w:r>
    </w:p>
    <w:p w:rsidR="00000000" w:rsidRDefault="00E63E2C" w:rsidP="00E63E2C">
      <w:r>
        <w:t xml:space="preserve">For å kunne utføre sitt oppdrag, vil </w:t>
      </w:r>
      <w:r>
        <w:t>utvalget ha behov for en generell tilgang til opplysninger fra andre forvaltningsorgan som har behandlet saker dekket av utvalgets mandat. I hvilken grad offentlige utvalg kan få tilgang til taushetsbelagte opplysninger fra andre offentlige myndigheter, vi</w:t>
      </w:r>
      <w:r>
        <w:t xml:space="preserve">l særlig avhenge av hvilke opplysninger det er aktuelt å innhente, og hvilken taushetsplikt som gjelder for de ansatte i det aktuelle forvaltningsorganet. </w:t>
      </w:r>
    </w:p>
    <w:p w:rsidR="00000000" w:rsidRDefault="00E63E2C" w:rsidP="00E63E2C">
      <w:r>
        <w:t>Den forvaltningsmessige taushetsplikten er regulert i forvaltningsloven, og den gjelder i utgangspun</w:t>
      </w:r>
      <w:r>
        <w:t>ktet for alle som utfører arbeid eller tjeneste for et forvaltningsorgan. Innenfor enkelte forvaltningsområder er personer som utfører arbeid eller tjeneste, bundet av en noe strengere taushetsplikt enn det som følger av de generelle bestemmelsene i forval</w:t>
      </w:r>
      <w:r>
        <w:t>tningsloven. Dette gjelder for eksempel innenfor barnevernet, jf. barnevernloven § 6-7 andre ledd, og sosiale tjenester innenfor arbeids- og velferdsforvaltningen, jf. sosialtjenesteloven § 44 andre ledd. Profesjonsbestemt (eller yrkesmessig) taushetsplikt</w:t>
      </w:r>
      <w:r>
        <w:t xml:space="preserve"> er en særskilt taushetsplikt for visse yrkesutøvere, innholdsmessig gjerne strengere enn det som følger av de alminnelige bestemmelsene i forvaltningsloven. Den profesjonsbestemte taushetsplikten følger til dels av særlovgivning som gjelder for nærmere fa</w:t>
      </w:r>
      <w:r>
        <w:t xml:space="preserve">stsatte yrkesgrupper. Blant annet er helsepersonell og ansatte ved familievernkontorer undergitt slik lovgivning. Når det gjelder andre grupper, som prester, forstandere i trossamfunn og advokater, er taushetsplikten ikke direkte lovfestet, men det </w:t>
      </w:r>
      <w:r>
        <w:rPr>
          <w:spacing w:val="-1"/>
        </w:rPr>
        <w:t xml:space="preserve">følger </w:t>
      </w:r>
      <w:r>
        <w:rPr>
          <w:spacing w:val="-1"/>
        </w:rPr>
        <w:t>motsetningsvis av straffeloven § 211, straffe</w:t>
      </w:r>
      <w:r>
        <w:t>prosessloven § 119 og tvisteloven § 22-5 at det gjelder en slik taushetsplikt.</w:t>
      </w:r>
    </w:p>
    <w:p w:rsidR="00000000" w:rsidRDefault="00E63E2C" w:rsidP="00E63E2C">
      <w:pPr>
        <w:pStyle w:val="Overskrift2"/>
      </w:pPr>
      <w:r>
        <w:lastRenderedPageBreak/>
        <w:t>Forvaltningsloven</w:t>
      </w:r>
    </w:p>
    <w:p w:rsidR="00000000" w:rsidRDefault="00E63E2C" w:rsidP="00E63E2C">
      <w:r>
        <w:t>Forvaltningsloven gjelder den virksomhet som drives av forvaltningsorganer, når ikke annet er bestemt i el</w:t>
      </w:r>
      <w:r>
        <w:t>ler i medhold av lov, jf. forvaltningsloven § 1. Utgangspunktet er dermed at forvaltningsloven gjelder for offentlig nedsatte utvalg. Dette omfatter blant annet forvaltningsloven §§ 13 til 13 f, som omhandler regler om taushetsplikt og begrensninger i taus</w:t>
      </w:r>
      <w:r>
        <w:t>hetsplikten.</w:t>
      </w:r>
    </w:p>
    <w:p w:rsidR="00000000" w:rsidRDefault="00E63E2C" w:rsidP="00E63E2C">
      <w:r>
        <w:t>Det følger av forvaltningsloven § 13 første ledd at enhver som utfører arbeid eller tjeneste for et forvaltningsorgan, plikter å hindre at andre får adgang eller kjennskap til det han i forbindelse med tjenesten eller arbeidet får vite om «noe</w:t>
      </w:r>
      <w:r>
        <w:t xml:space="preserve">ns personlige forhold», eller om næringsrelaterte opplysninger som det kan være av «konkurransemessig betydning» for den opplysningene gjelder, å holde hemmelig. </w:t>
      </w:r>
    </w:p>
    <w:p w:rsidR="00000000" w:rsidRDefault="00E63E2C" w:rsidP="00E63E2C">
      <w:r>
        <w:t xml:space="preserve">Opplysninger om fødested, fødselsdato og personnummer, statsborgerforhold, sivilstand, yrke, </w:t>
      </w:r>
      <w:r>
        <w:t>bopel og arbeidssted regnes i utgangspunktet ikke som personlige forhold som er underlagt taushetsplikt, jf. bestemmelsens annet ledd. Dersom slike opplysninger røper et klientforhold eller andre forhold som må anses som personlige, er de likevel underlagt</w:t>
      </w:r>
      <w:r>
        <w:t xml:space="preserve"> taushetsplikt. </w:t>
      </w:r>
    </w:p>
    <w:p w:rsidR="00000000" w:rsidRDefault="00E63E2C" w:rsidP="00E63E2C">
      <w:r>
        <w:t>Forvaltningsloven §§ 13 a og 13 b inneholder unntak og begrensninger i taushetsplikten (rettslige grunnlag) som gir forvaltningsorganer adgang til å formidle opplysninger. Unntakene i § 13 a er begrunnet i at det ikke er behov for beskytte</w:t>
      </w:r>
      <w:r>
        <w:t>lse. De åpner blant annet for at opplysninger formidles</w:t>
      </w:r>
    </w:p>
    <w:p w:rsidR="00000000" w:rsidRDefault="00E63E2C" w:rsidP="00E63E2C">
      <w:pPr>
        <w:pStyle w:val="Liste"/>
      </w:pPr>
      <w:r>
        <w:t>når det foreligger samtykke fra den eller de taushetsplikten skal beskytte (nr.1). Et slikt samtykke skal være informert, frivillig og kan når som helst trekkes tilbake.</w:t>
      </w:r>
    </w:p>
    <w:p w:rsidR="00000000" w:rsidRDefault="00E63E2C" w:rsidP="00E63E2C">
      <w:pPr>
        <w:pStyle w:val="Liste"/>
      </w:pPr>
      <w:r>
        <w:t>i statistisk form, ell</w:t>
      </w:r>
      <w:r>
        <w:t xml:space="preserve">er ved at individualiserende kjennetegn utelates (nr. 2) </w:t>
      </w:r>
    </w:p>
    <w:p w:rsidR="00000000" w:rsidRDefault="00E63E2C" w:rsidP="00E63E2C">
      <w:pPr>
        <w:pStyle w:val="Liste"/>
      </w:pPr>
      <w:r>
        <w:t>når ingen berettiget interesse tilsier at de holdes hemmelig (nr. 3). Eksemplene i loven er når opplysningene er alminnelig kjent eller alminnelig tilgjengelig andre steder.</w:t>
      </w:r>
    </w:p>
    <w:p w:rsidR="00000000" w:rsidRDefault="00E63E2C" w:rsidP="00E63E2C">
      <w:r>
        <w:t>Forvaltningsloven § </w:t>
      </w:r>
      <w:r>
        <w:t>13 b første ledd inneholder unntak og begrensninger som er begrunnet i ulike private eller offentlige interesser. Taushetsplikten er blant annet ikke til hinder for:</w:t>
      </w:r>
    </w:p>
    <w:p w:rsidR="00000000" w:rsidRDefault="00E63E2C" w:rsidP="00E63E2C">
      <w:pPr>
        <w:pStyle w:val="Liste"/>
      </w:pPr>
      <w:r>
        <w:t xml:space="preserve">at opplysninger formidles til de som er parter i saken. </w:t>
      </w:r>
    </w:p>
    <w:p w:rsidR="00000000" w:rsidRDefault="00E63E2C" w:rsidP="00E63E2C">
      <w:pPr>
        <w:pStyle w:val="Liste"/>
      </w:pPr>
      <w:r>
        <w:t>at opplysninger brukes fo</w:t>
      </w:r>
      <w:r>
        <w:t xml:space="preserve">r å oppnå det formålet de er gitt eller innhentet for. Loven viser til saksforberedelse, avgjørelse, oppfølgning og kontroll som eksempler. </w:t>
      </w:r>
    </w:p>
    <w:p w:rsidR="00000000" w:rsidRDefault="00E63E2C" w:rsidP="00E63E2C">
      <w:pPr>
        <w:pStyle w:val="Liste"/>
      </w:pPr>
      <w:r>
        <w:t>at opplysningene brukes for statistisk bearbeiding, utrednings- og planleggingsoppgaver, eller i forbindelse me</w:t>
      </w:r>
      <w:r>
        <w:t xml:space="preserve">d revisjon eller annen form for kontroll med forvaltningen. </w:t>
      </w:r>
    </w:p>
    <w:p w:rsidR="00000000" w:rsidRDefault="00E63E2C" w:rsidP="00E63E2C">
      <w:pPr>
        <w:pStyle w:val="Liste"/>
      </w:pPr>
      <w:r>
        <w:t>at forvaltningsorganet gir andre forvaltningsorganer opplysninger om en persons forbindelse med organet og om avgjørelser som er truffet, og ellers slike opplysninger som det er nødvendig å g</w:t>
      </w:r>
      <w:r>
        <w:t xml:space="preserve">i for å fremme avgiverorganets oppgaver etter lov, instruks eller oppnevningsgrunnlag. </w:t>
      </w:r>
    </w:p>
    <w:p w:rsidR="00000000" w:rsidRDefault="00E63E2C" w:rsidP="00E63E2C">
      <w:pPr>
        <w:pStyle w:val="Liste"/>
      </w:pPr>
      <w:r>
        <w:t>at forvaltningsorganet anmelder eller gir opplysninger om lovbrudd til påtalemyndigheten eller vedkommende kontrollmyndighet, når det finnes ønskelig av allmenne om</w:t>
      </w:r>
      <w:r>
        <w:t xml:space="preserve">syn eller forfølgning av lovbruddet har naturlig sammenheng med avgiverorganets oppgaver. </w:t>
      </w:r>
    </w:p>
    <w:p w:rsidR="00000000" w:rsidRDefault="00E63E2C" w:rsidP="00E63E2C">
      <w:r>
        <w:t>Etter forvaltningsloven § 2 første ledd bokstav e er en «part» en person som en avgjørelse retter seg mot, eller som saken ellers direkte gjelder. Fordi formålet med</w:t>
      </w:r>
      <w:r>
        <w:t xml:space="preserve"> utvalgets arbeid er systemgransking, og ikke undersøkelse av den enkeltes sak, vil utvalgets arbeid ikke rette seg mot bestemte personer eller direkte gjelde bestemte personer. Utvalget skal avgi en sluttrapport hvor ingen ikke-anonymiserte personopplysni</w:t>
      </w:r>
      <w:r>
        <w:t>nger vil gjengis. Saker skal, også i anonymisert form, bare omtales dersom de saken gjelder, er effektivt vernet mot å bli identifisert. Departementet legger derfor til grunn at personer som det innhentes opplysninger om, ikke vil være parter i noen sak ov</w:t>
      </w:r>
      <w:r>
        <w:t xml:space="preserve">erfor utvalget. Dette gjelder uavhengig av partsstatus i de tidligere sakene som utvalget innhenter informasjon fra. </w:t>
      </w:r>
    </w:p>
    <w:p w:rsidR="00000000" w:rsidRDefault="00E63E2C" w:rsidP="00E63E2C">
      <w:r>
        <w:t>Det følger av forvaltningsloven § 13 c første ledd at forvaltningsorganet skal sørge for at taushetsplikten blir kjent for den det gjelder</w:t>
      </w:r>
      <w:r>
        <w:t xml:space="preserve">, og at organet kan kreve at vedkommende underskriver taushetserklæring. Det fremgår av tredje ledd andre punktum at taushetsplikten som hovedregel bortfaller etter 60 år. </w:t>
      </w:r>
    </w:p>
    <w:p w:rsidR="00000000" w:rsidRDefault="00E63E2C" w:rsidP="00E63E2C">
      <w:r>
        <w:t>Forvaltningsloven § 13 f regulerer forholdet til bestemmelser om taushetsplikt og o</w:t>
      </w:r>
      <w:r>
        <w:t>pplysningsplikt i andre lover. I tilfeller der taushetsplikt følger av bestemmelser i lov, forskrift eller instruks av hensyn til private interesser, gjelder forvaltningslovens bestemmelser i §§ 13 til 13 e som utfyllende regler, med mindre annet er bestem</w:t>
      </w:r>
      <w:r>
        <w:t xml:space="preserve">t i eller i medhold av lov. Videre følger det av forvaltningsloven § 13 f annet ledd </w:t>
      </w:r>
      <w:r>
        <w:lastRenderedPageBreak/>
        <w:t>at bestemmelser om rett eller plikt til å gi opplysninger ikke begrenser lovbestemt taushetsplikt, med mindre vedkommende bestemmelse fastsetter eller klart forutsetter at</w:t>
      </w:r>
      <w:r>
        <w:t xml:space="preserve"> taushetsplikten ikke skal gjelde.</w:t>
      </w:r>
    </w:p>
    <w:p w:rsidR="00000000" w:rsidRDefault="00E63E2C" w:rsidP="00E63E2C">
      <w:pPr>
        <w:pStyle w:val="Overskrift2"/>
      </w:pPr>
      <w:r>
        <w:t>Offentleglova</w:t>
      </w:r>
    </w:p>
    <w:p w:rsidR="00000000" w:rsidRDefault="00E63E2C" w:rsidP="00E63E2C">
      <w:r>
        <w:t>Lov om rett til innsyn i dokument i offentleg verksemd (offentleglova) vil gjelde for utvalget mens det er i arbeid. Ifølge hovedregelen om innsyn i § 3 er alle saksdokumenter i forvaltningen offentl</w:t>
      </w:r>
      <w:r>
        <w:t xml:space="preserve">ige, med mindre noe annet er bestemt i lov eller i medhold av lov. </w:t>
      </w:r>
    </w:p>
    <w:p w:rsidR="00000000" w:rsidRDefault="00E63E2C" w:rsidP="00E63E2C">
      <w:r>
        <w:t>Begrepet «saksdokument» er definert slik i lovens § 4 annet ledd:</w:t>
      </w:r>
    </w:p>
    <w:p w:rsidR="00000000" w:rsidRDefault="00E63E2C" w:rsidP="00E63E2C">
      <w:pPr>
        <w:pStyle w:val="blokksit"/>
      </w:pPr>
      <w:r>
        <w:t>«Saksdokument for organet er dokument som er komne inn til eller lagde fram for eit organ, eller som organet sjølv har opp</w:t>
      </w:r>
      <w:r>
        <w:t>retta, og som gjeld ansvarsområdet eller verksemda til organet. Eit dokument er oppretta når det er sendt ut av organet. Dersom dette ikkje skjer, skal dokumentet reknast som oppretta når det er ferdigstilt.»</w:t>
      </w:r>
    </w:p>
    <w:p w:rsidR="00000000" w:rsidRDefault="00E63E2C" w:rsidP="00E63E2C">
      <w:r>
        <w:t>Dette innebærer at skriftlige rapporter, uttale</w:t>
      </w:r>
      <w:r>
        <w:t>lser og lignende sendt til et offentlig oppnevnt utvalg omfattes av lovens saksdokumentbegrep.</w:t>
      </w:r>
    </w:p>
    <w:p w:rsidR="00000000" w:rsidRDefault="00E63E2C" w:rsidP="00E63E2C">
      <w:r>
        <w:t>Informasjon som er innhentet under forklaring for et offentlig oppnevnt utvalg, vil være dokument i lovens forstand i den grad opplysningene er nedtegnet på et m</w:t>
      </w:r>
      <w:r>
        <w:t>edium for senere lesing, lytting, fremvisning, overføring eller lignende, jf. lovens § 4 første ledd.</w:t>
      </w:r>
    </w:p>
    <w:p w:rsidR="00000000" w:rsidRDefault="00E63E2C" w:rsidP="00E63E2C">
      <w:r>
        <w:t>Offentleglova kapittel 3 inneholder flere bestemmelser som gir hjemmel for å unnta opplysninger eller dokumenter fra offentlighet. Loven åp</w:t>
      </w:r>
      <w:r>
        <w:t>ner for eksempel for å unnta dokumenter som utvalget selv har utarbeidet for sin interne saksforberedelse («organinterne dokumenter»), jf. lovens § 14 første ledd.</w:t>
      </w:r>
    </w:p>
    <w:p w:rsidR="00000000" w:rsidRDefault="00E63E2C" w:rsidP="00E63E2C">
      <w:r>
        <w:t>Det følger av § 13 første ledd at opplysninger underlagt lovfestet taushetsplikt, er unntatt</w:t>
      </w:r>
      <w:r>
        <w:t xml:space="preserve"> fra innsyn.</w:t>
      </w:r>
    </w:p>
    <w:p w:rsidR="00000000" w:rsidRDefault="00E63E2C" w:rsidP="00E63E2C">
      <w:r>
        <w:t xml:space="preserve">Det er ikke aktuelt med merinnsyn, jf. offentleglova § 11, for slike opplysninger. </w:t>
      </w:r>
    </w:p>
    <w:p w:rsidR="00000000" w:rsidRDefault="00E63E2C" w:rsidP="00E63E2C">
      <w:r>
        <w:t>Når deler av et dokument unntas offentlighet, er det i loven åpnet for at også resten av dokumentet kan unntas fra offentlighet i enkelte tilfeller, jf. offent</w:t>
      </w:r>
      <w:r>
        <w:t xml:space="preserve">leglova § 12. </w:t>
      </w:r>
    </w:p>
    <w:p w:rsidR="00000000" w:rsidRDefault="00E63E2C" w:rsidP="00E63E2C">
      <w:pPr>
        <w:pStyle w:val="Overskrift2"/>
      </w:pPr>
      <w:r>
        <w:t xml:space="preserve">Personvernforordningen og personopplysningsloven </w:t>
      </w:r>
    </w:p>
    <w:p w:rsidR="00000000" w:rsidRDefault="00E63E2C" w:rsidP="00E63E2C">
      <w:r>
        <w:t>Lov om behandling av personopplysninger (personopplysningsloven) gjennomfører i norsk rett Europaparlaments- og rådsforordning (EU) 2016/679 av 27. april 2016 om vern av fysiske perso</w:t>
      </w:r>
      <w:r>
        <w:t xml:space="preserve">ner i forbindelse med behandling av personopplysninger (GDPR). De materielle reglene i forordningen er i stor grad en videreføring og videreutvikling av tidligere personvernlovgivning, men forordningen styrker blant annet de registrertes rettigheter. </w:t>
      </w:r>
    </w:p>
    <w:p w:rsidR="00000000" w:rsidRDefault="00E63E2C" w:rsidP="00E63E2C">
      <w:r>
        <w:t>Ette</w:t>
      </w:r>
      <w:r>
        <w:t>r personopplysningsloven § 2 gjelder loven og personvernforordningen ved helt eller delvis automatisert behandling av personopplysninger og ved ikke-automatisert behandling av personopplysninger som inngår i eller skal inngå i et register. Etter personvern</w:t>
      </w:r>
      <w:r>
        <w:t>forordningens artikkel 4 nr. 1 er personopplysninger enhver opplysning om en identifisert eller identifiserbar fysisk person. Etter artikkel 4 nr. 6 er et register enhver strukturert samling av personopplysninger som er tilgjengelig etter særlige kriterier</w:t>
      </w:r>
      <w:r>
        <w:t xml:space="preserve">, enten samlingen er plassert sentralt, er desentralisert eller spredt på et funksjonelt eller geografisk grunnlag. </w:t>
      </w:r>
    </w:p>
    <w:p w:rsidR="00000000" w:rsidRDefault="00E63E2C" w:rsidP="00E63E2C">
      <w:r>
        <w:t>For at behandling av personopplysninger skal være lovlig, må det foreligge et behandlingsgrunnlag. Etter artikkel 6 nr. 1 bokstav e er beha</w:t>
      </w:r>
      <w:r>
        <w:t xml:space="preserve">ndling av personopplysninger lovlig dersom «behandlingen er nødvendig for å utføre en oppgave i allmennhetens interesse eller utøve offentlig myndighet som den behandlingsansvarlige er pålagt». For at dette behandlingsgrunnlaget skal kunne benyttes må det </w:t>
      </w:r>
      <w:r>
        <w:t xml:space="preserve">foreligge et såkalt supplerende rettslig grunnlag, jf. artikkel 6 nr. 3 bokstav b og Prop. 56 LS (2017–2018) punkt 6.3.2. </w:t>
      </w:r>
    </w:p>
    <w:p w:rsidR="00000000" w:rsidRDefault="00E63E2C" w:rsidP="00E63E2C">
      <w:r>
        <w:t>Etter artikkel 9 nr. 2 bokstav g kan særlige kategorier personopplysninger behandles dersom behandlingen er nødvendig av hensyn til v</w:t>
      </w:r>
      <w:r>
        <w:t>iktige allmenne interesser, på grunnlag av nasjonal rett som skal stå i et rimelig forhold til det mål som søkes oppnådd, være forenlig med det grunnleggende innholdet i retten til vern av personopplysninger og sikre egnede og særlige tiltak for å verne de</w:t>
      </w:r>
      <w:r>
        <w:t>n registrertes grunnleggende rettigheter og interesser. Artikkel 10 krever at behandling av personopplysninger om straffedom</w:t>
      </w:r>
      <w:r>
        <w:lastRenderedPageBreak/>
        <w:t>mer og lovovertredelser som ikke utføres under en offentlig myndighets kontroll, må være tillatt etter nasjonal rett som sikrer nødv</w:t>
      </w:r>
      <w:r>
        <w:t xml:space="preserve">endige garantier for de registrertes rettigheter og friheter. </w:t>
      </w:r>
    </w:p>
    <w:p w:rsidR="00000000" w:rsidRDefault="00E63E2C" w:rsidP="00E63E2C">
      <w:r>
        <w:t>Artikkel 5 nr. 1 bokstav b oppstiller et prinsipp om formålsbegrensning. Dette innebærer at personopplysninger som allerede er samlet inn til ett formål, bare kan brukes til et nytt formål (vid</w:t>
      </w:r>
      <w:r>
        <w:t>erebehandles) dersom det nye formålet ikke er uforenlig med det opprinnelige innsamlingsformålet. Dersom det nye formålet er uforenlig, må viderebehandlingen ha grunnlag i lov eller samtykke, jf. artikkel 6 nr. 4. Lovbestemmelser som åpner for viderebehand</w:t>
      </w:r>
      <w:r>
        <w:t xml:space="preserve">ling må utgjøre «et nødvendig og forholdsmessig tiltak i et demokratisk samfunn for å sikre oppnåelse av målene nevnt i artikkel 23 nr. 1». </w:t>
      </w:r>
    </w:p>
    <w:p w:rsidR="00000000" w:rsidRDefault="00E63E2C" w:rsidP="00E63E2C">
      <w:r>
        <w:t>Etter personvernforordningen artikkel 4 nr. 7 er behandlingsansvarlig «en fysisk eller juridisk person, en offentli</w:t>
      </w:r>
      <w:r>
        <w:t>g myndighet, en institusjon eller ethvert annet organ som alene eller sammen med andre bestemmer formålet med behandlingen av personopplysninger og hvilke midler som skal benyttes». Etter personvernforordningen artikkel 24 nr. 1 skal den behandlingsansvarl</w:t>
      </w:r>
      <w:r>
        <w:t>ige gjennomføre egnede tekniske og organisatoriske tiltak for å sikre og påvise at behandlingen utføres i samsvar med forordningen. Departementet legger til grunn at utvalget selv vil være behandlingsansvarlig da utvalget vil gjennomføre sitt arbeid uavhen</w:t>
      </w:r>
      <w:r>
        <w:t xml:space="preserve">gig av Arbeids- og sosialdepartementet (og Justis- og beredskapsdepartementet). </w:t>
      </w:r>
    </w:p>
    <w:p w:rsidR="00000000" w:rsidRDefault="00E63E2C" w:rsidP="00E63E2C">
      <w:r>
        <w:t>Personvernforordningen gir i kapittel 3 den registrerte rettigheter knyttet til behandlingen av personopplysninger. Etter artikkel 23 nr. 1 bokstav e kan nasjonal rett begrens</w:t>
      </w:r>
      <w:r>
        <w:t xml:space="preserve">e rekkevidden av forpliktelsene og rettighetene fastsatt i artikkel 12–22 når en slik begrensning overholder det vesentligste innholdet i de grunnleggende rettighetene og frihetene og er et nødvendig og forholdsmessig tiltak i et demokratisk samfunn for å </w:t>
      </w:r>
      <w:r>
        <w:t>sikre «viktige mål av generell allmenn interesse». Etter artikkel 23 nr. 2 skal nasjonale lover som begrenser nevnte forpliktelser og rettigheter når det er relevant, minst inneholde bestemmelser om formålene med behandlingen, kategoriene av personopplysni</w:t>
      </w:r>
      <w:r>
        <w:t>nger, omfanget av begrensningene som er innført, garantiene for å unngå misbruk eller ulovlig tilgang eller overføring, spesifisering av den behandlingsansvarlige, lagringsperioder og gjeldende garantier, idet det tas hensyn til arten, omfanget av og formå</w:t>
      </w:r>
      <w:r>
        <w:t>lene med behandlingen, risikoene for de registrertes rettigheter og friheter og de registrertes rett til å bli underrettet om begrensningen, med mindre dette kan skade formålet med begrensningen.</w:t>
      </w:r>
    </w:p>
    <w:p w:rsidR="00000000" w:rsidRDefault="00E63E2C" w:rsidP="00E63E2C">
      <w:pPr>
        <w:pStyle w:val="Overskrift2"/>
      </w:pPr>
      <w:r>
        <w:t>Arkivregelverket</w:t>
      </w:r>
    </w:p>
    <w:p w:rsidR="00000000" w:rsidRDefault="00E63E2C" w:rsidP="00E63E2C">
      <w:r>
        <w:t>Etter forskrift om offentlege arkiv</w:t>
      </w:r>
      <w:r>
        <w:t xml:space="preserve"> § 2 femte ledd gjelder en rekke regler i forskriften for offentlige utvalg som skal bruke eget arkiv, blant annet reglene om journalføring og arkivering. </w:t>
      </w:r>
    </w:p>
    <w:p w:rsidR="00000000" w:rsidRDefault="00E63E2C" w:rsidP="00E63E2C">
      <w:r>
        <w:t>Det følger av forskrift om offentlege arkiv § 9 første ledd at offentlige organer skal ha en eller f</w:t>
      </w:r>
      <w:r>
        <w:t>lere journaler for registrering av dokumenter i sakene organet oppretter. I journalen skal man registrere «alle inngåande og utgåande dokument som etter offentleglova § 4 må reknast som saksdokument for organet, dersom dei er eller blir saksbehandla og har</w:t>
      </w:r>
      <w:r>
        <w:t xml:space="preserve"> verdi som dokumentasjon». Organinterne dokumenter er det i utgangspunktet valgfritt om man vil journalføre, men det følger av første ledd fjerde punktum at enkelte organinterne dokumenter alltid skal journalføres. Det følger videre av forskriften § 10 hvi</w:t>
      </w:r>
      <w:r>
        <w:t xml:space="preserve">lke opplysninger som skal være med i journalen. </w:t>
      </w:r>
    </w:p>
    <w:p w:rsidR="00000000" w:rsidRDefault="00E63E2C" w:rsidP="00E63E2C">
      <w:r>
        <w:t xml:space="preserve">Når det gjelder arkiveringen, følger det av forskrift om offentlege arkiv § 14 første ledd at dokumenter «som verken har inngått i saksbehandlinga til organet eller har verdi som dokumentasjon, skal haldast </w:t>
      </w:r>
      <w:r>
        <w:t xml:space="preserve">utanfor eller fjernast frå arkivet ved arkivavgrensing». Dette innebærer at alle dokumenter som enten har inngått i saksbehandlingen, eller har en verdi som dokumentasjon av organets arbeid, skal arkiveres. </w:t>
      </w:r>
    </w:p>
    <w:p w:rsidR="00000000" w:rsidRDefault="00E63E2C" w:rsidP="00E63E2C">
      <w:r>
        <w:t>Personvernforordningen artikkel 17 nr. 3 fastset</w:t>
      </w:r>
      <w:r>
        <w:t xml:space="preserve">ter at den registrerte ikke kan kreve sletting av personopplysninger etter nr. 1 når videre behandling er nødvendig for å oppfylle en rettslig forpliktelse. Dette kan for eksempel være arkiveringsplikt. Opplysninger som faller inn under arkiveringsplikten </w:t>
      </w:r>
      <w:r>
        <w:t>etter arkivlova og forskrift om offentlege arkiv, vil således ikke kunne slettes. Eventuelle andre personopplysninger skal slettes i samsvar med artikkel 17 nr. 1. Dokumenter som ikke omfattes av arkiveringsplikten, skal skilles ut fra arkivet og eventuelt</w:t>
      </w:r>
      <w:r>
        <w:t xml:space="preserve"> kasseres etter reglene i forskrift om offentlege arkiv. </w:t>
      </w:r>
    </w:p>
    <w:p w:rsidR="00000000" w:rsidRDefault="00E63E2C" w:rsidP="00E63E2C">
      <w:pPr>
        <w:pStyle w:val="Overskrift2"/>
      </w:pPr>
      <w:r>
        <w:lastRenderedPageBreak/>
        <w:t>Særlig om forholdet til Grunnloven og menneskerettighetene</w:t>
      </w:r>
    </w:p>
    <w:p w:rsidR="00000000" w:rsidRDefault="00E63E2C" w:rsidP="00E63E2C">
      <w:pPr>
        <w:pStyle w:val="Overskrift3"/>
      </w:pPr>
      <w:r>
        <w:t>Innledning</w:t>
      </w:r>
    </w:p>
    <w:p w:rsidR="00000000" w:rsidRDefault="00E63E2C" w:rsidP="00E63E2C">
      <w:r>
        <w:t>Ved utformingen av alminnelig lovgivning må</w:t>
      </w:r>
      <w:r>
        <w:t xml:space="preserve"> staten holde seg innenfor de grensene som trekkes opp av Grunnloven og internasjonale menneskerettskonvensjoner. De mest sentrale konvensjonene er Den europeiske menneskerettskonvensjon 4. november 1950 (EMK) og FNs konvensjon om sivile og politiske retti</w:t>
      </w:r>
      <w:r>
        <w:t>gheter 16. desember 1966 (SP), som begge ble gjennomført i norsk rett ved lov 21. mai 1999 nr. 30 om styrking av menneskerettighetenes stilling i norsk rett (menneskerettsloven), jf. menneskerettsloven § 2. Konvensjonene skal ved motstrid gå foran bestemme</w:t>
      </w:r>
      <w:r>
        <w:t xml:space="preserve">lser i annen norsk lovgivning, jf. menneskerettsloven § 3. </w:t>
      </w:r>
    </w:p>
    <w:p w:rsidR="00000000" w:rsidRDefault="00E63E2C" w:rsidP="00E63E2C">
      <w:pPr>
        <w:pStyle w:val="Overskrift3"/>
      </w:pPr>
      <w:r>
        <w:t>Retten til privatliv</w:t>
      </w:r>
    </w:p>
    <w:p w:rsidR="00000000" w:rsidRDefault="00E63E2C" w:rsidP="00E63E2C">
      <w:r>
        <w:t>EMK artikkel 8 beskytter retten til privatliv, og lyder i norsk oversettelse:</w:t>
      </w:r>
    </w:p>
    <w:p w:rsidR="00000000" w:rsidRDefault="00E63E2C" w:rsidP="00E63E2C">
      <w:pPr>
        <w:pStyle w:val="blokksit"/>
      </w:pPr>
      <w:r>
        <w:t>«Art 8. Retten til respekt for privatliv og familieliv</w:t>
      </w:r>
    </w:p>
    <w:p w:rsidR="00000000" w:rsidRDefault="00E63E2C" w:rsidP="00E63E2C">
      <w:pPr>
        <w:pStyle w:val="friliste2"/>
      </w:pPr>
      <w:r>
        <w:t xml:space="preserve">1. </w:t>
      </w:r>
      <w:r>
        <w:tab/>
        <w:t>Enhver har rett til respek</w:t>
      </w:r>
      <w:r>
        <w:t>t for sitt privatliv og familieliv, sitt hjem og sin korrespondanse.</w:t>
      </w:r>
    </w:p>
    <w:p w:rsidR="00000000" w:rsidRDefault="00E63E2C" w:rsidP="00E63E2C">
      <w:pPr>
        <w:pStyle w:val="friliste2"/>
      </w:pPr>
      <w:r>
        <w:t xml:space="preserve">2. </w:t>
      </w:r>
      <w:r>
        <w:tab/>
        <w:t>Det skal ikke skje noe inngrep av offentlig myndighet i utøvelsen av denne rettighet unntatt når dette er i samsvar med loven og er nødvendig i et demokratisk samfunn av hensyn til de</w:t>
      </w:r>
      <w:r>
        <w:t>n nasjonale sikkerhet, offentlige trygghet eller landets økonomiske velferd, for å forebygge uorden eller kriminalitet, for å beskytte helse eller moral, eller for å beskytte andres rettigheter og friheter.»</w:t>
      </w:r>
    </w:p>
    <w:p w:rsidR="00000000" w:rsidRDefault="00E63E2C" w:rsidP="00E63E2C">
      <w:r>
        <w:t>Retten til privatliv beskyttes også av FNs konve</w:t>
      </w:r>
      <w:r>
        <w:t xml:space="preserve">nsjon om sivile og politiske rettigheter (SP) art. 17. Det er alminnelig antatt at SP artikkel 17 ikke gir den enkelte en bredere beskyttelse enn EMK artikkel 8. </w:t>
      </w:r>
    </w:p>
    <w:p w:rsidR="00000000" w:rsidRDefault="00E63E2C" w:rsidP="00E63E2C">
      <w:r>
        <w:t xml:space="preserve">Grunnloven § 102 første ledd første punktum lyder: </w:t>
      </w:r>
    </w:p>
    <w:p w:rsidR="00000000" w:rsidRDefault="00E63E2C" w:rsidP="00E63E2C">
      <w:pPr>
        <w:pStyle w:val="blokksit"/>
      </w:pPr>
      <w:r>
        <w:t>«</w:t>
      </w:r>
      <w:r>
        <w:t xml:space="preserve">Enhver har rett til respekt for sitt privatliv og familieliv, sitt hjem og sin kommunikasjon.» </w:t>
      </w:r>
    </w:p>
    <w:p w:rsidR="00000000" w:rsidRDefault="00E63E2C" w:rsidP="00E63E2C">
      <w:r>
        <w:t xml:space="preserve">Bestemmelsen kom inn ved grunnlovsreformen i 2014, og bygger blant annet på EMK artikkel 8 og SP artikkel 17. </w:t>
      </w:r>
    </w:p>
    <w:p w:rsidR="00000000" w:rsidRDefault="00E63E2C" w:rsidP="00E63E2C">
      <w:r>
        <w:t>I Rt. 2015 s. 93 (avsnitt 57) uttaler Høyesterett</w:t>
      </w:r>
      <w:r>
        <w:t xml:space="preserve"> at bestemmelsen skal tolkes i lys av EMK artikkel 8 og SP artikkel 17, men slik at fremtidig praksis fra Den europeiske menneskerettsdomstol (EMD) ikke skal ha samme prejudikatsvirkning ved grunnlovstolking som ved tolkingen av konvensjonsbestemmelsene.</w:t>
      </w:r>
    </w:p>
    <w:p w:rsidR="00000000" w:rsidRDefault="00E63E2C" w:rsidP="00E63E2C">
      <w:r>
        <w:t>R</w:t>
      </w:r>
      <w:r>
        <w:t>etten til privatliv etter Grunnloven § 102 omfatter enkeltindividers personvern. Den skisserte ordningen vil gi utvalget muligheten til å innhente taushetsbelagte og sensitive personopplysninger knyttet til personopplysninger, herunder såkalte særskilte ka</w:t>
      </w:r>
      <w:r>
        <w:t xml:space="preserve">tegorier personopplysninger uten samtykke fra personer opplysningene gjelder. Denne innhentingen av opplysninger innebærer et inngrep i disse personenes rett til privatliv. </w:t>
      </w:r>
    </w:p>
    <w:p w:rsidR="00000000" w:rsidRDefault="00E63E2C" w:rsidP="00E63E2C">
      <w:r>
        <w:t>Retten til privatliv etter Grunnloven § 102 er imidlertid ikke absolutt. I Rt. 201</w:t>
      </w:r>
      <w:r>
        <w:t>4 s. 1105 (avsnitt 28) har Høyesterett lagt til grunn tre vilkår for å gjøre inngrep i Grunnloven § 102. For det første må inngrepet være lovhjemlet. For det andre må inngrepet ivareta et legitimt formål eller være saklig begrunnet. For det tredje må inngr</w:t>
      </w:r>
      <w:r>
        <w:t>epet være forholdsmessig. Det vil si at inngrepet ikke må gå mer utover hensynene bak retten til privatliv enn hva som er nødvendig for å ivareta det aktuelle og legitime formålet bak inngrepet.</w:t>
      </w:r>
    </w:p>
    <w:p w:rsidR="00000000" w:rsidRDefault="00E63E2C" w:rsidP="00E63E2C">
      <w:r>
        <w:t>Ved vedtak av den foreslåtte loven vil vilkåret om lovhjemmel</w:t>
      </w:r>
      <w:r>
        <w:t xml:space="preserve"> være oppfylt. Formålet med inngrepet er å avdekke svikt i offentlige tjenester, og bidra til at dette ikke vil skje igjen, hvilket anses å være et viktig og legitimt formål. </w:t>
      </w:r>
    </w:p>
    <w:p w:rsidR="00000000" w:rsidRDefault="00E63E2C" w:rsidP="00E63E2C">
      <w:r>
        <w:t xml:space="preserve">Departementet har vurdert om inngrepet vil være et forholdsmessig inngrep for å </w:t>
      </w:r>
      <w:r>
        <w:t>nå dette målet. I Rt. 2015 s. 93 har Høyesterett gitt enkelte anvisninger på hva som skal inngå i forholdsmessighetsvurderingen. I avsnitt 60 fremgår det at forholdsmessighetsvurderingen «må ha for øye balansen mellom de beskyttede individuelle interessene</w:t>
      </w:r>
      <w:r>
        <w:t xml:space="preserve"> på den ene siden og de legitime samfunnsbehovene som begrunner tiltaket på den andre». </w:t>
      </w:r>
    </w:p>
    <w:p w:rsidR="00000000" w:rsidRDefault="00E63E2C" w:rsidP="00E63E2C">
      <w:r>
        <w:lastRenderedPageBreak/>
        <w:t>Det er klart at innhenting og analyse av det aktuelle materialet i seg selv er egnet til å oppnå formålet, som er å avdekke på hvilken måte det offentlige tjenesteappa</w:t>
      </w:r>
      <w:r>
        <w:t>ratet har sviktet.</w:t>
      </w:r>
    </w:p>
    <w:p w:rsidR="00000000" w:rsidRDefault="00E63E2C" w:rsidP="00E63E2C">
      <w:r>
        <w:t xml:space="preserve">Inngrepet skal imidlertid ikke gå lenger enn det som er nødvendig for å oppnå formålet. Det må derfor vurderes om formålet også kan oppnås ved tiltak som er mindre inngripende overfor enkeltpersonene opplysningene gjelder. </w:t>
      </w:r>
    </w:p>
    <w:p w:rsidR="00000000" w:rsidRDefault="00E63E2C" w:rsidP="00E63E2C">
      <w:r>
        <w:t>Departementet</w:t>
      </w:r>
      <w:r>
        <w:t xml:space="preserve"> har vurdert muligheten for å innhente materialet i anonymisert form eller å innhente materialet ved samtykke fra de berørte individer. </w:t>
      </w:r>
    </w:p>
    <w:p w:rsidR="00000000" w:rsidRDefault="00E63E2C" w:rsidP="00E63E2C">
      <w:r>
        <w:t>Departementet mener at verken anonymisering eller samtykke vil være tilstrekkelig som hjemmelsgrunnlag for å sikre utva</w:t>
      </w:r>
      <w:r>
        <w:t xml:space="preserve">lget tilgang til nødvendige opplysninger. Departementet anser derfor både anonymisering og samtykke som uegnet for å oppnå utvalgets formål. </w:t>
      </w:r>
    </w:p>
    <w:p w:rsidR="00000000" w:rsidRDefault="00E63E2C" w:rsidP="00E63E2C">
      <w:r>
        <w:t>For å ivareta personvernet og sikre at behandlingen av personopplysninger skjer på en betryggende måte, vil depart</w:t>
      </w:r>
      <w:r>
        <w:t xml:space="preserve">ementet foreslå flere tiltak: </w:t>
      </w:r>
    </w:p>
    <w:p w:rsidR="00000000" w:rsidRDefault="00E63E2C" w:rsidP="00E63E2C">
      <w:pPr>
        <w:pStyle w:val="Liste"/>
      </w:pPr>
      <w:r>
        <w:t>Utvalgets taushetsplikt vil gjelde i 100 år.</w:t>
      </w:r>
    </w:p>
    <w:p w:rsidR="00000000" w:rsidRDefault="00E63E2C" w:rsidP="00E63E2C">
      <w:pPr>
        <w:pStyle w:val="Liste"/>
      </w:pPr>
      <w:r>
        <w:t>Tilgangen på de taushetsbelagte opplysningene vil kun gjelde for en tidsbegrenset periode.</w:t>
      </w:r>
    </w:p>
    <w:p w:rsidR="00000000" w:rsidRDefault="00E63E2C" w:rsidP="00E63E2C">
      <w:pPr>
        <w:pStyle w:val="Liste"/>
      </w:pPr>
      <w:r>
        <w:t>Opplysninger utvalget mottar, skal lagres forsvarlig ut fra retningslinjene i</w:t>
      </w:r>
      <w:r>
        <w:t xml:space="preserve"> mandatet. Arkivmateriale som ikke skal avleveres til Arkivverket, skal kasseres når utvalget har avsluttet sitt arbeid.</w:t>
      </w:r>
    </w:p>
    <w:p w:rsidR="00000000" w:rsidRDefault="00E63E2C" w:rsidP="00E63E2C">
      <w:r>
        <w:t>Den samfunnsmessige betydningen av utvalgets arbeid må tillegges stor vekt. Som nevnt gjelder dette kunnskapsbygging for å forebygge at</w:t>
      </w:r>
      <w:r>
        <w:t xml:space="preserve"> slike hendelser skal kunne skje igjen. Dette formålet sett i forhold til inngrepet med dets begrensninger er etter departementets vurdering forholdsmessig. </w:t>
      </w:r>
    </w:p>
    <w:p w:rsidR="00000000" w:rsidRDefault="00E63E2C" w:rsidP="00E63E2C">
      <w:r>
        <w:t xml:space="preserve">Departementet mener på denne bakgrunnen at innhentingen av de nevnte taushetsbelagte og sensitive </w:t>
      </w:r>
      <w:r>
        <w:t xml:space="preserve">personopplysningene ikke er i strid med EMK artikkel 8, SP artikkel 17 eller Grunnloven § 102. </w:t>
      </w:r>
    </w:p>
    <w:p w:rsidR="00000000" w:rsidRDefault="00E63E2C" w:rsidP="00E63E2C">
      <w:r>
        <w:t>Omdømmet til en avdød person kan, under visse omstendigheter, påvirke de etterlates privatliv og identitet slik at det omfattes av anvendelsesområdet til EMK ar</w:t>
      </w:r>
      <w:r>
        <w:t>tikkel 8, jf. Den europeiske menneskerettsdomstolens dom 21. november 2013 Putistin mot Ukraina (16/88203) avsnitt 33.</w:t>
      </w:r>
    </w:p>
    <w:p w:rsidR="00000000" w:rsidRDefault="00E63E2C" w:rsidP="00E63E2C">
      <w:r>
        <w:t>Etter departementets syn vil ikke utvalgets arbeid og de opplysninger om avdøde personer som utvalget har fått tilgang til, påvirke de et</w:t>
      </w:r>
      <w:r>
        <w:t>terlatte på en slik måte at det omfattes av anvendelsesområdet til EMK artikkel 8. I alle tilfeller vil dette være et inngrep som er forenlig med EMK artikkel 8 nr. 2. De avdøde skal ikke identifiseres i utvalgets rapport. Loven skal heller ikke gi grunnla</w:t>
      </w:r>
      <w:r>
        <w:t xml:space="preserve">g for å kontakte pårørende på bakgrunn av registreringen. Det må derfor antas at virkningen for de pårørende vil være liten. Loven vil imidlertid ikke hindre at pårørende som selv ønsker det, kan kontakte utvalget. </w:t>
      </w:r>
    </w:p>
    <w:p w:rsidR="00000000" w:rsidRDefault="00E63E2C" w:rsidP="00E63E2C">
      <w:pPr>
        <w:pStyle w:val="Overskrift3"/>
      </w:pPr>
      <w:r>
        <w:t>Grunnloven § 97</w:t>
      </w:r>
    </w:p>
    <w:p w:rsidR="00000000" w:rsidRDefault="00E63E2C" w:rsidP="00E63E2C">
      <w:r>
        <w:t>Det føl</w:t>
      </w:r>
      <w:r>
        <w:t>ger av Grunnloven § 97 at «[i]ngen lov må gis tilbakevirkende kraft». Bestemmelsen inneholder et generelt forbud mot å gi lover tilbakevirkende kraft til skade for borgerne. Kjerneområdet til bestemmelsen er vern mot lovgivning som knytter nye byrder til h</w:t>
      </w:r>
      <w:r>
        <w:t xml:space="preserve">andlinger eller begivenheter som fant sted før lovendringene. Etter omstendigheter vil også inngrep i etablerte rettigheter og posisjoner med virkning fremover i tid kunne rammes. </w:t>
      </w:r>
    </w:p>
    <w:p w:rsidR="00000000" w:rsidRDefault="00E63E2C" w:rsidP="00E63E2C">
      <w:r>
        <w:t>Lovforslaget legger til rette for at utvalget skal få tilgang til taushetsb</w:t>
      </w:r>
      <w:r>
        <w:t>elagt informasjon som enkeltpersoner kan ha avgitt med en forventning om konfidensialitet. Utvalget vil være underlagt taushetsplikt etter forslaget § 3, og det foreslås i § 5 et forbud mot bruk av opplysninger som utvalget har mottatt som bevis i senere s</w:t>
      </w:r>
      <w:r>
        <w:t>traffesak eller i sivil sak. Det eventuelle inngrep som lovforslaget vil gjøre i den enkeltes forventning om konfidensialitet, fremstår derfor som svært begrenset. Lovavdelingen i Justis- og beredskapsdepartementet har i en uttalelse 8. juni 2009 vurdert f</w:t>
      </w:r>
      <w:r>
        <w:t>orholdet til Grunnloven § 97 ved innføring av opplysningsplikt overfor et undersøkelsesutvalg uten hinder av taushetsplikt. Uttalelsen er inntatt som vedlegg nummer 2 til Innst. O. nr. 132 (2008–2009), og det vises til denne.</w:t>
      </w:r>
    </w:p>
    <w:p w:rsidR="00000000" w:rsidRDefault="00E63E2C" w:rsidP="00E63E2C">
      <w:pPr>
        <w:pStyle w:val="Overskrift1"/>
      </w:pPr>
      <w:r>
        <w:lastRenderedPageBreak/>
        <w:t>Lovforslaget –</w:t>
      </w:r>
      <w:r>
        <w:t xml:space="preserve"> departementets vurderinger</w:t>
      </w:r>
    </w:p>
    <w:p w:rsidR="00000000" w:rsidRDefault="00E63E2C" w:rsidP="00E63E2C">
      <w:pPr>
        <w:pStyle w:val="Overskrift2"/>
      </w:pPr>
      <w:r>
        <w:t>Behovet for opplysninger</w:t>
      </w:r>
    </w:p>
    <w:p w:rsidR="00000000" w:rsidRDefault="00E63E2C" w:rsidP="00E63E2C">
      <w:r>
        <w:t>Departementet legger til grunn at mange opplysninger som det er aktuelt å innhente fra konkrete saker, må regnes som personlige opplysninger som er underlagt lovbestemt taushetsplikt. Mange av op</w:t>
      </w:r>
      <w:r>
        <w:t>plysningene vil også måtte regnes som særlige kategorier personopplysninger og personopplysninger om straffedommer og lovovertredelser etter personvernforordningen artikkel 9 og artikkel 10.</w:t>
      </w:r>
    </w:p>
    <w:p w:rsidR="00000000" w:rsidRDefault="00E63E2C" w:rsidP="00E63E2C">
      <w:r>
        <w:t xml:space="preserve">Departementet viser til at dersom utvalget skal kunne få tilgang </w:t>
      </w:r>
      <w:r>
        <w:t xml:space="preserve">til slike opplysninger fra konkrete saker, må særlig tre betingelser være til stede: </w:t>
      </w:r>
    </w:p>
    <w:p w:rsidR="00000000" w:rsidRDefault="00E63E2C" w:rsidP="00E63E2C">
      <w:pPr>
        <w:rPr>
          <w:rStyle w:val="kursiv"/>
          <w:sz w:val="21"/>
          <w:szCs w:val="21"/>
        </w:rPr>
      </w:pPr>
      <w:r>
        <w:rPr>
          <w:rStyle w:val="kursiv"/>
          <w:sz w:val="21"/>
          <w:szCs w:val="21"/>
        </w:rPr>
        <w:t xml:space="preserve">For det første </w:t>
      </w:r>
      <w:r>
        <w:t>må de personenesom det er aktuelt å innhente opplysninger fra, ha adgang til å formidle opplysninger til utvalget uten hinder av taushetsplikt. Det er i ti</w:t>
      </w:r>
      <w:r>
        <w:t>llegg et selvstendig og vesentlig poeng at lovhjemmelen bør være klarest mulig, slik at det ikke oppstår tvil om hvorvidt offentlige myndigheter og profesjonsutøvere kan gi opplysninger til utvalget uten å bryte lovbestemt taushetsplikt.</w:t>
      </w:r>
    </w:p>
    <w:p w:rsidR="00000000" w:rsidRDefault="00E63E2C" w:rsidP="00E63E2C">
      <w:r>
        <w:t>Departementet mene</w:t>
      </w:r>
      <w:r>
        <w:t>r at det verken vil være hensiktsmessig eller tilstrekkelig alene å basere formidling av opplysninger på samtykke. Det vil være krevende, om ikke umulig, å innhente samtykke fra alle aktuelle berørte. Samtidig viser internasjonal forskning at studier baser</w:t>
      </w:r>
      <w:r>
        <w:t>t på samtykke har hatt systematiske skjevheter som forringer validiteten.</w:t>
      </w:r>
    </w:p>
    <w:p w:rsidR="00000000" w:rsidRDefault="00E63E2C" w:rsidP="00E63E2C">
      <w:r>
        <w:t>Lovbestemt taushetsplikt er ikke til hinder for at opplysninger gis i statistisk form eller ved at individualiserende kjennetegn utelates («anonymisering»). Som juridisk grunnlag for</w:t>
      </w:r>
      <w:r>
        <w:t xml:space="preserve"> formidling av opplysninger er dette unntaket begrenset til tilfeller der behovet for beskyttelse er ivaretatt ved at den eller de opplysningene gjelder er effektivt vernet mot å bli identifisert. Vedkommende må heller ikke kunne identifiseres gjennom krys</w:t>
      </w:r>
      <w:r>
        <w:t>skopling av de opplysningene som det er aktuelt å gi og andre opplysninger.</w:t>
      </w:r>
    </w:p>
    <w:p w:rsidR="00000000" w:rsidRDefault="00E63E2C" w:rsidP="00E63E2C">
      <w:r>
        <w:t>Disse begrensningene innebærer etter departementets syn at heller ikke anonymisering er et tilstrekkelig hjemmelsgrunnlag for å gi utvalget tilgang til opplysninger i konkrete sake</w:t>
      </w:r>
      <w:r>
        <w:t>r. Det vil ikke være mulig å innhente og kople sammen opplysninger fra flere tjenester i samme sak, uten at de som skal be om opplysninger kan identifisere saken og den personen saken gjelder. Dersom utvalget skulle basere seg på anonymisering, vil dette d</w:t>
      </w:r>
      <w:r>
        <w:t>erfor blant annet utelukke å innhente opplysninger i saker som er blitt omtalt i mediene på en måte som har identifisert gjerningsperson eller fornærmede.</w:t>
      </w:r>
    </w:p>
    <w:p w:rsidR="00000000" w:rsidRDefault="00E63E2C" w:rsidP="00E63E2C">
      <w:pPr>
        <w:rPr>
          <w:rStyle w:val="kursiv"/>
          <w:sz w:val="21"/>
          <w:szCs w:val="21"/>
        </w:rPr>
      </w:pPr>
      <w:r>
        <w:rPr>
          <w:rStyle w:val="kursiv"/>
          <w:sz w:val="21"/>
          <w:szCs w:val="21"/>
        </w:rPr>
        <w:t xml:space="preserve">For det andre </w:t>
      </w:r>
      <w:r>
        <w:t>må det sikres at utvalget har et tilstrekkelig rettsgrunnlag ett</w:t>
      </w:r>
      <w:r>
        <w:t xml:space="preserve">er personvernforordningen for innhentingen og den videre behandlingen av personopplysningene, jf. artikkel 6 nr. 1 bokstav e, artikkel 6 nr. 4, artikkel 9 nr. 2 bokstav g og artikkel 10 i personvernforordningen. </w:t>
      </w:r>
    </w:p>
    <w:p w:rsidR="00000000" w:rsidRDefault="00E63E2C" w:rsidP="00E63E2C">
      <w:pPr>
        <w:rPr>
          <w:rStyle w:val="kursiv"/>
          <w:sz w:val="21"/>
          <w:szCs w:val="21"/>
        </w:rPr>
      </w:pPr>
      <w:r>
        <w:rPr>
          <w:rStyle w:val="kursiv"/>
          <w:sz w:val="21"/>
          <w:szCs w:val="21"/>
        </w:rPr>
        <w:t xml:space="preserve">For det tredje </w:t>
      </w:r>
      <w:r>
        <w:t>må det sikres at utvalgets e</w:t>
      </w:r>
      <w:r>
        <w:t>gen taushetsplikt er regulert på en hensiktsmessig måte. Uten særskilt lovregulering er det de alminnelige reglene om taushetsplikt i forvaltningsloven §§ 13 til 13 f som vil gjelde. Etter departementets oppfatning er det imidlertid nødvendig å innføre noe</w:t>
      </w:r>
      <w:r>
        <w:t xml:space="preserve">n særregler for utvalget. Dette har særlig sammenheng med at utvalget kan få innsyn i svært personsensitive opplysninger fra flere ulike tjenester, som på sin side er bundet av ulike former for taushetsplikt. </w:t>
      </w:r>
    </w:p>
    <w:p w:rsidR="00000000" w:rsidRDefault="00E63E2C" w:rsidP="00E63E2C">
      <w:r>
        <w:t>Etter departementets oppfatning er det således</w:t>
      </w:r>
      <w:r>
        <w:t xml:space="preserve"> både behov for å lovregulere hvilken taushetsplikt som skal gjelde for utvalget og utvalgets adgang til å formidle disse opplysningene. Når det gjelder spørsmålet om hvilke opplysninger som skal være underlagt taushetsplikt, mener departementet at utgangs</w:t>
      </w:r>
      <w:r>
        <w:t>punktet bør være at den vanlige taushetsplikten etter forvaltningsloven skal gjelde for utvalget og de som ellers utfører arbeid eller tjeneste for utvalget. Videre foreslår departementet at det gjøres noen unntak fra reglene i forvaltningsloven for utvalg</w:t>
      </w:r>
      <w:r>
        <w:t xml:space="preserve">ets adgang til å formidle taushetsbelagte opplysninger. </w:t>
      </w:r>
    </w:p>
    <w:p w:rsidR="00000000" w:rsidRDefault="00E63E2C" w:rsidP="00E63E2C">
      <w:r>
        <w:t>Det er videre behov for visse tilpasninger i reguleringen av utvalgets taushetsplikt og adgang til å formidle opplysninger, siden utvalget kan få innsyn i personsensitive opplysninger fra flere ulike</w:t>
      </w:r>
      <w:r>
        <w:t xml:space="preserve"> tjenester, som på sin side er bundet av ulike former for taushetsplikt.</w:t>
      </w:r>
    </w:p>
    <w:p w:rsidR="00000000" w:rsidRDefault="00E63E2C" w:rsidP="00E63E2C">
      <w:r>
        <w:t>Departementet legger til grunn at det ikke er strengt nødvendig med en formålsbestemmelse i loven, gitt at mandatet tydelig angir formålet med utvalgets arbeid. Departementet legger i</w:t>
      </w:r>
      <w:r>
        <w:t>midlertid til grunn at det er ryddig å tydeliggjøre hvilke oppgaver utvalget har, i tillegg til hvilke opplysninger som er nødvendige og relevante for utvalgets arbeid.</w:t>
      </w:r>
    </w:p>
    <w:p w:rsidR="00000000" w:rsidRDefault="00E63E2C" w:rsidP="00E63E2C">
      <w:pPr>
        <w:pStyle w:val="Overskrift2"/>
      </w:pPr>
      <w:r>
        <w:lastRenderedPageBreak/>
        <w:t>Utvalgets arbeidsområde</w:t>
      </w:r>
    </w:p>
    <w:p w:rsidR="00000000" w:rsidRDefault="00E63E2C" w:rsidP="00E63E2C">
      <w:r>
        <w:t>Departementet viser til at mandatet, sammenholdt med lo</w:t>
      </w:r>
      <w:r>
        <w:t>ven, vil danne den ytre rammen for utvalgets arbeid. Innenfor mandatet og lovens rammer, og så langt det ikke utfordrer påtalemyndighetens og domstolenes uavhengighet, vil utvalget ha noe fleksibilitet i sin utvelgelse av saker, valget av metode, og hvorda</w:t>
      </w:r>
      <w:r>
        <w:t>n funnene og vurderingene av disse skal presenteres i en rapport.</w:t>
      </w:r>
    </w:p>
    <w:p w:rsidR="00000000" w:rsidRDefault="00E63E2C" w:rsidP="00E63E2C">
      <w:r>
        <w:t>Departementet foreslår at samtlige medlemmer av utvalget og utvalgets sekretariat skal ha tilgang til taushetsbelagte personopplysninger i direkte identifiserbar form. Departementet begrunne</w:t>
      </w:r>
      <w:r>
        <w:t>r dette med erfaringene fra Barnevoldsutvalget, hvor kun utvalgets leder, nestleder og sekretariat hadde tilgang til direkte identifiserbare opplysninger. Den praktiske gjennomføringen av avidentifisering var så tidkrevende at man måtte utvide sekretariate</w:t>
      </w:r>
      <w:r>
        <w:t>t med flere personer. Metoden medførte også at sakstilfanget ble snevrere. I tillegg viser departementet til at opplysningene uansett vil være tilgjengelig kun for en meget begrenset personkrets.</w:t>
      </w:r>
    </w:p>
    <w:p w:rsidR="00000000" w:rsidRDefault="00E63E2C" w:rsidP="00E63E2C">
      <w:r>
        <w:t>Utvalget skal, så langt det ikke utfordrer domstolenes og på</w:t>
      </w:r>
      <w:r>
        <w:t>talemyndighetens uavhengighet, kunne innhente de opplysningene de finner nødvendig for å kunne ivareta de oppgaver som følger av mandatet. Dette innebærer tilgang på saksdokumenter på de saksområder som fremgår i mandatet, men også opplysninger om andre sa</w:t>
      </w:r>
      <w:r>
        <w:t>ker vil kunne innhentes.</w:t>
      </w:r>
    </w:p>
    <w:p w:rsidR="00000000" w:rsidRDefault="00E63E2C" w:rsidP="00E63E2C">
      <w:pPr>
        <w:pStyle w:val="Overskrift2"/>
      </w:pPr>
      <w:r>
        <w:t>Adgangen til å gi opplysninger til utvalget</w:t>
      </w:r>
    </w:p>
    <w:p w:rsidR="00000000" w:rsidRDefault="00E63E2C" w:rsidP="00E63E2C">
      <w:r>
        <w:t xml:space="preserve">Det er helt sentralt at utvalget gis best mulig grunnlag for å oppfylle sitt mandat, og gi anbefalinger som kan bidra til å hindre slike saker i fremtiden. Departementets forslag </w:t>
      </w:r>
      <w:r>
        <w:t>innebærer at offentlige myndigheter, personer som er underlagt profesjonsbestemt taushetsplikt, og personer som har taushetsplikt på annet grunnlag, uhindret av taushetsplikt kan gi opplysninger til utvalget. Den foreslåtte bestemmelsen er utformet slik at</w:t>
      </w:r>
      <w:r>
        <w:t xml:space="preserve"> den gir adgang til å gi utvalget tilgang til taushetsbelagte opplysninger, men ingen plikt til å forklare seg eller gi opplysninger til utvalget. </w:t>
      </w:r>
    </w:p>
    <w:p w:rsidR="00000000" w:rsidRDefault="00E63E2C" w:rsidP="00E63E2C">
      <w:r>
        <w:t>Departementet foreslår at medlemmene av utvalget og utvalgets sekretariat skal ha tilgang til saksdokumenter</w:t>
      </w:r>
      <w:r>
        <w:t xml:space="preserve"> i direkte identifiserbar form. Det presiseres at tilgangen til opplysninger er begrenset til de opplysninger som er nødvendige for at utvalget skal kunne utføre sine oppgaver.</w:t>
      </w:r>
    </w:p>
    <w:p w:rsidR="00000000" w:rsidRDefault="00E63E2C" w:rsidP="00E63E2C">
      <w:r>
        <w:t>Departementet foreslår ikke å innføre noen plikt til å gi opplysninger til utva</w:t>
      </w:r>
      <w:r>
        <w:t>lget. For å sikre at utvalget i denne situasjonen kan gjennomføre sin oppdrag på en best mulig måte, er det viktig at informasjonen formidles på frivillig grunnlag, og at det å presentere sin historie ikke skal oppleves som tvangsrelatert. Det kan være god</w:t>
      </w:r>
      <w:r>
        <w:t xml:space="preserve">e grunner for at mange ikke vil gå inn på tidligere saker på nytt eller ikke ønsker mer oppmerksomhet rundt sin person. </w:t>
      </w:r>
    </w:p>
    <w:p w:rsidR="00000000" w:rsidRDefault="00E63E2C" w:rsidP="00E63E2C">
      <w:r>
        <w:t>Departementet legger til grunn at bestemmelsen gir et supplerende rettsgrunnlag for utlevering og innhenting av personopplysninger i sa</w:t>
      </w:r>
      <w:r>
        <w:t>msvar med personvernforordningen artikkel 6 nr. 3, jf. nr. 1 bokstav e, og åpner for viderebehandling i samsvar med artikkel 6 nr. 4. Det legges også til grunn at bestemmelsen gir unntak fra forbudet mot behandling av særlige kategorier av personopplysning</w:t>
      </w:r>
      <w:r>
        <w:t>er, jf. artikkel 9 nr. 2 bokstav g, samt grunnlag i samsvar med artikkel 10 i den grad opplysninger om straffedommer og lovovertredelser behandles utenfor en offentlig myndighets kontroll.</w:t>
      </w:r>
    </w:p>
    <w:p w:rsidR="00000000" w:rsidRDefault="00E63E2C" w:rsidP="00E63E2C">
      <w:r>
        <w:t>I den avveiningen som er foretatt når det gjelder en egen lovbestem</w:t>
      </w:r>
      <w:r>
        <w:t>melse om fritak fra taushetsplikt, har hensynet til samfunnsnytten av utvalgets arbeid vært avgjørende. Departementet mener at det ikke vil være gjennomførbart for utvalget å oppfylle mandatet uten at det gis fritak fra lovbestemte taushetspliktsregler. De</w:t>
      </w:r>
      <w:r>
        <w:t xml:space="preserve">partementet har videre lagt vesentlig vekt på at utvalget er pålagt en like streng taushetsplikt som avgiveren av opplysningene er underlagt, og at loven ikke pålegger noen plikt til å gi opplysninger. </w:t>
      </w:r>
    </w:p>
    <w:p w:rsidR="00000000" w:rsidRDefault="00E63E2C" w:rsidP="00E63E2C">
      <w:r>
        <w:t>Når det gjelder hvem som skal foreta nødvendighetsvur</w:t>
      </w:r>
      <w:r>
        <w:t>deringen, legger departementet til grunn at dette skjer på samme måte som ved vurdering av andre taushetspliktsbestemmelser. Utvalget vil i tillegg kunne bistå i vurderingen av om nødvendighetskravet er oppfylt.</w:t>
      </w:r>
    </w:p>
    <w:p w:rsidR="00000000" w:rsidRDefault="00E63E2C" w:rsidP="00E63E2C">
      <w:r>
        <w:t>Loven gir fritak fra taushetsplikt, og depar</w:t>
      </w:r>
      <w:r>
        <w:t>tementet mener det derfor ikke er behov for å henvise til forvaltningsmessig taushetsplikt i § 2.</w:t>
      </w:r>
    </w:p>
    <w:p w:rsidR="00000000" w:rsidRDefault="00E63E2C" w:rsidP="00E63E2C">
      <w:pPr>
        <w:pStyle w:val="Overskrift2"/>
      </w:pPr>
      <w:r>
        <w:lastRenderedPageBreak/>
        <w:t>Utvalgets taushetsplikt og adgang til å formidle opplysninger</w:t>
      </w:r>
    </w:p>
    <w:p w:rsidR="00000000" w:rsidRDefault="00E63E2C" w:rsidP="00E63E2C">
      <w:r>
        <w:t>Departementet viser til at utvalget er et offentlig organ. Dette innebær</w:t>
      </w:r>
      <w:r>
        <w:t>er blant annet at dersom ikke annet er bestemt i eller i medhold av lov, er det de alminnelige reglene om taushetsplikt i forvaltningsloven §§ 13 til 13 f som vil gjelde. Departementet foreslår at forvaltningslovens taushetspliktsbestemmelser med noen unnt</w:t>
      </w:r>
      <w:r>
        <w:t xml:space="preserve">ak skal gjelde for utvalget. Dette innebærer at utvalget og utvalgets sekretariat vil omfattes av forvaltningsloven § 13 som blant annet oppstiller en plikt til å hindre at andre får adgang eller kjennskap til opplysninger om «noens personlige forhold». </w:t>
      </w:r>
    </w:p>
    <w:p w:rsidR="00000000" w:rsidRDefault="00E63E2C" w:rsidP="00E63E2C">
      <w:r>
        <w:t>E</w:t>
      </w:r>
      <w:r>
        <w:t xml:space="preserve">tter forvaltningsloven § 13 annet ledd regnes ikke opplysninger om fødested, fødselsdato og personnummer, statsborgerforhold, sivilstand, yrke, bopel og arbeidssted som et personlig forhold, med mindre slike opplysninger røper et klientforhold eller andre </w:t>
      </w:r>
      <w:r>
        <w:t xml:space="preserve">forhold som må anses som personlige. Departementet legger i den forbindelse til grunn at opplysningene det er aktuelt å formidle til utvalget, typisk vil være opplysninger som regnes som personlige forhold underlagt taushetsplikt. </w:t>
      </w:r>
    </w:p>
    <w:p w:rsidR="00000000" w:rsidRDefault="00E63E2C" w:rsidP="00E63E2C">
      <w:r>
        <w:t>Det foreslås videre noen</w:t>
      </w:r>
      <w:r>
        <w:t xml:space="preserve"> unntak fra forvaltningslovens taushetspliktsregler. </w:t>
      </w:r>
    </w:p>
    <w:p w:rsidR="00000000" w:rsidRDefault="00E63E2C" w:rsidP="00E63E2C">
      <w:r>
        <w:t>Siden opplysningene utvalget vil motta, må regnes som til dels svært sensitive, foreslår departementet at utvalgets taushetsplikt skal gjelde i 100 år. Etter forvaltningsloven bortfaller taushetsplikten</w:t>
      </w:r>
      <w:r>
        <w:t xml:space="preserve"> etter 60 år. </w:t>
      </w:r>
    </w:p>
    <w:p w:rsidR="00000000" w:rsidRDefault="00E63E2C" w:rsidP="00E63E2C">
      <w:r>
        <w:t xml:space="preserve">Dernest foreslås det at dersom utvalget mottar opplysninger som er underlagt strengere taushetsplikt enn det som følger av forvaltningsloven, skal de strengere reglene gjelde. Bestemmelsen er begrunnet med at utvalget vil motta opplysninger </w:t>
      </w:r>
      <w:r>
        <w:t xml:space="preserve">fra personer som er underlagt en strengere taushetsplikt enn det som følger av forvaltningslovens alminnelige regler. </w:t>
      </w:r>
    </w:p>
    <w:p w:rsidR="00000000" w:rsidRDefault="00E63E2C" w:rsidP="00E63E2C">
      <w:r>
        <w:t>Endelig foreslås det at forvaltningsloven § 13 b første ledd nr. 6 ikke skal gjelde for utvalget. Etter denne bestemmelsen er taushetspli</w:t>
      </w:r>
      <w:r>
        <w:t>kt etter § 13 ikke til hinder for at forvaltningsorganet anmelder eller gir opplysninger om lovbrudd til påtalemyndigheten eller vedkommende kontrollmyndighet, når det finnes ønskelig av allmenne omsyn eller forfølgning av lovbruddet har naturlig sammenhen</w:t>
      </w:r>
      <w:r>
        <w:t xml:space="preserve">g med avgiverorganets oppgaver. Departementet viser til formålet med utvalgets arbeid og viktigheten av at de får tilgang til nødvendige opplysninger. Det siste alternativet ville trolig ikke være aktuelt for utvalget i noe tilfelle. </w:t>
      </w:r>
    </w:p>
    <w:p w:rsidR="00000000" w:rsidRDefault="00E63E2C" w:rsidP="00E63E2C">
      <w:r>
        <w:t xml:space="preserve">Departementet legger </w:t>
      </w:r>
      <w:r>
        <w:t>til grunn at bestemmelsen gir rettsgrunnlag for utlevering der dette er nødvendig etter personvernforordningen artikkel 6 nr. 3 og nr. 4, artikkel 9 og artikkel 10.</w:t>
      </w:r>
    </w:p>
    <w:p w:rsidR="00000000" w:rsidRDefault="00E63E2C" w:rsidP="00E63E2C">
      <w:pPr>
        <w:pStyle w:val="Overskrift2"/>
      </w:pPr>
      <w:r>
        <w:t>Utvalgets adgang til å behandle personopplysninger</w:t>
      </w:r>
    </w:p>
    <w:p w:rsidR="00000000" w:rsidRDefault="00E63E2C" w:rsidP="00E63E2C">
      <w:r>
        <w:t>Departementet viser til at lovfo</w:t>
      </w:r>
      <w:r>
        <w:t>rslaget vil innebære at utvalget vil innhente personopplysninger og ofte særlige kategorier av personopplysninger, samt i noen tilfeller personopplysninger om straffedommer og lovovertredelser. På bakgrunn av at verken samtykke eller anonymisering anses so</w:t>
      </w:r>
      <w:r>
        <w:t>m tilstrekkelige grunnlag for utvalgets innhenting av personopplysninger, legger departementet til grunn at en uttrykkelig lovhjemmel for behandling av personopplysninger, herunder særlige kategorier av personopplysninger og personopplysninger om straffedo</w:t>
      </w:r>
      <w:r>
        <w:t xml:space="preserve">mmer og lovovertredelser, er nødvendig. </w:t>
      </w:r>
    </w:p>
    <w:p w:rsidR="00000000" w:rsidRDefault="00E63E2C" w:rsidP="00E63E2C">
      <w:r>
        <w:t>Departementet foreslår en bestemmelse som gjør unntak fra den registrertes rett til innsyn i personopplysningene om vedkommende etter personvernforordningen artikkel 15. Formuleringen «så langt» i denne bestemmelsen</w:t>
      </w:r>
      <w:r>
        <w:t xml:space="preserve"> er vesentlig for at begrensningen skal være i tråd med forordningen artikkel 23. Uforholdsmessighetsvurderingen skal være i samsvar med det som gjelder for vitenskapelige forskningsformål etter personopplysningsloven § 17, jf. spesialmerknadene i Prop. 56</w:t>
      </w:r>
      <w:r>
        <w:t xml:space="preserve"> LS (2017–2018) side 217–218:</w:t>
      </w:r>
    </w:p>
    <w:p w:rsidR="00000000" w:rsidRDefault="00E63E2C" w:rsidP="00E63E2C">
      <w:pPr>
        <w:pStyle w:val="blokksit"/>
      </w:pPr>
      <w:r>
        <w:t>«Det kan bare gjøres unntak i den utstrekning innsyn er uforholdsmessig. Det må derfor foretas en konkret vurdering av de ulike typene informasjon som omfattes av artikkel 15. Det kan for eksempel kreve en uforholdsmessig inns</w:t>
      </w:r>
      <w:r>
        <w:t>ats å gi en kopi av personopplysningene som behandles, jf. artikkel 15 nr. 3, men ikke å gi slik generell informasjon som er nevnt i artikkel 15 nr. 1 og 2. Da vil det foreligge innsynsrett etter artikkel 15 nr. 1 og 2, men ikke etter nr. 3. I forholdsmess</w:t>
      </w:r>
      <w:r>
        <w:t>ighetsvurderingen inngår ikke bare den enkelte innsynsbegjæringen; også den samlede mengden av innsynsbegjæringer og potensielle innsynsbegjæringer kan tas i betraktning.»</w:t>
      </w:r>
    </w:p>
    <w:p w:rsidR="00000000" w:rsidRDefault="00E63E2C" w:rsidP="00E63E2C">
      <w:r>
        <w:lastRenderedPageBreak/>
        <w:t>Departementet legger til grunn at det følger av personvernforordningen at nasjonal r</w:t>
      </w:r>
      <w:r>
        <w:t>ett kan begrense rettighetene til den registrerte når en slik begrensning overholder det vesentligste innholdet i de grunnleggende rettighetene og frihetene, og er et nødvendig og forholdsmessig tiltak i et demokratisk samfunn for å sikre «viktige mål av g</w:t>
      </w:r>
      <w:r>
        <w:t xml:space="preserve">enerell allmenn interesse». </w:t>
      </w:r>
    </w:p>
    <w:p w:rsidR="00000000" w:rsidRDefault="00E63E2C" w:rsidP="00E63E2C">
      <w:r>
        <w:t>Det presiseres at innsynsretten er en sentral rettighet for ivaretakelse av personvernet.</w:t>
      </w:r>
    </w:p>
    <w:p w:rsidR="00000000" w:rsidRDefault="00E63E2C" w:rsidP="00E63E2C">
      <w:r>
        <w:t>På bakgrunn av at utvalgets arbeid skal foregå innenfor en tidsavgrenset periode, er departementets vurdering at det ikke er hensiktsmess</w:t>
      </w:r>
      <w:r>
        <w:t xml:space="preserve">ig dersom en vesentlig del av utvalgets arbeidstid går med til å behandle innsynskrav. Departementet foreslår derfor at innsynsretten etter personvernforordningen ikke skal gjelde dersom det vil kreve en uforholdsmessig stor innsats å gi innsyn. Det vises </w:t>
      </w:r>
      <w:r>
        <w:t xml:space="preserve">til at tilsvarende unntak gjelder ved behandling av personopplysninger for vitenskapelige forskningsformål. </w:t>
      </w:r>
    </w:p>
    <w:p w:rsidR="00000000" w:rsidRDefault="00E63E2C" w:rsidP="00E63E2C">
      <w:r>
        <w:t xml:space="preserve">Departementet foreslår ingen ytterligere begrensninger i den registrertes rettigheter etter personvernforordningen. </w:t>
      </w:r>
    </w:p>
    <w:p w:rsidR="00000000" w:rsidRDefault="00E63E2C" w:rsidP="00E63E2C">
      <w:r>
        <w:t>Utvalget skal løp</w:t>
      </w:r>
      <w:r>
        <w:t xml:space="preserve">ende vurdere hvorvidt de personopplysninger som til enhver tid behandles, er nødvendige for å gjennomføre oppgavene i utvalgets mandat. Departementet viser til personvernforordningen artikkel 5 nr. 1 bokstav b og c, hvor det følger av formålsbegrensningen </w:t>
      </w:r>
      <w:r>
        <w:t>i bokstav b at når formål eller delformål er oppfylt, skal personopplysningene ikke lenger behandles. Etter bokstav c om dataminimering skal behandling av personopplysninger være adekvate, relevante og begrenset til det som er nødvendig for formålene de be</w:t>
      </w:r>
      <w:r>
        <w:t>handles for.</w:t>
      </w:r>
    </w:p>
    <w:p w:rsidR="00000000" w:rsidRDefault="00E63E2C" w:rsidP="00E63E2C">
      <w:r>
        <w:t xml:space="preserve">Disse prinsippene i artikkel 5 gjelder uansett for utvalgets behandling av personopplysninger. </w:t>
      </w:r>
    </w:p>
    <w:p w:rsidR="00000000" w:rsidRDefault="00E63E2C" w:rsidP="00E63E2C">
      <w:r>
        <w:t>Departementet legger til grunn at utvalget selv vil være behandlingsansvarlig da utvalget vil gjennomføre sitt arbeid uavhengig av Arbeids- og sosi</w:t>
      </w:r>
      <w:r>
        <w:t>aldepartementet og Justis- og beredskapsdepartementet.</w:t>
      </w:r>
    </w:p>
    <w:p w:rsidR="00000000" w:rsidRDefault="00E63E2C" w:rsidP="00E63E2C">
      <w:r>
        <w:t>Når det gjelder personvernforordningen artikkel 35, viser departementet til at i den grad bestemmelsen kommer til anvendelse må utvalget som behandlingsansvarlig foreta personvernkonsekvensvurdering. S</w:t>
      </w:r>
      <w:r>
        <w:t xml:space="preserve">om påpekt av Datatilsynet i høringen forut for Prop. 131 L (2018–2019) må personvernkonsekvensvurderingen omfatte alle involverte det behandles personopplysninger om, dersom artikkel 35 kommer til anvendelse. </w:t>
      </w:r>
    </w:p>
    <w:p w:rsidR="00000000" w:rsidRDefault="00E63E2C" w:rsidP="00E63E2C">
      <w:r>
        <w:t>Departementet mener at selv om utvalgets behan</w:t>
      </w:r>
      <w:r>
        <w:t xml:space="preserve">dling av personopplysninger kan være inngripende, så er samfunnsnytten så stor at den begrunner dette. </w:t>
      </w:r>
    </w:p>
    <w:p w:rsidR="00000000" w:rsidRDefault="00E63E2C" w:rsidP="00E63E2C">
      <w:r>
        <w:t>Etter personvernforordningen artikkel 23 nr. 1 bokstav e kan det gjøres unntak fra den registrertes rettigheter dersom det er et nødvendig og forholdsme</w:t>
      </w:r>
      <w:r>
        <w:t xml:space="preserve">ssig tiltak for å sikre andre viktige mål av generell allmenn interesse for medlemsstaten. Bestemmelsen gir rettsgrunnlag for å innføre begrensningen i retten til innsyn. </w:t>
      </w:r>
    </w:p>
    <w:p w:rsidR="00000000" w:rsidRDefault="00E63E2C" w:rsidP="00E63E2C">
      <w:r>
        <w:t>Når det gjelder muligheten for å få overprøvd et eventuelt avslag på innsynskrav, vi</w:t>
      </w:r>
      <w:r>
        <w:t xml:space="preserve">ser departementet til at det er mulig å klage til Datatilsynet. Unntaket fra innsynsretten er ikke ment å begrense den registrertes rett til å klage og å bruke rettsmidler etter personvernforordningen kapittel 8. </w:t>
      </w:r>
    </w:p>
    <w:p w:rsidR="00000000" w:rsidRDefault="00E63E2C" w:rsidP="00E63E2C">
      <w:pPr>
        <w:pStyle w:val="Overskrift2"/>
      </w:pPr>
      <w:r>
        <w:t>Forholdet til arkivregelverket</w:t>
      </w:r>
    </w:p>
    <w:p w:rsidR="00000000" w:rsidRDefault="00E63E2C" w:rsidP="00E63E2C">
      <w:r>
        <w:t>Dep</w:t>
      </w:r>
      <w:r>
        <w:t>artementet viser til at personvernforordningen i artikkel 17 fastsetter at den registrerte ikke kan kreve sletting av personopplysninger når behandling er nødvendig for å oppfylle en rettslig forpliktelse, for eksempel arkiveringsplikt. Opplysninger som fa</w:t>
      </w:r>
      <w:r>
        <w:t>ller inn under arkiveringsplikten etter arkivlova og forskrift om offentlege arkiv, vil ikke kunne slettes. For alle andre opplysninger foreslår departementet en bestemmelse om at disse skal slettes når utvalget har avsluttet sitt arbeid. Det vil derfor ik</w:t>
      </w:r>
      <w:r>
        <w:t>ke være behov for å utarbeide egne kassasjonsregler for utvalget. Det forutsettes at utvalget vil ta kontakt med Arkivverket i forbindelse med avleveringen av arkivmaterialet.</w:t>
      </w:r>
    </w:p>
    <w:p w:rsidR="00000000" w:rsidRDefault="00E63E2C" w:rsidP="00E63E2C">
      <w:pPr>
        <w:pStyle w:val="Overskrift2"/>
      </w:pPr>
      <w:r>
        <w:t>Tidsavgrensning</w:t>
      </w:r>
    </w:p>
    <w:p w:rsidR="00000000" w:rsidRDefault="00E63E2C" w:rsidP="00E63E2C">
      <w:r>
        <w:t>Departementet foreslår at bestemmelsene som regulerer ut</w:t>
      </w:r>
      <w:r>
        <w:t>valgets tilgang til opplysninger og behandling av personopplysninger, oppheves når utvalget har levert sin utredning.</w:t>
      </w:r>
    </w:p>
    <w:p w:rsidR="00000000" w:rsidRDefault="00E63E2C" w:rsidP="00E63E2C">
      <w:r>
        <w:t>Departementet mener det vil være vanskelig å begrense utvalgets tilgang til opplysninger innenfor den perioden utvalget skal arbeide, og a</w:t>
      </w:r>
      <w:r>
        <w:t xml:space="preserve">t mulige begrensninger kan lede til at utvalgets arbeid ikke blir fullstendig. </w:t>
      </w:r>
    </w:p>
    <w:p w:rsidR="00000000" w:rsidRDefault="00E63E2C" w:rsidP="00E63E2C">
      <w:r>
        <w:lastRenderedPageBreak/>
        <w:t xml:space="preserve">Departementet viser til personvernforordningen artikkel 5 nr. 1 bokstav b, c og e hvor det følger av formålsbegrensningen i bokstav b at når formål eller delformål er oppfylt, </w:t>
      </w:r>
      <w:r>
        <w:t>skal personopplysningene ikke lenger behandles. Etter bokstav c om dataminimering skal behandling av personopplysninger være adekvate, relevante og begrenset til det som er nødvendig for formålene de behandles for. Bokstav e omhandler lagringsbegrensning o</w:t>
      </w:r>
      <w:r>
        <w:t>g fastsetter blant annet at personopplysninger skal lagres slik at det ikke er mulig å identifisere de registrerte i lengre perioder enn det som er nødvendig for formålene som personopplysningene behandles for.</w:t>
      </w:r>
    </w:p>
    <w:p w:rsidR="00000000" w:rsidRDefault="00E63E2C" w:rsidP="00E63E2C">
      <w:pPr>
        <w:pStyle w:val="Overskrift2"/>
      </w:pPr>
      <w:r>
        <w:t>Forbud mot bruk av opplysninger som b</w:t>
      </w:r>
      <w:r>
        <w:t>evis i senere saker</w:t>
      </w:r>
    </w:p>
    <w:p w:rsidR="00000000" w:rsidRDefault="00E63E2C" w:rsidP="00E63E2C">
      <w:r>
        <w:t>Departementet foreslår at det inntas en bestemmelse om at opplysninger utvalget har mottatt i sitt arbeid ikke kan brukes som bevis i en eventuell senere straffesak eller sivil sak.</w:t>
      </w:r>
    </w:p>
    <w:p w:rsidR="00000000" w:rsidRDefault="00E63E2C" w:rsidP="00E63E2C">
      <w:r>
        <w:t>Straffeprosessloven § 118 og tvisteloven § 22-</w:t>
      </w:r>
      <w:r>
        <w:t>3 inneholder bevisforbud om opplysninger undergitt lovbestemt taushetsplikt. Uten samtykke fra departementet kan retten ikke ta imot forklaring fra et vitne, eller på annen måte få fremlagt bevis som inneholder slike opplysninger. Det fremgår av § 118 førs</w:t>
      </w:r>
      <w:r>
        <w:t>te ledd tredje punktum at departementet bare kan nekte samtykke når «åpenbaringen vil kunne utsette staten eller allmenne interesser for skade eller virke urimelig overfor den som har krav på hemmelighold». En tilnærmet likelydende bestemmelse følger av tv</w:t>
      </w:r>
      <w:r>
        <w:t>isteloven § 22-3 annet ledd annet punktum. Dersom samtykke gis vil en tjenestemann i utgangspunktet ha plikt til å avgi forklaring på vanlig måte.</w:t>
      </w:r>
    </w:p>
    <w:p w:rsidR="00000000" w:rsidRDefault="00E63E2C" w:rsidP="00E63E2C">
      <w:r>
        <w:t>Etter departementets syn er det nødvendig for utvalgets arbeid at det sikres best mulig tilgang til opplysnin</w:t>
      </w:r>
      <w:r>
        <w:t>ger, og at forklaringene som gis til utvalget er mest mulig fullstendige. Uten en bestemmelse om bevisforbud antar departementet at flere (helt eller delvis) vil kunne avstå fra å gi opplysninger til utvalget. Departementet viser til at en tilsvarende best</w:t>
      </w:r>
      <w:r>
        <w:t>emmelse er vedtatt for Partnerdrapsutvalget, se Stortingets vedtak til lov om informasjonstilgang m.m. for Partnerdrapsutvalget (Lovvedtak 5 (2019–2020), jf. Innst. 27 L (2019–2020) § 7, og begrunnelsen i Prop. 131 L (2018–2019) punkt 5.8. De samme hensyne</w:t>
      </w:r>
      <w:r>
        <w:t xml:space="preserve">ne gjør seg gjeldende her. </w:t>
      </w:r>
    </w:p>
    <w:p w:rsidR="00000000" w:rsidRDefault="00E63E2C" w:rsidP="00E63E2C">
      <w:r>
        <w:t>Departementet viser til at lovbestemmelsen er en spesialregel som på sitt felt går foran straffeprosessloven og tvisteloven. Bestemmelsen er rettet mot utvekslingen av informasjon mellom utvalget og personer som gir opplysninger</w:t>
      </w:r>
      <w:r>
        <w:t xml:space="preserve"> til utvalget. Det innføres ikke et generelt bevisforbud for visse opplysninger, og bestemmelsen er heller ikke til hinder for at en person som gir informasjon til utvalget ellers må forklare seg om samme forhold etter de alminnelige reglene om bevistilgan</w:t>
      </w:r>
      <w:r>
        <w:t>g.</w:t>
      </w:r>
    </w:p>
    <w:p w:rsidR="00000000" w:rsidRDefault="00E63E2C" w:rsidP="00E63E2C">
      <w:pPr>
        <w:pStyle w:val="Overskrift1"/>
      </w:pPr>
      <w:r>
        <w:t>Økonomiske og administrative konsekvenser av forslagene</w:t>
      </w:r>
    </w:p>
    <w:p w:rsidR="00000000" w:rsidRDefault="00E63E2C" w:rsidP="00E63E2C">
      <w:r>
        <w:t>Lovforslaget vil i liten grad ha økonomiske eller administrative konsekvenser. Kostnadene ved utvalgets arbeid dekkes innenfor Arbeids- og sosialdepartementets ordinære budsjettramme.</w:t>
      </w:r>
    </w:p>
    <w:p w:rsidR="00000000" w:rsidRDefault="00E63E2C" w:rsidP="00E63E2C">
      <w:pPr>
        <w:pStyle w:val="Overskrift1"/>
      </w:pPr>
      <w:r>
        <w:t>Merkn</w:t>
      </w:r>
      <w:r>
        <w:t>ader til de enkelte bestemmelsene</w:t>
      </w:r>
    </w:p>
    <w:p w:rsidR="00000000" w:rsidRDefault="00E63E2C" w:rsidP="00E63E2C">
      <w:pPr>
        <w:pStyle w:val="avsnitt-undertittel"/>
      </w:pPr>
      <w:r>
        <w:t>Til § 1</w:t>
      </w:r>
    </w:p>
    <w:p w:rsidR="00000000" w:rsidRDefault="00E63E2C" w:rsidP="00E63E2C">
      <w:r>
        <w:t xml:space="preserve">Bestemmelsen fastsetter at formålet med loven er å sikre at utvalget for ekstern gransking av saken knyttet til feilaktig praktisering av adgangen til å motta sykepenger, arbeidsavklaringspenger og pleiepenger ved </w:t>
      </w:r>
      <w:r>
        <w:t xml:space="preserve">opphold i et annet EØS-land, får nødvendige opplysninger for å få utført sitt arbeid. </w:t>
      </w:r>
    </w:p>
    <w:p w:rsidR="00000000" w:rsidRDefault="00E63E2C" w:rsidP="00E63E2C">
      <w:pPr>
        <w:pStyle w:val="avsnitt-undertittel"/>
      </w:pPr>
      <w:r>
        <w:t>Til § 2</w:t>
      </w:r>
    </w:p>
    <w:p w:rsidR="00000000" w:rsidRDefault="00E63E2C" w:rsidP="00E63E2C">
      <w:r>
        <w:t xml:space="preserve">Bestemmelsen fastsetter at enhver kan gi utvalget opplysninger som er nødvendige for utvalgets arbeid, uten hinder av taushetsplikt. </w:t>
      </w:r>
    </w:p>
    <w:p w:rsidR="00000000" w:rsidRDefault="00E63E2C" w:rsidP="00E63E2C">
      <w:pPr>
        <w:pStyle w:val="avsnitt-undertittel"/>
      </w:pPr>
      <w:r>
        <w:t>Til § 3</w:t>
      </w:r>
    </w:p>
    <w:p w:rsidR="00000000" w:rsidRDefault="00E63E2C" w:rsidP="00E63E2C">
      <w:r>
        <w:t xml:space="preserve">Paragrafen en regulerer taushetsplikten til utvalget og andre som utfører tjeneste eller arbeid for utvalget. Dette kan for eksempel være en ekstern utreder som ikke inngår i det vanlige sekretariatet, men også </w:t>
      </w:r>
      <w:r>
        <w:lastRenderedPageBreak/>
        <w:t xml:space="preserve">noen som utfører rent praktiske oppgaver som </w:t>
      </w:r>
      <w:r>
        <w:t xml:space="preserve">levering, transport osv., og som gjennom dette blir kjent med taushetsbelagte opplysninger. </w:t>
      </w:r>
    </w:p>
    <w:p w:rsidR="00000000" w:rsidRDefault="00E63E2C" w:rsidP="00E63E2C">
      <w:r>
        <w:t>Forvaltningslovens regler om taushetsplikt gjelder for utvalget, med unntak av noen særregler.</w:t>
      </w:r>
    </w:p>
    <w:p w:rsidR="00000000" w:rsidRDefault="00E63E2C" w:rsidP="00E63E2C">
      <w:r>
        <w:t>Det følger av § 3 første ledd første punktum at taushetsplikten bort</w:t>
      </w:r>
      <w:r>
        <w:t xml:space="preserve">faller først etter 100 år. Den vanlige fristen etter forvaltningsloven § 13 c tredje ledder på 60 år. Etter første ledd andre punktum gjelder ikke forvaltningsloven § 13 b første ledd nr. 6 for utvalget. Utvalget kan derfor ikke gi påtalemyndigheten eller </w:t>
      </w:r>
      <w:r>
        <w:t>kontrollmyndigheter opplysninger om lovbrudd ut fra allmenne hensyn.</w:t>
      </w:r>
    </w:p>
    <w:p w:rsidR="00000000" w:rsidRDefault="00E63E2C" w:rsidP="00E63E2C">
      <w:r>
        <w:t>Etter § 3 andre ledd kan utvalget og andre som utfører arbeid eller tjeneste for utvalget, få en strengere taushetsplikt enn det som følger av forvaltningslovens alminnelige regler. I til</w:t>
      </w:r>
      <w:r>
        <w:t xml:space="preserve">feller der utvalget eller andre som utfører arbeid eller tjeneste for utvalget, mottar opplysninger som er underlagt strengere regler om taushetsplikt enn det som følger av forvaltningsloven, vil opplysningene være underlagt de samme strengere reglene for </w:t>
      </w:r>
      <w:r>
        <w:t xml:space="preserve">taushetsplikt som følger av vedkommende særlov. </w:t>
      </w:r>
    </w:p>
    <w:p w:rsidR="00000000" w:rsidRDefault="00E63E2C" w:rsidP="00E63E2C">
      <w:pPr>
        <w:pStyle w:val="avsnitt-undertittel"/>
      </w:pPr>
      <w:r>
        <w:t>Til § 4</w:t>
      </w:r>
    </w:p>
    <w:p w:rsidR="00000000" w:rsidRDefault="00E63E2C" w:rsidP="00E63E2C">
      <w:r>
        <w:t xml:space="preserve">Paragrafen regulerer utvalgets behandling av personopplysninger. Bakgrunnen for bestemmelsen er at utvalget i sitt arbeid vil behandle en rekke personopplysninger uten samtykke fra dem opplysningene </w:t>
      </w:r>
      <w:r>
        <w:t xml:space="preserve">gjelder. </w:t>
      </w:r>
    </w:p>
    <w:p w:rsidR="00000000" w:rsidRDefault="00E63E2C" w:rsidP="00E63E2C">
      <w:r>
        <w:t>Første ledd presiserer at utvalget har hjemmel i lov til å behandle de personopplysningene som er nødvendige for formålet med utvalgets arbeid, uten samtykke fra dem opplysningene gjelder, og at hjemmelen omfatter særlige kategorier av personoppl</w:t>
      </w:r>
      <w:r>
        <w:t xml:space="preserve">ysninger etter personvernforordningen artikkel 9 og personopplysninger om straffedommer og lovovertredelser etter samme forordning artikkel 10. </w:t>
      </w:r>
    </w:p>
    <w:p w:rsidR="00000000" w:rsidRDefault="00E63E2C" w:rsidP="00E63E2C">
      <w:r>
        <w:t>Utvalgets forholdsmessighetsvurdering skal være i samsvar med det som gjelder for vitenskapelige forskningsform</w:t>
      </w:r>
      <w:r>
        <w:t>ål, jf. Prop. 56 LS (2017–2018) punkt 38.1 under merknadene til § 17, hvor det blant annet uttales at «i forholdsmessighetsvurderingen inngår ikke bare den enkelte innsynsbegjæringen; også den samlede mengden av innsynsbegjæringer og potensielle innsynsbeg</w:t>
      </w:r>
      <w:r>
        <w:t>jæringer kan tas i betraktning».</w:t>
      </w:r>
    </w:p>
    <w:p w:rsidR="00000000" w:rsidRDefault="00E63E2C" w:rsidP="00E63E2C">
      <w:r>
        <w:t xml:space="preserve">Bestemmelsen medfører ingen begrensning i den registrertes rett til å klage og bruke rettsmidler etter personvernforordningen kapittel 8. </w:t>
      </w:r>
    </w:p>
    <w:p w:rsidR="00000000" w:rsidRDefault="00E63E2C" w:rsidP="00E63E2C">
      <w:pPr>
        <w:pStyle w:val="avsnitt-undertittel"/>
      </w:pPr>
      <w:r>
        <w:t>Til § 5</w:t>
      </w:r>
    </w:p>
    <w:p w:rsidR="00000000" w:rsidRDefault="00E63E2C" w:rsidP="00E63E2C">
      <w:r>
        <w:t>Bestemmelsen fastsetter at opplysninger som utvalget har mottatt i medhold a</w:t>
      </w:r>
      <w:r>
        <w:t>v § 2, ikke kan brukes som bevis i en senere straffesak eller sivil sak. Bestemmelsen er rettet mot utveksling av opplysninger mellom utvalget og tredjepersoner som gir opplysninger til utvalget. På sitt område går bestemmelsen foran tvisteloven og straffe</w:t>
      </w:r>
      <w:r>
        <w:t xml:space="preserve">prosessloven, noe som blant annet innebærer at unntakene fra bevisforbudet i tvisteloven § 22-3 annet </w:t>
      </w:r>
      <w:r>
        <w:rPr>
          <w:spacing w:val="-2"/>
        </w:rPr>
        <w:t>og tredje ledd og de tilsvarende unntakene i straffe</w:t>
      </w:r>
      <w:r>
        <w:t>prosessloven § 118 ikke kommer til anvendelse.</w:t>
      </w:r>
    </w:p>
    <w:p w:rsidR="00000000" w:rsidRDefault="00E63E2C" w:rsidP="00E63E2C">
      <w:pPr>
        <w:pStyle w:val="avsnitt-undertittel"/>
      </w:pPr>
      <w:r>
        <w:t>Til § 6</w:t>
      </w:r>
    </w:p>
    <w:p w:rsidR="00000000" w:rsidRDefault="00E63E2C" w:rsidP="00E63E2C">
      <w:r>
        <w:t>Det foreslås at alt materialet som ikke skal av</w:t>
      </w:r>
      <w:r>
        <w:t>leveres til Arkivverket, skal kasseres etter at utvalget har avsluttet sitt arbeid. Dette vil være materiale som ikke er omfattet av arkiveringsplikten etter forskrift om offentlege arkiv § 14 eller bevaringspåbudet i forskriften § 15.</w:t>
      </w:r>
    </w:p>
    <w:p w:rsidR="00000000" w:rsidRDefault="00E63E2C" w:rsidP="00E63E2C">
      <w:pPr>
        <w:pStyle w:val="avsnitt-undertittel"/>
      </w:pPr>
      <w:r>
        <w:t>Til § 7</w:t>
      </w:r>
    </w:p>
    <w:p w:rsidR="00000000" w:rsidRDefault="00E63E2C" w:rsidP="00E63E2C">
      <w:r>
        <w:t>Loven skal t</w:t>
      </w:r>
      <w:r>
        <w:t>re i kraft straks. Etter bestemmelsen skal lovens §§ 2 og 4 gjelde inntil utvalget har levert sin utredning.</w:t>
      </w:r>
    </w:p>
    <w:p w:rsidR="00000000" w:rsidRDefault="00E63E2C" w:rsidP="00E63E2C">
      <w:pPr>
        <w:pStyle w:val="a-tilraar-dep"/>
      </w:pPr>
      <w:r>
        <w:lastRenderedPageBreak/>
        <w:t>Arbeids- og sosialdepartementet</w:t>
      </w:r>
    </w:p>
    <w:p w:rsidR="00000000" w:rsidRDefault="00E63E2C" w:rsidP="00E63E2C">
      <w:pPr>
        <w:pStyle w:val="a-tilraar-tit"/>
      </w:pPr>
      <w:r>
        <w:t>tilrår:</w:t>
      </w:r>
    </w:p>
    <w:p w:rsidR="00000000" w:rsidRDefault="00E63E2C" w:rsidP="00E63E2C">
      <w:r>
        <w:t>At Deres Majestet godkjenner og skriver under et framlagt forslag til proposisjon til Stortinget om lov om informasjonstilgang mv. for utvalget for ekstern gransking av saken knyttet til feilaktig praktisering av adgangen til å motta sykepenger, arbeidsavk</w:t>
      </w:r>
      <w:r>
        <w:t>laringspenger og pleiepenger ved opphold i et annet EØS-land.</w:t>
      </w:r>
    </w:p>
    <w:p w:rsidR="00000000" w:rsidRDefault="00E63E2C" w:rsidP="00E63E2C">
      <w:pPr>
        <w:pStyle w:val="a-konge-tekst"/>
        <w:rPr>
          <w:rStyle w:val="halvfet0"/>
          <w:sz w:val="21"/>
          <w:szCs w:val="21"/>
        </w:rPr>
      </w:pPr>
      <w:r>
        <w:rPr>
          <w:rStyle w:val="halvfet0"/>
          <w:sz w:val="21"/>
          <w:szCs w:val="21"/>
        </w:rPr>
        <w:t xml:space="preserve">Vi HARALD, </w:t>
      </w:r>
      <w:r>
        <w:t>Norges Konge,</w:t>
      </w:r>
    </w:p>
    <w:p w:rsidR="00000000" w:rsidRDefault="00E63E2C" w:rsidP="00E63E2C">
      <w:pPr>
        <w:pStyle w:val="a-konge-tit"/>
      </w:pPr>
      <w:r>
        <w:t>stadfester:</w:t>
      </w:r>
    </w:p>
    <w:p w:rsidR="00000000" w:rsidRDefault="00E63E2C" w:rsidP="00E63E2C">
      <w:r>
        <w:t>Stortinget blir bedt om å gjøre vedtak til lov om informasjonstilgang mv. for utvalget for ekstern gransking av saken knyttet til feilaktig praktisering av a</w:t>
      </w:r>
      <w:r>
        <w:t>dgangen til å motta sykepenger, arbeidsavklaringspenger og pleiepenger ved opphold i et annet EØS-land i samsvar med et vedlagt forslag.</w:t>
      </w:r>
    </w:p>
    <w:p w:rsidR="00000000" w:rsidRDefault="00E63E2C" w:rsidP="00E63E2C">
      <w:pPr>
        <w:pStyle w:val="a-vedtak-tit"/>
      </w:pPr>
      <w:r>
        <w:lastRenderedPageBreak/>
        <w:t xml:space="preserve">Forslag </w:t>
      </w:r>
    </w:p>
    <w:p w:rsidR="00000000" w:rsidRDefault="00E63E2C" w:rsidP="00E63E2C">
      <w:pPr>
        <w:pStyle w:val="a-vedtak-tit"/>
      </w:pPr>
      <w:r>
        <w:t xml:space="preserve">til lov om informasjonstilgang mv. for utvalget for ekstern gransking av saken knyttet til feilaktig praktisering av adgangen til å motta sykepenger, arbeidsavklaringspenger </w:t>
      </w:r>
      <w:r>
        <w:t>og pleiepenger ved opphold i et annet EØS-land</w:t>
      </w:r>
    </w:p>
    <w:p w:rsidR="00000000" w:rsidRDefault="00E63E2C" w:rsidP="00E63E2C">
      <w:pPr>
        <w:pStyle w:val="l-paragraf"/>
        <w:rPr>
          <w:rStyle w:val="regular"/>
          <w:sz w:val="21"/>
          <w:szCs w:val="21"/>
        </w:rPr>
      </w:pPr>
      <w:r w:rsidRPr="00E63E2C">
        <w:rPr>
          <w:rStyle w:val="regular"/>
        </w:rPr>
        <w:t>§ 1</w:t>
      </w:r>
      <w:r>
        <w:t xml:space="preserve"> Formålet med loven</w:t>
      </w:r>
    </w:p>
    <w:p w:rsidR="00000000" w:rsidRDefault="00E63E2C" w:rsidP="00E63E2C">
      <w:r>
        <w:t xml:space="preserve">Loven skal </w:t>
      </w:r>
      <w:r>
        <w:t xml:space="preserve">sikre at utvalget for ekstern gransking av saken knyttet til feilaktig praktisering av adgangen til å motta sykepenger, arbeidsavklaringspenger og pleiepenger ved opphold i et annet EØS-land, oppnevnt av Kongen i statsråd 8. november 2019, får tilgang til </w:t>
      </w:r>
      <w:r>
        <w:t>nødvendige opplysninger for å få utført sitt arbeid i henhold til mandatet.</w:t>
      </w:r>
    </w:p>
    <w:p w:rsidR="00000000" w:rsidRDefault="00E63E2C" w:rsidP="00E63E2C">
      <w:pPr>
        <w:pStyle w:val="l-paragraf"/>
        <w:rPr>
          <w:rStyle w:val="regular"/>
          <w:sz w:val="21"/>
          <w:szCs w:val="21"/>
        </w:rPr>
      </w:pPr>
      <w:r w:rsidRPr="00E63E2C">
        <w:rPr>
          <w:rStyle w:val="regular"/>
        </w:rPr>
        <w:t>§ 2</w:t>
      </w:r>
      <w:r>
        <w:t xml:space="preserve"> Opplysninger til utvalget</w:t>
      </w:r>
    </w:p>
    <w:p w:rsidR="00000000" w:rsidRDefault="00E63E2C" w:rsidP="00E63E2C">
      <w:r>
        <w:t>Enhver kan uten hinder av taushetsplikt gi utvalget opplysninger som er nødvendige for utvalgets arbeid.</w:t>
      </w:r>
    </w:p>
    <w:p w:rsidR="00000000" w:rsidRDefault="00E63E2C" w:rsidP="00E63E2C">
      <w:pPr>
        <w:pStyle w:val="l-paragraf"/>
        <w:rPr>
          <w:rStyle w:val="regular"/>
          <w:sz w:val="21"/>
          <w:szCs w:val="21"/>
        </w:rPr>
      </w:pPr>
      <w:r w:rsidRPr="00E63E2C">
        <w:rPr>
          <w:rStyle w:val="regular"/>
        </w:rPr>
        <w:t>§ 3</w:t>
      </w:r>
      <w:r>
        <w:t xml:space="preserve"> Taushetsplikt</w:t>
      </w:r>
    </w:p>
    <w:p w:rsidR="00000000" w:rsidRDefault="00E63E2C" w:rsidP="00E63E2C">
      <w:r>
        <w:t>Medlemmene i utvalget og en</w:t>
      </w:r>
      <w:r>
        <w:t xml:space="preserve">hver som utfører tjeneste eller arbeid for utvalget, har taushetsplikt etter forvaltningsloven §§ 13 til 13 f, likevel slik at taushetsplikten først bortfaller etter 100 år. Forvaltningsloven § 13 b første ledd nr. 6 gjelder ikke. </w:t>
      </w:r>
    </w:p>
    <w:p w:rsidR="00000000" w:rsidRDefault="00E63E2C" w:rsidP="00E63E2C">
      <w:r>
        <w:t>Når personer som nevnt i</w:t>
      </w:r>
      <w:r>
        <w:t xml:space="preserve"> første ledd mottar opplysninger som er undergitt strengere regler om taushetsplikt enn det som følger av forvaltningsloven, skal de strengere reglene gjelde.</w:t>
      </w:r>
    </w:p>
    <w:p w:rsidR="00000000" w:rsidRDefault="00E63E2C" w:rsidP="00E63E2C">
      <w:pPr>
        <w:pStyle w:val="l-paragraf"/>
        <w:rPr>
          <w:rStyle w:val="regular"/>
          <w:sz w:val="21"/>
          <w:szCs w:val="21"/>
        </w:rPr>
      </w:pPr>
      <w:r w:rsidRPr="00E63E2C">
        <w:rPr>
          <w:rStyle w:val="regular"/>
        </w:rPr>
        <w:t>§ 4</w:t>
      </w:r>
      <w:r>
        <w:t xml:space="preserve"> Behandling av personopplysninger</w:t>
      </w:r>
    </w:p>
    <w:p w:rsidR="00000000" w:rsidRDefault="00E63E2C" w:rsidP="00E63E2C">
      <w:r>
        <w:t>Utvalget kan behandle personopplysninger som er nødvendige f</w:t>
      </w:r>
      <w:r>
        <w:t>or formålet med utvalgets arbeid uten samtykke fra dem opplysningene gjelder, også personopplysninger som nevnt i personopplysningsloven § 1, jf. personvernforordningen artikkel 9 og artikkel 10.</w:t>
      </w:r>
    </w:p>
    <w:p w:rsidR="00000000" w:rsidRDefault="00E63E2C" w:rsidP="00E63E2C">
      <w:r>
        <w:t>Retten til innsyn etter personopplysningsloven § 1, jf. pers</w:t>
      </w:r>
      <w:r>
        <w:t>onvernforordningen artikkel 15, gjelder ikke så langt det vil kreve en uforholdsmessig stor innsats å gi innsyn.</w:t>
      </w:r>
    </w:p>
    <w:p w:rsidR="00000000" w:rsidRDefault="00E63E2C" w:rsidP="00E63E2C">
      <w:pPr>
        <w:pStyle w:val="l-paragraf"/>
        <w:rPr>
          <w:rStyle w:val="regular"/>
          <w:sz w:val="21"/>
          <w:szCs w:val="21"/>
        </w:rPr>
      </w:pPr>
      <w:r w:rsidRPr="00E63E2C">
        <w:rPr>
          <w:rStyle w:val="regular"/>
        </w:rPr>
        <w:t>§ 5</w:t>
      </w:r>
      <w:r>
        <w:t xml:space="preserve"> Forbud mot bruk av opplysninger som bevis i senere straffesak eller sivil sak</w:t>
      </w:r>
    </w:p>
    <w:p w:rsidR="00000000" w:rsidRDefault="00E63E2C" w:rsidP="00E63E2C">
      <w:r>
        <w:t>Opplysninger som utvalget har mottatt i medhold av § 2, kan i</w:t>
      </w:r>
      <w:r>
        <w:t>kke brukes som bevis i en senere straffesak eller sivil sak.</w:t>
      </w:r>
    </w:p>
    <w:p w:rsidR="00000000" w:rsidRDefault="00E63E2C" w:rsidP="00E63E2C">
      <w:pPr>
        <w:pStyle w:val="l-paragraf"/>
        <w:rPr>
          <w:rStyle w:val="regular"/>
          <w:sz w:val="21"/>
          <w:szCs w:val="21"/>
        </w:rPr>
      </w:pPr>
      <w:r w:rsidRPr="00E63E2C">
        <w:rPr>
          <w:rStyle w:val="regular"/>
        </w:rPr>
        <w:t>§ 6</w:t>
      </w:r>
      <w:r>
        <w:t xml:space="preserve"> Kassering av dokumenter</w:t>
      </w:r>
    </w:p>
    <w:p w:rsidR="00000000" w:rsidRDefault="00E63E2C" w:rsidP="00E63E2C">
      <w:r>
        <w:t xml:space="preserve">Materiale som ikke skal avleveres til Arkivverket, skal kasserers når utvalget har avsluttet sitt arbeid. </w:t>
      </w:r>
    </w:p>
    <w:p w:rsidR="00000000" w:rsidRDefault="00E63E2C" w:rsidP="00E63E2C">
      <w:pPr>
        <w:pStyle w:val="l-paragraf"/>
        <w:rPr>
          <w:rStyle w:val="regular"/>
          <w:sz w:val="21"/>
          <w:szCs w:val="21"/>
        </w:rPr>
      </w:pPr>
      <w:r w:rsidRPr="00E63E2C">
        <w:rPr>
          <w:rStyle w:val="regular"/>
        </w:rPr>
        <w:t>§ 7</w:t>
      </w:r>
      <w:r>
        <w:t xml:space="preserve"> Ikrafttredelse og opphør</w:t>
      </w:r>
    </w:p>
    <w:p w:rsidR="00000000" w:rsidRDefault="00E63E2C" w:rsidP="00E63E2C">
      <w:r>
        <w:t>Loven trer i kraft straks. §§ 2</w:t>
      </w:r>
      <w:r>
        <w:t xml:space="preserve"> og 4 gjelder fram til utvalget har levert sin utredning.</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3E2C">
      <w:pPr>
        <w:spacing w:after="0" w:line="240" w:lineRule="auto"/>
      </w:pPr>
      <w:r>
        <w:separator/>
      </w:r>
    </w:p>
  </w:endnote>
  <w:endnote w:type="continuationSeparator" w:id="0">
    <w:p w:rsidR="00000000" w:rsidRDefault="00E6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rsidP="00E63E2C">
    <w:pPr>
      <w:pStyle w:val="Bunntekst"/>
      <w:jc w:val="center"/>
    </w:pPr>
    <w:r>
      <w:t xml:space="preserve">Side </w:t>
    </w:r>
    <w:r>
      <w:fldChar w:fldCharType="begin"/>
    </w:r>
    <w:r>
      <w:instrText xml:space="preserve"> PAGE  </w:instrText>
    </w:r>
    <w:r>
      <w:fldChar w:fldCharType="separate"/>
    </w:r>
    <w:r>
      <w:rPr>
        <w:noProof/>
      </w:rPr>
      <w:t>1</w:t>
    </w:r>
    <w:r>
      <w:fldChar w:fldCharType="end"/>
    </w:r>
    <w:r>
      <w:t xml:space="preserve"> av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3E2C">
      <w:pPr>
        <w:spacing w:after="0" w:line="240" w:lineRule="auto"/>
      </w:pPr>
      <w:r>
        <w:separator/>
      </w:r>
    </w:p>
  </w:footnote>
  <w:footnote w:type="continuationSeparator" w:id="0">
    <w:p w:rsidR="00000000" w:rsidRDefault="00E63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3E2C" w:rsidRDefault="00E63E2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63E2C"/>
    <w:rsid w:val="00E63E2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6E4015"/>
  <w14:defaultImageDpi w14:val="0"/>
  <w15:docId w15:val="{2C5FF4AF-2A7C-491F-925C-5DDEB1FA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E2C"/>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63E2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63E2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63E2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63E2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63E2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63E2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63E2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63E2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63E2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E63E2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63E2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63E2C"/>
    <w:pPr>
      <w:keepNext/>
      <w:keepLines/>
      <w:spacing w:before="240" w:after="240"/>
    </w:pPr>
  </w:style>
  <w:style w:type="paragraph" w:customStyle="1" w:styleId="a-konge-tit">
    <w:name w:val="a-konge-tit"/>
    <w:basedOn w:val="Normal"/>
    <w:next w:val="Normal"/>
    <w:rsid w:val="00E63E2C"/>
    <w:pPr>
      <w:keepNext/>
      <w:keepLines/>
      <w:spacing w:before="240"/>
      <w:jc w:val="center"/>
    </w:pPr>
    <w:rPr>
      <w:spacing w:val="30"/>
    </w:rPr>
  </w:style>
  <w:style w:type="paragraph" w:customStyle="1" w:styleId="a-tilraar-dep">
    <w:name w:val="a-tilraar-dep"/>
    <w:basedOn w:val="Normal"/>
    <w:next w:val="Normal"/>
    <w:rsid w:val="00E63E2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63E2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63E2C"/>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63E2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63E2C"/>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63E2C"/>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63E2C"/>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63E2C"/>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63E2C"/>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63E2C"/>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63E2C"/>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63E2C"/>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63E2C"/>
  </w:style>
  <w:style w:type="paragraph" w:customStyle="1" w:styleId="Def">
    <w:name w:val="Def"/>
    <w:basedOn w:val="hengende-innrykk"/>
    <w:rsid w:val="00E63E2C"/>
    <w:pPr>
      <w:spacing w:line="240" w:lineRule="auto"/>
      <w:ind w:left="0" w:firstLine="0"/>
    </w:pPr>
    <w:rPr>
      <w:rFonts w:ascii="Times" w:eastAsia="Batang" w:hAnsi="Times"/>
      <w:spacing w:val="0"/>
      <w:szCs w:val="20"/>
    </w:rPr>
  </w:style>
  <w:style w:type="paragraph" w:customStyle="1" w:styleId="del-nr">
    <w:name w:val="del-nr"/>
    <w:basedOn w:val="Normal"/>
    <w:qFormat/>
    <w:rsid w:val="00E63E2C"/>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63E2C"/>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63E2C"/>
  </w:style>
  <w:style w:type="paragraph" w:customStyle="1" w:styleId="figur-noter">
    <w:name w:val="figur-noter"/>
    <w:basedOn w:val="Normal"/>
    <w:next w:val="Normal"/>
    <w:rsid w:val="00E63E2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63E2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63E2C"/>
    <w:rPr>
      <w:sz w:val="20"/>
    </w:rPr>
  </w:style>
  <w:style w:type="character" w:customStyle="1" w:styleId="FotnotetekstTegn">
    <w:name w:val="Fotnotetekst Tegn"/>
    <w:link w:val="Fotnotetekst"/>
    <w:rsid w:val="00E63E2C"/>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63E2C"/>
    <w:pPr>
      <w:ind w:left="1418" w:hanging="1418"/>
    </w:pPr>
  </w:style>
  <w:style w:type="paragraph" w:customStyle="1" w:styleId="i-budkap-over">
    <w:name w:val="i-budkap-over"/>
    <w:basedOn w:val="Normal"/>
    <w:next w:val="Normal"/>
    <w:rsid w:val="00E63E2C"/>
    <w:pPr>
      <w:jc w:val="right"/>
    </w:pPr>
    <w:rPr>
      <w:rFonts w:ascii="Times" w:hAnsi="Times"/>
      <w:b/>
      <w:noProof/>
    </w:rPr>
  </w:style>
  <w:style w:type="paragraph" w:customStyle="1" w:styleId="i-dep">
    <w:name w:val="i-dep"/>
    <w:basedOn w:val="Normal"/>
    <w:next w:val="Normal"/>
    <w:rsid w:val="00E63E2C"/>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63E2C"/>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63E2C"/>
    <w:pPr>
      <w:ind w:left="1985" w:hanging="1985"/>
    </w:pPr>
    <w:rPr>
      <w:spacing w:val="0"/>
    </w:rPr>
  </w:style>
  <w:style w:type="paragraph" w:customStyle="1" w:styleId="i-statsrdato">
    <w:name w:val="i-statsr.dato"/>
    <w:basedOn w:val="Normal"/>
    <w:next w:val="Normal"/>
    <w:rsid w:val="00E63E2C"/>
    <w:pPr>
      <w:spacing w:after="0"/>
      <w:jc w:val="center"/>
    </w:pPr>
    <w:rPr>
      <w:rFonts w:ascii="Times" w:hAnsi="Times"/>
      <w:i/>
      <w:noProof/>
    </w:rPr>
  </w:style>
  <w:style w:type="paragraph" w:customStyle="1" w:styleId="i-termin">
    <w:name w:val="i-termin"/>
    <w:basedOn w:val="Normal"/>
    <w:next w:val="Normal"/>
    <w:rsid w:val="00E63E2C"/>
    <w:pPr>
      <w:spacing w:before="360"/>
      <w:jc w:val="center"/>
    </w:pPr>
    <w:rPr>
      <w:b/>
      <w:noProof/>
      <w:sz w:val="28"/>
    </w:rPr>
  </w:style>
  <w:style w:type="paragraph" w:customStyle="1" w:styleId="i-tit">
    <w:name w:val="i-tit"/>
    <w:basedOn w:val="Normal"/>
    <w:next w:val="i-statsrdato"/>
    <w:rsid w:val="00E63E2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63E2C"/>
  </w:style>
  <w:style w:type="paragraph" w:customStyle="1" w:styleId="Kilde">
    <w:name w:val="Kilde"/>
    <w:basedOn w:val="Normal"/>
    <w:next w:val="Normal"/>
    <w:rsid w:val="00E63E2C"/>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63E2C"/>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63E2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63E2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63E2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63E2C"/>
    <w:pPr>
      <w:spacing w:after="0"/>
    </w:pPr>
  </w:style>
  <w:style w:type="paragraph" w:customStyle="1" w:styleId="l-tit-endr-avsnitt">
    <w:name w:val="l-tit-endr-avsnitt"/>
    <w:basedOn w:val="l-tit-endr-lovkap"/>
    <w:qFormat/>
    <w:rsid w:val="00E63E2C"/>
  </w:style>
  <w:style w:type="paragraph" w:customStyle="1" w:styleId="l-tit-endr-ledd">
    <w:name w:val="l-tit-endr-ledd"/>
    <w:basedOn w:val="Normal"/>
    <w:qFormat/>
    <w:rsid w:val="00E63E2C"/>
    <w:pPr>
      <w:keepNext/>
      <w:spacing w:before="240" w:after="0" w:line="240" w:lineRule="auto"/>
    </w:pPr>
    <w:rPr>
      <w:rFonts w:ascii="Times" w:hAnsi="Times"/>
      <w:noProof/>
      <w:lang w:val="nn-NO"/>
    </w:rPr>
  </w:style>
  <w:style w:type="paragraph" w:customStyle="1" w:styleId="l-tit-endr-lov">
    <w:name w:val="l-tit-endr-lov"/>
    <w:basedOn w:val="Normal"/>
    <w:qFormat/>
    <w:rsid w:val="00E63E2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63E2C"/>
    <w:pPr>
      <w:keepNext/>
      <w:spacing w:before="240" w:after="0" w:line="240" w:lineRule="auto"/>
    </w:pPr>
    <w:rPr>
      <w:rFonts w:ascii="Times" w:hAnsi="Times"/>
      <w:noProof/>
      <w:lang w:val="nn-NO"/>
    </w:rPr>
  </w:style>
  <w:style w:type="paragraph" w:customStyle="1" w:styleId="l-tit-endr-lovkap">
    <w:name w:val="l-tit-endr-lovkap"/>
    <w:basedOn w:val="Normal"/>
    <w:qFormat/>
    <w:rsid w:val="00E63E2C"/>
    <w:pPr>
      <w:keepNext/>
      <w:spacing w:before="240" w:after="0" w:line="240" w:lineRule="auto"/>
    </w:pPr>
    <w:rPr>
      <w:rFonts w:ascii="Times" w:hAnsi="Times"/>
      <w:noProof/>
      <w:lang w:val="nn-NO"/>
    </w:rPr>
  </w:style>
  <w:style w:type="paragraph" w:customStyle="1" w:styleId="l-tit-endr-punktum">
    <w:name w:val="l-tit-endr-punktum"/>
    <w:basedOn w:val="l-tit-endr-ledd"/>
    <w:qFormat/>
    <w:rsid w:val="00E63E2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63E2C"/>
    <w:pPr>
      <w:spacing w:before="60" w:after="0"/>
      <w:ind w:left="397"/>
    </w:pPr>
    <w:rPr>
      <w:spacing w:val="0"/>
    </w:rPr>
  </w:style>
  <w:style w:type="paragraph" w:customStyle="1" w:styleId="Listeavsnitt2">
    <w:name w:val="Listeavsnitt 2"/>
    <w:basedOn w:val="Normal"/>
    <w:qFormat/>
    <w:rsid w:val="00E63E2C"/>
    <w:pPr>
      <w:spacing w:before="60" w:after="0"/>
      <w:ind w:left="794"/>
    </w:pPr>
    <w:rPr>
      <w:spacing w:val="0"/>
    </w:rPr>
  </w:style>
  <w:style w:type="paragraph" w:customStyle="1" w:styleId="Listeavsnitt3">
    <w:name w:val="Listeavsnitt 3"/>
    <w:basedOn w:val="Normal"/>
    <w:qFormat/>
    <w:rsid w:val="00E63E2C"/>
    <w:pPr>
      <w:spacing w:before="60" w:after="0"/>
      <w:ind w:left="1191"/>
    </w:pPr>
    <w:rPr>
      <w:spacing w:val="0"/>
    </w:rPr>
  </w:style>
  <w:style w:type="paragraph" w:customStyle="1" w:styleId="Listeavsnitt4">
    <w:name w:val="Listeavsnitt 4"/>
    <w:basedOn w:val="Normal"/>
    <w:qFormat/>
    <w:rsid w:val="00E63E2C"/>
    <w:pPr>
      <w:spacing w:before="60" w:after="0"/>
      <w:ind w:left="1588"/>
    </w:pPr>
    <w:rPr>
      <w:spacing w:val="0"/>
    </w:rPr>
  </w:style>
  <w:style w:type="paragraph" w:customStyle="1" w:styleId="Listeavsnitt5">
    <w:name w:val="Listeavsnitt 5"/>
    <w:basedOn w:val="Normal"/>
    <w:qFormat/>
    <w:rsid w:val="00E63E2C"/>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63E2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63E2C"/>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63E2C"/>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63E2C"/>
    <w:pPr>
      <w:keepNext/>
      <w:keepLines/>
      <w:spacing w:before="360"/>
    </w:pPr>
    <w:rPr>
      <w:rFonts w:ascii="Arial" w:hAnsi="Arial"/>
      <w:b/>
      <w:sz w:val="28"/>
    </w:rPr>
  </w:style>
  <w:style w:type="character" w:customStyle="1" w:styleId="UndertittelTegn">
    <w:name w:val="Undertittel Tegn"/>
    <w:link w:val="Undertittel"/>
    <w:rsid w:val="00E63E2C"/>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63E2C"/>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63E2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63E2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63E2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63E2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63E2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63E2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63E2C"/>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63E2C"/>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63E2C"/>
    <w:pPr>
      <w:numPr>
        <w:numId w:val="0"/>
      </w:numPr>
    </w:pPr>
    <w:rPr>
      <w:b w:val="0"/>
      <w:i/>
    </w:rPr>
  </w:style>
  <w:style w:type="paragraph" w:customStyle="1" w:styleId="Undervedl-tittel">
    <w:name w:val="Undervedl-tittel"/>
    <w:basedOn w:val="Normal"/>
    <w:next w:val="Normal"/>
    <w:rsid w:val="00E63E2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63E2C"/>
    <w:pPr>
      <w:numPr>
        <w:numId w:val="0"/>
      </w:numPr>
      <w:outlineLvl w:val="9"/>
    </w:pPr>
  </w:style>
  <w:style w:type="paragraph" w:customStyle="1" w:styleId="v-Overskrift2">
    <w:name w:val="v-Overskrift 2"/>
    <w:basedOn w:val="Overskrift2"/>
    <w:next w:val="Normal"/>
    <w:rsid w:val="00E63E2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63E2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63E2C"/>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63E2C"/>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63E2C"/>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63E2C"/>
    <w:pPr>
      <w:keepNext/>
      <w:keepLines/>
      <w:spacing w:before="720"/>
      <w:jc w:val="center"/>
    </w:pPr>
    <w:rPr>
      <w:rFonts w:ascii="Times" w:hAnsi="Times"/>
      <w:b/>
      <w:noProof/>
      <w:sz w:val="56"/>
    </w:rPr>
  </w:style>
  <w:style w:type="paragraph" w:customStyle="1" w:styleId="i-sesjon">
    <w:name w:val="i-sesjon"/>
    <w:basedOn w:val="Normal"/>
    <w:next w:val="Normal"/>
    <w:rsid w:val="00E63E2C"/>
    <w:pPr>
      <w:jc w:val="center"/>
    </w:pPr>
    <w:rPr>
      <w:rFonts w:ascii="Times" w:hAnsi="Times"/>
      <w:b/>
      <w:noProof/>
      <w:sz w:val="28"/>
    </w:rPr>
  </w:style>
  <w:style w:type="paragraph" w:customStyle="1" w:styleId="i-mtit">
    <w:name w:val="i-mtit"/>
    <w:basedOn w:val="Normal"/>
    <w:next w:val="Normal"/>
    <w:rsid w:val="00E63E2C"/>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l-paragraf">
    <w:name w:val="l-paragraf"/>
    <w:basedOn w:val="Normal"/>
    <w:next w:val="Normal"/>
    <w:rsid w:val="00E63E2C"/>
    <w:pPr>
      <w:spacing w:before="180" w:after="0"/>
    </w:pPr>
    <w:rPr>
      <w:rFonts w:ascii="Times" w:hAnsi="Times"/>
      <w:i/>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63E2C"/>
    <w:rPr>
      <w:rFonts w:ascii="Arial" w:eastAsia="Times New Roman" w:hAnsi="Arial"/>
      <w:b/>
      <w:spacing w:val="4"/>
      <w:sz w:val="28"/>
    </w:rPr>
  </w:style>
  <w:style w:type="character" w:customStyle="1" w:styleId="Overskrift3Tegn">
    <w:name w:val="Overskrift 3 Tegn"/>
    <w:link w:val="Overskrift3"/>
    <w:rsid w:val="00E63E2C"/>
    <w:rPr>
      <w:rFonts w:ascii="Arial" w:eastAsia="Times New Roman" w:hAnsi="Arial"/>
      <w:b/>
      <w:sz w:val="24"/>
    </w:rPr>
  </w:style>
  <w:style w:type="character" w:customStyle="1" w:styleId="Overskrift4Tegn">
    <w:name w:val="Overskrift 4 Tegn"/>
    <w:link w:val="Overskrift4"/>
    <w:rsid w:val="00E63E2C"/>
    <w:rPr>
      <w:rFonts w:ascii="Arial" w:eastAsia="Times New Roman" w:hAnsi="Arial"/>
      <w:i/>
      <w:spacing w:val="4"/>
      <w:sz w:val="24"/>
    </w:rPr>
  </w:style>
  <w:style w:type="character" w:customStyle="1" w:styleId="Overskrift5Tegn">
    <w:name w:val="Overskrift 5 Tegn"/>
    <w:link w:val="Overskrift5"/>
    <w:rsid w:val="00E63E2C"/>
    <w:rPr>
      <w:rFonts w:ascii="Arial" w:eastAsia="Times New Roman" w:hAnsi="Arial"/>
      <w:i/>
      <w:sz w:val="24"/>
    </w:rPr>
  </w:style>
  <w:style w:type="paragraph" w:styleId="Liste">
    <w:name w:val="List"/>
    <w:basedOn w:val="Normal"/>
    <w:rsid w:val="00E63E2C"/>
    <w:pPr>
      <w:numPr>
        <w:numId w:val="6"/>
      </w:numPr>
      <w:spacing w:line="240" w:lineRule="auto"/>
      <w:contextualSpacing/>
    </w:pPr>
  </w:style>
  <w:style w:type="paragraph" w:styleId="Liste2">
    <w:name w:val="List 2"/>
    <w:basedOn w:val="Normal"/>
    <w:rsid w:val="00E63E2C"/>
    <w:pPr>
      <w:numPr>
        <w:ilvl w:val="1"/>
        <w:numId w:val="6"/>
      </w:numPr>
      <w:spacing w:after="0"/>
    </w:pPr>
  </w:style>
  <w:style w:type="paragraph" w:styleId="Liste3">
    <w:name w:val="List 3"/>
    <w:basedOn w:val="Normal"/>
    <w:rsid w:val="00E63E2C"/>
    <w:pPr>
      <w:numPr>
        <w:ilvl w:val="2"/>
        <w:numId w:val="6"/>
      </w:numPr>
      <w:spacing w:after="0"/>
    </w:pPr>
    <w:rPr>
      <w:spacing w:val="0"/>
    </w:rPr>
  </w:style>
  <w:style w:type="paragraph" w:styleId="Liste4">
    <w:name w:val="List 4"/>
    <w:basedOn w:val="Normal"/>
    <w:rsid w:val="00E63E2C"/>
    <w:pPr>
      <w:numPr>
        <w:ilvl w:val="3"/>
        <w:numId w:val="6"/>
      </w:numPr>
      <w:spacing w:after="0"/>
    </w:pPr>
    <w:rPr>
      <w:spacing w:val="0"/>
    </w:rPr>
  </w:style>
  <w:style w:type="paragraph" w:styleId="Liste5">
    <w:name w:val="List 5"/>
    <w:basedOn w:val="Normal"/>
    <w:rsid w:val="00E63E2C"/>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63E2C"/>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63E2C"/>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63E2C"/>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63E2C"/>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63E2C"/>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63E2C"/>
    <w:pPr>
      <w:numPr>
        <w:numId w:val="14"/>
      </w:numPr>
      <w:tabs>
        <w:tab w:val="left" w:pos="397"/>
      </w:tabs>
      <w:ind w:left="397" w:hanging="397"/>
    </w:pPr>
  </w:style>
  <w:style w:type="paragraph" w:customStyle="1" w:styleId="Listebombe2">
    <w:name w:val="Liste bombe 2"/>
    <w:basedOn w:val="Liste2"/>
    <w:qFormat/>
    <w:rsid w:val="00E63E2C"/>
    <w:pPr>
      <w:numPr>
        <w:ilvl w:val="0"/>
        <w:numId w:val="15"/>
      </w:numPr>
      <w:ind w:left="794" w:hanging="397"/>
    </w:pPr>
  </w:style>
  <w:style w:type="paragraph" w:customStyle="1" w:styleId="Listebombe3">
    <w:name w:val="Liste bombe 3"/>
    <w:basedOn w:val="Liste3"/>
    <w:qFormat/>
    <w:rsid w:val="00E63E2C"/>
    <w:pPr>
      <w:numPr>
        <w:ilvl w:val="0"/>
        <w:numId w:val="16"/>
      </w:numPr>
      <w:ind w:left="1191" w:hanging="397"/>
    </w:pPr>
  </w:style>
  <w:style w:type="paragraph" w:customStyle="1" w:styleId="Listebombe4">
    <w:name w:val="Liste bombe 4"/>
    <w:basedOn w:val="Liste4"/>
    <w:qFormat/>
    <w:rsid w:val="00E63E2C"/>
    <w:pPr>
      <w:numPr>
        <w:ilvl w:val="0"/>
        <w:numId w:val="17"/>
      </w:numPr>
      <w:ind w:left="1588" w:hanging="397"/>
    </w:pPr>
  </w:style>
  <w:style w:type="paragraph" w:customStyle="1" w:styleId="Listebombe5">
    <w:name w:val="Liste bombe 5"/>
    <w:basedOn w:val="Liste5"/>
    <w:qFormat/>
    <w:rsid w:val="00E63E2C"/>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63E2C"/>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63E2C"/>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63E2C"/>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63E2C"/>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63E2C"/>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63E2C"/>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63E2C"/>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63E2C"/>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63E2C"/>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63E2C"/>
    <w:pPr>
      <w:numPr>
        <w:ilvl w:val="4"/>
        <w:numId w:val="13"/>
      </w:numPr>
      <w:spacing w:after="0"/>
    </w:pPr>
  </w:style>
  <w:style w:type="paragraph" w:customStyle="1" w:styleId="opplisting">
    <w:name w:val="opplisting"/>
    <w:basedOn w:val="Normal"/>
    <w:rsid w:val="00E63E2C"/>
    <w:pPr>
      <w:spacing w:after="0"/>
    </w:pPr>
    <w:rPr>
      <w:rFonts w:ascii="Times" w:hAnsi="Times" w:cs="Times New Roman"/>
      <w:spacing w:val="0"/>
    </w:rPr>
  </w:style>
  <w:style w:type="paragraph" w:customStyle="1" w:styleId="opplisting2">
    <w:name w:val="opplisting 2"/>
    <w:basedOn w:val="Normal"/>
    <w:qFormat/>
    <w:rsid w:val="00E63E2C"/>
    <w:pPr>
      <w:spacing w:after="0"/>
      <w:ind w:left="397"/>
    </w:pPr>
    <w:rPr>
      <w:spacing w:val="0"/>
      <w:lang w:val="en-US"/>
    </w:rPr>
  </w:style>
  <w:style w:type="paragraph" w:customStyle="1" w:styleId="opplisting3">
    <w:name w:val="opplisting 3"/>
    <w:basedOn w:val="Normal"/>
    <w:qFormat/>
    <w:rsid w:val="00E63E2C"/>
    <w:pPr>
      <w:spacing w:after="0"/>
      <w:ind w:left="794"/>
    </w:pPr>
    <w:rPr>
      <w:spacing w:val="0"/>
    </w:rPr>
  </w:style>
  <w:style w:type="paragraph" w:customStyle="1" w:styleId="opplisting4">
    <w:name w:val="opplisting 4"/>
    <w:basedOn w:val="Normal"/>
    <w:qFormat/>
    <w:rsid w:val="00E63E2C"/>
    <w:pPr>
      <w:spacing w:after="0"/>
      <w:ind w:left="1191"/>
    </w:pPr>
    <w:rPr>
      <w:spacing w:val="0"/>
    </w:rPr>
  </w:style>
  <w:style w:type="paragraph" w:customStyle="1" w:styleId="opplisting5">
    <w:name w:val="opplisting 5"/>
    <w:basedOn w:val="Normal"/>
    <w:qFormat/>
    <w:rsid w:val="00E63E2C"/>
    <w:pPr>
      <w:spacing w:after="0"/>
      <w:ind w:left="1588"/>
    </w:pPr>
    <w:rPr>
      <w:spacing w:val="0"/>
    </w:rPr>
  </w:style>
  <w:style w:type="paragraph" w:customStyle="1" w:styleId="friliste">
    <w:name w:val="friliste"/>
    <w:basedOn w:val="Normal"/>
    <w:qFormat/>
    <w:rsid w:val="00E63E2C"/>
    <w:pPr>
      <w:tabs>
        <w:tab w:val="left" w:pos="397"/>
      </w:tabs>
      <w:spacing w:after="0"/>
      <w:ind w:left="397" w:hanging="397"/>
    </w:pPr>
    <w:rPr>
      <w:spacing w:val="0"/>
    </w:rPr>
  </w:style>
  <w:style w:type="paragraph" w:customStyle="1" w:styleId="friliste2">
    <w:name w:val="friliste 2"/>
    <w:basedOn w:val="Normal"/>
    <w:qFormat/>
    <w:rsid w:val="00E63E2C"/>
    <w:pPr>
      <w:tabs>
        <w:tab w:val="left" w:pos="794"/>
      </w:tabs>
      <w:spacing w:after="0"/>
      <w:ind w:left="794" w:hanging="397"/>
    </w:pPr>
    <w:rPr>
      <w:spacing w:val="0"/>
    </w:rPr>
  </w:style>
  <w:style w:type="paragraph" w:customStyle="1" w:styleId="friliste3">
    <w:name w:val="friliste 3"/>
    <w:basedOn w:val="Normal"/>
    <w:qFormat/>
    <w:rsid w:val="00E63E2C"/>
    <w:pPr>
      <w:tabs>
        <w:tab w:val="left" w:pos="1191"/>
      </w:tabs>
      <w:spacing w:after="0"/>
      <w:ind w:left="1191" w:hanging="397"/>
    </w:pPr>
    <w:rPr>
      <w:spacing w:val="0"/>
    </w:rPr>
  </w:style>
  <w:style w:type="paragraph" w:customStyle="1" w:styleId="friliste4">
    <w:name w:val="friliste 4"/>
    <w:basedOn w:val="Normal"/>
    <w:qFormat/>
    <w:rsid w:val="00E63E2C"/>
    <w:pPr>
      <w:tabs>
        <w:tab w:val="left" w:pos="1588"/>
      </w:tabs>
      <w:spacing w:after="0"/>
      <w:ind w:left="1588" w:hanging="397"/>
    </w:pPr>
    <w:rPr>
      <w:spacing w:val="0"/>
    </w:rPr>
  </w:style>
  <w:style w:type="paragraph" w:customStyle="1" w:styleId="friliste5">
    <w:name w:val="friliste 5"/>
    <w:basedOn w:val="Normal"/>
    <w:qFormat/>
    <w:rsid w:val="00E63E2C"/>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63E2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63E2C"/>
    <w:pPr>
      <w:numPr>
        <w:numId w:val="12"/>
      </w:numPr>
    </w:pPr>
  </w:style>
  <w:style w:type="paragraph" w:customStyle="1" w:styleId="avsnitt-undertittel">
    <w:name w:val="avsnitt-undertittel"/>
    <w:basedOn w:val="Normal"/>
    <w:next w:val="Normal"/>
    <w:rsid w:val="00E63E2C"/>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63E2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63E2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63E2C"/>
    <w:pPr>
      <w:numPr>
        <w:numId w:val="12"/>
      </w:numPr>
    </w:pPr>
  </w:style>
  <w:style w:type="paragraph" w:customStyle="1" w:styleId="avsnitt-under-undertittel">
    <w:name w:val="avsnitt-under-undertittel"/>
    <w:basedOn w:val="Normal"/>
    <w:next w:val="Normal"/>
    <w:rsid w:val="00E63E2C"/>
    <w:pPr>
      <w:keepNext/>
      <w:keepLines/>
      <w:spacing w:before="360" w:line="240" w:lineRule="auto"/>
    </w:pPr>
    <w:rPr>
      <w:rFonts w:eastAsia="Batang"/>
      <w:i/>
      <w:spacing w:val="0"/>
      <w:szCs w:val="20"/>
    </w:rPr>
  </w:style>
  <w:style w:type="paragraph" w:customStyle="1" w:styleId="blokksit">
    <w:name w:val="blokksit"/>
    <w:basedOn w:val="Normal"/>
    <w:qFormat/>
    <w:rsid w:val="00E63E2C"/>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E63E2C"/>
    <w:pPr>
      <w:spacing w:after="0"/>
      <w:ind w:firstLine="397"/>
    </w:pPr>
    <w:rPr>
      <w:rFonts w:ascii="Times" w:hAnsi="Times"/>
    </w:rPr>
  </w:style>
  <w:style w:type="paragraph" w:customStyle="1" w:styleId="l-tit-endr-paragraf">
    <w:name w:val="l-tit-endr-paragraf"/>
    <w:basedOn w:val="Normal"/>
    <w:qFormat/>
    <w:rsid w:val="00E63E2C"/>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63E2C"/>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63E2C"/>
    <w:rPr>
      <w:rFonts w:ascii="Times New Roman" w:eastAsia="Times New Roman" w:hAnsi="Times New Roman"/>
      <w:spacing w:val="4"/>
      <w:sz w:val="20"/>
    </w:rPr>
  </w:style>
  <w:style w:type="character" w:customStyle="1" w:styleId="DatoTegn">
    <w:name w:val="Dato Tegn"/>
    <w:link w:val="Dato0"/>
    <w:rsid w:val="00E63E2C"/>
    <w:rPr>
      <w:rFonts w:ascii="Times New Roman" w:eastAsia="Times New Roman" w:hAnsi="Times New Roman"/>
      <w:spacing w:val="4"/>
      <w:sz w:val="24"/>
    </w:rPr>
  </w:style>
  <w:style w:type="character" w:styleId="Fotnotereferanse">
    <w:name w:val="footnote reference"/>
    <w:rsid w:val="00E63E2C"/>
    <w:rPr>
      <w:vertAlign w:val="superscript"/>
    </w:rPr>
  </w:style>
  <w:style w:type="character" w:customStyle="1" w:styleId="gjennomstreket">
    <w:name w:val="gjennomstreket"/>
    <w:uiPriority w:val="1"/>
    <w:rsid w:val="00E63E2C"/>
    <w:rPr>
      <w:strike/>
      <w:dstrike w:val="0"/>
    </w:rPr>
  </w:style>
  <w:style w:type="character" w:customStyle="1" w:styleId="halvfet0">
    <w:name w:val="halvfet"/>
    <w:rsid w:val="00E63E2C"/>
    <w:rPr>
      <w:b/>
    </w:rPr>
  </w:style>
  <w:style w:type="character" w:styleId="Hyperkobling">
    <w:name w:val="Hyperlink"/>
    <w:uiPriority w:val="99"/>
    <w:unhideWhenUsed/>
    <w:rsid w:val="00E63E2C"/>
    <w:rPr>
      <w:color w:val="0000FF"/>
      <w:u w:val="single"/>
    </w:rPr>
  </w:style>
  <w:style w:type="character" w:customStyle="1" w:styleId="kursiv">
    <w:name w:val="kursiv"/>
    <w:rsid w:val="00E63E2C"/>
    <w:rPr>
      <w:i/>
    </w:rPr>
  </w:style>
  <w:style w:type="character" w:customStyle="1" w:styleId="l-endring">
    <w:name w:val="l-endring"/>
    <w:rsid w:val="00E63E2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63E2C"/>
  </w:style>
  <w:style w:type="character" w:styleId="Plassholdertekst">
    <w:name w:val="Placeholder Text"/>
    <w:uiPriority w:val="99"/>
    <w:rsid w:val="00E63E2C"/>
    <w:rPr>
      <w:color w:val="808080"/>
    </w:rPr>
  </w:style>
  <w:style w:type="character" w:customStyle="1" w:styleId="regular">
    <w:name w:val="regular"/>
    <w:uiPriority w:val="1"/>
    <w:qFormat/>
    <w:rsid w:val="00E63E2C"/>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63E2C"/>
    <w:rPr>
      <w:vertAlign w:val="superscript"/>
    </w:rPr>
  </w:style>
  <w:style w:type="character" w:customStyle="1" w:styleId="skrift-senket">
    <w:name w:val="skrift-senket"/>
    <w:rsid w:val="00E63E2C"/>
    <w:rPr>
      <w:vertAlign w:val="subscript"/>
    </w:rPr>
  </w:style>
  <w:style w:type="character" w:customStyle="1" w:styleId="SluttnotetekstTegn">
    <w:name w:val="Sluttnotetekst Tegn"/>
    <w:link w:val="Sluttnotetekst"/>
    <w:uiPriority w:val="99"/>
    <w:semiHidden/>
    <w:rsid w:val="00E63E2C"/>
    <w:rPr>
      <w:rFonts w:ascii="Times New Roman" w:eastAsia="Times New Roman" w:hAnsi="Times New Roman"/>
      <w:spacing w:val="4"/>
      <w:sz w:val="20"/>
      <w:szCs w:val="20"/>
    </w:rPr>
  </w:style>
  <w:style w:type="character" w:customStyle="1" w:styleId="sperret0">
    <w:name w:val="sperret"/>
    <w:rsid w:val="00E63E2C"/>
    <w:rPr>
      <w:spacing w:val="30"/>
    </w:rPr>
  </w:style>
  <w:style w:type="character" w:customStyle="1" w:styleId="SterktsitatTegn">
    <w:name w:val="Sterkt sitat Tegn"/>
    <w:link w:val="Sterktsitat"/>
    <w:uiPriority w:val="30"/>
    <w:rsid w:val="00E63E2C"/>
    <w:rPr>
      <w:rFonts w:ascii="Times New Roman" w:eastAsia="Times New Roman" w:hAnsi="Times New Roman"/>
      <w:b/>
      <w:bCs/>
      <w:i/>
      <w:iCs/>
      <w:color w:val="4F81BD"/>
      <w:spacing w:val="4"/>
      <w:sz w:val="24"/>
    </w:rPr>
  </w:style>
  <w:style w:type="character" w:customStyle="1" w:styleId="Stikkord">
    <w:name w:val="Stikkord"/>
    <w:rsid w:val="00E63E2C"/>
    <w:rPr>
      <w:color w:val="0000FF"/>
    </w:rPr>
  </w:style>
  <w:style w:type="character" w:customStyle="1" w:styleId="stikkord0">
    <w:name w:val="stikkord"/>
    <w:uiPriority w:val="99"/>
  </w:style>
  <w:style w:type="character" w:styleId="Sterk">
    <w:name w:val="Strong"/>
    <w:uiPriority w:val="22"/>
    <w:qFormat/>
    <w:rsid w:val="00E63E2C"/>
    <w:rPr>
      <w:b/>
      <w:bCs/>
    </w:rPr>
  </w:style>
  <w:style w:type="character" w:customStyle="1" w:styleId="TopptekstTegn">
    <w:name w:val="Topptekst Tegn"/>
    <w:link w:val="Topptekst"/>
    <w:rsid w:val="00E63E2C"/>
    <w:rPr>
      <w:rFonts w:ascii="Times New Roman" w:eastAsia="Times New Roman" w:hAnsi="Times New Roman"/>
      <w:sz w:val="20"/>
    </w:rPr>
  </w:style>
  <w:style w:type="character" w:customStyle="1" w:styleId="UnderskriftTegn">
    <w:name w:val="Underskrift Tegn"/>
    <w:link w:val="Underskrift"/>
    <w:uiPriority w:val="99"/>
    <w:rsid w:val="00E63E2C"/>
    <w:rPr>
      <w:rFonts w:ascii="Times New Roman" w:eastAsia="Times New Roman" w:hAnsi="Times New Roman"/>
      <w:spacing w:val="4"/>
      <w:sz w:val="24"/>
    </w:rPr>
  </w:style>
  <w:style w:type="paragraph" w:styleId="Topptekst">
    <w:name w:val="header"/>
    <w:basedOn w:val="Normal"/>
    <w:link w:val="TopptekstTegn"/>
    <w:rsid w:val="00E63E2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63E2C"/>
    <w:rPr>
      <w:rFonts w:ascii="UniCentury Old Style" w:hAnsi="UniCentury Old Style" w:cs="UniCentury Old Style"/>
      <w:color w:val="000000"/>
      <w:w w:val="0"/>
      <w:sz w:val="20"/>
      <w:szCs w:val="20"/>
    </w:rPr>
  </w:style>
  <w:style w:type="paragraph" w:styleId="Bunntekst">
    <w:name w:val="footer"/>
    <w:basedOn w:val="Normal"/>
    <w:link w:val="BunntekstTegn"/>
    <w:rsid w:val="00E63E2C"/>
    <w:pPr>
      <w:tabs>
        <w:tab w:val="center" w:pos="4153"/>
        <w:tab w:val="right" w:pos="8306"/>
      </w:tabs>
    </w:pPr>
    <w:rPr>
      <w:sz w:val="20"/>
    </w:rPr>
  </w:style>
  <w:style w:type="character" w:customStyle="1" w:styleId="BunntekstTegn1">
    <w:name w:val="Bunntekst Tegn1"/>
    <w:basedOn w:val="Standardskriftforavsnitt"/>
    <w:uiPriority w:val="99"/>
    <w:semiHidden/>
    <w:rsid w:val="00E63E2C"/>
    <w:rPr>
      <w:rFonts w:ascii="UniCentury Old Style" w:hAnsi="UniCentury Old Style" w:cs="UniCentury Old Style"/>
      <w:color w:val="000000"/>
      <w:w w:val="0"/>
      <w:sz w:val="20"/>
      <w:szCs w:val="20"/>
    </w:rPr>
  </w:style>
  <w:style w:type="character" w:customStyle="1" w:styleId="Overskrift6Tegn">
    <w:name w:val="Overskrift 6 Tegn"/>
    <w:link w:val="Overskrift6"/>
    <w:rsid w:val="00E63E2C"/>
    <w:rPr>
      <w:rFonts w:ascii="Arial" w:eastAsia="Times New Roman" w:hAnsi="Arial"/>
      <w:i/>
      <w:spacing w:val="4"/>
    </w:rPr>
  </w:style>
  <w:style w:type="character" w:customStyle="1" w:styleId="Overskrift7Tegn">
    <w:name w:val="Overskrift 7 Tegn"/>
    <w:link w:val="Overskrift7"/>
    <w:rsid w:val="00E63E2C"/>
    <w:rPr>
      <w:rFonts w:ascii="Arial" w:eastAsia="Times New Roman" w:hAnsi="Arial"/>
      <w:spacing w:val="4"/>
      <w:sz w:val="24"/>
    </w:rPr>
  </w:style>
  <w:style w:type="character" w:customStyle="1" w:styleId="Overskrift8Tegn">
    <w:name w:val="Overskrift 8 Tegn"/>
    <w:link w:val="Overskrift8"/>
    <w:rsid w:val="00E63E2C"/>
    <w:rPr>
      <w:rFonts w:ascii="Arial" w:eastAsia="Times New Roman" w:hAnsi="Arial"/>
      <w:i/>
      <w:spacing w:val="4"/>
      <w:sz w:val="24"/>
    </w:rPr>
  </w:style>
  <w:style w:type="character" w:customStyle="1" w:styleId="Overskrift9Tegn">
    <w:name w:val="Overskrift 9 Tegn"/>
    <w:link w:val="Overskrift9"/>
    <w:rsid w:val="00E63E2C"/>
    <w:rPr>
      <w:rFonts w:ascii="Arial" w:eastAsia="Times New Roman" w:hAnsi="Arial"/>
      <w:i/>
      <w:spacing w:val="4"/>
      <w:sz w:val="18"/>
    </w:rPr>
  </w:style>
  <w:style w:type="table" w:customStyle="1" w:styleId="Tabell-VM">
    <w:name w:val="Tabell-VM"/>
    <w:basedOn w:val="Tabelltemaer"/>
    <w:uiPriority w:val="99"/>
    <w:qFormat/>
    <w:rsid w:val="00E63E2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63E2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63E2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63E2C"/>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63E2C"/>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E63E2C"/>
    <w:pPr>
      <w:tabs>
        <w:tab w:val="right" w:leader="dot" w:pos="8306"/>
      </w:tabs>
    </w:pPr>
    <w:rPr>
      <w:spacing w:val="0"/>
    </w:rPr>
  </w:style>
  <w:style w:type="paragraph" w:styleId="INNH2">
    <w:name w:val="toc 2"/>
    <w:basedOn w:val="Normal"/>
    <w:next w:val="Normal"/>
    <w:rsid w:val="00E63E2C"/>
    <w:pPr>
      <w:tabs>
        <w:tab w:val="right" w:leader="dot" w:pos="8306"/>
      </w:tabs>
      <w:ind w:left="200"/>
    </w:pPr>
    <w:rPr>
      <w:spacing w:val="0"/>
    </w:rPr>
  </w:style>
  <w:style w:type="paragraph" w:styleId="INNH3">
    <w:name w:val="toc 3"/>
    <w:basedOn w:val="Normal"/>
    <w:next w:val="Normal"/>
    <w:rsid w:val="00E63E2C"/>
    <w:pPr>
      <w:tabs>
        <w:tab w:val="right" w:leader="dot" w:pos="8306"/>
      </w:tabs>
      <w:ind w:left="400"/>
    </w:pPr>
    <w:rPr>
      <w:spacing w:val="0"/>
    </w:rPr>
  </w:style>
  <w:style w:type="paragraph" w:styleId="INNH4">
    <w:name w:val="toc 4"/>
    <w:basedOn w:val="Normal"/>
    <w:next w:val="Normal"/>
    <w:rsid w:val="00E63E2C"/>
    <w:pPr>
      <w:tabs>
        <w:tab w:val="right" w:leader="dot" w:pos="8306"/>
      </w:tabs>
      <w:ind w:left="600"/>
    </w:pPr>
    <w:rPr>
      <w:spacing w:val="0"/>
    </w:rPr>
  </w:style>
  <w:style w:type="paragraph" w:styleId="INNH5">
    <w:name w:val="toc 5"/>
    <w:basedOn w:val="Normal"/>
    <w:next w:val="Normal"/>
    <w:rsid w:val="00E63E2C"/>
    <w:pPr>
      <w:tabs>
        <w:tab w:val="right" w:leader="dot" w:pos="8306"/>
      </w:tabs>
      <w:ind w:left="800"/>
    </w:pPr>
    <w:rPr>
      <w:spacing w:val="0"/>
    </w:rPr>
  </w:style>
  <w:style w:type="character" w:styleId="Merknadsreferanse">
    <w:name w:val="annotation reference"/>
    <w:rsid w:val="00E63E2C"/>
    <w:rPr>
      <w:sz w:val="16"/>
    </w:rPr>
  </w:style>
  <w:style w:type="paragraph" w:styleId="Merknadstekst">
    <w:name w:val="annotation text"/>
    <w:basedOn w:val="Normal"/>
    <w:link w:val="MerknadstekstTegn"/>
    <w:rsid w:val="00E63E2C"/>
    <w:rPr>
      <w:spacing w:val="0"/>
      <w:sz w:val="20"/>
    </w:rPr>
  </w:style>
  <w:style w:type="character" w:customStyle="1" w:styleId="MerknadstekstTegn">
    <w:name w:val="Merknadstekst Tegn"/>
    <w:link w:val="Merknadstekst"/>
    <w:rsid w:val="00E63E2C"/>
    <w:rPr>
      <w:rFonts w:ascii="Times New Roman" w:eastAsia="Times New Roman" w:hAnsi="Times New Roman"/>
      <w:sz w:val="20"/>
    </w:rPr>
  </w:style>
  <w:style w:type="paragraph" w:styleId="Punktliste">
    <w:name w:val="List Bullet"/>
    <w:basedOn w:val="Normal"/>
    <w:rsid w:val="00E63E2C"/>
    <w:pPr>
      <w:spacing w:after="0"/>
      <w:ind w:left="284" w:hanging="284"/>
    </w:pPr>
  </w:style>
  <w:style w:type="paragraph" w:styleId="Punktliste2">
    <w:name w:val="List Bullet 2"/>
    <w:basedOn w:val="Normal"/>
    <w:rsid w:val="00E63E2C"/>
    <w:pPr>
      <w:spacing w:after="0"/>
      <w:ind w:left="568" w:hanging="284"/>
    </w:pPr>
  </w:style>
  <w:style w:type="paragraph" w:styleId="Punktliste3">
    <w:name w:val="List Bullet 3"/>
    <w:basedOn w:val="Normal"/>
    <w:rsid w:val="00E63E2C"/>
    <w:pPr>
      <w:spacing w:after="0"/>
      <w:ind w:left="851" w:hanging="284"/>
    </w:pPr>
  </w:style>
  <w:style w:type="paragraph" w:styleId="Punktliste4">
    <w:name w:val="List Bullet 4"/>
    <w:basedOn w:val="Normal"/>
    <w:rsid w:val="00E63E2C"/>
    <w:pPr>
      <w:spacing w:after="0"/>
      <w:ind w:left="1135" w:hanging="284"/>
    </w:pPr>
    <w:rPr>
      <w:spacing w:val="0"/>
    </w:rPr>
  </w:style>
  <w:style w:type="paragraph" w:styleId="Punktliste5">
    <w:name w:val="List Bullet 5"/>
    <w:basedOn w:val="Normal"/>
    <w:rsid w:val="00E63E2C"/>
    <w:pPr>
      <w:spacing w:after="0"/>
      <w:ind w:left="1418" w:hanging="284"/>
    </w:pPr>
    <w:rPr>
      <w:spacing w:val="0"/>
    </w:rPr>
  </w:style>
  <w:style w:type="table" w:customStyle="1" w:styleId="StandardTabell">
    <w:name w:val="StandardTabell"/>
    <w:basedOn w:val="Vanligtabell"/>
    <w:uiPriority w:val="99"/>
    <w:qFormat/>
    <w:rsid w:val="00E63E2C"/>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63E2C"/>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63E2C"/>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63E2C"/>
    <w:pPr>
      <w:spacing w:after="0" w:line="240" w:lineRule="auto"/>
      <w:ind w:left="240" w:hanging="240"/>
    </w:pPr>
  </w:style>
  <w:style w:type="paragraph" w:styleId="Indeks2">
    <w:name w:val="index 2"/>
    <w:basedOn w:val="Normal"/>
    <w:next w:val="Normal"/>
    <w:autoRedefine/>
    <w:uiPriority w:val="99"/>
    <w:semiHidden/>
    <w:unhideWhenUsed/>
    <w:rsid w:val="00E63E2C"/>
    <w:pPr>
      <w:spacing w:after="0" w:line="240" w:lineRule="auto"/>
      <w:ind w:left="480" w:hanging="240"/>
    </w:pPr>
  </w:style>
  <w:style w:type="paragraph" w:styleId="Indeks3">
    <w:name w:val="index 3"/>
    <w:basedOn w:val="Normal"/>
    <w:next w:val="Normal"/>
    <w:autoRedefine/>
    <w:uiPriority w:val="99"/>
    <w:semiHidden/>
    <w:unhideWhenUsed/>
    <w:rsid w:val="00E63E2C"/>
    <w:pPr>
      <w:spacing w:after="0" w:line="240" w:lineRule="auto"/>
      <w:ind w:left="720" w:hanging="240"/>
    </w:pPr>
  </w:style>
  <w:style w:type="paragraph" w:styleId="Indeks4">
    <w:name w:val="index 4"/>
    <w:basedOn w:val="Normal"/>
    <w:next w:val="Normal"/>
    <w:autoRedefine/>
    <w:uiPriority w:val="99"/>
    <w:semiHidden/>
    <w:unhideWhenUsed/>
    <w:rsid w:val="00E63E2C"/>
    <w:pPr>
      <w:spacing w:after="0" w:line="240" w:lineRule="auto"/>
      <w:ind w:left="960" w:hanging="240"/>
    </w:pPr>
  </w:style>
  <w:style w:type="paragraph" w:styleId="Indeks5">
    <w:name w:val="index 5"/>
    <w:basedOn w:val="Normal"/>
    <w:next w:val="Normal"/>
    <w:autoRedefine/>
    <w:uiPriority w:val="99"/>
    <w:semiHidden/>
    <w:unhideWhenUsed/>
    <w:rsid w:val="00E63E2C"/>
    <w:pPr>
      <w:spacing w:after="0" w:line="240" w:lineRule="auto"/>
      <w:ind w:left="1200" w:hanging="240"/>
    </w:pPr>
  </w:style>
  <w:style w:type="paragraph" w:styleId="Indeks6">
    <w:name w:val="index 6"/>
    <w:basedOn w:val="Normal"/>
    <w:next w:val="Normal"/>
    <w:autoRedefine/>
    <w:uiPriority w:val="99"/>
    <w:semiHidden/>
    <w:unhideWhenUsed/>
    <w:rsid w:val="00E63E2C"/>
    <w:pPr>
      <w:spacing w:after="0" w:line="240" w:lineRule="auto"/>
      <w:ind w:left="1440" w:hanging="240"/>
    </w:pPr>
  </w:style>
  <w:style w:type="paragraph" w:styleId="Indeks7">
    <w:name w:val="index 7"/>
    <w:basedOn w:val="Normal"/>
    <w:next w:val="Normal"/>
    <w:autoRedefine/>
    <w:uiPriority w:val="99"/>
    <w:semiHidden/>
    <w:unhideWhenUsed/>
    <w:rsid w:val="00E63E2C"/>
    <w:pPr>
      <w:spacing w:after="0" w:line="240" w:lineRule="auto"/>
      <w:ind w:left="1680" w:hanging="240"/>
    </w:pPr>
  </w:style>
  <w:style w:type="paragraph" w:styleId="Indeks8">
    <w:name w:val="index 8"/>
    <w:basedOn w:val="Normal"/>
    <w:next w:val="Normal"/>
    <w:autoRedefine/>
    <w:uiPriority w:val="99"/>
    <w:semiHidden/>
    <w:unhideWhenUsed/>
    <w:rsid w:val="00E63E2C"/>
    <w:pPr>
      <w:spacing w:after="0" w:line="240" w:lineRule="auto"/>
      <w:ind w:left="1920" w:hanging="240"/>
    </w:pPr>
  </w:style>
  <w:style w:type="paragraph" w:styleId="Indeks9">
    <w:name w:val="index 9"/>
    <w:basedOn w:val="Normal"/>
    <w:next w:val="Normal"/>
    <w:autoRedefine/>
    <w:uiPriority w:val="99"/>
    <w:semiHidden/>
    <w:unhideWhenUsed/>
    <w:rsid w:val="00E63E2C"/>
    <w:pPr>
      <w:spacing w:after="0" w:line="240" w:lineRule="auto"/>
      <w:ind w:left="2160" w:hanging="240"/>
    </w:pPr>
  </w:style>
  <w:style w:type="paragraph" w:styleId="INNH6">
    <w:name w:val="toc 6"/>
    <w:basedOn w:val="Normal"/>
    <w:next w:val="Normal"/>
    <w:autoRedefine/>
    <w:uiPriority w:val="39"/>
    <w:semiHidden/>
    <w:unhideWhenUsed/>
    <w:rsid w:val="00E63E2C"/>
    <w:pPr>
      <w:spacing w:after="100"/>
      <w:ind w:left="1200"/>
    </w:pPr>
  </w:style>
  <w:style w:type="paragraph" w:styleId="INNH7">
    <w:name w:val="toc 7"/>
    <w:basedOn w:val="Normal"/>
    <w:next w:val="Normal"/>
    <w:autoRedefine/>
    <w:uiPriority w:val="39"/>
    <w:semiHidden/>
    <w:unhideWhenUsed/>
    <w:rsid w:val="00E63E2C"/>
    <w:pPr>
      <w:spacing w:after="100"/>
      <w:ind w:left="1440"/>
    </w:pPr>
  </w:style>
  <w:style w:type="paragraph" w:styleId="INNH8">
    <w:name w:val="toc 8"/>
    <w:basedOn w:val="Normal"/>
    <w:next w:val="Normal"/>
    <w:autoRedefine/>
    <w:uiPriority w:val="39"/>
    <w:semiHidden/>
    <w:unhideWhenUsed/>
    <w:rsid w:val="00E63E2C"/>
    <w:pPr>
      <w:spacing w:after="100"/>
      <w:ind w:left="1680"/>
    </w:pPr>
  </w:style>
  <w:style w:type="paragraph" w:styleId="INNH9">
    <w:name w:val="toc 9"/>
    <w:basedOn w:val="Normal"/>
    <w:next w:val="Normal"/>
    <w:autoRedefine/>
    <w:uiPriority w:val="39"/>
    <w:semiHidden/>
    <w:unhideWhenUsed/>
    <w:rsid w:val="00E63E2C"/>
    <w:pPr>
      <w:spacing w:after="100"/>
      <w:ind w:left="1920"/>
    </w:pPr>
  </w:style>
  <w:style w:type="paragraph" w:styleId="Vanliginnrykk">
    <w:name w:val="Normal Indent"/>
    <w:basedOn w:val="Normal"/>
    <w:uiPriority w:val="99"/>
    <w:semiHidden/>
    <w:unhideWhenUsed/>
    <w:rsid w:val="00E63E2C"/>
    <w:pPr>
      <w:ind w:left="708"/>
    </w:pPr>
  </w:style>
  <w:style w:type="paragraph" w:styleId="Stikkordregisteroverskrift">
    <w:name w:val="index heading"/>
    <w:basedOn w:val="Normal"/>
    <w:next w:val="Indeks1"/>
    <w:uiPriority w:val="99"/>
    <w:semiHidden/>
    <w:unhideWhenUsed/>
    <w:rsid w:val="00E63E2C"/>
    <w:rPr>
      <w:rFonts w:ascii="Cambria" w:hAnsi="Cambria" w:cs="Times New Roman"/>
      <w:b/>
      <w:bCs/>
    </w:rPr>
  </w:style>
  <w:style w:type="paragraph" w:styleId="Bildetekst">
    <w:name w:val="caption"/>
    <w:basedOn w:val="Normal"/>
    <w:next w:val="Normal"/>
    <w:uiPriority w:val="35"/>
    <w:semiHidden/>
    <w:unhideWhenUsed/>
    <w:qFormat/>
    <w:rsid w:val="00E63E2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63E2C"/>
    <w:pPr>
      <w:spacing w:after="0"/>
    </w:pPr>
  </w:style>
  <w:style w:type="paragraph" w:styleId="Konvoluttadresse">
    <w:name w:val="envelope address"/>
    <w:basedOn w:val="Normal"/>
    <w:uiPriority w:val="99"/>
    <w:semiHidden/>
    <w:unhideWhenUsed/>
    <w:rsid w:val="00E63E2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63E2C"/>
  </w:style>
  <w:style w:type="character" w:styleId="Sluttnotereferanse">
    <w:name w:val="endnote reference"/>
    <w:uiPriority w:val="99"/>
    <w:semiHidden/>
    <w:unhideWhenUsed/>
    <w:rsid w:val="00E63E2C"/>
    <w:rPr>
      <w:vertAlign w:val="superscript"/>
    </w:rPr>
  </w:style>
  <w:style w:type="paragraph" w:styleId="Sluttnotetekst">
    <w:name w:val="endnote text"/>
    <w:basedOn w:val="Normal"/>
    <w:link w:val="SluttnotetekstTegn"/>
    <w:uiPriority w:val="99"/>
    <w:semiHidden/>
    <w:unhideWhenUsed/>
    <w:rsid w:val="00E63E2C"/>
    <w:pPr>
      <w:spacing w:after="0" w:line="240" w:lineRule="auto"/>
    </w:pPr>
    <w:rPr>
      <w:sz w:val="20"/>
      <w:szCs w:val="20"/>
    </w:rPr>
  </w:style>
  <w:style w:type="character" w:customStyle="1" w:styleId="SluttnotetekstTegn1">
    <w:name w:val="Sluttnotetekst Tegn1"/>
    <w:basedOn w:val="Standardskriftforavsnitt"/>
    <w:uiPriority w:val="99"/>
    <w:semiHidden/>
    <w:rsid w:val="00E63E2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63E2C"/>
    <w:pPr>
      <w:spacing w:after="0"/>
      <w:ind w:left="240" w:hanging="240"/>
    </w:pPr>
  </w:style>
  <w:style w:type="paragraph" w:styleId="Makrotekst">
    <w:name w:val="macro"/>
    <w:link w:val="MakrotekstTegn"/>
    <w:uiPriority w:val="99"/>
    <w:semiHidden/>
    <w:unhideWhenUsed/>
    <w:rsid w:val="00E63E2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63E2C"/>
    <w:rPr>
      <w:rFonts w:ascii="Consolas" w:eastAsia="Times New Roman" w:hAnsi="Consolas"/>
      <w:spacing w:val="4"/>
    </w:rPr>
  </w:style>
  <w:style w:type="paragraph" w:styleId="Kildelisteoverskrift">
    <w:name w:val="toa heading"/>
    <w:basedOn w:val="Normal"/>
    <w:next w:val="Normal"/>
    <w:uiPriority w:val="99"/>
    <w:semiHidden/>
    <w:unhideWhenUsed/>
    <w:rsid w:val="00E63E2C"/>
    <w:pPr>
      <w:spacing w:before="120"/>
    </w:pPr>
    <w:rPr>
      <w:rFonts w:ascii="Cambria" w:hAnsi="Cambria" w:cs="Times New Roman"/>
      <w:b/>
      <w:bCs/>
      <w:szCs w:val="24"/>
    </w:rPr>
  </w:style>
  <w:style w:type="paragraph" w:styleId="Tittel">
    <w:name w:val="Title"/>
    <w:basedOn w:val="Normal"/>
    <w:next w:val="Normal"/>
    <w:link w:val="TittelTegn"/>
    <w:uiPriority w:val="10"/>
    <w:qFormat/>
    <w:rsid w:val="00E63E2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63E2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63E2C"/>
    <w:pPr>
      <w:spacing w:after="0" w:line="240" w:lineRule="auto"/>
      <w:ind w:left="4252"/>
    </w:pPr>
  </w:style>
  <w:style w:type="character" w:customStyle="1" w:styleId="HilsenTegn">
    <w:name w:val="Hilsen Tegn"/>
    <w:link w:val="Hilsen"/>
    <w:uiPriority w:val="99"/>
    <w:semiHidden/>
    <w:rsid w:val="00E63E2C"/>
    <w:rPr>
      <w:rFonts w:ascii="Times New Roman" w:eastAsia="Times New Roman" w:hAnsi="Times New Roman"/>
      <w:spacing w:val="4"/>
      <w:sz w:val="24"/>
    </w:rPr>
  </w:style>
  <w:style w:type="paragraph" w:styleId="Underskrift">
    <w:name w:val="Signature"/>
    <w:basedOn w:val="Normal"/>
    <w:link w:val="UnderskriftTegn"/>
    <w:uiPriority w:val="99"/>
    <w:unhideWhenUsed/>
    <w:rsid w:val="00E63E2C"/>
    <w:pPr>
      <w:spacing w:after="0" w:line="240" w:lineRule="auto"/>
      <w:ind w:left="4252"/>
    </w:pPr>
  </w:style>
  <w:style w:type="character" w:customStyle="1" w:styleId="UnderskriftTegn1">
    <w:name w:val="Underskrift Tegn1"/>
    <w:basedOn w:val="Standardskriftforavsnitt"/>
    <w:uiPriority w:val="99"/>
    <w:semiHidden/>
    <w:rsid w:val="00E63E2C"/>
    <w:rPr>
      <w:rFonts w:ascii="Times New Roman" w:eastAsia="Times New Roman" w:hAnsi="Times New Roman"/>
      <w:spacing w:val="4"/>
      <w:sz w:val="24"/>
    </w:rPr>
  </w:style>
  <w:style w:type="paragraph" w:styleId="Liste-forts">
    <w:name w:val="List Continue"/>
    <w:basedOn w:val="Normal"/>
    <w:uiPriority w:val="99"/>
    <w:semiHidden/>
    <w:unhideWhenUsed/>
    <w:rsid w:val="00E63E2C"/>
    <w:pPr>
      <w:ind w:left="283"/>
      <w:contextualSpacing/>
    </w:pPr>
  </w:style>
  <w:style w:type="paragraph" w:styleId="Liste-forts2">
    <w:name w:val="List Continue 2"/>
    <w:basedOn w:val="Normal"/>
    <w:uiPriority w:val="99"/>
    <w:semiHidden/>
    <w:unhideWhenUsed/>
    <w:rsid w:val="00E63E2C"/>
    <w:pPr>
      <w:ind w:left="566"/>
      <w:contextualSpacing/>
    </w:pPr>
  </w:style>
  <w:style w:type="paragraph" w:styleId="Liste-forts3">
    <w:name w:val="List Continue 3"/>
    <w:basedOn w:val="Normal"/>
    <w:uiPriority w:val="99"/>
    <w:semiHidden/>
    <w:unhideWhenUsed/>
    <w:rsid w:val="00E63E2C"/>
    <w:pPr>
      <w:ind w:left="849"/>
      <w:contextualSpacing/>
    </w:pPr>
  </w:style>
  <w:style w:type="paragraph" w:styleId="Liste-forts4">
    <w:name w:val="List Continue 4"/>
    <w:basedOn w:val="Normal"/>
    <w:uiPriority w:val="99"/>
    <w:semiHidden/>
    <w:unhideWhenUsed/>
    <w:rsid w:val="00E63E2C"/>
    <w:pPr>
      <w:ind w:left="1132"/>
      <w:contextualSpacing/>
    </w:pPr>
  </w:style>
  <w:style w:type="paragraph" w:styleId="Liste-forts5">
    <w:name w:val="List Continue 5"/>
    <w:basedOn w:val="Normal"/>
    <w:uiPriority w:val="99"/>
    <w:semiHidden/>
    <w:unhideWhenUsed/>
    <w:rsid w:val="00E63E2C"/>
    <w:pPr>
      <w:ind w:left="1415"/>
      <w:contextualSpacing/>
    </w:pPr>
  </w:style>
  <w:style w:type="paragraph" w:styleId="Meldingshode">
    <w:name w:val="Message Header"/>
    <w:basedOn w:val="Normal"/>
    <w:link w:val="MeldingshodeTegn"/>
    <w:uiPriority w:val="99"/>
    <w:semiHidden/>
    <w:unhideWhenUsed/>
    <w:rsid w:val="00E63E2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63E2C"/>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63E2C"/>
  </w:style>
  <w:style w:type="character" w:customStyle="1" w:styleId="InnledendehilsenTegn">
    <w:name w:val="Innledende hilsen Tegn"/>
    <w:link w:val="Innledendehilsen"/>
    <w:uiPriority w:val="99"/>
    <w:semiHidden/>
    <w:rsid w:val="00E63E2C"/>
    <w:rPr>
      <w:rFonts w:ascii="Times New Roman" w:eastAsia="Times New Roman" w:hAnsi="Times New Roman"/>
      <w:spacing w:val="4"/>
      <w:sz w:val="24"/>
    </w:rPr>
  </w:style>
  <w:style w:type="paragraph" w:styleId="Dato0">
    <w:name w:val="Date"/>
    <w:basedOn w:val="Normal"/>
    <w:next w:val="Normal"/>
    <w:link w:val="DatoTegn"/>
    <w:rsid w:val="00E63E2C"/>
  </w:style>
  <w:style w:type="character" w:customStyle="1" w:styleId="DatoTegn1">
    <w:name w:val="Dato Tegn1"/>
    <w:basedOn w:val="Standardskriftforavsnitt"/>
    <w:uiPriority w:val="99"/>
    <w:semiHidden/>
    <w:rsid w:val="00E63E2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63E2C"/>
    <w:pPr>
      <w:spacing w:after="0" w:line="240" w:lineRule="auto"/>
    </w:pPr>
  </w:style>
  <w:style w:type="character" w:customStyle="1" w:styleId="NotatoverskriftTegn">
    <w:name w:val="Notatoverskrift Tegn"/>
    <w:link w:val="Notatoverskrift"/>
    <w:uiPriority w:val="99"/>
    <w:semiHidden/>
    <w:rsid w:val="00E63E2C"/>
    <w:rPr>
      <w:rFonts w:ascii="Times New Roman" w:eastAsia="Times New Roman" w:hAnsi="Times New Roman"/>
      <w:spacing w:val="4"/>
      <w:sz w:val="24"/>
    </w:rPr>
  </w:style>
  <w:style w:type="paragraph" w:styleId="Blokktekst">
    <w:name w:val="Block Text"/>
    <w:basedOn w:val="Normal"/>
    <w:uiPriority w:val="99"/>
    <w:semiHidden/>
    <w:unhideWhenUsed/>
    <w:rsid w:val="00E63E2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63E2C"/>
    <w:rPr>
      <w:color w:val="800080"/>
      <w:u w:val="single"/>
    </w:rPr>
  </w:style>
  <w:style w:type="character" w:styleId="Utheving">
    <w:name w:val="Emphasis"/>
    <w:uiPriority w:val="20"/>
    <w:qFormat/>
    <w:rsid w:val="00E63E2C"/>
    <w:rPr>
      <w:i/>
      <w:iCs/>
    </w:rPr>
  </w:style>
  <w:style w:type="paragraph" w:styleId="Dokumentkart">
    <w:name w:val="Document Map"/>
    <w:basedOn w:val="Normal"/>
    <w:link w:val="DokumentkartTegn"/>
    <w:uiPriority w:val="99"/>
    <w:semiHidden/>
    <w:rsid w:val="00E63E2C"/>
    <w:pPr>
      <w:shd w:val="clear" w:color="auto" w:fill="000080"/>
    </w:pPr>
    <w:rPr>
      <w:rFonts w:ascii="Tahoma" w:hAnsi="Tahoma" w:cs="Tahoma"/>
    </w:rPr>
  </w:style>
  <w:style w:type="character" w:customStyle="1" w:styleId="DokumentkartTegn">
    <w:name w:val="Dokumentkart Tegn"/>
    <w:link w:val="Dokumentkart"/>
    <w:uiPriority w:val="99"/>
    <w:semiHidden/>
    <w:rsid w:val="00E63E2C"/>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63E2C"/>
    <w:rPr>
      <w:rFonts w:ascii="Courier New" w:hAnsi="Courier New" w:cs="Courier New"/>
      <w:sz w:val="20"/>
    </w:rPr>
  </w:style>
  <w:style w:type="character" w:customStyle="1" w:styleId="RentekstTegn">
    <w:name w:val="Ren tekst Tegn"/>
    <w:link w:val="Rentekst"/>
    <w:uiPriority w:val="99"/>
    <w:semiHidden/>
    <w:rsid w:val="00E63E2C"/>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63E2C"/>
    <w:pPr>
      <w:spacing w:after="0" w:line="240" w:lineRule="auto"/>
    </w:pPr>
  </w:style>
  <w:style w:type="character" w:customStyle="1" w:styleId="E-postsignaturTegn">
    <w:name w:val="E-postsignatur Tegn"/>
    <w:link w:val="E-postsignatur"/>
    <w:uiPriority w:val="99"/>
    <w:semiHidden/>
    <w:rsid w:val="00E63E2C"/>
    <w:rPr>
      <w:rFonts w:ascii="Times New Roman" w:eastAsia="Times New Roman" w:hAnsi="Times New Roman"/>
      <w:spacing w:val="4"/>
      <w:sz w:val="24"/>
    </w:rPr>
  </w:style>
  <w:style w:type="paragraph" w:styleId="NormalWeb">
    <w:name w:val="Normal (Web)"/>
    <w:basedOn w:val="Normal"/>
    <w:uiPriority w:val="99"/>
    <w:semiHidden/>
    <w:unhideWhenUsed/>
    <w:rsid w:val="00E63E2C"/>
    <w:rPr>
      <w:szCs w:val="24"/>
    </w:rPr>
  </w:style>
  <w:style w:type="character" w:styleId="HTML-akronym">
    <w:name w:val="HTML Acronym"/>
    <w:uiPriority w:val="99"/>
    <w:semiHidden/>
    <w:unhideWhenUsed/>
    <w:rsid w:val="00E63E2C"/>
  </w:style>
  <w:style w:type="paragraph" w:styleId="HTML-adresse">
    <w:name w:val="HTML Address"/>
    <w:basedOn w:val="Normal"/>
    <w:link w:val="HTML-adresseTegn"/>
    <w:uiPriority w:val="99"/>
    <w:semiHidden/>
    <w:unhideWhenUsed/>
    <w:rsid w:val="00E63E2C"/>
    <w:pPr>
      <w:spacing w:after="0" w:line="240" w:lineRule="auto"/>
    </w:pPr>
    <w:rPr>
      <w:i/>
      <w:iCs/>
    </w:rPr>
  </w:style>
  <w:style w:type="character" w:customStyle="1" w:styleId="HTML-adresseTegn">
    <w:name w:val="HTML-adresse Tegn"/>
    <w:link w:val="HTML-adresse"/>
    <w:uiPriority w:val="99"/>
    <w:semiHidden/>
    <w:rsid w:val="00E63E2C"/>
    <w:rPr>
      <w:rFonts w:ascii="Times New Roman" w:eastAsia="Times New Roman" w:hAnsi="Times New Roman"/>
      <w:i/>
      <w:iCs/>
      <w:spacing w:val="4"/>
      <w:sz w:val="24"/>
    </w:rPr>
  </w:style>
  <w:style w:type="character" w:styleId="HTML-sitat">
    <w:name w:val="HTML Cite"/>
    <w:uiPriority w:val="99"/>
    <w:semiHidden/>
    <w:unhideWhenUsed/>
    <w:rsid w:val="00E63E2C"/>
    <w:rPr>
      <w:i/>
      <w:iCs/>
    </w:rPr>
  </w:style>
  <w:style w:type="character" w:styleId="HTML-kode">
    <w:name w:val="HTML Code"/>
    <w:uiPriority w:val="99"/>
    <w:semiHidden/>
    <w:unhideWhenUsed/>
    <w:rsid w:val="00E63E2C"/>
    <w:rPr>
      <w:rFonts w:ascii="Consolas" w:hAnsi="Consolas"/>
      <w:sz w:val="20"/>
      <w:szCs w:val="20"/>
    </w:rPr>
  </w:style>
  <w:style w:type="character" w:styleId="HTML-definisjon">
    <w:name w:val="HTML Definition"/>
    <w:uiPriority w:val="99"/>
    <w:semiHidden/>
    <w:unhideWhenUsed/>
    <w:rsid w:val="00E63E2C"/>
    <w:rPr>
      <w:i/>
      <w:iCs/>
    </w:rPr>
  </w:style>
  <w:style w:type="character" w:styleId="HTML-tastatur">
    <w:name w:val="HTML Keyboard"/>
    <w:uiPriority w:val="99"/>
    <w:semiHidden/>
    <w:unhideWhenUsed/>
    <w:rsid w:val="00E63E2C"/>
    <w:rPr>
      <w:rFonts w:ascii="Consolas" w:hAnsi="Consolas"/>
      <w:sz w:val="20"/>
      <w:szCs w:val="20"/>
    </w:rPr>
  </w:style>
  <w:style w:type="paragraph" w:styleId="HTML-forhndsformatert">
    <w:name w:val="HTML Preformatted"/>
    <w:basedOn w:val="Normal"/>
    <w:link w:val="HTML-forhndsformatertTegn"/>
    <w:uiPriority w:val="99"/>
    <w:semiHidden/>
    <w:unhideWhenUsed/>
    <w:rsid w:val="00E63E2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63E2C"/>
    <w:rPr>
      <w:rFonts w:ascii="Consolas" w:eastAsia="Times New Roman" w:hAnsi="Consolas"/>
      <w:spacing w:val="4"/>
      <w:sz w:val="20"/>
      <w:szCs w:val="20"/>
    </w:rPr>
  </w:style>
  <w:style w:type="character" w:styleId="HTML-eksempel">
    <w:name w:val="HTML Sample"/>
    <w:uiPriority w:val="99"/>
    <w:semiHidden/>
    <w:unhideWhenUsed/>
    <w:rsid w:val="00E63E2C"/>
    <w:rPr>
      <w:rFonts w:ascii="Consolas" w:hAnsi="Consolas"/>
      <w:sz w:val="24"/>
      <w:szCs w:val="24"/>
    </w:rPr>
  </w:style>
  <w:style w:type="character" w:styleId="HTML-skrivemaskin">
    <w:name w:val="HTML Typewriter"/>
    <w:uiPriority w:val="99"/>
    <w:semiHidden/>
    <w:unhideWhenUsed/>
    <w:rsid w:val="00E63E2C"/>
    <w:rPr>
      <w:rFonts w:ascii="Consolas" w:hAnsi="Consolas"/>
      <w:sz w:val="20"/>
      <w:szCs w:val="20"/>
    </w:rPr>
  </w:style>
  <w:style w:type="character" w:styleId="HTML-variabel">
    <w:name w:val="HTML Variable"/>
    <w:uiPriority w:val="99"/>
    <w:semiHidden/>
    <w:unhideWhenUsed/>
    <w:rsid w:val="00E63E2C"/>
    <w:rPr>
      <w:i/>
      <w:iCs/>
    </w:rPr>
  </w:style>
  <w:style w:type="paragraph" w:styleId="Kommentaremne">
    <w:name w:val="annotation subject"/>
    <w:basedOn w:val="Merknadstekst"/>
    <w:next w:val="Merknadstekst"/>
    <w:link w:val="KommentaremneTegn"/>
    <w:uiPriority w:val="99"/>
    <w:semiHidden/>
    <w:unhideWhenUsed/>
    <w:rsid w:val="00E63E2C"/>
    <w:pPr>
      <w:spacing w:line="240" w:lineRule="auto"/>
    </w:pPr>
    <w:rPr>
      <w:b/>
      <w:bCs/>
      <w:spacing w:val="4"/>
      <w:szCs w:val="20"/>
    </w:rPr>
  </w:style>
  <w:style w:type="character" w:customStyle="1" w:styleId="KommentaremneTegn">
    <w:name w:val="Kommentaremne Tegn"/>
    <w:link w:val="Kommentaremne"/>
    <w:uiPriority w:val="99"/>
    <w:semiHidden/>
    <w:rsid w:val="00E63E2C"/>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63E2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63E2C"/>
    <w:rPr>
      <w:rFonts w:ascii="Tahoma" w:eastAsia="Times New Roman" w:hAnsi="Tahoma" w:cs="Tahoma"/>
      <w:spacing w:val="4"/>
      <w:sz w:val="16"/>
      <w:szCs w:val="16"/>
    </w:rPr>
  </w:style>
  <w:style w:type="table" w:styleId="Tabellrutenett">
    <w:name w:val="Table Grid"/>
    <w:basedOn w:val="Vanligtabell"/>
    <w:uiPriority w:val="59"/>
    <w:rsid w:val="00E63E2C"/>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63E2C"/>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63E2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E63E2C"/>
    <w:rPr>
      <w:rFonts w:ascii="Times New Roman" w:eastAsia="Times New Roman" w:hAnsi="Times New Roman"/>
      <w:i/>
      <w:iCs/>
      <w:color w:val="5B9BD5" w:themeColor="accent1"/>
      <w:spacing w:val="4"/>
      <w:sz w:val="24"/>
    </w:rPr>
  </w:style>
  <w:style w:type="character" w:styleId="Svakutheving">
    <w:name w:val="Subtle Emphasis"/>
    <w:uiPriority w:val="19"/>
    <w:qFormat/>
    <w:rsid w:val="00E63E2C"/>
    <w:rPr>
      <w:i/>
      <w:iCs/>
      <w:color w:val="808080"/>
    </w:rPr>
  </w:style>
  <w:style w:type="character" w:styleId="Sterkutheving">
    <w:name w:val="Intense Emphasis"/>
    <w:uiPriority w:val="21"/>
    <w:qFormat/>
    <w:rsid w:val="00E63E2C"/>
    <w:rPr>
      <w:b/>
      <w:bCs/>
      <w:i/>
      <w:iCs/>
      <w:color w:val="4F81BD"/>
    </w:rPr>
  </w:style>
  <w:style w:type="character" w:styleId="Svakreferanse">
    <w:name w:val="Subtle Reference"/>
    <w:uiPriority w:val="31"/>
    <w:qFormat/>
    <w:rsid w:val="00E63E2C"/>
    <w:rPr>
      <w:smallCaps/>
      <w:color w:val="C0504D"/>
      <w:u w:val="single"/>
    </w:rPr>
  </w:style>
  <w:style w:type="character" w:styleId="Sterkreferanse">
    <w:name w:val="Intense Reference"/>
    <w:uiPriority w:val="32"/>
    <w:qFormat/>
    <w:rsid w:val="00E63E2C"/>
    <w:rPr>
      <w:b/>
      <w:bCs/>
      <w:smallCaps/>
      <w:color w:val="C0504D"/>
      <w:spacing w:val="5"/>
      <w:u w:val="single"/>
    </w:rPr>
  </w:style>
  <w:style w:type="character" w:styleId="Boktittel">
    <w:name w:val="Book Title"/>
    <w:uiPriority w:val="33"/>
    <w:qFormat/>
    <w:rsid w:val="00E63E2C"/>
    <w:rPr>
      <w:b/>
      <w:bCs/>
      <w:smallCaps/>
      <w:spacing w:val="5"/>
    </w:rPr>
  </w:style>
  <w:style w:type="paragraph" w:styleId="Bibliografi">
    <w:name w:val="Bibliography"/>
    <w:basedOn w:val="Normal"/>
    <w:next w:val="Normal"/>
    <w:uiPriority w:val="37"/>
    <w:semiHidden/>
    <w:unhideWhenUsed/>
    <w:rsid w:val="00E63E2C"/>
  </w:style>
  <w:style w:type="paragraph" w:styleId="Overskriftforinnholdsfortegnelse">
    <w:name w:val="TOC Heading"/>
    <w:basedOn w:val="Overskrift1"/>
    <w:next w:val="Normal"/>
    <w:uiPriority w:val="39"/>
    <w:semiHidden/>
    <w:unhideWhenUsed/>
    <w:qFormat/>
    <w:rsid w:val="00E63E2C"/>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63E2C"/>
    <w:pPr>
      <w:numPr>
        <w:numId w:val="3"/>
      </w:numPr>
    </w:pPr>
  </w:style>
  <w:style w:type="numbering" w:customStyle="1" w:styleId="NrListeStil">
    <w:name w:val="NrListeStil"/>
    <w:uiPriority w:val="99"/>
    <w:rsid w:val="00E63E2C"/>
    <w:pPr>
      <w:numPr>
        <w:numId w:val="4"/>
      </w:numPr>
    </w:pPr>
  </w:style>
  <w:style w:type="numbering" w:customStyle="1" w:styleId="RomListeStil">
    <w:name w:val="RomListeStil"/>
    <w:uiPriority w:val="99"/>
    <w:rsid w:val="00E63E2C"/>
    <w:pPr>
      <w:numPr>
        <w:numId w:val="5"/>
      </w:numPr>
    </w:pPr>
  </w:style>
  <w:style w:type="numbering" w:customStyle="1" w:styleId="StrekListeStil">
    <w:name w:val="StrekListeStil"/>
    <w:uiPriority w:val="99"/>
    <w:rsid w:val="00E63E2C"/>
    <w:pPr>
      <w:numPr>
        <w:numId w:val="6"/>
      </w:numPr>
    </w:pPr>
  </w:style>
  <w:style w:type="numbering" w:customStyle="1" w:styleId="OpplistingListeStil">
    <w:name w:val="OpplistingListeStil"/>
    <w:uiPriority w:val="99"/>
    <w:rsid w:val="00E63E2C"/>
    <w:pPr>
      <w:numPr>
        <w:numId w:val="7"/>
      </w:numPr>
    </w:pPr>
  </w:style>
  <w:style w:type="numbering" w:customStyle="1" w:styleId="l-NummerertListeStil">
    <w:name w:val="l-NummerertListeStil"/>
    <w:uiPriority w:val="99"/>
    <w:rsid w:val="00E63E2C"/>
    <w:pPr>
      <w:numPr>
        <w:numId w:val="8"/>
      </w:numPr>
    </w:pPr>
  </w:style>
  <w:style w:type="numbering" w:customStyle="1" w:styleId="l-AlfaListeStil">
    <w:name w:val="l-AlfaListeStil"/>
    <w:uiPriority w:val="99"/>
    <w:rsid w:val="00E63E2C"/>
    <w:pPr>
      <w:numPr>
        <w:numId w:val="9"/>
      </w:numPr>
    </w:pPr>
  </w:style>
  <w:style w:type="numbering" w:customStyle="1" w:styleId="OverskrifterListeStil">
    <w:name w:val="OverskrifterListeStil"/>
    <w:uiPriority w:val="99"/>
    <w:rsid w:val="00E63E2C"/>
    <w:pPr>
      <w:numPr>
        <w:numId w:val="10"/>
      </w:numPr>
    </w:pPr>
  </w:style>
  <w:style w:type="numbering" w:customStyle="1" w:styleId="l-ListeStilMal">
    <w:name w:val="l-ListeStilMal"/>
    <w:uiPriority w:val="99"/>
    <w:rsid w:val="00E63E2C"/>
    <w:pPr>
      <w:numPr>
        <w:numId w:val="11"/>
      </w:numPr>
    </w:pPr>
  </w:style>
  <w:style w:type="paragraph" w:styleId="Avsenderadresse">
    <w:name w:val="envelope return"/>
    <w:basedOn w:val="Normal"/>
    <w:uiPriority w:val="99"/>
    <w:semiHidden/>
    <w:unhideWhenUsed/>
    <w:rsid w:val="00E63E2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63E2C"/>
  </w:style>
  <w:style w:type="character" w:customStyle="1" w:styleId="BrdtekstTegn">
    <w:name w:val="Brødtekst Tegn"/>
    <w:link w:val="Brdtekst"/>
    <w:semiHidden/>
    <w:rsid w:val="00E63E2C"/>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63E2C"/>
    <w:pPr>
      <w:ind w:firstLine="360"/>
    </w:pPr>
  </w:style>
  <w:style w:type="character" w:customStyle="1" w:styleId="Brdtekst-frsteinnrykkTegn">
    <w:name w:val="Brødtekst - første innrykk Tegn"/>
    <w:link w:val="Brdtekst-frsteinnrykk"/>
    <w:uiPriority w:val="99"/>
    <w:semiHidden/>
    <w:rsid w:val="00E63E2C"/>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63E2C"/>
    <w:pPr>
      <w:ind w:left="283"/>
    </w:pPr>
  </w:style>
  <w:style w:type="character" w:customStyle="1" w:styleId="BrdtekstinnrykkTegn">
    <w:name w:val="Brødtekstinnrykk Tegn"/>
    <w:link w:val="Brdtekstinnrykk"/>
    <w:uiPriority w:val="99"/>
    <w:semiHidden/>
    <w:rsid w:val="00E63E2C"/>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63E2C"/>
    <w:pPr>
      <w:ind w:left="360" w:firstLine="360"/>
    </w:pPr>
  </w:style>
  <w:style w:type="character" w:customStyle="1" w:styleId="Brdtekst-frsteinnrykk2Tegn">
    <w:name w:val="Brødtekst - første innrykk 2 Tegn"/>
    <w:link w:val="Brdtekst-frsteinnrykk2"/>
    <w:uiPriority w:val="99"/>
    <w:semiHidden/>
    <w:rsid w:val="00E63E2C"/>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63E2C"/>
    <w:pPr>
      <w:spacing w:line="480" w:lineRule="auto"/>
    </w:pPr>
  </w:style>
  <w:style w:type="character" w:customStyle="1" w:styleId="Brdtekst2Tegn">
    <w:name w:val="Brødtekst 2 Tegn"/>
    <w:link w:val="Brdtekst2"/>
    <w:uiPriority w:val="99"/>
    <w:semiHidden/>
    <w:rsid w:val="00E63E2C"/>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63E2C"/>
    <w:rPr>
      <w:sz w:val="16"/>
      <w:szCs w:val="16"/>
    </w:rPr>
  </w:style>
  <w:style w:type="character" w:customStyle="1" w:styleId="Brdtekst3Tegn">
    <w:name w:val="Brødtekst 3 Tegn"/>
    <w:link w:val="Brdtekst3"/>
    <w:uiPriority w:val="99"/>
    <w:semiHidden/>
    <w:rsid w:val="00E63E2C"/>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63E2C"/>
    <w:pPr>
      <w:spacing w:line="480" w:lineRule="auto"/>
      <w:ind w:left="283"/>
    </w:pPr>
  </w:style>
  <w:style w:type="character" w:customStyle="1" w:styleId="Brdtekstinnrykk2Tegn">
    <w:name w:val="Brødtekstinnrykk 2 Tegn"/>
    <w:link w:val="Brdtekstinnrykk2"/>
    <w:uiPriority w:val="99"/>
    <w:semiHidden/>
    <w:rsid w:val="00E63E2C"/>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63E2C"/>
    <w:pPr>
      <w:ind w:left="283"/>
    </w:pPr>
    <w:rPr>
      <w:sz w:val="16"/>
      <w:szCs w:val="16"/>
    </w:rPr>
  </w:style>
  <w:style w:type="character" w:customStyle="1" w:styleId="Brdtekstinnrykk3Tegn">
    <w:name w:val="Brødtekstinnrykk 3 Tegn"/>
    <w:link w:val="Brdtekstinnrykk3"/>
    <w:uiPriority w:val="99"/>
    <w:semiHidden/>
    <w:rsid w:val="00E63E2C"/>
    <w:rPr>
      <w:rFonts w:ascii="Times New Roman" w:eastAsia="Times New Roman" w:hAnsi="Times New Roman"/>
      <w:spacing w:val="4"/>
      <w:sz w:val="16"/>
      <w:szCs w:val="16"/>
    </w:rPr>
  </w:style>
  <w:style w:type="paragraph" w:customStyle="1" w:styleId="Sammendrag">
    <w:name w:val="Sammendrag"/>
    <w:basedOn w:val="Overskrift1"/>
    <w:qFormat/>
    <w:rsid w:val="00E63E2C"/>
    <w:pPr>
      <w:numPr>
        <w:numId w:val="0"/>
      </w:numPr>
    </w:pPr>
  </w:style>
  <w:style w:type="paragraph" w:customStyle="1" w:styleId="TrykkeriMerknad">
    <w:name w:val="TrykkeriMerknad"/>
    <w:basedOn w:val="Normal"/>
    <w:qFormat/>
    <w:rsid w:val="00E63E2C"/>
    <w:pPr>
      <w:spacing w:before="60"/>
    </w:pPr>
    <w:rPr>
      <w:rFonts w:ascii="Arial" w:hAnsi="Arial"/>
      <w:color w:val="943634"/>
      <w:sz w:val="26"/>
    </w:rPr>
  </w:style>
  <w:style w:type="paragraph" w:customStyle="1" w:styleId="ForfatterMerknad">
    <w:name w:val="ForfatterMerknad"/>
    <w:basedOn w:val="TrykkeriMerknad"/>
    <w:qFormat/>
    <w:rsid w:val="00E63E2C"/>
    <w:pPr>
      <w:shd w:val="clear" w:color="auto" w:fill="FFFF99"/>
      <w:spacing w:line="240" w:lineRule="auto"/>
    </w:pPr>
    <w:rPr>
      <w:color w:val="632423"/>
    </w:rPr>
  </w:style>
  <w:style w:type="paragraph" w:customStyle="1" w:styleId="tblRad">
    <w:name w:val="tblRad"/>
    <w:rsid w:val="00E63E2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63E2C"/>
  </w:style>
  <w:style w:type="paragraph" w:customStyle="1" w:styleId="tbl2LinjeSumBold">
    <w:name w:val="tbl2LinjeSumBold"/>
    <w:basedOn w:val="tblRad"/>
    <w:rsid w:val="00E63E2C"/>
    <w:rPr>
      <w:b/>
    </w:rPr>
  </w:style>
  <w:style w:type="paragraph" w:customStyle="1" w:styleId="tblDelsum1">
    <w:name w:val="tblDelsum1"/>
    <w:basedOn w:val="tblRad"/>
    <w:rsid w:val="00E63E2C"/>
    <w:rPr>
      <w:i/>
    </w:rPr>
  </w:style>
  <w:style w:type="paragraph" w:customStyle="1" w:styleId="tblDelsum1-Kapittel">
    <w:name w:val="tblDelsum1 - Kapittel"/>
    <w:basedOn w:val="tblDelsum1"/>
    <w:rsid w:val="00E63E2C"/>
    <w:pPr>
      <w:keepNext w:val="0"/>
    </w:pPr>
  </w:style>
  <w:style w:type="paragraph" w:customStyle="1" w:styleId="tblDelsum2">
    <w:name w:val="tblDelsum2"/>
    <w:basedOn w:val="tblRad"/>
    <w:rsid w:val="00E63E2C"/>
    <w:rPr>
      <w:b/>
      <w:i/>
    </w:rPr>
  </w:style>
  <w:style w:type="paragraph" w:customStyle="1" w:styleId="tblDelsum2-Kapittel">
    <w:name w:val="tblDelsum2 - Kapittel"/>
    <w:basedOn w:val="tblDelsum2"/>
    <w:rsid w:val="00E63E2C"/>
    <w:pPr>
      <w:keepNext w:val="0"/>
    </w:pPr>
  </w:style>
  <w:style w:type="paragraph" w:customStyle="1" w:styleId="tblTabelloverskrift">
    <w:name w:val="tblTabelloverskrift"/>
    <w:rsid w:val="00E63E2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63E2C"/>
    <w:pPr>
      <w:spacing w:after="0"/>
      <w:jc w:val="right"/>
    </w:pPr>
    <w:rPr>
      <w:b w:val="0"/>
      <w:caps w:val="0"/>
      <w:sz w:val="16"/>
    </w:rPr>
  </w:style>
  <w:style w:type="paragraph" w:customStyle="1" w:styleId="tblKategoriOverskrift">
    <w:name w:val="tblKategoriOverskrift"/>
    <w:basedOn w:val="tblRad"/>
    <w:rsid w:val="00E63E2C"/>
    <w:pPr>
      <w:spacing w:before="120"/>
    </w:pPr>
    <w:rPr>
      <w:b/>
    </w:rPr>
  </w:style>
  <w:style w:type="paragraph" w:customStyle="1" w:styleId="tblKolonneoverskrift">
    <w:name w:val="tblKolonneoverskrift"/>
    <w:basedOn w:val="Normal"/>
    <w:rsid w:val="00E63E2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63E2C"/>
    <w:pPr>
      <w:spacing w:after="360"/>
      <w:jc w:val="center"/>
    </w:pPr>
    <w:rPr>
      <w:b w:val="0"/>
      <w:caps w:val="0"/>
    </w:rPr>
  </w:style>
  <w:style w:type="paragraph" w:customStyle="1" w:styleId="tblKolonneoverskrift-Vedtak">
    <w:name w:val="tblKolonneoverskrift - Vedtak"/>
    <w:basedOn w:val="tblTabelloverskrift-Vedtak"/>
    <w:rsid w:val="00E63E2C"/>
    <w:pPr>
      <w:spacing w:after="0"/>
    </w:pPr>
  </w:style>
  <w:style w:type="paragraph" w:customStyle="1" w:styleId="tblOverskrift-Vedtak">
    <w:name w:val="tblOverskrift - Vedtak"/>
    <w:basedOn w:val="tblRad"/>
    <w:rsid w:val="00E63E2C"/>
    <w:pPr>
      <w:spacing w:before="360"/>
      <w:jc w:val="center"/>
    </w:pPr>
  </w:style>
  <w:style w:type="paragraph" w:customStyle="1" w:styleId="tblRadBold">
    <w:name w:val="tblRadBold"/>
    <w:basedOn w:val="tblRad"/>
    <w:rsid w:val="00E63E2C"/>
    <w:rPr>
      <w:b/>
    </w:rPr>
  </w:style>
  <w:style w:type="paragraph" w:customStyle="1" w:styleId="tblRadItalic">
    <w:name w:val="tblRadItalic"/>
    <w:basedOn w:val="tblRad"/>
    <w:rsid w:val="00E63E2C"/>
    <w:rPr>
      <w:i/>
    </w:rPr>
  </w:style>
  <w:style w:type="paragraph" w:customStyle="1" w:styleId="tblRadItalicSiste">
    <w:name w:val="tblRadItalicSiste"/>
    <w:basedOn w:val="tblRadItalic"/>
    <w:rsid w:val="00E63E2C"/>
  </w:style>
  <w:style w:type="paragraph" w:customStyle="1" w:styleId="tblRadMedLuft">
    <w:name w:val="tblRadMedLuft"/>
    <w:basedOn w:val="tblRad"/>
    <w:rsid w:val="00E63E2C"/>
    <w:pPr>
      <w:spacing w:before="120"/>
    </w:pPr>
  </w:style>
  <w:style w:type="paragraph" w:customStyle="1" w:styleId="tblRadMedLuftSiste">
    <w:name w:val="tblRadMedLuftSiste"/>
    <w:basedOn w:val="tblRadMedLuft"/>
    <w:rsid w:val="00E63E2C"/>
    <w:pPr>
      <w:spacing w:after="120"/>
    </w:pPr>
  </w:style>
  <w:style w:type="paragraph" w:customStyle="1" w:styleId="tblRadMedLuftSiste-Vedtak">
    <w:name w:val="tblRadMedLuftSiste - Vedtak"/>
    <w:basedOn w:val="tblRadMedLuftSiste"/>
    <w:rsid w:val="00E63E2C"/>
    <w:pPr>
      <w:keepNext w:val="0"/>
    </w:pPr>
  </w:style>
  <w:style w:type="paragraph" w:customStyle="1" w:styleId="tblRadSiste">
    <w:name w:val="tblRadSiste"/>
    <w:basedOn w:val="tblRad"/>
    <w:rsid w:val="00E63E2C"/>
  </w:style>
  <w:style w:type="paragraph" w:customStyle="1" w:styleId="tblSluttsum">
    <w:name w:val="tblSluttsum"/>
    <w:basedOn w:val="tblRad"/>
    <w:rsid w:val="00E63E2C"/>
    <w:pPr>
      <w:spacing w:before="120"/>
    </w:pPr>
    <w:rPr>
      <w:b/>
      <w:i/>
    </w:rPr>
  </w:style>
  <w:style w:type="paragraph" w:styleId="Sitat0">
    <w:name w:val="Quote"/>
    <w:basedOn w:val="Normal"/>
    <w:next w:val="Normal"/>
    <w:link w:val="SitatTegn1"/>
    <w:uiPriority w:val="29"/>
    <w:qFormat/>
    <w:rsid w:val="00E63E2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63E2C"/>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20</Pages>
  <Words>9280</Words>
  <Characters>49185</Characters>
  <Application>Microsoft Office Word</Application>
  <DocSecurity>0</DocSecurity>
  <Lines>409</Lines>
  <Paragraphs>116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2019-11-21T14:25:00Z</dcterms:created>
  <dcterms:modified xsi:type="dcterms:W3CDTF">2019-11-21T14:25:00Z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2019-11-21T14:24:33.0752725Z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dbb76b36-9c9b-404e-b33a-7258f0fff8aa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