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4A64" w14:textId="7EF644CC" w:rsidR="00F7113A" w:rsidRPr="00580C0D" w:rsidRDefault="00580C0D" w:rsidP="005E03DE">
      <w:pPr>
        <w:pStyle w:val="is-dep"/>
      </w:pPr>
      <w:r w:rsidRPr="00580C0D">
        <w:t>Statsministerens kontor</w:t>
      </w:r>
    </w:p>
    <w:p w14:paraId="4DF7AE5A" w14:textId="77777777" w:rsidR="00F7113A" w:rsidRPr="00580C0D" w:rsidRDefault="00142E5B" w:rsidP="00580C0D">
      <w:pPr>
        <w:pStyle w:val="i-hode"/>
      </w:pPr>
      <w:r w:rsidRPr="00580C0D">
        <w:t>Meld. St. 4</w:t>
      </w:r>
    </w:p>
    <w:p w14:paraId="31E88C3C" w14:textId="77777777" w:rsidR="00F7113A" w:rsidRPr="00580C0D" w:rsidRDefault="00142E5B" w:rsidP="00580C0D">
      <w:pPr>
        <w:pStyle w:val="i-sesjon"/>
      </w:pPr>
      <w:r w:rsidRPr="00580C0D">
        <w:t>(2023–2024)</w:t>
      </w:r>
    </w:p>
    <w:p w14:paraId="4158B5F5" w14:textId="77777777" w:rsidR="00F7113A" w:rsidRPr="00580C0D" w:rsidRDefault="00142E5B" w:rsidP="00580C0D">
      <w:pPr>
        <w:pStyle w:val="i-hode-tit"/>
      </w:pPr>
      <w:r w:rsidRPr="00580C0D">
        <w:t>Melding til Stortinget</w:t>
      </w:r>
    </w:p>
    <w:p w14:paraId="034961E2" w14:textId="77777777" w:rsidR="00F7113A" w:rsidRPr="00142E5B" w:rsidRDefault="00142E5B" w:rsidP="00580C0D">
      <w:pPr>
        <w:pStyle w:val="i-tit"/>
      </w:pPr>
      <w:r w:rsidRPr="00142E5B">
        <w:t xml:space="preserve">Anmodnings- og utredningsvedtak </w:t>
      </w:r>
      <w:r w:rsidRPr="00142E5B">
        <w:br/>
        <w:t>i stortingssesjonen 2022–2023</w:t>
      </w:r>
    </w:p>
    <w:p w14:paraId="313CC177" w14:textId="696271FC" w:rsidR="00F7113A" w:rsidRPr="00580C0D" w:rsidRDefault="00580C0D" w:rsidP="00580C0D">
      <w:pPr>
        <w:pStyle w:val="i-dep"/>
      </w:pPr>
      <w:r w:rsidRPr="00580C0D">
        <w:t>Statsministerens kontor</w:t>
      </w:r>
    </w:p>
    <w:p w14:paraId="02D6CC13" w14:textId="77777777" w:rsidR="00F7113A" w:rsidRPr="00580C0D" w:rsidRDefault="00142E5B" w:rsidP="00580C0D">
      <w:pPr>
        <w:pStyle w:val="i-hode"/>
      </w:pPr>
      <w:r w:rsidRPr="00580C0D">
        <w:t>Meld. St. 4</w:t>
      </w:r>
    </w:p>
    <w:p w14:paraId="055FB738" w14:textId="77777777" w:rsidR="00F7113A" w:rsidRPr="00580C0D" w:rsidRDefault="00142E5B" w:rsidP="00580C0D">
      <w:pPr>
        <w:pStyle w:val="i-sesjon"/>
      </w:pPr>
      <w:r w:rsidRPr="00580C0D">
        <w:t>(2023–2024)</w:t>
      </w:r>
    </w:p>
    <w:p w14:paraId="4404894E" w14:textId="77777777" w:rsidR="00F7113A" w:rsidRPr="00580C0D" w:rsidRDefault="00142E5B" w:rsidP="00580C0D">
      <w:pPr>
        <w:pStyle w:val="i-hode-tit"/>
      </w:pPr>
      <w:r w:rsidRPr="00580C0D">
        <w:t>Melding til Stortinget</w:t>
      </w:r>
    </w:p>
    <w:p w14:paraId="7D145B60" w14:textId="77777777" w:rsidR="00F7113A" w:rsidRPr="00142E5B" w:rsidRDefault="00142E5B" w:rsidP="00580C0D">
      <w:pPr>
        <w:pStyle w:val="i-tit"/>
      </w:pPr>
      <w:r w:rsidRPr="00142E5B">
        <w:t xml:space="preserve">Anmodnings- og utredningsvedtak </w:t>
      </w:r>
      <w:r w:rsidRPr="00142E5B">
        <w:br/>
        <w:t>i stortingssesjonen 2022–2023</w:t>
      </w:r>
    </w:p>
    <w:p w14:paraId="110271EE" w14:textId="77777777" w:rsidR="00F7113A" w:rsidRPr="00580C0D" w:rsidRDefault="00142E5B" w:rsidP="00580C0D">
      <w:pPr>
        <w:pStyle w:val="i-statsrdato"/>
      </w:pPr>
      <w:r w:rsidRPr="00580C0D">
        <w:t xml:space="preserve">Tilråding fra </w:t>
      </w:r>
      <w:bookmarkStart w:id="0" w:name="_Hlk147217098"/>
      <w:r w:rsidRPr="00580C0D">
        <w:t xml:space="preserve">Statsministerens kontor </w:t>
      </w:r>
      <w:bookmarkEnd w:id="0"/>
      <w:r w:rsidRPr="00580C0D">
        <w:t xml:space="preserve">29. september 2023, </w:t>
      </w:r>
      <w:r w:rsidRPr="00580C0D">
        <w:br/>
        <w:t>godkjent i statsråd samme dag.</w:t>
      </w:r>
      <w:r w:rsidRPr="00580C0D">
        <w:br/>
        <w:t>(Regjeringen Støre)</w:t>
      </w:r>
    </w:p>
    <w:p w14:paraId="25D97B46" w14:textId="77777777" w:rsidR="00F7113A" w:rsidRPr="00580C0D" w:rsidRDefault="00142E5B" w:rsidP="00580C0D">
      <w:pPr>
        <w:pStyle w:val="Overskrift1"/>
      </w:pPr>
      <w:r w:rsidRPr="00580C0D">
        <w:t>Innledning</w:t>
      </w:r>
    </w:p>
    <w:p w14:paraId="235AEEAB" w14:textId="77777777" w:rsidR="00F7113A" w:rsidRPr="00580C0D" w:rsidRDefault="00142E5B" w:rsidP="00580C0D">
      <w:pPr>
        <w:pStyle w:val="Overskrift2"/>
      </w:pPr>
      <w:r w:rsidRPr="00580C0D">
        <w:t>Bakgrunn</w:t>
      </w:r>
    </w:p>
    <w:p w14:paraId="7282DF79" w14:textId="77777777" w:rsidR="00F7113A" w:rsidRPr="00580C0D" w:rsidRDefault="00142E5B" w:rsidP="00580C0D">
      <w:r w:rsidRPr="00580C0D">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w:t>
      </w:r>
      <w:proofErr w:type="spellStart"/>
      <w:r w:rsidRPr="00580C0D">
        <w:t>uttalelse</w:t>
      </w:r>
      <w:proofErr w:type="spellEnd"/>
      <w:r w:rsidRPr="00580C0D">
        <w:t xml:space="preserve"> (utredningsvedtak).</w:t>
      </w:r>
    </w:p>
    <w:p w14:paraId="21C41E7E" w14:textId="77777777" w:rsidR="00F7113A" w:rsidRPr="00580C0D" w:rsidRDefault="00142E5B" w:rsidP="00580C0D">
      <w:r w:rsidRPr="00580C0D">
        <w:t xml:space="preserve">Regjeringen legger vekt på at Stortinget skal få en tydelig tilbakemelding om regjeringens oppfølging av de enkelte anmodnings- og utredningsvedtakene. Tilbakemelding gis i proposisjoner eller </w:t>
      </w:r>
      <w:r w:rsidRPr="00580C0D">
        <w:lastRenderedPageBreak/>
        <w:t>meldinger fra fagdepartementene. På den måten får fagkomiteene anledning til en ordinær behandling av regjeringens oppfølging av det enkelte vedtak.</w:t>
      </w:r>
    </w:p>
    <w:p w14:paraId="7BD29339" w14:textId="77777777" w:rsidR="00F7113A" w:rsidRPr="00580C0D" w:rsidRDefault="00142E5B" w:rsidP="00580C0D">
      <w:r w:rsidRPr="00580C0D">
        <w:t xml:space="preserve">Departementenes årlige budsjettproposisjoner gir en oversikt over hvordan anmodnings- og utredningsvedtakene under det aktuelle departement er fulgt opp. Fremstillingen omfatter alle anmodningsvedtak fra sesjon 2022–2023 og alle anmodningsvedtak hvor rapporteringen ikke er avsluttet i forbindelse med den årlige behandlingen av stortingsmeldingen om anmodningsvedtak i kontroll- og konstitusjonskomiteen, jf. </w:t>
      </w:r>
      <w:proofErr w:type="spellStart"/>
      <w:r w:rsidRPr="00580C0D">
        <w:t>Innst</w:t>
      </w:r>
      <w:proofErr w:type="spellEnd"/>
      <w:r w:rsidRPr="00580C0D">
        <w:t>. 186 S (2022–2023). I budsjettproposisjonene angis det om departementet anser at rapporteringen knyttet til det enkelte anmodningsvedtak kan avsluttes, eller om departementet planlegger å rapportere på vedtaket også i neste års budsjettproposisjon.</w:t>
      </w:r>
    </w:p>
    <w:p w14:paraId="5866EE89" w14:textId="77777777" w:rsidR="00F7113A" w:rsidRPr="00580C0D" w:rsidRDefault="00142E5B" w:rsidP="00580C0D">
      <w:r w:rsidRPr="00580C0D">
        <w:t xml:space="preserve">Melding om anmodningsvedtak legges frem samtidig med </w:t>
      </w:r>
      <w:proofErr w:type="spellStart"/>
      <w:r w:rsidRPr="00580C0D">
        <w:t>Prop</w:t>
      </w:r>
      <w:proofErr w:type="spellEnd"/>
      <w:r w:rsidRPr="00580C0D">
        <w:t>. 1 S (2023–2024). Stortingsmeldingen gjengir omtalen som gis i departementenes budsjettproposisjoner.</w:t>
      </w:r>
    </w:p>
    <w:p w14:paraId="66BDA47A" w14:textId="77777777" w:rsidR="00F7113A" w:rsidRPr="00580C0D" w:rsidRDefault="00142E5B" w:rsidP="00580C0D">
      <w:r w:rsidRPr="00580C0D">
        <w:t>Antallet anmodningsvedtak har variert noe mellom stortingssesjonene, og har jevnt over vært på et forholdsvis høyt nivå, se tabell 1.1. Antall nye anmodningsvedtak i forrige stortingssesjon var høyere enn i 2021–2022, men det samlede antall vedtakspunkter var på samme nivå.</w:t>
      </w:r>
    </w:p>
    <w:p w14:paraId="145BB7F6" w14:textId="6E6F5B0F" w:rsidR="00F7113A" w:rsidRDefault="00142E5B" w:rsidP="00580C0D">
      <w:r w:rsidRPr="00580C0D">
        <w:t xml:space="preserve">I tilbakemeldingene i </w:t>
      </w:r>
      <w:proofErr w:type="spellStart"/>
      <w:r w:rsidRPr="00580C0D">
        <w:t>Prop</w:t>
      </w:r>
      <w:proofErr w:type="spellEnd"/>
      <w:r w:rsidRPr="00580C0D">
        <w:t>. 1 S (2023–2024) anser departementene at det samlet sett er utestående 410 vedtak der rapporteringen ikke kan avsluttes, se siste kolonne i tabell 1.1. Det utgjør 14 pst. av alle anmodningsvedtakene fra og med sesjonen 2013–2014, som er det samme som i fjorårets melding.</w:t>
      </w:r>
    </w:p>
    <w:p w14:paraId="41053F37" w14:textId="0157090F" w:rsidR="00580C0D" w:rsidRPr="00580C0D" w:rsidRDefault="00580C0D" w:rsidP="00580C0D">
      <w:pPr>
        <w:pStyle w:val="tabell-tittel"/>
      </w:pPr>
      <w:r w:rsidRPr="00580C0D">
        <w:t>Antall anmodningsvedtak de ti siste stortingssesjonene</w:t>
      </w:r>
    </w:p>
    <w:p w14:paraId="1DAD1177" w14:textId="77777777" w:rsidR="00F7113A" w:rsidRPr="00580C0D" w:rsidRDefault="00142E5B" w:rsidP="00580C0D">
      <w:pPr>
        <w:pStyle w:val="Tabellnavn"/>
      </w:pPr>
      <w:r w:rsidRPr="00580C0D">
        <w:t>04J1xt1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517"/>
        <w:gridCol w:w="1275"/>
        <w:gridCol w:w="1276"/>
        <w:gridCol w:w="2977"/>
      </w:tblGrid>
      <w:tr w:rsidR="00F7113A" w:rsidRPr="00580C0D" w14:paraId="0DEE4B24" w14:textId="77777777" w:rsidTr="00580C0D">
        <w:trPr>
          <w:trHeight w:val="1380"/>
        </w:trPr>
        <w:tc>
          <w:tcPr>
            <w:tcW w:w="15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32B606" w14:textId="618F3D38" w:rsidR="00F7113A" w:rsidRPr="00580C0D" w:rsidRDefault="00142E5B" w:rsidP="00580C0D">
            <w:r w:rsidRPr="00580C0D">
              <w:t>Stortings</w:t>
            </w:r>
            <w:r w:rsidR="00580C0D">
              <w:softHyphen/>
            </w:r>
            <w:r w:rsidRPr="00580C0D">
              <w:t>sesjon</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7DFAB8" w14:textId="77777777" w:rsidR="00F7113A" w:rsidRPr="00580C0D" w:rsidRDefault="00142E5B" w:rsidP="00580C0D">
            <w:pPr>
              <w:jc w:val="right"/>
            </w:pPr>
            <w:r w:rsidRPr="00580C0D">
              <w:t>Antall</w:t>
            </w:r>
            <w:r w:rsidRPr="00580C0D">
              <w:br/>
              <w:t xml:space="preserve"> vedtak</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08261C" w14:textId="4F2C70FF" w:rsidR="00F7113A" w:rsidRPr="00580C0D" w:rsidRDefault="00142E5B" w:rsidP="00580C0D">
            <w:pPr>
              <w:jc w:val="right"/>
            </w:pPr>
            <w:r w:rsidRPr="00580C0D">
              <w:t>Vedtaks</w:t>
            </w:r>
            <w:r w:rsidR="00580C0D">
              <w:softHyphen/>
            </w:r>
            <w:r w:rsidRPr="00580C0D">
              <w:t>punkter</w:t>
            </w:r>
            <w:r w:rsidRPr="00580C0D">
              <w:rPr>
                <w:rStyle w:val="skrift-hevet"/>
              </w:rPr>
              <w:t>1</w:t>
            </w:r>
          </w:p>
        </w:tc>
        <w:tc>
          <w:tcPr>
            <w:tcW w:w="29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ABBAB" w14:textId="77777777" w:rsidR="00F7113A" w:rsidRPr="00580C0D" w:rsidRDefault="00142E5B" w:rsidP="00580C0D">
            <w:pPr>
              <w:jc w:val="right"/>
            </w:pPr>
            <w:r w:rsidRPr="00580C0D">
              <w:t xml:space="preserve">Vedtak der departementene i </w:t>
            </w:r>
            <w:proofErr w:type="spellStart"/>
            <w:r w:rsidRPr="00580C0D">
              <w:t>Prop</w:t>
            </w:r>
            <w:proofErr w:type="spellEnd"/>
            <w:r w:rsidRPr="00580C0D">
              <w:t>. 1 S (2023–2024) har lagt til grunn at rapporteringen ikke kan avsluttes</w:t>
            </w:r>
          </w:p>
        </w:tc>
      </w:tr>
      <w:tr w:rsidR="00F7113A" w:rsidRPr="00580C0D" w14:paraId="0AE6D21B" w14:textId="77777777" w:rsidTr="00580C0D">
        <w:trPr>
          <w:trHeight w:val="380"/>
        </w:trPr>
        <w:tc>
          <w:tcPr>
            <w:tcW w:w="1517" w:type="dxa"/>
            <w:tcBorders>
              <w:top w:val="single" w:sz="4" w:space="0" w:color="000000"/>
              <w:left w:val="nil"/>
              <w:bottom w:val="nil"/>
              <w:right w:val="nil"/>
            </w:tcBorders>
            <w:tcMar>
              <w:top w:w="128" w:type="dxa"/>
              <w:left w:w="43" w:type="dxa"/>
              <w:bottom w:w="43" w:type="dxa"/>
              <w:right w:w="43" w:type="dxa"/>
            </w:tcMar>
          </w:tcPr>
          <w:p w14:paraId="09C56A84" w14:textId="77777777" w:rsidR="00F7113A" w:rsidRPr="00580C0D" w:rsidRDefault="00142E5B" w:rsidP="00580C0D">
            <w:r w:rsidRPr="00580C0D">
              <w:t>2022–2023</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75940A8A" w14:textId="77777777" w:rsidR="00F7113A" w:rsidRPr="00580C0D" w:rsidRDefault="00142E5B" w:rsidP="00580C0D">
            <w:pPr>
              <w:jc w:val="right"/>
            </w:pPr>
            <w:r w:rsidRPr="00580C0D">
              <w:t>253</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B654000" w14:textId="77777777" w:rsidR="00F7113A" w:rsidRPr="00580C0D" w:rsidRDefault="00142E5B" w:rsidP="00580C0D">
            <w:pPr>
              <w:jc w:val="right"/>
            </w:pPr>
            <w:r w:rsidRPr="00580C0D">
              <w:t>259</w:t>
            </w:r>
          </w:p>
        </w:tc>
        <w:tc>
          <w:tcPr>
            <w:tcW w:w="2977" w:type="dxa"/>
            <w:tcBorders>
              <w:top w:val="single" w:sz="4" w:space="0" w:color="000000"/>
              <w:left w:val="nil"/>
              <w:bottom w:val="nil"/>
              <w:right w:val="nil"/>
            </w:tcBorders>
            <w:tcMar>
              <w:top w:w="128" w:type="dxa"/>
              <w:left w:w="43" w:type="dxa"/>
              <w:bottom w:w="43" w:type="dxa"/>
              <w:right w:w="43" w:type="dxa"/>
            </w:tcMar>
            <w:vAlign w:val="bottom"/>
          </w:tcPr>
          <w:p w14:paraId="06552130" w14:textId="77777777" w:rsidR="00F7113A" w:rsidRPr="00580C0D" w:rsidRDefault="00142E5B" w:rsidP="00580C0D">
            <w:pPr>
              <w:jc w:val="right"/>
            </w:pPr>
            <w:r w:rsidRPr="00580C0D">
              <w:t>160</w:t>
            </w:r>
          </w:p>
        </w:tc>
      </w:tr>
      <w:tr w:rsidR="00F7113A" w:rsidRPr="00580C0D" w14:paraId="4DC5CD61"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54171AF7" w14:textId="77777777" w:rsidR="00F7113A" w:rsidRPr="00580C0D" w:rsidRDefault="00142E5B" w:rsidP="00580C0D">
            <w:r w:rsidRPr="00580C0D">
              <w:t>2021–2022</w:t>
            </w:r>
          </w:p>
        </w:tc>
        <w:tc>
          <w:tcPr>
            <w:tcW w:w="1275" w:type="dxa"/>
            <w:tcBorders>
              <w:top w:val="nil"/>
              <w:left w:val="nil"/>
              <w:bottom w:val="nil"/>
              <w:right w:val="nil"/>
            </w:tcBorders>
            <w:tcMar>
              <w:top w:w="128" w:type="dxa"/>
              <w:left w:w="43" w:type="dxa"/>
              <w:bottom w:w="43" w:type="dxa"/>
              <w:right w:w="43" w:type="dxa"/>
            </w:tcMar>
            <w:vAlign w:val="bottom"/>
          </w:tcPr>
          <w:p w14:paraId="157268AC" w14:textId="77777777" w:rsidR="00F7113A" w:rsidRPr="00580C0D" w:rsidRDefault="00142E5B" w:rsidP="00580C0D">
            <w:pPr>
              <w:jc w:val="right"/>
            </w:pPr>
            <w:r w:rsidRPr="00580C0D">
              <w:t>203</w:t>
            </w:r>
          </w:p>
        </w:tc>
        <w:tc>
          <w:tcPr>
            <w:tcW w:w="1276" w:type="dxa"/>
            <w:tcBorders>
              <w:top w:val="nil"/>
              <w:left w:val="nil"/>
              <w:bottom w:val="nil"/>
              <w:right w:val="nil"/>
            </w:tcBorders>
            <w:tcMar>
              <w:top w:w="128" w:type="dxa"/>
              <w:left w:w="43" w:type="dxa"/>
              <w:bottom w:w="43" w:type="dxa"/>
              <w:right w:w="43" w:type="dxa"/>
            </w:tcMar>
            <w:vAlign w:val="bottom"/>
          </w:tcPr>
          <w:p w14:paraId="61265A63" w14:textId="77777777" w:rsidR="00F7113A" w:rsidRPr="00580C0D" w:rsidRDefault="00142E5B" w:rsidP="00580C0D">
            <w:pPr>
              <w:jc w:val="right"/>
            </w:pPr>
            <w:r w:rsidRPr="00580C0D">
              <w:t>261</w:t>
            </w:r>
          </w:p>
        </w:tc>
        <w:tc>
          <w:tcPr>
            <w:tcW w:w="2977" w:type="dxa"/>
            <w:tcBorders>
              <w:top w:val="nil"/>
              <w:left w:val="nil"/>
              <w:bottom w:val="nil"/>
              <w:right w:val="nil"/>
            </w:tcBorders>
            <w:tcMar>
              <w:top w:w="128" w:type="dxa"/>
              <w:left w:w="43" w:type="dxa"/>
              <w:bottom w:w="43" w:type="dxa"/>
              <w:right w:w="43" w:type="dxa"/>
            </w:tcMar>
            <w:vAlign w:val="bottom"/>
          </w:tcPr>
          <w:p w14:paraId="176661E2" w14:textId="77777777" w:rsidR="00F7113A" w:rsidRPr="00580C0D" w:rsidRDefault="00142E5B" w:rsidP="00580C0D">
            <w:pPr>
              <w:jc w:val="right"/>
            </w:pPr>
            <w:r w:rsidRPr="00580C0D">
              <w:t>78</w:t>
            </w:r>
          </w:p>
        </w:tc>
      </w:tr>
      <w:tr w:rsidR="00F7113A" w:rsidRPr="00580C0D" w14:paraId="1764B585"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3864D782" w14:textId="77777777" w:rsidR="00F7113A" w:rsidRPr="00580C0D" w:rsidRDefault="00142E5B" w:rsidP="00580C0D">
            <w:r w:rsidRPr="00580C0D">
              <w:t>2020–2021</w:t>
            </w:r>
          </w:p>
        </w:tc>
        <w:tc>
          <w:tcPr>
            <w:tcW w:w="1275" w:type="dxa"/>
            <w:tcBorders>
              <w:top w:val="nil"/>
              <w:left w:val="nil"/>
              <w:bottom w:val="nil"/>
              <w:right w:val="nil"/>
            </w:tcBorders>
            <w:tcMar>
              <w:top w:w="128" w:type="dxa"/>
              <w:left w:w="43" w:type="dxa"/>
              <w:bottom w:w="43" w:type="dxa"/>
              <w:right w:w="43" w:type="dxa"/>
            </w:tcMar>
            <w:vAlign w:val="bottom"/>
          </w:tcPr>
          <w:p w14:paraId="0FAC64D4" w14:textId="77777777" w:rsidR="00F7113A" w:rsidRPr="00580C0D" w:rsidRDefault="00142E5B" w:rsidP="00580C0D">
            <w:pPr>
              <w:jc w:val="right"/>
            </w:pPr>
            <w:r w:rsidRPr="00580C0D">
              <w:t>568</w:t>
            </w:r>
          </w:p>
        </w:tc>
        <w:tc>
          <w:tcPr>
            <w:tcW w:w="1276" w:type="dxa"/>
            <w:tcBorders>
              <w:top w:val="nil"/>
              <w:left w:val="nil"/>
              <w:bottom w:val="nil"/>
              <w:right w:val="nil"/>
            </w:tcBorders>
            <w:tcMar>
              <w:top w:w="128" w:type="dxa"/>
              <w:left w:w="43" w:type="dxa"/>
              <w:bottom w:w="43" w:type="dxa"/>
              <w:right w:w="43" w:type="dxa"/>
            </w:tcMar>
            <w:vAlign w:val="bottom"/>
          </w:tcPr>
          <w:p w14:paraId="63A4E13F" w14:textId="77777777" w:rsidR="00F7113A" w:rsidRPr="00580C0D" w:rsidRDefault="00142E5B" w:rsidP="00580C0D">
            <w:pPr>
              <w:jc w:val="right"/>
            </w:pPr>
            <w:r w:rsidRPr="00580C0D">
              <w:t>568</w:t>
            </w:r>
          </w:p>
        </w:tc>
        <w:tc>
          <w:tcPr>
            <w:tcW w:w="2977" w:type="dxa"/>
            <w:tcBorders>
              <w:top w:val="nil"/>
              <w:left w:val="nil"/>
              <w:bottom w:val="nil"/>
              <w:right w:val="nil"/>
            </w:tcBorders>
            <w:tcMar>
              <w:top w:w="128" w:type="dxa"/>
              <w:left w:w="43" w:type="dxa"/>
              <w:bottom w:w="43" w:type="dxa"/>
              <w:right w:w="43" w:type="dxa"/>
            </w:tcMar>
            <w:vAlign w:val="bottom"/>
          </w:tcPr>
          <w:p w14:paraId="47620B9F" w14:textId="77777777" w:rsidR="00F7113A" w:rsidRPr="00580C0D" w:rsidRDefault="00142E5B" w:rsidP="00580C0D">
            <w:pPr>
              <w:jc w:val="right"/>
            </w:pPr>
            <w:r w:rsidRPr="00580C0D">
              <w:t>106</w:t>
            </w:r>
          </w:p>
        </w:tc>
      </w:tr>
      <w:tr w:rsidR="00F7113A" w:rsidRPr="00580C0D" w14:paraId="0685F198"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0D94723B" w14:textId="77777777" w:rsidR="00F7113A" w:rsidRPr="00580C0D" w:rsidRDefault="00142E5B" w:rsidP="00580C0D">
            <w:r w:rsidRPr="00580C0D">
              <w:t>2019–2020</w:t>
            </w:r>
          </w:p>
        </w:tc>
        <w:tc>
          <w:tcPr>
            <w:tcW w:w="1275" w:type="dxa"/>
            <w:tcBorders>
              <w:top w:val="nil"/>
              <w:left w:val="nil"/>
              <w:bottom w:val="nil"/>
              <w:right w:val="nil"/>
            </w:tcBorders>
            <w:tcMar>
              <w:top w:w="128" w:type="dxa"/>
              <w:left w:w="43" w:type="dxa"/>
              <w:bottom w:w="43" w:type="dxa"/>
              <w:right w:w="43" w:type="dxa"/>
            </w:tcMar>
            <w:vAlign w:val="bottom"/>
          </w:tcPr>
          <w:p w14:paraId="12EEFCC8" w14:textId="77777777" w:rsidR="00F7113A" w:rsidRPr="00580C0D" w:rsidRDefault="00142E5B" w:rsidP="00580C0D">
            <w:pPr>
              <w:jc w:val="right"/>
            </w:pPr>
            <w:r w:rsidRPr="00580C0D">
              <w:t>231</w:t>
            </w:r>
          </w:p>
        </w:tc>
        <w:tc>
          <w:tcPr>
            <w:tcW w:w="1276" w:type="dxa"/>
            <w:tcBorders>
              <w:top w:val="nil"/>
              <w:left w:val="nil"/>
              <w:bottom w:val="nil"/>
              <w:right w:val="nil"/>
            </w:tcBorders>
            <w:tcMar>
              <w:top w:w="128" w:type="dxa"/>
              <w:left w:w="43" w:type="dxa"/>
              <w:bottom w:w="43" w:type="dxa"/>
              <w:right w:w="43" w:type="dxa"/>
            </w:tcMar>
            <w:vAlign w:val="bottom"/>
          </w:tcPr>
          <w:p w14:paraId="756432BC" w14:textId="77777777" w:rsidR="00F7113A" w:rsidRPr="00580C0D" w:rsidRDefault="00142E5B" w:rsidP="00580C0D">
            <w:pPr>
              <w:jc w:val="right"/>
            </w:pPr>
            <w:r w:rsidRPr="00580C0D">
              <w:t>234</w:t>
            </w:r>
          </w:p>
        </w:tc>
        <w:tc>
          <w:tcPr>
            <w:tcW w:w="2977" w:type="dxa"/>
            <w:tcBorders>
              <w:top w:val="nil"/>
              <w:left w:val="nil"/>
              <w:bottom w:val="nil"/>
              <w:right w:val="nil"/>
            </w:tcBorders>
            <w:tcMar>
              <w:top w:w="128" w:type="dxa"/>
              <w:left w:w="43" w:type="dxa"/>
              <w:bottom w:w="43" w:type="dxa"/>
              <w:right w:w="43" w:type="dxa"/>
            </w:tcMar>
            <w:vAlign w:val="bottom"/>
          </w:tcPr>
          <w:p w14:paraId="1FFB4B56" w14:textId="77777777" w:rsidR="00F7113A" w:rsidRPr="00580C0D" w:rsidRDefault="00142E5B" w:rsidP="00580C0D">
            <w:pPr>
              <w:jc w:val="right"/>
            </w:pPr>
            <w:r w:rsidRPr="00580C0D">
              <w:t>22</w:t>
            </w:r>
          </w:p>
        </w:tc>
      </w:tr>
      <w:tr w:rsidR="00F7113A" w:rsidRPr="00580C0D" w14:paraId="5FDF298B"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5B921568" w14:textId="77777777" w:rsidR="00F7113A" w:rsidRPr="00580C0D" w:rsidRDefault="00142E5B" w:rsidP="00580C0D">
            <w:r w:rsidRPr="00580C0D">
              <w:t>2018–2019</w:t>
            </w:r>
          </w:p>
        </w:tc>
        <w:tc>
          <w:tcPr>
            <w:tcW w:w="1275" w:type="dxa"/>
            <w:tcBorders>
              <w:top w:val="nil"/>
              <w:left w:val="nil"/>
              <w:bottom w:val="nil"/>
              <w:right w:val="nil"/>
            </w:tcBorders>
            <w:tcMar>
              <w:top w:w="128" w:type="dxa"/>
              <w:left w:w="43" w:type="dxa"/>
              <w:bottom w:w="43" w:type="dxa"/>
              <w:right w:w="43" w:type="dxa"/>
            </w:tcMar>
            <w:vAlign w:val="bottom"/>
          </w:tcPr>
          <w:p w14:paraId="0E4C11AC" w14:textId="77777777" w:rsidR="00F7113A" w:rsidRPr="00580C0D" w:rsidRDefault="00142E5B" w:rsidP="00580C0D">
            <w:pPr>
              <w:jc w:val="right"/>
            </w:pPr>
            <w:r w:rsidRPr="00580C0D">
              <w:t>91</w:t>
            </w:r>
          </w:p>
        </w:tc>
        <w:tc>
          <w:tcPr>
            <w:tcW w:w="1276" w:type="dxa"/>
            <w:tcBorders>
              <w:top w:val="nil"/>
              <w:left w:val="nil"/>
              <w:bottom w:val="nil"/>
              <w:right w:val="nil"/>
            </w:tcBorders>
            <w:tcMar>
              <w:top w:w="128" w:type="dxa"/>
              <w:left w:w="43" w:type="dxa"/>
              <w:bottom w:w="43" w:type="dxa"/>
              <w:right w:w="43" w:type="dxa"/>
            </w:tcMar>
            <w:vAlign w:val="bottom"/>
          </w:tcPr>
          <w:p w14:paraId="174EB3A0" w14:textId="77777777" w:rsidR="00F7113A" w:rsidRPr="00580C0D" w:rsidRDefault="00142E5B" w:rsidP="00580C0D">
            <w:pPr>
              <w:jc w:val="right"/>
            </w:pPr>
            <w:r w:rsidRPr="00580C0D">
              <w:t>91</w:t>
            </w:r>
          </w:p>
        </w:tc>
        <w:tc>
          <w:tcPr>
            <w:tcW w:w="2977" w:type="dxa"/>
            <w:tcBorders>
              <w:top w:val="nil"/>
              <w:left w:val="nil"/>
              <w:bottom w:val="nil"/>
              <w:right w:val="nil"/>
            </w:tcBorders>
            <w:tcMar>
              <w:top w:w="128" w:type="dxa"/>
              <w:left w:w="43" w:type="dxa"/>
              <w:bottom w:w="43" w:type="dxa"/>
              <w:right w:w="43" w:type="dxa"/>
            </w:tcMar>
            <w:vAlign w:val="bottom"/>
          </w:tcPr>
          <w:p w14:paraId="414DC72F" w14:textId="77777777" w:rsidR="00F7113A" w:rsidRPr="00580C0D" w:rsidRDefault="00142E5B" w:rsidP="00580C0D">
            <w:pPr>
              <w:jc w:val="right"/>
            </w:pPr>
            <w:r w:rsidRPr="00580C0D">
              <w:t>10</w:t>
            </w:r>
          </w:p>
        </w:tc>
      </w:tr>
      <w:tr w:rsidR="00F7113A" w:rsidRPr="00580C0D" w14:paraId="7742F1BD"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0F49A0AD" w14:textId="77777777" w:rsidR="00F7113A" w:rsidRPr="00580C0D" w:rsidRDefault="00142E5B" w:rsidP="00580C0D">
            <w:r w:rsidRPr="00580C0D">
              <w:t>2017–2018</w:t>
            </w:r>
          </w:p>
        </w:tc>
        <w:tc>
          <w:tcPr>
            <w:tcW w:w="1275" w:type="dxa"/>
            <w:tcBorders>
              <w:top w:val="nil"/>
              <w:left w:val="nil"/>
              <w:bottom w:val="nil"/>
              <w:right w:val="nil"/>
            </w:tcBorders>
            <w:tcMar>
              <w:top w:w="128" w:type="dxa"/>
              <w:left w:w="43" w:type="dxa"/>
              <w:bottom w:w="43" w:type="dxa"/>
              <w:right w:w="43" w:type="dxa"/>
            </w:tcMar>
            <w:vAlign w:val="bottom"/>
          </w:tcPr>
          <w:p w14:paraId="16A5C4E6" w14:textId="77777777" w:rsidR="00F7113A" w:rsidRPr="00580C0D" w:rsidRDefault="00142E5B" w:rsidP="00580C0D">
            <w:pPr>
              <w:jc w:val="right"/>
            </w:pPr>
            <w:r w:rsidRPr="00580C0D">
              <w:t>429</w:t>
            </w:r>
          </w:p>
        </w:tc>
        <w:tc>
          <w:tcPr>
            <w:tcW w:w="1276" w:type="dxa"/>
            <w:tcBorders>
              <w:top w:val="nil"/>
              <w:left w:val="nil"/>
              <w:bottom w:val="nil"/>
              <w:right w:val="nil"/>
            </w:tcBorders>
            <w:tcMar>
              <w:top w:w="128" w:type="dxa"/>
              <w:left w:w="43" w:type="dxa"/>
              <w:bottom w:w="43" w:type="dxa"/>
              <w:right w:w="43" w:type="dxa"/>
            </w:tcMar>
            <w:vAlign w:val="bottom"/>
          </w:tcPr>
          <w:p w14:paraId="707F59EF" w14:textId="77777777" w:rsidR="00F7113A" w:rsidRPr="00580C0D" w:rsidRDefault="00142E5B" w:rsidP="00580C0D">
            <w:pPr>
              <w:jc w:val="right"/>
            </w:pPr>
            <w:r w:rsidRPr="00580C0D">
              <w:t>429</w:t>
            </w:r>
          </w:p>
        </w:tc>
        <w:tc>
          <w:tcPr>
            <w:tcW w:w="2977" w:type="dxa"/>
            <w:tcBorders>
              <w:top w:val="nil"/>
              <w:left w:val="nil"/>
              <w:bottom w:val="nil"/>
              <w:right w:val="nil"/>
            </w:tcBorders>
            <w:tcMar>
              <w:top w:w="128" w:type="dxa"/>
              <w:left w:w="43" w:type="dxa"/>
              <w:bottom w:w="43" w:type="dxa"/>
              <w:right w:w="43" w:type="dxa"/>
            </w:tcMar>
            <w:vAlign w:val="bottom"/>
          </w:tcPr>
          <w:p w14:paraId="60AA105F" w14:textId="77777777" w:rsidR="00F7113A" w:rsidRPr="00580C0D" w:rsidRDefault="00142E5B" w:rsidP="00580C0D">
            <w:pPr>
              <w:jc w:val="right"/>
            </w:pPr>
            <w:r w:rsidRPr="00580C0D">
              <w:t>19</w:t>
            </w:r>
          </w:p>
        </w:tc>
      </w:tr>
      <w:tr w:rsidR="00F7113A" w:rsidRPr="00580C0D" w14:paraId="55F76853"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5E40C8B5" w14:textId="77777777" w:rsidR="00F7113A" w:rsidRPr="00580C0D" w:rsidRDefault="00142E5B" w:rsidP="00580C0D">
            <w:r w:rsidRPr="00580C0D">
              <w:t>2016–2017</w:t>
            </w:r>
          </w:p>
        </w:tc>
        <w:tc>
          <w:tcPr>
            <w:tcW w:w="1275" w:type="dxa"/>
            <w:tcBorders>
              <w:top w:val="nil"/>
              <w:left w:val="nil"/>
              <w:bottom w:val="nil"/>
              <w:right w:val="nil"/>
            </w:tcBorders>
            <w:tcMar>
              <w:top w:w="128" w:type="dxa"/>
              <w:left w:w="43" w:type="dxa"/>
              <w:bottom w:w="43" w:type="dxa"/>
              <w:right w:w="43" w:type="dxa"/>
            </w:tcMar>
            <w:vAlign w:val="bottom"/>
          </w:tcPr>
          <w:p w14:paraId="7660BB11" w14:textId="77777777" w:rsidR="00F7113A" w:rsidRPr="00580C0D" w:rsidRDefault="00142E5B" w:rsidP="00580C0D">
            <w:pPr>
              <w:jc w:val="right"/>
            </w:pPr>
            <w:r w:rsidRPr="00580C0D">
              <w:t>386</w:t>
            </w:r>
          </w:p>
        </w:tc>
        <w:tc>
          <w:tcPr>
            <w:tcW w:w="1276" w:type="dxa"/>
            <w:tcBorders>
              <w:top w:val="nil"/>
              <w:left w:val="nil"/>
              <w:bottom w:val="nil"/>
              <w:right w:val="nil"/>
            </w:tcBorders>
            <w:tcMar>
              <w:top w:w="128" w:type="dxa"/>
              <w:left w:w="43" w:type="dxa"/>
              <w:bottom w:w="43" w:type="dxa"/>
              <w:right w:w="43" w:type="dxa"/>
            </w:tcMar>
            <w:vAlign w:val="bottom"/>
          </w:tcPr>
          <w:p w14:paraId="77F569EB" w14:textId="77777777" w:rsidR="00F7113A" w:rsidRPr="00580C0D" w:rsidRDefault="00142E5B" w:rsidP="00580C0D">
            <w:pPr>
              <w:jc w:val="right"/>
            </w:pPr>
            <w:r w:rsidRPr="00580C0D">
              <w:t>459</w:t>
            </w:r>
          </w:p>
        </w:tc>
        <w:tc>
          <w:tcPr>
            <w:tcW w:w="2977" w:type="dxa"/>
            <w:tcBorders>
              <w:top w:val="nil"/>
              <w:left w:val="nil"/>
              <w:bottom w:val="nil"/>
              <w:right w:val="nil"/>
            </w:tcBorders>
            <w:tcMar>
              <w:top w:w="128" w:type="dxa"/>
              <w:left w:w="43" w:type="dxa"/>
              <w:bottom w:w="43" w:type="dxa"/>
              <w:right w:w="43" w:type="dxa"/>
            </w:tcMar>
            <w:vAlign w:val="bottom"/>
          </w:tcPr>
          <w:p w14:paraId="1CED4832" w14:textId="77777777" w:rsidR="00F7113A" w:rsidRPr="00580C0D" w:rsidRDefault="00142E5B" w:rsidP="00580C0D">
            <w:pPr>
              <w:jc w:val="right"/>
            </w:pPr>
            <w:r w:rsidRPr="00580C0D">
              <w:t>8</w:t>
            </w:r>
          </w:p>
        </w:tc>
      </w:tr>
      <w:tr w:rsidR="00F7113A" w:rsidRPr="00580C0D" w14:paraId="18F19B7F"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0F6A20E8" w14:textId="77777777" w:rsidR="00F7113A" w:rsidRPr="00580C0D" w:rsidRDefault="00142E5B" w:rsidP="00580C0D">
            <w:r w:rsidRPr="00580C0D">
              <w:t>2015–2016</w:t>
            </w:r>
          </w:p>
        </w:tc>
        <w:tc>
          <w:tcPr>
            <w:tcW w:w="1275" w:type="dxa"/>
            <w:tcBorders>
              <w:top w:val="nil"/>
              <w:left w:val="nil"/>
              <w:bottom w:val="nil"/>
              <w:right w:val="nil"/>
            </w:tcBorders>
            <w:tcMar>
              <w:top w:w="128" w:type="dxa"/>
              <w:left w:w="43" w:type="dxa"/>
              <w:bottom w:w="43" w:type="dxa"/>
              <w:right w:w="43" w:type="dxa"/>
            </w:tcMar>
            <w:vAlign w:val="bottom"/>
          </w:tcPr>
          <w:p w14:paraId="757D1535" w14:textId="77777777" w:rsidR="00F7113A" w:rsidRPr="00580C0D" w:rsidRDefault="00142E5B" w:rsidP="00580C0D">
            <w:pPr>
              <w:jc w:val="right"/>
            </w:pPr>
            <w:r w:rsidRPr="00580C0D">
              <w:t>393</w:t>
            </w:r>
          </w:p>
        </w:tc>
        <w:tc>
          <w:tcPr>
            <w:tcW w:w="1276" w:type="dxa"/>
            <w:tcBorders>
              <w:top w:val="nil"/>
              <w:left w:val="nil"/>
              <w:bottom w:val="nil"/>
              <w:right w:val="nil"/>
            </w:tcBorders>
            <w:tcMar>
              <w:top w:w="128" w:type="dxa"/>
              <w:left w:w="43" w:type="dxa"/>
              <w:bottom w:w="43" w:type="dxa"/>
              <w:right w:w="43" w:type="dxa"/>
            </w:tcMar>
            <w:vAlign w:val="bottom"/>
          </w:tcPr>
          <w:p w14:paraId="5AA3838B" w14:textId="77777777" w:rsidR="00F7113A" w:rsidRPr="00580C0D" w:rsidRDefault="00142E5B" w:rsidP="00580C0D">
            <w:pPr>
              <w:jc w:val="right"/>
            </w:pPr>
            <w:r w:rsidRPr="00580C0D">
              <w:t>477</w:t>
            </w:r>
          </w:p>
        </w:tc>
        <w:tc>
          <w:tcPr>
            <w:tcW w:w="2977" w:type="dxa"/>
            <w:tcBorders>
              <w:top w:val="nil"/>
              <w:left w:val="nil"/>
              <w:bottom w:val="nil"/>
              <w:right w:val="nil"/>
            </w:tcBorders>
            <w:tcMar>
              <w:top w:w="128" w:type="dxa"/>
              <w:left w:w="43" w:type="dxa"/>
              <w:bottom w:w="43" w:type="dxa"/>
              <w:right w:w="43" w:type="dxa"/>
            </w:tcMar>
            <w:vAlign w:val="bottom"/>
          </w:tcPr>
          <w:p w14:paraId="4DFA5DE9" w14:textId="77777777" w:rsidR="00F7113A" w:rsidRPr="00580C0D" w:rsidRDefault="00142E5B" w:rsidP="00580C0D">
            <w:pPr>
              <w:jc w:val="right"/>
            </w:pPr>
            <w:r w:rsidRPr="00580C0D">
              <w:t>5</w:t>
            </w:r>
          </w:p>
        </w:tc>
      </w:tr>
      <w:tr w:rsidR="00F7113A" w:rsidRPr="00580C0D" w14:paraId="61DDE04E" w14:textId="77777777" w:rsidTr="00580C0D">
        <w:trPr>
          <w:trHeight w:val="380"/>
        </w:trPr>
        <w:tc>
          <w:tcPr>
            <w:tcW w:w="1517" w:type="dxa"/>
            <w:tcBorders>
              <w:top w:val="nil"/>
              <w:left w:val="nil"/>
              <w:bottom w:val="nil"/>
              <w:right w:val="nil"/>
            </w:tcBorders>
            <w:tcMar>
              <w:top w:w="128" w:type="dxa"/>
              <w:left w:w="43" w:type="dxa"/>
              <w:bottom w:w="43" w:type="dxa"/>
              <w:right w:w="43" w:type="dxa"/>
            </w:tcMar>
          </w:tcPr>
          <w:p w14:paraId="07E7278A" w14:textId="77777777" w:rsidR="00F7113A" w:rsidRPr="00580C0D" w:rsidRDefault="00142E5B" w:rsidP="00580C0D">
            <w:r w:rsidRPr="00580C0D">
              <w:lastRenderedPageBreak/>
              <w:t>2014–2015</w:t>
            </w:r>
          </w:p>
        </w:tc>
        <w:tc>
          <w:tcPr>
            <w:tcW w:w="1275" w:type="dxa"/>
            <w:tcBorders>
              <w:top w:val="nil"/>
              <w:left w:val="nil"/>
              <w:bottom w:val="nil"/>
              <w:right w:val="nil"/>
            </w:tcBorders>
            <w:tcMar>
              <w:top w:w="128" w:type="dxa"/>
              <w:left w:w="43" w:type="dxa"/>
              <w:bottom w:w="43" w:type="dxa"/>
              <w:right w:w="43" w:type="dxa"/>
            </w:tcMar>
            <w:vAlign w:val="bottom"/>
          </w:tcPr>
          <w:p w14:paraId="49E488C9" w14:textId="77777777" w:rsidR="00F7113A" w:rsidRPr="00580C0D" w:rsidRDefault="00142E5B" w:rsidP="00580C0D">
            <w:pPr>
              <w:jc w:val="right"/>
            </w:pPr>
            <w:r w:rsidRPr="00580C0D">
              <w:t>192</w:t>
            </w:r>
          </w:p>
        </w:tc>
        <w:tc>
          <w:tcPr>
            <w:tcW w:w="1276" w:type="dxa"/>
            <w:tcBorders>
              <w:top w:val="nil"/>
              <w:left w:val="nil"/>
              <w:bottom w:val="nil"/>
              <w:right w:val="nil"/>
            </w:tcBorders>
            <w:tcMar>
              <w:top w:w="128" w:type="dxa"/>
              <w:left w:w="43" w:type="dxa"/>
              <w:bottom w:w="43" w:type="dxa"/>
              <w:right w:w="43" w:type="dxa"/>
            </w:tcMar>
            <w:vAlign w:val="bottom"/>
          </w:tcPr>
          <w:p w14:paraId="5F6074F0" w14:textId="77777777" w:rsidR="00F7113A" w:rsidRPr="00580C0D" w:rsidRDefault="00142E5B" w:rsidP="00580C0D">
            <w:pPr>
              <w:jc w:val="right"/>
            </w:pPr>
            <w:r w:rsidRPr="00580C0D">
              <w:t>195</w:t>
            </w:r>
          </w:p>
        </w:tc>
        <w:tc>
          <w:tcPr>
            <w:tcW w:w="2977" w:type="dxa"/>
            <w:tcBorders>
              <w:top w:val="nil"/>
              <w:left w:val="nil"/>
              <w:bottom w:val="nil"/>
              <w:right w:val="nil"/>
            </w:tcBorders>
            <w:tcMar>
              <w:top w:w="128" w:type="dxa"/>
              <w:left w:w="43" w:type="dxa"/>
              <w:bottom w:w="43" w:type="dxa"/>
              <w:right w:w="43" w:type="dxa"/>
            </w:tcMar>
            <w:vAlign w:val="bottom"/>
          </w:tcPr>
          <w:p w14:paraId="127306F0" w14:textId="77777777" w:rsidR="00F7113A" w:rsidRPr="00580C0D" w:rsidRDefault="00142E5B" w:rsidP="00580C0D">
            <w:pPr>
              <w:jc w:val="right"/>
            </w:pPr>
            <w:r w:rsidRPr="00580C0D">
              <w:t>1</w:t>
            </w:r>
          </w:p>
        </w:tc>
      </w:tr>
      <w:tr w:rsidR="00F7113A" w:rsidRPr="00580C0D" w14:paraId="29250AEC" w14:textId="77777777" w:rsidTr="00580C0D">
        <w:trPr>
          <w:trHeight w:val="380"/>
        </w:trPr>
        <w:tc>
          <w:tcPr>
            <w:tcW w:w="1517" w:type="dxa"/>
            <w:tcBorders>
              <w:top w:val="nil"/>
              <w:left w:val="nil"/>
              <w:bottom w:val="single" w:sz="4" w:space="0" w:color="000000"/>
              <w:right w:val="nil"/>
            </w:tcBorders>
            <w:tcMar>
              <w:top w:w="128" w:type="dxa"/>
              <w:left w:w="43" w:type="dxa"/>
              <w:bottom w:w="43" w:type="dxa"/>
              <w:right w:w="43" w:type="dxa"/>
            </w:tcMar>
          </w:tcPr>
          <w:p w14:paraId="17F2F63E" w14:textId="77777777" w:rsidR="00F7113A" w:rsidRPr="00580C0D" w:rsidRDefault="00142E5B" w:rsidP="00580C0D">
            <w:r w:rsidRPr="00580C0D">
              <w:t>2013–2014</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EDD5D32" w14:textId="77777777" w:rsidR="00F7113A" w:rsidRPr="00580C0D" w:rsidRDefault="00142E5B" w:rsidP="00580C0D">
            <w:pPr>
              <w:jc w:val="right"/>
            </w:pPr>
            <w:r w:rsidRPr="00580C0D">
              <w:t>82</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6D4D3B9A" w14:textId="77777777" w:rsidR="00F7113A" w:rsidRPr="00580C0D" w:rsidRDefault="00142E5B" w:rsidP="00580C0D">
            <w:pPr>
              <w:jc w:val="right"/>
            </w:pPr>
            <w:r w:rsidRPr="00580C0D">
              <w:t>82</w:t>
            </w:r>
          </w:p>
        </w:tc>
        <w:tc>
          <w:tcPr>
            <w:tcW w:w="2977" w:type="dxa"/>
            <w:tcBorders>
              <w:top w:val="nil"/>
              <w:left w:val="nil"/>
              <w:bottom w:val="single" w:sz="4" w:space="0" w:color="000000"/>
              <w:right w:val="nil"/>
            </w:tcBorders>
            <w:tcMar>
              <w:top w:w="128" w:type="dxa"/>
              <w:left w:w="43" w:type="dxa"/>
              <w:bottom w:w="43" w:type="dxa"/>
              <w:right w:w="43" w:type="dxa"/>
            </w:tcMar>
            <w:vAlign w:val="bottom"/>
          </w:tcPr>
          <w:p w14:paraId="46F46720" w14:textId="77777777" w:rsidR="00F7113A" w:rsidRPr="00580C0D" w:rsidRDefault="00142E5B" w:rsidP="00580C0D">
            <w:pPr>
              <w:jc w:val="right"/>
            </w:pPr>
            <w:r w:rsidRPr="00580C0D">
              <w:t>1</w:t>
            </w:r>
          </w:p>
        </w:tc>
      </w:tr>
    </w:tbl>
    <w:p w14:paraId="3C84B966" w14:textId="77777777" w:rsidR="00F7113A" w:rsidRPr="00580C0D" w:rsidRDefault="00142E5B" w:rsidP="00580C0D">
      <w:pPr>
        <w:pStyle w:val="tabell-noter"/>
      </w:pPr>
      <w:r w:rsidRPr="00580C0D">
        <w:rPr>
          <w:rStyle w:val="skrift-hevet"/>
        </w:rPr>
        <w:t>1</w:t>
      </w:r>
      <w:r w:rsidRPr="00580C0D">
        <w:rPr>
          <w:rStyle w:val="skrift-hevet"/>
        </w:rPr>
        <w:tab/>
      </w:r>
      <w:r w:rsidRPr="00580C0D">
        <w:t>Stortingets anmodningsvedtak består på noen områder av flere underpunkter.</w:t>
      </w:r>
    </w:p>
    <w:p w14:paraId="4AC956EB" w14:textId="77777777" w:rsidR="00F7113A" w:rsidRPr="00580C0D" w:rsidRDefault="00142E5B" w:rsidP="00580C0D">
      <w:pPr>
        <w:pStyle w:val="Overskrift2"/>
      </w:pPr>
      <w:r w:rsidRPr="00580C0D">
        <w:t>Årets melding til Stortinget</w:t>
      </w:r>
    </w:p>
    <w:p w14:paraId="29185F8C" w14:textId="77777777" w:rsidR="00F7113A" w:rsidRPr="00580C0D" w:rsidRDefault="00142E5B" w:rsidP="00580C0D">
      <w:r w:rsidRPr="00580C0D">
        <w:t xml:space="preserve">I kapittel 2 til 16, sortert per departement, følger omtale av regjeringens oppfølging av alle vedtak fra stortingssesjon 2022–2023, i tillegg til alle anmodninger fra tidligere sesjoner hvor rapporteringen ikke er avsluttet i forbindelse med behandlingen av </w:t>
      </w:r>
      <w:proofErr w:type="spellStart"/>
      <w:r w:rsidRPr="00580C0D">
        <w:t>Innst</w:t>
      </w:r>
      <w:proofErr w:type="spellEnd"/>
      <w:r w:rsidRPr="00580C0D">
        <w:t>. 186 S (2022–2023).</w:t>
      </w:r>
    </w:p>
    <w:p w14:paraId="27164019" w14:textId="77777777" w:rsidR="00F7113A" w:rsidRPr="00580C0D" w:rsidRDefault="00142E5B" w:rsidP="00580C0D">
      <w:r w:rsidRPr="00580C0D">
        <w:t xml:space="preserve">Hvert enkelt kapittel er en direkte gjengivelse av det aktuelle departementets omtale i </w:t>
      </w:r>
      <w:proofErr w:type="spellStart"/>
      <w:r w:rsidRPr="00580C0D">
        <w:t>Prop</w:t>
      </w:r>
      <w:proofErr w:type="spellEnd"/>
      <w:r w:rsidRPr="00580C0D">
        <w:t xml:space="preserve">. 1 S (2023–2024), som legges frem på samme tidspunkt. Ved henvisninger i omtalen i kapittel 2 til 16, vises det til </w:t>
      </w:r>
      <w:proofErr w:type="spellStart"/>
      <w:r w:rsidRPr="00580C0D">
        <w:t>Prop</w:t>
      </w:r>
      <w:proofErr w:type="spellEnd"/>
      <w:r w:rsidRPr="00580C0D">
        <w:t>. 1 S (2023–2024) fra det respektive departement. Statsministerens kontor har ikke hentet inn ny informasjon eller gjort egne separate vurderinger i forbindelse med fremleggelsen av stortingsmeldingen.</w:t>
      </w:r>
    </w:p>
    <w:p w14:paraId="1BA5C870" w14:textId="77777777" w:rsidR="00F7113A" w:rsidRPr="00580C0D" w:rsidRDefault="00142E5B" w:rsidP="00580C0D">
      <w:r w:rsidRPr="00580C0D">
        <w:t>Det er ikke fattet noen utredningsvedtak i stortingssesjonen 2022–2023.</w:t>
      </w:r>
    </w:p>
    <w:p w14:paraId="420743DC" w14:textId="77777777" w:rsidR="00F7113A" w:rsidRPr="00580C0D" w:rsidRDefault="00142E5B" w:rsidP="00580C0D">
      <w:pPr>
        <w:pStyle w:val="Overskrift1"/>
      </w:pPr>
      <w:r w:rsidRPr="00580C0D">
        <w:t>Arbeids- og inkluderingsdepartementet</w:t>
      </w:r>
    </w:p>
    <w:p w14:paraId="2BC31A3A" w14:textId="77777777" w:rsidR="00F7113A" w:rsidRPr="00580C0D" w:rsidRDefault="00142E5B" w:rsidP="00580C0D">
      <w:proofErr w:type="spellStart"/>
      <w:r w:rsidRPr="00580C0D">
        <w:t>Nedanfor</w:t>
      </w:r>
      <w:proofErr w:type="spellEnd"/>
      <w:r w:rsidRPr="00580C0D">
        <w:t xml:space="preserve"> er </w:t>
      </w:r>
      <w:proofErr w:type="spellStart"/>
      <w:r w:rsidRPr="00580C0D">
        <w:t>ein</w:t>
      </w:r>
      <w:proofErr w:type="spellEnd"/>
      <w:r w:rsidRPr="00580C0D">
        <w:t xml:space="preserve"> oversikt over oppfølginga av oppmodings- og utgreiingsvedtak under Arbeids- og inkluderingsdepartementet. </w:t>
      </w:r>
      <w:proofErr w:type="spellStart"/>
      <w:r w:rsidRPr="00580C0D">
        <w:t>Oversikta</w:t>
      </w:r>
      <w:proofErr w:type="spellEnd"/>
      <w:r w:rsidRPr="00580C0D">
        <w:t xml:space="preserve"> inkluderer alle vedtak </w:t>
      </w:r>
      <w:proofErr w:type="spellStart"/>
      <w:r w:rsidRPr="00580C0D">
        <w:t>frå</w:t>
      </w:r>
      <w:proofErr w:type="spellEnd"/>
      <w:r w:rsidRPr="00580C0D">
        <w:t xml:space="preserve"> stortingssesjonen 2022-2023, og </w:t>
      </w:r>
      <w:proofErr w:type="spellStart"/>
      <w:r w:rsidRPr="00580C0D">
        <w:t>dei</w:t>
      </w:r>
      <w:proofErr w:type="spellEnd"/>
      <w:r w:rsidRPr="00580C0D">
        <w:t xml:space="preserve"> vedtaka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stortingssesjonar</w:t>
      </w:r>
      <w:proofErr w:type="spellEnd"/>
      <w:r w:rsidRPr="00580C0D">
        <w:t xml:space="preserve"> som kontroll- og konstitusjonskomiteen i </w:t>
      </w:r>
      <w:proofErr w:type="spellStart"/>
      <w:r w:rsidRPr="00580C0D">
        <w:t>lnnst</w:t>
      </w:r>
      <w:proofErr w:type="spellEnd"/>
      <w:r w:rsidRPr="00580C0D">
        <w:t xml:space="preserve">. 186 S (2022–2023) mente </w:t>
      </w:r>
      <w:proofErr w:type="spellStart"/>
      <w:r w:rsidRPr="00580C0D">
        <w:t>ikkje</w:t>
      </w:r>
      <w:proofErr w:type="spellEnd"/>
      <w:r w:rsidRPr="00580C0D">
        <w:t xml:space="preserve"> var kvittert ut. Tabellen </w:t>
      </w:r>
      <w:proofErr w:type="spellStart"/>
      <w:r w:rsidRPr="00580C0D">
        <w:t>nedanfor</w:t>
      </w:r>
      <w:proofErr w:type="spellEnd"/>
      <w:r w:rsidRPr="00580C0D">
        <w:t xml:space="preserve"> </w:t>
      </w:r>
      <w:proofErr w:type="spellStart"/>
      <w:r w:rsidRPr="00580C0D">
        <w:t>visar</w:t>
      </w:r>
      <w:proofErr w:type="spellEnd"/>
      <w:r w:rsidRPr="00580C0D">
        <w:t xml:space="preserve"> også om departementet </w:t>
      </w:r>
      <w:proofErr w:type="spellStart"/>
      <w:r w:rsidRPr="00580C0D">
        <w:t>reknar</w:t>
      </w:r>
      <w:proofErr w:type="spellEnd"/>
      <w:r w:rsidRPr="00580C0D">
        <w:t xml:space="preserve"> med at rapporteringa om </w:t>
      </w:r>
      <w:proofErr w:type="spellStart"/>
      <w:r w:rsidRPr="00580C0D">
        <w:t>oppmodningsvedtaket</w:t>
      </w:r>
      <w:proofErr w:type="spellEnd"/>
      <w:r w:rsidRPr="00580C0D">
        <w:t xml:space="preserve"> </w:t>
      </w:r>
      <w:proofErr w:type="spellStart"/>
      <w:r w:rsidRPr="00580C0D">
        <w:t>no</w:t>
      </w:r>
      <w:proofErr w:type="spellEnd"/>
      <w:r w:rsidRPr="00580C0D">
        <w:t xml:space="preserve"> er avslutta eller om departementet vil rapportere konkret om vedtaket også i budsjettproposisjonen neste år.</w:t>
      </w:r>
    </w:p>
    <w:p w14:paraId="76D1EB99" w14:textId="77777777" w:rsidR="00F7113A" w:rsidRPr="00580C0D" w:rsidRDefault="00142E5B" w:rsidP="00580C0D">
      <w:pPr>
        <w:pStyle w:val="avsnitt-undertittel"/>
      </w:pPr>
      <w:r w:rsidRPr="00580C0D">
        <w:t>Oversikt over oppmodings- og utgreiingsvedtak, ordna etter sesjon og nummer</w:t>
      </w:r>
    </w:p>
    <w:p w14:paraId="6E484630" w14:textId="77777777" w:rsidR="00F7113A" w:rsidRPr="00580C0D" w:rsidRDefault="00142E5B" w:rsidP="00580C0D">
      <w:pPr>
        <w:pStyle w:val="Tabellnavn"/>
      </w:pPr>
      <w:r w:rsidRPr="00580C0D">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40"/>
        <w:gridCol w:w="1354"/>
        <w:gridCol w:w="5466"/>
        <w:gridCol w:w="1400"/>
      </w:tblGrid>
      <w:tr w:rsidR="00F7113A" w:rsidRPr="00580C0D" w14:paraId="6F12CEF7" w14:textId="77777777" w:rsidTr="00D665D9">
        <w:trPr>
          <w:trHeight w:val="860"/>
        </w:trPr>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B99825" w14:textId="77777777" w:rsidR="00F7113A" w:rsidRPr="00580C0D" w:rsidRDefault="00142E5B" w:rsidP="00D665D9">
            <w:r w:rsidRPr="00580C0D">
              <w:t>Sesjon</w:t>
            </w:r>
          </w:p>
        </w:tc>
        <w:tc>
          <w:tcPr>
            <w:tcW w:w="135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0EB543" w14:textId="0BF5DFAE" w:rsidR="00F7113A" w:rsidRPr="00580C0D" w:rsidRDefault="00142E5B" w:rsidP="00D665D9">
            <w:pPr>
              <w:jc w:val="center"/>
            </w:pPr>
            <w:r w:rsidRPr="00580C0D">
              <w:t>Vedtak nr.</w:t>
            </w:r>
          </w:p>
        </w:tc>
        <w:tc>
          <w:tcPr>
            <w:tcW w:w="54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4C7B71" w14:textId="77777777" w:rsidR="00F7113A" w:rsidRPr="00580C0D" w:rsidRDefault="00142E5B" w:rsidP="00D665D9">
            <w:r w:rsidRPr="00580C0D">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40288F6B" w14:textId="77777777" w:rsidR="00F7113A" w:rsidRPr="00580C0D" w:rsidRDefault="00142E5B" w:rsidP="00D665D9">
            <w:pPr>
              <w:jc w:val="right"/>
            </w:pPr>
            <w:r w:rsidRPr="00580C0D">
              <w:t xml:space="preserve">Rapportering avsluttes </w:t>
            </w:r>
            <w:r w:rsidRPr="00580C0D">
              <w:br/>
              <w:t xml:space="preserve">(Ja/Nei) </w:t>
            </w:r>
          </w:p>
        </w:tc>
      </w:tr>
      <w:tr w:rsidR="00F7113A" w:rsidRPr="00580C0D" w14:paraId="0A7DF0EC" w14:textId="77777777" w:rsidTr="00D665D9">
        <w:trPr>
          <w:trHeight w:val="640"/>
        </w:trPr>
        <w:tc>
          <w:tcPr>
            <w:tcW w:w="1340" w:type="dxa"/>
            <w:tcBorders>
              <w:top w:val="single" w:sz="4" w:space="0" w:color="000000"/>
              <w:left w:val="nil"/>
              <w:bottom w:val="nil"/>
              <w:right w:val="nil"/>
            </w:tcBorders>
            <w:tcMar>
              <w:top w:w="128" w:type="dxa"/>
              <w:left w:w="43" w:type="dxa"/>
              <w:bottom w:w="43" w:type="dxa"/>
              <w:right w:w="43" w:type="dxa"/>
            </w:tcMar>
          </w:tcPr>
          <w:p w14:paraId="3F9AC46E" w14:textId="77777777" w:rsidR="00F7113A" w:rsidRPr="00580C0D" w:rsidRDefault="00142E5B" w:rsidP="00D665D9">
            <w:r w:rsidRPr="00580C0D">
              <w:t>2022 – 2023</w:t>
            </w:r>
          </w:p>
        </w:tc>
        <w:tc>
          <w:tcPr>
            <w:tcW w:w="1354" w:type="dxa"/>
            <w:tcBorders>
              <w:top w:val="single" w:sz="4" w:space="0" w:color="000000"/>
              <w:left w:val="nil"/>
              <w:bottom w:val="nil"/>
              <w:right w:val="nil"/>
            </w:tcBorders>
            <w:tcMar>
              <w:top w:w="128" w:type="dxa"/>
              <w:left w:w="43" w:type="dxa"/>
              <w:bottom w:w="43" w:type="dxa"/>
              <w:right w:w="43" w:type="dxa"/>
            </w:tcMar>
          </w:tcPr>
          <w:p w14:paraId="2F6E7C9D" w14:textId="77777777" w:rsidR="00F7113A" w:rsidRPr="00580C0D" w:rsidRDefault="00142E5B" w:rsidP="00D665D9">
            <w:pPr>
              <w:ind w:right="113"/>
              <w:jc w:val="right"/>
            </w:pPr>
            <w:r w:rsidRPr="00580C0D">
              <w:t>37</w:t>
            </w:r>
          </w:p>
        </w:tc>
        <w:tc>
          <w:tcPr>
            <w:tcW w:w="5466" w:type="dxa"/>
            <w:tcBorders>
              <w:top w:val="single" w:sz="4" w:space="0" w:color="000000"/>
              <w:left w:val="nil"/>
              <w:bottom w:val="nil"/>
              <w:right w:val="nil"/>
            </w:tcBorders>
            <w:tcMar>
              <w:top w:w="128" w:type="dxa"/>
              <w:left w:w="43" w:type="dxa"/>
              <w:bottom w:w="43" w:type="dxa"/>
              <w:right w:w="43" w:type="dxa"/>
            </w:tcMar>
          </w:tcPr>
          <w:p w14:paraId="3CAF65E8" w14:textId="77777777" w:rsidR="00F7113A" w:rsidRPr="00580C0D" w:rsidRDefault="00142E5B" w:rsidP="00D665D9">
            <w:proofErr w:type="spellStart"/>
            <w:r w:rsidRPr="00580C0D">
              <w:t>Endringar</w:t>
            </w:r>
            <w:proofErr w:type="spellEnd"/>
            <w:r w:rsidRPr="00580C0D">
              <w:t xml:space="preserve"> i folketrygdlova mv. (</w:t>
            </w:r>
            <w:proofErr w:type="spellStart"/>
            <w:r w:rsidRPr="00580C0D">
              <w:t>synleggjering</w:t>
            </w:r>
            <w:proofErr w:type="spellEnd"/>
            <w:r w:rsidRPr="00580C0D">
              <w:t xml:space="preserve"> av </w:t>
            </w:r>
            <w:proofErr w:type="spellStart"/>
            <w:r w:rsidRPr="00580C0D">
              <w:t>folkerettslege</w:t>
            </w:r>
            <w:proofErr w:type="spellEnd"/>
            <w:r w:rsidRPr="00580C0D">
              <w:t xml:space="preserve"> </w:t>
            </w:r>
            <w:proofErr w:type="spellStart"/>
            <w:r w:rsidRPr="00580C0D">
              <w:t>forpliktingar</w:t>
            </w:r>
            <w:proofErr w:type="spellEnd"/>
            <w:r w:rsidRPr="00580C0D">
              <w:t xml:space="preserve"> til trygdekoordinering)</w:t>
            </w:r>
          </w:p>
        </w:tc>
        <w:tc>
          <w:tcPr>
            <w:tcW w:w="1400" w:type="dxa"/>
            <w:tcBorders>
              <w:top w:val="single" w:sz="4" w:space="0" w:color="000000"/>
              <w:left w:val="nil"/>
              <w:bottom w:val="nil"/>
              <w:right w:val="nil"/>
            </w:tcBorders>
            <w:tcMar>
              <w:top w:w="128" w:type="dxa"/>
              <w:left w:w="43" w:type="dxa"/>
              <w:bottom w:w="43" w:type="dxa"/>
              <w:right w:w="43" w:type="dxa"/>
            </w:tcMar>
          </w:tcPr>
          <w:p w14:paraId="2FE54B13" w14:textId="77777777" w:rsidR="00F7113A" w:rsidRPr="00580C0D" w:rsidRDefault="00142E5B" w:rsidP="00D665D9">
            <w:pPr>
              <w:jc w:val="right"/>
            </w:pPr>
            <w:r w:rsidRPr="00580C0D">
              <w:t>Nei</w:t>
            </w:r>
          </w:p>
        </w:tc>
      </w:tr>
      <w:tr w:rsidR="00F7113A" w:rsidRPr="00580C0D" w14:paraId="023B69F0"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1C90391F"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63EC1441" w14:textId="77777777" w:rsidR="00F7113A" w:rsidRPr="00580C0D" w:rsidRDefault="00142E5B" w:rsidP="00D665D9">
            <w:pPr>
              <w:ind w:right="113"/>
              <w:jc w:val="right"/>
            </w:pPr>
            <w:r w:rsidRPr="00580C0D">
              <w:t>59</w:t>
            </w:r>
          </w:p>
        </w:tc>
        <w:tc>
          <w:tcPr>
            <w:tcW w:w="5466" w:type="dxa"/>
            <w:tcBorders>
              <w:top w:val="nil"/>
              <w:left w:val="nil"/>
              <w:bottom w:val="nil"/>
              <w:right w:val="nil"/>
            </w:tcBorders>
            <w:tcMar>
              <w:top w:w="128" w:type="dxa"/>
              <w:left w:w="43" w:type="dxa"/>
              <w:bottom w:w="43" w:type="dxa"/>
              <w:right w:w="43" w:type="dxa"/>
            </w:tcMar>
          </w:tcPr>
          <w:p w14:paraId="72D1F214" w14:textId="1528AB3F" w:rsidR="00F7113A" w:rsidRPr="00580C0D" w:rsidRDefault="00142E5B" w:rsidP="00D665D9">
            <w:r w:rsidRPr="00580C0D">
              <w:t xml:space="preserve">Representantforslag om å betre ME-sjuke sine </w:t>
            </w:r>
            <w:proofErr w:type="spellStart"/>
            <w:r w:rsidRPr="00580C0D">
              <w:t>trygde</w:t>
            </w:r>
            <w:r w:rsidR="00D665D9">
              <w:softHyphen/>
            </w:r>
            <w:r w:rsidRPr="00580C0D">
              <w:t>rettar</w:t>
            </w:r>
            <w:proofErr w:type="spellEnd"/>
          </w:p>
        </w:tc>
        <w:tc>
          <w:tcPr>
            <w:tcW w:w="1400" w:type="dxa"/>
            <w:tcBorders>
              <w:top w:val="nil"/>
              <w:left w:val="nil"/>
              <w:bottom w:val="nil"/>
              <w:right w:val="nil"/>
            </w:tcBorders>
            <w:tcMar>
              <w:top w:w="128" w:type="dxa"/>
              <w:left w:w="43" w:type="dxa"/>
              <w:bottom w:w="43" w:type="dxa"/>
              <w:right w:w="43" w:type="dxa"/>
            </w:tcMar>
          </w:tcPr>
          <w:p w14:paraId="7B40DBC1" w14:textId="77777777" w:rsidR="00F7113A" w:rsidRPr="00580C0D" w:rsidRDefault="00142E5B" w:rsidP="00D665D9">
            <w:pPr>
              <w:jc w:val="right"/>
            </w:pPr>
            <w:r w:rsidRPr="00580C0D">
              <w:t>Ja</w:t>
            </w:r>
          </w:p>
        </w:tc>
      </w:tr>
      <w:tr w:rsidR="00F7113A" w:rsidRPr="00580C0D" w14:paraId="276FCC81"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3C5BC22D"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273515B6" w14:textId="77777777" w:rsidR="00F7113A" w:rsidRPr="00580C0D" w:rsidRDefault="00142E5B" w:rsidP="00D665D9">
            <w:pPr>
              <w:ind w:right="113"/>
              <w:jc w:val="right"/>
            </w:pPr>
            <w:r w:rsidRPr="00580C0D">
              <w:t>60</w:t>
            </w:r>
          </w:p>
        </w:tc>
        <w:tc>
          <w:tcPr>
            <w:tcW w:w="5466" w:type="dxa"/>
            <w:tcBorders>
              <w:top w:val="nil"/>
              <w:left w:val="nil"/>
              <w:bottom w:val="nil"/>
              <w:right w:val="nil"/>
            </w:tcBorders>
            <w:tcMar>
              <w:top w:w="128" w:type="dxa"/>
              <w:left w:w="43" w:type="dxa"/>
              <w:bottom w:w="43" w:type="dxa"/>
              <w:right w:w="43" w:type="dxa"/>
            </w:tcMar>
          </w:tcPr>
          <w:p w14:paraId="3A8EBE09" w14:textId="543E3B7E" w:rsidR="00F7113A" w:rsidRPr="00580C0D" w:rsidRDefault="00142E5B" w:rsidP="00D665D9">
            <w:r w:rsidRPr="00580C0D">
              <w:t xml:space="preserve">Representantforslag om å betre ME-sjuke sine </w:t>
            </w:r>
            <w:proofErr w:type="spellStart"/>
            <w:r w:rsidRPr="00580C0D">
              <w:t>trygde</w:t>
            </w:r>
            <w:r w:rsidR="00D665D9">
              <w:softHyphen/>
            </w:r>
            <w:r w:rsidRPr="00580C0D">
              <w:t>rettar</w:t>
            </w:r>
            <w:proofErr w:type="spellEnd"/>
          </w:p>
        </w:tc>
        <w:tc>
          <w:tcPr>
            <w:tcW w:w="1400" w:type="dxa"/>
            <w:tcBorders>
              <w:top w:val="nil"/>
              <w:left w:val="nil"/>
              <w:bottom w:val="nil"/>
              <w:right w:val="nil"/>
            </w:tcBorders>
            <w:tcMar>
              <w:top w:w="128" w:type="dxa"/>
              <w:left w:w="43" w:type="dxa"/>
              <w:bottom w:w="43" w:type="dxa"/>
              <w:right w:w="43" w:type="dxa"/>
            </w:tcMar>
          </w:tcPr>
          <w:p w14:paraId="111D2DB9" w14:textId="77777777" w:rsidR="00F7113A" w:rsidRPr="00580C0D" w:rsidRDefault="00142E5B" w:rsidP="00D665D9">
            <w:pPr>
              <w:jc w:val="right"/>
            </w:pPr>
            <w:r w:rsidRPr="00580C0D">
              <w:t>Ja</w:t>
            </w:r>
          </w:p>
        </w:tc>
      </w:tr>
      <w:tr w:rsidR="00F7113A" w:rsidRPr="00580C0D" w14:paraId="7D51245F"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0705307B" w14:textId="77777777" w:rsidR="00F7113A" w:rsidRPr="00580C0D" w:rsidRDefault="00142E5B" w:rsidP="00D665D9">
            <w:r w:rsidRPr="00580C0D">
              <w:lastRenderedPageBreak/>
              <w:t>2022 – 2023</w:t>
            </w:r>
          </w:p>
        </w:tc>
        <w:tc>
          <w:tcPr>
            <w:tcW w:w="1354" w:type="dxa"/>
            <w:tcBorders>
              <w:top w:val="nil"/>
              <w:left w:val="nil"/>
              <w:bottom w:val="nil"/>
              <w:right w:val="nil"/>
            </w:tcBorders>
            <w:tcMar>
              <w:top w:w="128" w:type="dxa"/>
              <w:left w:w="43" w:type="dxa"/>
              <w:bottom w:w="43" w:type="dxa"/>
              <w:right w:w="43" w:type="dxa"/>
            </w:tcMar>
          </w:tcPr>
          <w:p w14:paraId="6D219A53" w14:textId="77777777" w:rsidR="00F7113A" w:rsidRPr="00580C0D" w:rsidRDefault="00142E5B" w:rsidP="00D665D9">
            <w:pPr>
              <w:ind w:right="113"/>
              <w:jc w:val="right"/>
            </w:pPr>
            <w:r w:rsidRPr="00580C0D">
              <w:t>61</w:t>
            </w:r>
          </w:p>
        </w:tc>
        <w:tc>
          <w:tcPr>
            <w:tcW w:w="5466" w:type="dxa"/>
            <w:tcBorders>
              <w:top w:val="nil"/>
              <w:left w:val="nil"/>
              <w:bottom w:val="nil"/>
              <w:right w:val="nil"/>
            </w:tcBorders>
            <w:tcMar>
              <w:top w:w="128" w:type="dxa"/>
              <w:left w:w="43" w:type="dxa"/>
              <w:bottom w:w="43" w:type="dxa"/>
              <w:right w:w="43" w:type="dxa"/>
            </w:tcMar>
          </w:tcPr>
          <w:p w14:paraId="3D2A5278" w14:textId="77777777" w:rsidR="00F7113A" w:rsidRPr="00580C0D" w:rsidRDefault="00142E5B" w:rsidP="00D665D9">
            <w:r w:rsidRPr="00580C0D">
              <w:t>Oppheve Arbeidstilsynet sin øvre gebyrgrense</w:t>
            </w:r>
          </w:p>
        </w:tc>
        <w:tc>
          <w:tcPr>
            <w:tcW w:w="1400" w:type="dxa"/>
            <w:tcBorders>
              <w:top w:val="nil"/>
              <w:left w:val="nil"/>
              <w:bottom w:val="nil"/>
              <w:right w:val="nil"/>
            </w:tcBorders>
            <w:tcMar>
              <w:top w:w="128" w:type="dxa"/>
              <w:left w:w="43" w:type="dxa"/>
              <w:bottom w:w="43" w:type="dxa"/>
              <w:right w:w="43" w:type="dxa"/>
            </w:tcMar>
          </w:tcPr>
          <w:p w14:paraId="1BAAAA3A" w14:textId="77777777" w:rsidR="00F7113A" w:rsidRPr="00580C0D" w:rsidRDefault="00142E5B" w:rsidP="00D665D9">
            <w:pPr>
              <w:jc w:val="right"/>
            </w:pPr>
            <w:r w:rsidRPr="00580C0D">
              <w:t>Nei</w:t>
            </w:r>
          </w:p>
        </w:tc>
      </w:tr>
      <w:tr w:rsidR="00F7113A" w:rsidRPr="00580C0D" w14:paraId="08AA3089"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2CED3E48"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247B2E0B" w14:textId="77777777" w:rsidR="00F7113A" w:rsidRPr="00580C0D" w:rsidRDefault="00142E5B" w:rsidP="00D665D9">
            <w:pPr>
              <w:ind w:right="113"/>
              <w:jc w:val="right"/>
            </w:pPr>
            <w:r w:rsidRPr="00580C0D">
              <w:t>63</w:t>
            </w:r>
          </w:p>
        </w:tc>
        <w:tc>
          <w:tcPr>
            <w:tcW w:w="5466" w:type="dxa"/>
            <w:tcBorders>
              <w:top w:val="nil"/>
              <w:left w:val="nil"/>
              <w:bottom w:val="nil"/>
              <w:right w:val="nil"/>
            </w:tcBorders>
            <w:tcMar>
              <w:top w:w="128" w:type="dxa"/>
              <w:left w:w="43" w:type="dxa"/>
              <w:bottom w:w="43" w:type="dxa"/>
              <w:right w:w="43" w:type="dxa"/>
            </w:tcMar>
          </w:tcPr>
          <w:p w14:paraId="24A22654" w14:textId="77777777" w:rsidR="00F7113A" w:rsidRPr="00580C0D" w:rsidRDefault="00142E5B" w:rsidP="00D665D9">
            <w:proofErr w:type="spellStart"/>
            <w:r w:rsidRPr="00580C0D">
              <w:t>Eit</w:t>
            </w:r>
            <w:proofErr w:type="spellEnd"/>
            <w:r w:rsidRPr="00580C0D">
              <w:t xml:space="preserve"> </w:t>
            </w:r>
            <w:proofErr w:type="spellStart"/>
            <w:r w:rsidRPr="00580C0D">
              <w:t>meir</w:t>
            </w:r>
            <w:proofErr w:type="spellEnd"/>
            <w:r w:rsidRPr="00580C0D">
              <w:t xml:space="preserve"> </w:t>
            </w:r>
            <w:proofErr w:type="spellStart"/>
            <w:r w:rsidRPr="00580C0D">
              <w:t>tilgjengeleg</w:t>
            </w:r>
            <w:proofErr w:type="spellEnd"/>
            <w:r w:rsidRPr="00580C0D">
              <w:t xml:space="preserve"> Nav</w:t>
            </w:r>
          </w:p>
        </w:tc>
        <w:tc>
          <w:tcPr>
            <w:tcW w:w="1400" w:type="dxa"/>
            <w:tcBorders>
              <w:top w:val="nil"/>
              <w:left w:val="nil"/>
              <w:bottom w:val="nil"/>
              <w:right w:val="nil"/>
            </w:tcBorders>
            <w:tcMar>
              <w:top w:w="128" w:type="dxa"/>
              <w:left w:w="43" w:type="dxa"/>
              <w:bottom w:w="43" w:type="dxa"/>
              <w:right w:w="43" w:type="dxa"/>
            </w:tcMar>
          </w:tcPr>
          <w:p w14:paraId="7BA51F2E" w14:textId="77777777" w:rsidR="00F7113A" w:rsidRPr="00580C0D" w:rsidRDefault="00142E5B" w:rsidP="00D665D9">
            <w:pPr>
              <w:jc w:val="right"/>
            </w:pPr>
            <w:r w:rsidRPr="00580C0D">
              <w:t>Ja</w:t>
            </w:r>
          </w:p>
        </w:tc>
      </w:tr>
      <w:tr w:rsidR="00F7113A" w:rsidRPr="00580C0D" w14:paraId="76707D9D"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04149EF6"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2622F6C5" w14:textId="77777777" w:rsidR="00F7113A" w:rsidRPr="00580C0D" w:rsidRDefault="00142E5B" w:rsidP="00D665D9">
            <w:pPr>
              <w:ind w:right="113"/>
              <w:jc w:val="right"/>
            </w:pPr>
            <w:r w:rsidRPr="00580C0D">
              <w:t>344</w:t>
            </w:r>
          </w:p>
        </w:tc>
        <w:tc>
          <w:tcPr>
            <w:tcW w:w="5466" w:type="dxa"/>
            <w:tcBorders>
              <w:top w:val="nil"/>
              <w:left w:val="nil"/>
              <w:bottom w:val="nil"/>
              <w:right w:val="nil"/>
            </w:tcBorders>
            <w:tcMar>
              <w:top w:w="128" w:type="dxa"/>
              <w:left w:w="43" w:type="dxa"/>
              <w:bottom w:w="43" w:type="dxa"/>
              <w:right w:w="43" w:type="dxa"/>
            </w:tcMar>
          </w:tcPr>
          <w:p w14:paraId="2661AE46" w14:textId="77777777" w:rsidR="00F7113A" w:rsidRPr="00580C0D" w:rsidRDefault="00142E5B" w:rsidP="00D665D9">
            <w:r w:rsidRPr="00580C0D">
              <w:t xml:space="preserve">Utbetaling av </w:t>
            </w:r>
            <w:proofErr w:type="spellStart"/>
            <w:r w:rsidRPr="00580C0D">
              <w:t>eingongsbeløp</w:t>
            </w:r>
            <w:proofErr w:type="spellEnd"/>
            <w:r w:rsidRPr="00580C0D">
              <w:t xml:space="preserve"> til </w:t>
            </w:r>
            <w:proofErr w:type="spellStart"/>
            <w:r w:rsidRPr="00580C0D">
              <w:t>mottakarar</w:t>
            </w:r>
            <w:proofErr w:type="spellEnd"/>
            <w:r w:rsidRPr="00580C0D">
              <w:t xml:space="preserve"> av minstesats på uføretrygd</w:t>
            </w:r>
          </w:p>
        </w:tc>
        <w:tc>
          <w:tcPr>
            <w:tcW w:w="1400" w:type="dxa"/>
            <w:tcBorders>
              <w:top w:val="nil"/>
              <w:left w:val="nil"/>
              <w:bottom w:val="nil"/>
              <w:right w:val="nil"/>
            </w:tcBorders>
            <w:tcMar>
              <w:top w:w="128" w:type="dxa"/>
              <w:left w:w="43" w:type="dxa"/>
              <w:bottom w:w="43" w:type="dxa"/>
              <w:right w:w="43" w:type="dxa"/>
            </w:tcMar>
          </w:tcPr>
          <w:p w14:paraId="0C676A95" w14:textId="77777777" w:rsidR="00F7113A" w:rsidRPr="00580C0D" w:rsidRDefault="00142E5B" w:rsidP="00D665D9">
            <w:pPr>
              <w:jc w:val="right"/>
            </w:pPr>
            <w:r w:rsidRPr="00580C0D">
              <w:t>Ja</w:t>
            </w:r>
          </w:p>
        </w:tc>
      </w:tr>
      <w:tr w:rsidR="00F7113A" w:rsidRPr="00580C0D" w14:paraId="51A1FCE0"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548FE5AC"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2F6AD838" w14:textId="77777777" w:rsidR="00F7113A" w:rsidRPr="00580C0D" w:rsidRDefault="00142E5B" w:rsidP="00D665D9">
            <w:pPr>
              <w:ind w:right="113"/>
              <w:jc w:val="right"/>
            </w:pPr>
            <w:r w:rsidRPr="00580C0D">
              <w:t>491</w:t>
            </w:r>
          </w:p>
        </w:tc>
        <w:tc>
          <w:tcPr>
            <w:tcW w:w="5466" w:type="dxa"/>
            <w:tcBorders>
              <w:top w:val="nil"/>
              <w:left w:val="nil"/>
              <w:bottom w:val="nil"/>
              <w:right w:val="nil"/>
            </w:tcBorders>
            <w:tcMar>
              <w:top w:w="128" w:type="dxa"/>
              <w:left w:w="43" w:type="dxa"/>
              <w:bottom w:w="43" w:type="dxa"/>
              <w:right w:w="43" w:type="dxa"/>
            </w:tcMar>
          </w:tcPr>
          <w:p w14:paraId="30F5A2ED" w14:textId="77777777" w:rsidR="00F7113A" w:rsidRPr="00580C0D" w:rsidRDefault="00142E5B" w:rsidP="00D665D9">
            <w:r w:rsidRPr="00580C0D">
              <w:t xml:space="preserve">Representantforslag om </w:t>
            </w:r>
            <w:proofErr w:type="spellStart"/>
            <w:r w:rsidRPr="00580C0D">
              <w:t>meir</w:t>
            </w:r>
            <w:proofErr w:type="spellEnd"/>
            <w:r w:rsidRPr="00580C0D">
              <w:t xml:space="preserve"> fridom til å jobbe der du vil</w:t>
            </w:r>
          </w:p>
        </w:tc>
        <w:tc>
          <w:tcPr>
            <w:tcW w:w="1400" w:type="dxa"/>
            <w:tcBorders>
              <w:top w:val="nil"/>
              <w:left w:val="nil"/>
              <w:bottom w:val="nil"/>
              <w:right w:val="nil"/>
            </w:tcBorders>
            <w:tcMar>
              <w:top w:w="128" w:type="dxa"/>
              <w:left w:w="43" w:type="dxa"/>
              <w:bottom w:w="43" w:type="dxa"/>
              <w:right w:w="43" w:type="dxa"/>
            </w:tcMar>
          </w:tcPr>
          <w:p w14:paraId="5A783BFB" w14:textId="77777777" w:rsidR="00F7113A" w:rsidRPr="00580C0D" w:rsidRDefault="00142E5B" w:rsidP="00D665D9">
            <w:pPr>
              <w:jc w:val="right"/>
            </w:pPr>
            <w:r w:rsidRPr="00580C0D">
              <w:t>Nei</w:t>
            </w:r>
          </w:p>
        </w:tc>
      </w:tr>
      <w:tr w:rsidR="00F7113A" w:rsidRPr="00580C0D" w14:paraId="75140705"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4E6EFE68"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1322BE3D" w14:textId="77777777" w:rsidR="00F7113A" w:rsidRPr="00580C0D" w:rsidRDefault="00142E5B" w:rsidP="00D665D9">
            <w:pPr>
              <w:ind w:right="113"/>
              <w:jc w:val="right"/>
            </w:pPr>
            <w:r w:rsidRPr="00580C0D">
              <w:t>493</w:t>
            </w:r>
          </w:p>
        </w:tc>
        <w:tc>
          <w:tcPr>
            <w:tcW w:w="5466" w:type="dxa"/>
            <w:tcBorders>
              <w:top w:val="nil"/>
              <w:left w:val="nil"/>
              <w:bottom w:val="nil"/>
              <w:right w:val="nil"/>
            </w:tcBorders>
            <w:tcMar>
              <w:top w:w="128" w:type="dxa"/>
              <w:left w:w="43" w:type="dxa"/>
              <w:bottom w:w="43" w:type="dxa"/>
              <w:right w:w="43" w:type="dxa"/>
            </w:tcMar>
          </w:tcPr>
          <w:p w14:paraId="36E8F790" w14:textId="77777777" w:rsidR="00F7113A" w:rsidRPr="00580C0D" w:rsidRDefault="00142E5B" w:rsidP="00D665D9">
            <w:proofErr w:type="spellStart"/>
            <w:r w:rsidRPr="00580C0D">
              <w:t>Endringar</w:t>
            </w:r>
            <w:proofErr w:type="spellEnd"/>
            <w:r w:rsidRPr="00580C0D">
              <w:t xml:space="preserve"> i arbeidsmiljølova mv. (</w:t>
            </w:r>
            <w:proofErr w:type="spellStart"/>
            <w:r w:rsidRPr="00580C0D">
              <w:t>arbeidstakaromgrepet</w:t>
            </w:r>
            <w:proofErr w:type="spellEnd"/>
            <w:r w:rsidRPr="00580C0D">
              <w:t xml:space="preserve"> og </w:t>
            </w:r>
            <w:proofErr w:type="spellStart"/>
            <w:r w:rsidRPr="00580C0D">
              <w:t>arbeidsgivaransvar</w:t>
            </w:r>
            <w:proofErr w:type="spellEnd"/>
            <w:r w:rsidRPr="00580C0D">
              <w:t xml:space="preserve"> i konsern)</w:t>
            </w:r>
          </w:p>
        </w:tc>
        <w:tc>
          <w:tcPr>
            <w:tcW w:w="1400" w:type="dxa"/>
            <w:tcBorders>
              <w:top w:val="nil"/>
              <w:left w:val="nil"/>
              <w:bottom w:val="nil"/>
              <w:right w:val="nil"/>
            </w:tcBorders>
            <w:tcMar>
              <w:top w:w="128" w:type="dxa"/>
              <w:left w:w="43" w:type="dxa"/>
              <w:bottom w:w="43" w:type="dxa"/>
              <w:right w:w="43" w:type="dxa"/>
            </w:tcMar>
          </w:tcPr>
          <w:p w14:paraId="226E1B24" w14:textId="77777777" w:rsidR="00F7113A" w:rsidRPr="00580C0D" w:rsidRDefault="00142E5B" w:rsidP="00D665D9">
            <w:pPr>
              <w:jc w:val="right"/>
            </w:pPr>
            <w:r w:rsidRPr="00580C0D">
              <w:t>Nei</w:t>
            </w:r>
          </w:p>
        </w:tc>
      </w:tr>
      <w:tr w:rsidR="00F7113A" w:rsidRPr="00580C0D" w14:paraId="1DB80094"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1C5E4DF2"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68E0EB98" w14:textId="77777777" w:rsidR="00F7113A" w:rsidRPr="00580C0D" w:rsidRDefault="00142E5B" w:rsidP="00D665D9">
            <w:pPr>
              <w:ind w:right="113"/>
              <w:jc w:val="right"/>
            </w:pPr>
            <w:r w:rsidRPr="00580C0D">
              <w:t>530</w:t>
            </w:r>
          </w:p>
        </w:tc>
        <w:tc>
          <w:tcPr>
            <w:tcW w:w="5466" w:type="dxa"/>
            <w:tcBorders>
              <w:top w:val="nil"/>
              <w:left w:val="nil"/>
              <w:bottom w:val="nil"/>
              <w:right w:val="nil"/>
            </w:tcBorders>
            <w:tcMar>
              <w:top w:w="128" w:type="dxa"/>
              <w:left w:w="43" w:type="dxa"/>
              <w:bottom w:w="43" w:type="dxa"/>
              <w:right w:w="43" w:type="dxa"/>
            </w:tcMar>
          </w:tcPr>
          <w:p w14:paraId="17BB0648" w14:textId="77777777" w:rsidR="00F7113A" w:rsidRPr="00580C0D" w:rsidRDefault="00142E5B" w:rsidP="00D665D9">
            <w:r w:rsidRPr="00580C0D">
              <w:t xml:space="preserve">Representantforslag om </w:t>
            </w:r>
            <w:proofErr w:type="spellStart"/>
            <w:r w:rsidRPr="00580C0D">
              <w:t>ein</w:t>
            </w:r>
            <w:proofErr w:type="spellEnd"/>
            <w:r w:rsidRPr="00580C0D">
              <w:t xml:space="preserve"> tillitsreform i Arbeidstilsynet</w:t>
            </w:r>
          </w:p>
        </w:tc>
        <w:tc>
          <w:tcPr>
            <w:tcW w:w="1400" w:type="dxa"/>
            <w:tcBorders>
              <w:top w:val="nil"/>
              <w:left w:val="nil"/>
              <w:bottom w:val="nil"/>
              <w:right w:val="nil"/>
            </w:tcBorders>
            <w:tcMar>
              <w:top w:w="128" w:type="dxa"/>
              <w:left w:w="43" w:type="dxa"/>
              <w:bottom w:w="43" w:type="dxa"/>
              <w:right w:w="43" w:type="dxa"/>
            </w:tcMar>
          </w:tcPr>
          <w:p w14:paraId="7CECA662" w14:textId="77777777" w:rsidR="00F7113A" w:rsidRPr="00580C0D" w:rsidRDefault="00142E5B" w:rsidP="00D665D9">
            <w:pPr>
              <w:jc w:val="right"/>
            </w:pPr>
            <w:r w:rsidRPr="00580C0D">
              <w:t>Nei</w:t>
            </w:r>
          </w:p>
        </w:tc>
      </w:tr>
      <w:tr w:rsidR="00F7113A" w:rsidRPr="00580C0D" w14:paraId="45E0E041"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36FAF4B9"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548B3792" w14:textId="77777777" w:rsidR="00F7113A" w:rsidRPr="00580C0D" w:rsidRDefault="00142E5B" w:rsidP="00D665D9">
            <w:pPr>
              <w:ind w:right="113"/>
              <w:jc w:val="right"/>
            </w:pPr>
            <w:r w:rsidRPr="00580C0D">
              <w:t>531</w:t>
            </w:r>
          </w:p>
        </w:tc>
        <w:tc>
          <w:tcPr>
            <w:tcW w:w="5466" w:type="dxa"/>
            <w:tcBorders>
              <w:top w:val="nil"/>
              <w:left w:val="nil"/>
              <w:bottom w:val="nil"/>
              <w:right w:val="nil"/>
            </w:tcBorders>
            <w:tcMar>
              <w:top w:w="128" w:type="dxa"/>
              <w:left w:w="43" w:type="dxa"/>
              <w:bottom w:w="43" w:type="dxa"/>
              <w:right w:w="43" w:type="dxa"/>
            </w:tcMar>
          </w:tcPr>
          <w:p w14:paraId="7BDFB81F" w14:textId="77777777" w:rsidR="00F7113A" w:rsidRPr="00580C0D" w:rsidRDefault="00142E5B" w:rsidP="00D665D9">
            <w:r w:rsidRPr="00580C0D">
              <w:t xml:space="preserve">Representantforslag om </w:t>
            </w:r>
            <w:proofErr w:type="spellStart"/>
            <w:r w:rsidRPr="00580C0D">
              <w:t>ein</w:t>
            </w:r>
            <w:proofErr w:type="spellEnd"/>
            <w:r w:rsidRPr="00580C0D">
              <w:t xml:space="preserve"> tillitsreform i Arbeidstilsynet</w:t>
            </w:r>
          </w:p>
        </w:tc>
        <w:tc>
          <w:tcPr>
            <w:tcW w:w="1400" w:type="dxa"/>
            <w:tcBorders>
              <w:top w:val="nil"/>
              <w:left w:val="nil"/>
              <w:bottom w:val="nil"/>
              <w:right w:val="nil"/>
            </w:tcBorders>
            <w:tcMar>
              <w:top w:w="128" w:type="dxa"/>
              <w:left w:w="43" w:type="dxa"/>
              <w:bottom w:w="43" w:type="dxa"/>
              <w:right w:w="43" w:type="dxa"/>
            </w:tcMar>
          </w:tcPr>
          <w:p w14:paraId="50A78688" w14:textId="77777777" w:rsidR="00F7113A" w:rsidRPr="00580C0D" w:rsidRDefault="00142E5B" w:rsidP="00D665D9">
            <w:pPr>
              <w:jc w:val="right"/>
            </w:pPr>
            <w:r w:rsidRPr="00580C0D">
              <w:t>Nei</w:t>
            </w:r>
          </w:p>
        </w:tc>
      </w:tr>
      <w:tr w:rsidR="00F7113A" w:rsidRPr="00580C0D" w14:paraId="51C0CB8E"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5F07F713"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4F9E8F75" w14:textId="77777777" w:rsidR="00F7113A" w:rsidRPr="00580C0D" w:rsidRDefault="00142E5B" w:rsidP="00D665D9">
            <w:pPr>
              <w:ind w:right="113"/>
              <w:jc w:val="right"/>
            </w:pPr>
            <w:r w:rsidRPr="00580C0D">
              <w:t>532</w:t>
            </w:r>
          </w:p>
        </w:tc>
        <w:tc>
          <w:tcPr>
            <w:tcW w:w="5466" w:type="dxa"/>
            <w:tcBorders>
              <w:top w:val="nil"/>
              <w:left w:val="nil"/>
              <w:bottom w:val="nil"/>
              <w:right w:val="nil"/>
            </w:tcBorders>
            <w:tcMar>
              <w:top w:w="128" w:type="dxa"/>
              <w:left w:w="43" w:type="dxa"/>
              <w:bottom w:w="43" w:type="dxa"/>
              <w:right w:w="43" w:type="dxa"/>
            </w:tcMar>
          </w:tcPr>
          <w:p w14:paraId="10F26980" w14:textId="77777777" w:rsidR="00F7113A" w:rsidRPr="00580C0D" w:rsidRDefault="00142E5B" w:rsidP="00D665D9">
            <w:r w:rsidRPr="00580C0D">
              <w:t xml:space="preserve">Representantforslag om </w:t>
            </w:r>
            <w:proofErr w:type="spellStart"/>
            <w:r w:rsidRPr="00580C0D">
              <w:t>ein</w:t>
            </w:r>
            <w:proofErr w:type="spellEnd"/>
            <w:r w:rsidRPr="00580C0D">
              <w:t xml:space="preserve"> tillitsreform i Arbeidstilsynet</w:t>
            </w:r>
          </w:p>
        </w:tc>
        <w:tc>
          <w:tcPr>
            <w:tcW w:w="1400" w:type="dxa"/>
            <w:tcBorders>
              <w:top w:val="nil"/>
              <w:left w:val="nil"/>
              <w:bottom w:val="nil"/>
              <w:right w:val="nil"/>
            </w:tcBorders>
            <w:tcMar>
              <w:top w:w="128" w:type="dxa"/>
              <w:left w:w="43" w:type="dxa"/>
              <w:bottom w:w="43" w:type="dxa"/>
              <w:right w:w="43" w:type="dxa"/>
            </w:tcMar>
          </w:tcPr>
          <w:p w14:paraId="3EC61FDA" w14:textId="77777777" w:rsidR="00F7113A" w:rsidRPr="00580C0D" w:rsidRDefault="00142E5B" w:rsidP="00D665D9">
            <w:pPr>
              <w:jc w:val="right"/>
            </w:pPr>
            <w:r w:rsidRPr="00580C0D">
              <w:t>Nei</w:t>
            </w:r>
          </w:p>
        </w:tc>
      </w:tr>
      <w:tr w:rsidR="00F7113A" w:rsidRPr="00580C0D" w14:paraId="29A00A17"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6C4DECDC"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0484B1CE" w14:textId="77777777" w:rsidR="00F7113A" w:rsidRPr="00580C0D" w:rsidRDefault="00142E5B" w:rsidP="00D665D9">
            <w:pPr>
              <w:ind w:right="113"/>
              <w:jc w:val="right"/>
            </w:pPr>
            <w:r w:rsidRPr="00580C0D">
              <w:t>533</w:t>
            </w:r>
          </w:p>
        </w:tc>
        <w:tc>
          <w:tcPr>
            <w:tcW w:w="5466" w:type="dxa"/>
            <w:tcBorders>
              <w:top w:val="nil"/>
              <w:left w:val="nil"/>
              <w:bottom w:val="nil"/>
              <w:right w:val="nil"/>
            </w:tcBorders>
            <w:tcMar>
              <w:top w:w="128" w:type="dxa"/>
              <w:left w:w="43" w:type="dxa"/>
              <w:bottom w:w="43" w:type="dxa"/>
              <w:right w:w="43" w:type="dxa"/>
            </w:tcMar>
          </w:tcPr>
          <w:p w14:paraId="71A5E54E" w14:textId="72FADD80" w:rsidR="00F7113A" w:rsidRPr="00580C0D" w:rsidRDefault="00142E5B" w:rsidP="00D665D9">
            <w:r w:rsidRPr="00580C0D">
              <w:t xml:space="preserve">Representantforslag om å hindre </w:t>
            </w:r>
            <w:proofErr w:type="spellStart"/>
            <w:r w:rsidRPr="00580C0D">
              <w:t>urimeleg</w:t>
            </w:r>
            <w:proofErr w:type="spellEnd"/>
            <w:r w:rsidRPr="00580C0D">
              <w:t xml:space="preserve"> tilbake</w:t>
            </w:r>
            <w:r w:rsidR="009A1051">
              <w:softHyphen/>
            </w:r>
            <w:r w:rsidRPr="00580C0D">
              <w:t>betaling for uføre som får seg jobb</w:t>
            </w:r>
          </w:p>
        </w:tc>
        <w:tc>
          <w:tcPr>
            <w:tcW w:w="1400" w:type="dxa"/>
            <w:tcBorders>
              <w:top w:val="nil"/>
              <w:left w:val="nil"/>
              <w:bottom w:val="nil"/>
              <w:right w:val="nil"/>
            </w:tcBorders>
            <w:tcMar>
              <w:top w:w="128" w:type="dxa"/>
              <w:left w:w="43" w:type="dxa"/>
              <w:bottom w:w="43" w:type="dxa"/>
              <w:right w:w="43" w:type="dxa"/>
            </w:tcMar>
          </w:tcPr>
          <w:p w14:paraId="045AC764" w14:textId="77777777" w:rsidR="00F7113A" w:rsidRPr="00580C0D" w:rsidRDefault="00142E5B" w:rsidP="00D665D9">
            <w:pPr>
              <w:jc w:val="right"/>
            </w:pPr>
            <w:r w:rsidRPr="00580C0D">
              <w:t>Nei</w:t>
            </w:r>
          </w:p>
        </w:tc>
      </w:tr>
      <w:tr w:rsidR="00F7113A" w:rsidRPr="00580C0D" w14:paraId="486E2885"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7BAFE81F"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2668F050" w14:textId="77777777" w:rsidR="00F7113A" w:rsidRPr="00580C0D" w:rsidRDefault="00142E5B" w:rsidP="00D665D9">
            <w:pPr>
              <w:ind w:right="113"/>
              <w:jc w:val="right"/>
            </w:pPr>
            <w:r w:rsidRPr="00580C0D">
              <w:t>580</w:t>
            </w:r>
          </w:p>
        </w:tc>
        <w:tc>
          <w:tcPr>
            <w:tcW w:w="5466" w:type="dxa"/>
            <w:tcBorders>
              <w:top w:val="nil"/>
              <w:left w:val="nil"/>
              <w:bottom w:val="nil"/>
              <w:right w:val="nil"/>
            </w:tcBorders>
            <w:tcMar>
              <w:top w:w="128" w:type="dxa"/>
              <w:left w:w="43" w:type="dxa"/>
              <w:bottom w:w="43" w:type="dxa"/>
              <w:right w:w="43" w:type="dxa"/>
            </w:tcMar>
          </w:tcPr>
          <w:p w14:paraId="22D7FB11" w14:textId="77777777" w:rsidR="00F7113A" w:rsidRPr="00580C0D" w:rsidRDefault="00142E5B" w:rsidP="00D665D9">
            <w:r w:rsidRPr="00580C0D">
              <w:t xml:space="preserve">Betre og </w:t>
            </w:r>
            <w:proofErr w:type="spellStart"/>
            <w:r w:rsidRPr="00580C0D">
              <w:t>raskare</w:t>
            </w:r>
            <w:proofErr w:type="spellEnd"/>
            <w:r w:rsidRPr="00580C0D">
              <w:t xml:space="preserve"> integrering i hele landet</w:t>
            </w:r>
          </w:p>
        </w:tc>
        <w:tc>
          <w:tcPr>
            <w:tcW w:w="1400" w:type="dxa"/>
            <w:tcBorders>
              <w:top w:val="nil"/>
              <w:left w:val="nil"/>
              <w:bottom w:val="nil"/>
              <w:right w:val="nil"/>
            </w:tcBorders>
            <w:tcMar>
              <w:top w:w="128" w:type="dxa"/>
              <w:left w:w="43" w:type="dxa"/>
              <w:bottom w:w="43" w:type="dxa"/>
              <w:right w:w="43" w:type="dxa"/>
            </w:tcMar>
          </w:tcPr>
          <w:p w14:paraId="52C77206" w14:textId="77777777" w:rsidR="00F7113A" w:rsidRPr="00580C0D" w:rsidRDefault="00142E5B" w:rsidP="00D665D9">
            <w:pPr>
              <w:jc w:val="right"/>
            </w:pPr>
            <w:r w:rsidRPr="00580C0D">
              <w:t>Ja</w:t>
            </w:r>
          </w:p>
        </w:tc>
      </w:tr>
      <w:tr w:rsidR="00F7113A" w:rsidRPr="00580C0D" w14:paraId="7E9D4D93" w14:textId="77777777" w:rsidTr="00D665D9">
        <w:trPr>
          <w:trHeight w:val="880"/>
        </w:trPr>
        <w:tc>
          <w:tcPr>
            <w:tcW w:w="1340" w:type="dxa"/>
            <w:tcBorders>
              <w:top w:val="nil"/>
              <w:left w:val="nil"/>
              <w:bottom w:val="nil"/>
              <w:right w:val="nil"/>
            </w:tcBorders>
            <w:tcMar>
              <w:top w:w="128" w:type="dxa"/>
              <w:left w:w="43" w:type="dxa"/>
              <w:bottom w:w="43" w:type="dxa"/>
              <w:right w:w="43" w:type="dxa"/>
            </w:tcMar>
          </w:tcPr>
          <w:p w14:paraId="45155613" w14:textId="77777777" w:rsidR="00F7113A" w:rsidRPr="00580C0D" w:rsidRDefault="00142E5B" w:rsidP="00D665D9">
            <w:r w:rsidRPr="00580C0D">
              <w:t xml:space="preserve">2022 – 2023 </w:t>
            </w:r>
          </w:p>
        </w:tc>
        <w:tc>
          <w:tcPr>
            <w:tcW w:w="1354" w:type="dxa"/>
            <w:tcBorders>
              <w:top w:val="nil"/>
              <w:left w:val="nil"/>
              <w:bottom w:val="nil"/>
              <w:right w:val="nil"/>
            </w:tcBorders>
            <w:tcMar>
              <w:top w:w="128" w:type="dxa"/>
              <w:left w:w="43" w:type="dxa"/>
              <w:bottom w:w="43" w:type="dxa"/>
              <w:right w:w="43" w:type="dxa"/>
            </w:tcMar>
          </w:tcPr>
          <w:p w14:paraId="5E93F5FC" w14:textId="77777777" w:rsidR="00F7113A" w:rsidRPr="00580C0D" w:rsidRDefault="00142E5B" w:rsidP="00D665D9">
            <w:pPr>
              <w:ind w:right="113"/>
              <w:jc w:val="right"/>
            </w:pPr>
            <w:r w:rsidRPr="00580C0D">
              <w:t>604</w:t>
            </w:r>
          </w:p>
        </w:tc>
        <w:tc>
          <w:tcPr>
            <w:tcW w:w="5466" w:type="dxa"/>
            <w:tcBorders>
              <w:top w:val="nil"/>
              <w:left w:val="nil"/>
              <w:bottom w:val="nil"/>
              <w:right w:val="nil"/>
            </w:tcBorders>
            <w:tcMar>
              <w:top w:w="128" w:type="dxa"/>
              <w:left w:w="43" w:type="dxa"/>
              <w:bottom w:w="43" w:type="dxa"/>
              <w:right w:w="43" w:type="dxa"/>
            </w:tcMar>
          </w:tcPr>
          <w:p w14:paraId="6D50B1A4" w14:textId="77777777" w:rsidR="00F7113A" w:rsidRPr="00580C0D" w:rsidRDefault="00142E5B" w:rsidP="00D665D9">
            <w:proofErr w:type="spellStart"/>
            <w:r w:rsidRPr="00580C0D">
              <w:t>Menneskerettar</w:t>
            </w:r>
            <w:proofErr w:type="spellEnd"/>
            <w:r w:rsidRPr="00580C0D">
              <w:t xml:space="preserve"> for </w:t>
            </w:r>
            <w:proofErr w:type="spellStart"/>
            <w:r w:rsidRPr="00580C0D">
              <w:t>personar</w:t>
            </w:r>
            <w:proofErr w:type="spellEnd"/>
            <w:r w:rsidRPr="00580C0D">
              <w:t xml:space="preserve"> med utviklingshemming – </w:t>
            </w:r>
            <w:proofErr w:type="spellStart"/>
            <w:r w:rsidRPr="00580C0D">
              <w:t>regelendringar</w:t>
            </w:r>
            <w:proofErr w:type="spellEnd"/>
            <w:r w:rsidRPr="00580C0D">
              <w:t xml:space="preserve"> for å gi </w:t>
            </w:r>
            <w:proofErr w:type="spellStart"/>
            <w:r w:rsidRPr="00580C0D">
              <w:t>personar</w:t>
            </w:r>
            <w:proofErr w:type="spellEnd"/>
            <w:r w:rsidRPr="00580C0D">
              <w:t xml:space="preserve"> med utviklingshemming </w:t>
            </w:r>
            <w:r w:rsidRPr="00580C0D">
              <w:br/>
              <w:t>i VTA-O varig oppfølging</w:t>
            </w:r>
          </w:p>
        </w:tc>
        <w:tc>
          <w:tcPr>
            <w:tcW w:w="1400" w:type="dxa"/>
            <w:tcBorders>
              <w:top w:val="nil"/>
              <w:left w:val="nil"/>
              <w:bottom w:val="nil"/>
              <w:right w:val="nil"/>
            </w:tcBorders>
            <w:tcMar>
              <w:top w:w="128" w:type="dxa"/>
              <w:left w:w="43" w:type="dxa"/>
              <w:bottom w:w="43" w:type="dxa"/>
              <w:right w:w="43" w:type="dxa"/>
            </w:tcMar>
          </w:tcPr>
          <w:p w14:paraId="4BBBCC66" w14:textId="77777777" w:rsidR="00F7113A" w:rsidRPr="00580C0D" w:rsidRDefault="00142E5B" w:rsidP="00D665D9">
            <w:pPr>
              <w:jc w:val="right"/>
            </w:pPr>
            <w:r w:rsidRPr="00580C0D">
              <w:t>Nei</w:t>
            </w:r>
          </w:p>
        </w:tc>
      </w:tr>
      <w:tr w:rsidR="00F7113A" w:rsidRPr="00580C0D" w14:paraId="56EF9EF7"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73B60F83"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2A7E1265" w14:textId="77777777" w:rsidR="00F7113A" w:rsidRPr="00580C0D" w:rsidRDefault="00142E5B" w:rsidP="00D665D9">
            <w:pPr>
              <w:ind w:right="113"/>
              <w:jc w:val="right"/>
            </w:pPr>
            <w:r w:rsidRPr="00580C0D">
              <w:t>605</w:t>
            </w:r>
          </w:p>
        </w:tc>
        <w:tc>
          <w:tcPr>
            <w:tcW w:w="5466" w:type="dxa"/>
            <w:tcBorders>
              <w:top w:val="nil"/>
              <w:left w:val="nil"/>
              <w:bottom w:val="nil"/>
              <w:right w:val="nil"/>
            </w:tcBorders>
            <w:tcMar>
              <w:top w:w="128" w:type="dxa"/>
              <w:left w:w="43" w:type="dxa"/>
              <w:bottom w:w="43" w:type="dxa"/>
              <w:right w:w="43" w:type="dxa"/>
            </w:tcMar>
          </w:tcPr>
          <w:p w14:paraId="419485A2" w14:textId="77777777" w:rsidR="00F7113A" w:rsidRPr="00580C0D" w:rsidRDefault="00142E5B" w:rsidP="00D665D9">
            <w:proofErr w:type="spellStart"/>
            <w:r w:rsidRPr="00580C0D">
              <w:t>Menneskerettar</w:t>
            </w:r>
            <w:proofErr w:type="spellEnd"/>
            <w:r w:rsidRPr="00580C0D">
              <w:t xml:space="preserve"> for </w:t>
            </w:r>
            <w:proofErr w:type="spellStart"/>
            <w:r w:rsidRPr="00580C0D">
              <w:t>personar</w:t>
            </w:r>
            <w:proofErr w:type="spellEnd"/>
            <w:r w:rsidRPr="00580C0D">
              <w:t xml:space="preserve"> med utviklingshemming – plan for </w:t>
            </w:r>
            <w:proofErr w:type="spellStart"/>
            <w:r w:rsidRPr="00580C0D">
              <w:t>fleire</w:t>
            </w:r>
            <w:proofErr w:type="spellEnd"/>
            <w:r w:rsidRPr="00580C0D">
              <w:t xml:space="preserve"> VTA-plasser</w:t>
            </w:r>
          </w:p>
        </w:tc>
        <w:tc>
          <w:tcPr>
            <w:tcW w:w="1400" w:type="dxa"/>
            <w:tcBorders>
              <w:top w:val="nil"/>
              <w:left w:val="nil"/>
              <w:bottom w:val="nil"/>
              <w:right w:val="nil"/>
            </w:tcBorders>
            <w:tcMar>
              <w:top w:w="128" w:type="dxa"/>
              <w:left w:w="43" w:type="dxa"/>
              <w:bottom w:w="43" w:type="dxa"/>
              <w:right w:w="43" w:type="dxa"/>
            </w:tcMar>
          </w:tcPr>
          <w:p w14:paraId="79D762A0" w14:textId="77777777" w:rsidR="00F7113A" w:rsidRPr="00580C0D" w:rsidRDefault="00142E5B" w:rsidP="00D665D9">
            <w:pPr>
              <w:jc w:val="right"/>
            </w:pPr>
            <w:r w:rsidRPr="00580C0D">
              <w:t>Ja</w:t>
            </w:r>
          </w:p>
        </w:tc>
      </w:tr>
      <w:tr w:rsidR="00F7113A" w:rsidRPr="00580C0D" w14:paraId="1E8ACABA"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41B259E6"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722FA32B" w14:textId="77777777" w:rsidR="00F7113A" w:rsidRPr="00580C0D" w:rsidRDefault="00142E5B" w:rsidP="00D665D9">
            <w:pPr>
              <w:ind w:right="113"/>
              <w:jc w:val="right"/>
            </w:pPr>
            <w:r w:rsidRPr="00580C0D">
              <w:t>627</w:t>
            </w:r>
          </w:p>
        </w:tc>
        <w:tc>
          <w:tcPr>
            <w:tcW w:w="5466" w:type="dxa"/>
            <w:tcBorders>
              <w:top w:val="nil"/>
              <w:left w:val="nil"/>
              <w:bottom w:val="nil"/>
              <w:right w:val="nil"/>
            </w:tcBorders>
            <w:tcMar>
              <w:top w:w="128" w:type="dxa"/>
              <w:left w:w="43" w:type="dxa"/>
              <w:bottom w:w="43" w:type="dxa"/>
              <w:right w:w="43" w:type="dxa"/>
            </w:tcMar>
          </w:tcPr>
          <w:p w14:paraId="2893A7ED" w14:textId="77777777" w:rsidR="00F7113A" w:rsidRPr="00580C0D" w:rsidRDefault="00142E5B" w:rsidP="00D665D9">
            <w:proofErr w:type="spellStart"/>
            <w:r w:rsidRPr="00580C0D">
              <w:t>Endringar</w:t>
            </w:r>
            <w:proofErr w:type="spellEnd"/>
            <w:r w:rsidRPr="00580C0D">
              <w:t xml:space="preserve"> i folketrygdlova (tilgang til å sjukmelde etter </w:t>
            </w:r>
            <w:r w:rsidRPr="00580C0D">
              <w:br/>
              <w:t>e-konsultasjon)</w:t>
            </w:r>
          </w:p>
        </w:tc>
        <w:tc>
          <w:tcPr>
            <w:tcW w:w="1400" w:type="dxa"/>
            <w:tcBorders>
              <w:top w:val="nil"/>
              <w:left w:val="nil"/>
              <w:bottom w:val="nil"/>
              <w:right w:val="nil"/>
            </w:tcBorders>
            <w:tcMar>
              <w:top w:w="128" w:type="dxa"/>
              <w:left w:w="43" w:type="dxa"/>
              <w:bottom w:w="43" w:type="dxa"/>
              <w:right w:w="43" w:type="dxa"/>
            </w:tcMar>
          </w:tcPr>
          <w:p w14:paraId="439DF9F3" w14:textId="77777777" w:rsidR="00F7113A" w:rsidRPr="00580C0D" w:rsidRDefault="00142E5B" w:rsidP="00D665D9">
            <w:pPr>
              <w:jc w:val="right"/>
            </w:pPr>
            <w:r w:rsidRPr="00580C0D">
              <w:t>Nei</w:t>
            </w:r>
          </w:p>
        </w:tc>
      </w:tr>
      <w:tr w:rsidR="00F7113A" w:rsidRPr="00580C0D" w14:paraId="69FEC8CA"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4D90072E"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29703FBC" w14:textId="77777777" w:rsidR="00F7113A" w:rsidRPr="00580C0D" w:rsidRDefault="00142E5B" w:rsidP="00D665D9">
            <w:pPr>
              <w:ind w:right="113"/>
              <w:jc w:val="right"/>
            </w:pPr>
            <w:r w:rsidRPr="00580C0D">
              <w:t xml:space="preserve">727 </w:t>
            </w:r>
          </w:p>
        </w:tc>
        <w:tc>
          <w:tcPr>
            <w:tcW w:w="5466" w:type="dxa"/>
            <w:tcBorders>
              <w:top w:val="nil"/>
              <w:left w:val="nil"/>
              <w:bottom w:val="nil"/>
              <w:right w:val="nil"/>
            </w:tcBorders>
            <w:tcMar>
              <w:top w:w="128" w:type="dxa"/>
              <w:left w:w="43" w:type="dxa"/>
              <w:bottom w:w="43" w:type="dxa"/>
              <w:right w:w="43" w:type="dxa"/>
            </w:tcMar>
          </w:tcPr>
          <w:p w14:paraId="5249E8D6" w14:textId="77777777" w:rsidR="00F7113A" w:rsidRPr="00580C0D" w:rsidRDefault="00142E5B" w:rsidP="00D665D9">
            <w:r w:rsidRPr="00580C0D">
              <w:t>Representantforslag om å styrke a-</w:t>
            </w:r>
            <w:proofErr w:type="spellStart"/>
            <w:r w:rsidRPr="00580C0D">
              <w:t>krimsentera</w:t>
            </w:r>
            <w:proofErr w:type="spellEnd"/>
          </w:p>
        </w:tc>
        <w:tc>
          <w:tcPr>
            <w:tcW w:w="1400" w:type="dxa"/>
            <w:tcBorders>
              <w:top w:val="nil"/>
              <w:left w:val="nil"/>
              <w:bottom w:val="nil"/>
              <w:right w:val="nil"/>
            </w:tcBorders>
            <w:tcMar>
              <w:top w:w="128" w:type="dxa"/>
              <w:left w:w="43" w:type="dxa"/>
              <w:bottom w:w="43" w:type="dxa"/>
              <w:right w:w="43" w:type="dxa"/>
            </w:tcMar>
          </w:tcPr>
          <w:p w14:paraId="787635E7" w14:textId="77777777" w:rsidR="00F7113A" w:rsidRPr="00580C0D" w:rsidRDefault="00142E5B" w:rsidP="00D665D9">
            <w:pPr>
              <w:jc w:val="right"/>
            </w:pPr>
            <w:r w:rsidRPr="00580C0D">
              <w:t>Nei</w:t>
            </w:r>
          </w:p>
        </w:tc>
      </w:tr>
      <w:tr w:rsidR="00F7113A" w:rsidRPr="00580C0D" w14:paraId="6FD71DE6"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6E69E08C"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6ED83BAA" w14:textId="77777777" w:rsidR="00F7113A" w:rsidRPr="00580C0D" w:rsidRDefault="00142E5B" w:rsidP="00D665D9">
            <w:pPr>
              <w:ind w:right="113"/>
              <w:jc w:val="right"/>
            </w:pPr>
            <w:r w:rsidRPr="00580C0D">
              <w:t>728</w:t>
            </w:r>
          </w:p>
        </w:tc>
        <w:tc>
          <w:tcPr>
            <w:tcW w:w="5466" w:type="dxa"/>
            <w:tcBorders>
              <w:top w:val="nil"/>
              <w:left w:val="nil"/>
              <w:bottom w:val="nil"/>
              <w:right w:val="nil"/>
            </w:tcBorders>
            <w:tcMar>
              <w:top w:w="128" w:type="dxa"/>
              <w:left w:w="43" w:type="dxa"/>
              <w:bottom w:w="43" w:type="dxa"/>
              <w:right w:w="43" w:type="dxa"/>
            </w:tcMar>
          </w:tcPr>
          <w:p w14:paraId="7875DCAB" w14:textId="77777777" w:rsidR="00F7113A" w:rsidRPr="00580C0D" w:rsidRDefault="00142E5B" w:rsidP="00D665D9">
            <w:r w:rsidRPr="00580C0D">
              <w:t>Representantforslag om å styrke a-</w:t>
            </w:r>
            <w:proofErr w:type="spellStart"/>
            <w:r w:rsidRPr="00580C0D">
              <w:t>krimsentera</w:t>
            </w:r>
            <w:proofErr w:type="spellEnd"/>
          </w:p>
        </w:tc>
        <w:tc>
          <w:tcPr>
            <w:tcW w:w="1400" w:type="dxa"/>
            <w:tcBorders>
              <w:top w:val="nil"/>
              <w:left w:val="nil"/>
              <w:bottom w:val="nil"/>
              <w:right w:val="nil"/>
            </w:tcBorders>
            <w:tcMar>
              <w:top w:w="128" w:type="dxa"/>
              <w:left w:w="43" w:type="dxa"/>
              <w:bottom w:w="43" w:type="dxa"/>
              <w:right w:w="43" w:type="dxa"/>
            </w:tcMar>
          </w:tcPr>
          <w:p w14:paraId="5C9F8C52" w14:textId="77777777" w:rsidR="00F7113A" w:rsidRPr="00580C0D" w:rsidRDefault="00142E5B" w:rsidP="00D665D9">
            <w:pPr>
              <w:jc w:val="right"/>
            </w:pPr>
            <w:r w:rsidRPr="00580C0D">
              <w:t>Nei</w:t>
            </w:r>
          </w:p>
        </w:tc>
      </w:tr>
      <w:tr w:rsidR="00F7113A" w:rsidRPr="00580C0D" w14:paraId="33890FBD"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2AA2E0EA"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459B3B43" w14:textId="77777777" w:rsidR="00F7113A" w:rsidRPr="00580C0D" w:rsidRDefault="00142E5B" w:rsidP="00D665D9">
            <w:pPr>
              <w:ind w:right="113"/>
              <w:jc w:val="right"/>
            </w:pPr>
            <w:r w:rsidRPr="00580C0D">
              <w:t>730</w:t>
            </w:r>
          </w:p>
        </w:tc>
        <w:tc>
          <w:tcPr>
            <w:tcW w:w="5466" w:type="dxa"/>
            <w:tcBorders>
              <w:top w:val="nil"/>
              <w:left w:val="nil"/>
              <w:bottom w:val="nil"/>
              <w:right w:val="nil"/>
            </w:tcBorders>
            <w:tcMar>
              <w:top w:w="128" w:type="dxa"/>
              <w:left w:w="43" w:type="dxa"/>
              <w:bottom w:w="43" w:type="dxa"/>
              <w:right w:w="43" w:type="dxa"/>
            </w:tcMar>
          </w:tcPr>
          <w:p w14:paraId="6F3D5367" w14:textId="77777777" w:rsidR="00F7113A" w:rsidRPr="00580C0D" w:rsidRDefault="00142E5B" w:rsidP="00D665D9">
            <w:r w:rsidRPr="00580C0D">
              <w:t>Representantforslag om å styrke a-</w:t>
            </w:r>
            <w:proofErr w:type="spellStart"/>
            <w:r w:rsidRPr="00580C0D">
              <w:t>krimsentera</w:t>
            </w:r>
            <w:proofErr w:type="spellEnd"/>
          </w:p>
        </w:tc>
        <w:tc>
          <w:tcPr>
            <w:tcW w:w="1400" w:type="dxa"/>
            <w:tcBorders>
              <w:top w:val="nil"/>
              <w:left w:val="nil"/>
              <w:bottom w:val="nil"/>
              <w:right w:val="nil"/>
            </w:tcBorders>
            <w:tcMar>
              <w:top w:w="128" w:type="dxa"/>
              <w:left w:w="43" w:type="dxa"/>
              <w:bottom w:w="43" w:type="dxa"/>
              <w:right w:w="43" w:type="dxa"/>
            </w:tcMar>
          </w:tcPr>
          <w:p w14:paraId="1EB57CFF" w14:textId="77777777" w:rsidR="00F7113A" w:rsidRPr="00580C0D" w:rsidRDefault="00142E5B" w:rsidP="00D665D9">
            <w:pPr>
              <w:jc w:val="right"/>
            </w:pPr>
            <w:r w:rsidRPr="00580C0D">
              <w:t>Nei</w:t>
            </w:r>
          </w:p>
        </w:tc>
      </w:tr>
      <w:tr w:rsidR="00F7113A" w:rsidRPr="00580C0D" w14:paraId="053E3BAD"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2C2D9BFB" w14:textId="77777777" w:rsidR="00F7113A" w:rsidRPr="00580C0D" w:rsidRDefault="00142E5B" w:rsidP="00D665D9">
            <w:r w:rsidRPr="00580C0D">
              <w:t>2022 – 2023</w:t>
            </w:r>
          </w:p>
        </w:tc>
        <w:tc>
          <w:tcPr>
            <w:tcW w:w="1354" w:type="dxa"/>
            <w:tcBorders>
              <w:top w:val="nil"/>
              <w:left w:val="nil"/>
              <w:bottom w:val="nil"/>
              <w:right w:val="nil"/>
            </w:tcBorders>
            <w:tcMar>
              <w:top w:w="128" w:type="dxa"/>
              <w:left w:w="43" w:type="dxa"/>
              <w:bottom w:w="43" w:type="dxa"/>
              <w:right w:w="43" w:type="dxa"/>
            </w:tcMar>
          </w:tcPr>
          <w:p w14:paraId="6CC5A93F" w14:textId="77777777" w:rsidR="00F7113A" w:rsidRPr="00580C0D" w:rsidRDefault="00142E5B" w:rsidP="00D665D9">
            <w:pPr>
              <w:ind w:right="113"/>
              <w:jc w:val="right"/>
            </w:pPr>
            <w:r w:rsidRPr="00580C0D">
              <w:t>937</w:t>
            </w:r>
          </w:p>
        </w:tc>
        <w:tc>
          <w:tcPr>
            <w:tcW w:w="5466" w:type="dxa"/>
            <w:tcBorders>
              <w:top w:val="nil"/>
              <w:left w:val="nil"/>
              <w:bottom w:val="nil"/>
              <w:right w:val="nil"/>
            </w:tcBorders>
            <w:tcMar>
              <w:top w:w="128" w:type="dxa"/>
              <w:left w:w="43" w:type="dxa"/>
              <w:bottom w:w="43" w:type="dxa"/>
              <w:right w:w="43" w:type="dxa"/>
            </w:tcMar>
          </w:tcPr>
          <w:p w14:paraId="75FAD782" w14:textId="77777777" w:rsidR="00F7113A" w:rsidRPr="00580C0D" w:rsidRDefault="00142E5B" w:rsidP="00D665D9">
            <w:r w:rsidRPr="00580C0D">
              <w:t>Vurdering av omlegging av fribeløpet i uføretrygda</w:t>
            </w:r>
          </w:p>
        </w:tc>
        <w:tc>
          <w:tcPr>
            <w:tcW w:w="1400" w:type="dxa"/>
            <w:tcBorders>
              <w:top w:val="nil"/>
              <w:left w:val="nil"/>
              <w:bottom w:val="nil"/>
              <w:right w:val="nil"/>
            </w:tcBorders>
            <w:tcMar>
              <w:top w:w="128" w:type="dxa"/>
              <w:left w:w="43" w:type="dxa"/>
              <w:bottom w:w="43" w:type="dxa"/>
              <w:right w:w="43" w:type="dxa"/>
            </w:tcMar>
          </w:tcPr>
          <w:p w14:paraId="332A9FB9" w14:textId="77777777" w:rsidR="00F7113A" w:rsidRPr="00580C0D" w:rsidRDefault="00142E5B" w:rsidP="00D665D9">
            <w:pPr>
              <w:jc w:val="right"/>
            </w:pPr>
            <w:r w:rsidRPr="00580C0D">
              <w:t>Nei</w:t>
            </w:r>
          </w:p>
        </w:tc>
      </w:tr>
      <w:tr w:rsidR="00F7113A" w:rsidRPr="00580C0D" w14:paraId="7ACE6F0B"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3F84098E" w14:textId="77777777" w:rsidR="00F7113A" w:rsidRPr="00580C0D" w:rsidRDefault="00142E5B" w:rsidP="00D665D9">
            <w:r w:rsidRPr="00580C0D">
              <w:t>2021 – 2022</w:t>
            </w:r>
          </w:p>
        </w:tc>
        <w:tc>
          <w:tcPr>
            <w:tcW w:w="1354" w:type="dxa"/>
            <w:tcBorders>
              <w:top w:val="nil"/>
              <w:left w:val="nil"/>
              <w:bottom w:val="nil"/>
              <w:right w:val="nil"/>
            </w:tcBorders>
            <w:tcMar>
              <w:top w:w="128" w:type="dxa"/>
              <w:left w:w="43" w:type="dxa"/>
              <w:bottom w:w="43" w:type="dxa"/>
              <w:right w:w="43" w:type="dxa"/>
            </w:tcMar>
          </w:tcPr>
          <w:p w14:paraId="476F5EC8" w14:textId="77777777" w:rsidR="00F7113A" w:rsidRPr="00580C0D" w:rsidRDefault="00142E5B" w:rsidP="00D665D9">
            <w:pPr>
              <w:ind w:right="57"/>
              <w:jc w:val="right"/>
            </w:pPr>
            <w:r w:rsidRPr="00580C0D">
              <w:t>35, punkt 55</w:t>
            </w:r>
          </w:p>
        </w:tc>
        <w:tc>
          <w:tcPr>
            <w:tcW w:w="5466" w:type="dxa"/>
            <w:tcBorders>
              <w:top w:val="nil"/>
              <w:left w:val="nil"/>
              <w:bottom w:val="nil"/>
              <w:right w:val="nil"/>
            </w:tcBorders>
            <w:tcMar>
              <w:top w:w="128" w:type="dxa"/>
              <w:left w:w="43" w:type="dxa"/>
              <w:bottom w:w="43" w:type="dxa"/>
              <w:right w:w="43" w:type="dxa"/>
            </w:tcMar>
          </w:tcPr>
          <w:p w14:paraId="16940277" w14:textId="77777777" w:rsidR="00F7113A" w:rsidRPr="00580C0D" w:rsidRDefault="00142E5B" w:rsidP="00D665D9">
            <w:r w:rsidRPr="00580C0D">
              <w:t xml:space="preserve">Varig ordning for ferietillegg for </w:t>
            </w:r>
            <w:proofErr w:type="spellStart"/>
            <w:r w:rsidRPr="00580C0D">
              <w:t>dagpengar</w:t>
            </w:r>
            <w:proofErr w:type="spellEnd"/>
          </w:p>
        </w:tc>
        <w:tc>
          <w:tcPr>
            <w:tcW w:w="1400" w:type="dxa"/>
            <w:tcBorders>
              <w:top w:val="nil"/>
              <w:left w:val="nil"/>
              <w:bottom w:val="nil"/>
              <w:right w:val="nil"/>
            </w:tcBorders>
            <w:tcMar>
              <w:top w:w="128" w:type="dxa"/>
              <w:left w:w="43" w:type="dxa"/>
              <w:bottom w:w="43" w:type="dxa"/>
              <w:right w:w="43" w:type="dxa"/>
            </w:tcMar>
          </w:tcPr>
          <w:p w14:paraId="472F409C" w14:textId="77777777" w:rsidR="00F7113A" w:rsidRPr="00580C0D" w:rsidRDefault="00142E5B" w:rsidP="00D665D9">
            <w:pPr>
              <w:jc w:val="right"/>
            </w:pPr>
            <w:r w:rsidRPr="00580C0D">
              <w:t>Ja</w:t>
            </w:r>
          </w:p>
        </w:tc>
      </w:tr>
      <w:tr w:rsidR="00F7113A" w:rsidRPr="00580C0D" w14:paraId="76B3E7CC"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5C86F90C" w14:textId="77777777" w:rsidR="00F7113A" w:rsidRPr="00580C0D" w:rsidRDefault="00142E5B" w:rsidP="00D665D9">
            <w:r w:rsidRPr="00580C0D">
              <w:t>2021 – 2022</w:t>
            </w:r>
          </w:p>
        </w:tc>
        <w:tc>
          <w:tcPr>
            <w:tcW w:w="1354" w:type="dxa"/>
            <w:tcBorders>
              <w:top w:val="nil"/>
              <w:left w:val="nil"/>
              <w:bottom w:val="nil"/>
              <w:right w:val="nil"/>
            </w:tcBorders>
            <w:tcMar>
              <w:top w:w="128" w:type="dxa"/>
              <w:left w:w="43" w:type="dxa"/>
              <w:bottom w:w="43" w:type="dxa"/>
              <w:right w:w="43" w:type="dxa"/>
            </w:tcMar>
          </w:tcPr>
          <w:p w14:paraId="410D2B88" w14:textId="77777777" w:rsidR="00F7113A" w:rsidRPr="00580C0D" w:rsidRDefault="00142E5B" w:rsidP="00D665D9">
            <w:pPr>
              <w:ind w:right="113"/>
              <w:jc w:val="right"/>
            </w:pPr>
            <w:r w:rsidRPr="00580C0D">
              <w:t>409</w:t>
            </w:r>
          </w:p>
        </w:tc>
        <w:tc>
          <w:tcPr>
            <w:tcW w:w="5466" w:type="dxa"/>
            <w:tcBorders>
              <w:top w:val="nil"/>
              <w:left w:val="nil"/>
              <w:bottom w:val="nil"/>
              <w:right w:val="nil"/>
            </w:tcBorders>
            <w:tcMar>
              <w:top w:w="128" w:type="dxa"/>
              <w:left w:w="43" w:type="dxa"/>
              <w:bottom w:w="43" w:type="dxa"/>
              <w:right w:w="43" w:type="dxa"/>
            </w:tcMar>
          </w:tcPr>
          <w:p w14:paraId="314BE902" w14:textId="77777777" w:rsidR="00F7113A" w:rsidRPr="00580C0D" w:rsidRDefault="00142E5B" w:rsidP="00D665D9">
            <w:r w:rsidRPr="00580C0D">
              <w:t xml:space="preserve">Utvikle betre modeller for oppfølging i VTA-O kor også andre kan </w:t>
            </w:r>
            <w:proofErr w:type="spellStart"/>
            <w:r w:rsidRPr="00580C0D">
              <w:t>vere</w:t>
            </w:r>
            <w:proofErr w:type="spellEnd"/>
            <w:r w:rsidRPr="00580C0D">
              <w:t xml:space="preserve"> </w:t>
            </w:r>
            <w:proofErr w:type="spellStart"/>
            <w:r w:rsidRPr="00580C0D">
              <w:t>ansvarleg</w:t>
            </w:r>
            <w:proofErr w:type="spellEnd"/>
            <w:r w:rsidRPr="00580C0D">
              <w:t xml:space="preserve"> for oppfølging</w:t>
            </w:r>
          </w:p>
        </w:tc>
        <w:tc>
          <w:tcPr>
            <w:tcW w:w="1400" w:type="dxa"/>
            <w:tcBorders>
              <w:top w:val="nil"/>
              <w:left w:val="nil"/>
              <w:bottom w:val="nil"/>
              <w:right w:val="nil"/>
            </w:tcBorders>
            <w:tcMar>
              <w:top w:w="128" w:type="dxa"/>
              <w:left w:w="43" w:type="dxa"/>
              <w:bottom w:w="43" w:type="dxa"/>
              <w:right w:w="43" w:type="dxa"/>
            </w:tcMar>
          </w:tcPr>
          <w:p w14:paraId="4836BB15" w14:textId="77777777" w:rsidR="00F7113A" w:rsidRPr="00580C0D" w:rsidRDefault="00142E5B" w:rsidP="00D665D9">
            <w:pPr>
              <w:jc w:val="right"/>
            </w:pPr>
            <w:r w:rsidRPr="00580C0D">
              <w:t>Ja</w:t>
            </w:r>
          </w:p>
        </w:tc>
      </w:tr>
      <w:tr w:rsidR="00F7113A" w:rsidRPr="00580C0D" w14:paraId="38A55185"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6ED06EC6" w14:textId="77777777" w:rsidR="00F7113A" w:rsidRPr="00580C0D" w:rsidRDefault="00142E5B" w:rsidP="00D665D9">
            <w:r w:rsidRPr="00580C0D">
              <w:t>2021 – 2022</w:t>
            </w:r>
          </w:p>
        </w:tc>
        <w:tc>
          <w:tcPr>
            <w:tcW w:w="1354" w:type="dxa"/>
            <w:tcBorders>
              <w:top w:val="nil"/>
              <w:left w:val="nil"/>
              <w:bottom w:val="nil"/>
              <w:right w:val="nil"/>
            </w:tcBorders>
            <w:tcMar>
              <w:top w:w="128" w:type="dxa"/>
              <w:left w:w="43" w:type="dxa"/>
              <w:bottom w:w="43" w:type="dxa"/>
              <w:right w:w="43" w:type="dxa"/>
            </w:tcMar>
          </w:tcPr>
          <w:p w14:paraId="4D3690E6" w14:textId="77777777" w:rsidR="00F7113A" w:rsidRPr="00580C0D" w:rsidRDefault="00142E5B" w:rsidP="00D665D9">
            <w:pPr>
              <w:ind w:right="113"/>
              <w:jc w:val="right"/>
            </w:pPr>
            <w:r w:rsidRPr="00580C0D">
              <w:t>456</w:t>
            </w:r>
          </w:p>
        </w:tc>
        <w:tc>
          <w:tcPr>
            <w:tcW w:w="5466" w:type="dxa"/>
            <w:tcBorders>
              <w:top w:val="nil"/>
              <w:left w:val="nil"/>
              <w:bottom w:val="nil"/>
              <w:right w:val="nil"/>
            </w:tcBorders>
            <w:tcMar>
              <w:top w:w="128" w:type="dxa"/>
              <w:left w:w="43" w:type="dxa"/>
              <w:bottom w:w="43" w:type="dxa"/>
              <w:right w:w="43" w:type="dxa"/>
            </w:tcMar>
          </w:tcPr>
          <w:p w14:paraId="4161A1D8" w14:textId="77777777" w:rsidR="00F7113A" w:rsidRPr="00580C0D" w:rsidRDefault="00142E5B" w:rsidP="00D665D9">
            <w:r w:rsidRPr="00580C0D">
              <w:t xml:space="preserve">Utgreie om sjølvstendige </w:t>
            </w:r>
            <w:proofErr w:type="spellStart"/>
            <w:r w:rsidRPr="00580C0D">
              <w:t>næringsdrivande</w:t>
            </w:r>
            <w:proofErr w:type="spellEnd"/>
            <w:r w:rsidRPr="00580C0D">
              <w:t xml:space="preserve"> og </w:t>
            </w:r>
            <w:proofErr w:type="spellStart"/>
            <w:r w:rsidRPr="00580C0D">
              <w:t>frilansarar</w:t>
            </w:r>
            <w:proofErr w:type="spellEnd"/>
            <w:r w:rsidRPr="00580C0D">
              <w:t xml:space="preserve"> skal opparbeide seg </w:t>
            </w:r>
            <w:proofErr w:type="spellStart"/>
            <w:r w:rsidRPr="00580C0D">
              <w:t>sterkare</w:t>
            </w:r>
            <w:proofErr w:type="spellEnd"/>
            <w:r w:rsidRPr="00580C0D">
              <w:t xml:space="preserve"> </w:t>
            </w:r>
            <w:proofErr w:type="spellStart"/>
            <w:r w:rsidRPr="00580C0D">
              <w:t>rettar</w:t>
            </w:r>
            <w:proofErr w:type="spellEnd"/>
            <w:r w:rsidRPr="00580C0D">
              <w:t xml:space="preserve"> til inntektssikring</w:t>
            </w:r>
          </w:p>
        </w:tc>
        <w:tc>
          <w:tcPr>
            <w:tcW w:w="1400" w:type="dxa"/>
            <w:tcBorders>
              <w:top w:val="nil"/>
              <w:left w:val="nil"/>
              <w:bottom w:val="nil"/>
              <w:right w:val="nil"/>
            </w:tcBorders>
            <w:tcMar>
              <w:top w:w="128" w:type="dxa"/>
              <w:left w:w="43" w:type="dxa"/>
              <w:bottom w:w="43" w:type="dxa"/>
              <w:right w:w="43" w:type="dxa"/>
            </w:tcMar>
          </w:tcPr>
          <w:p w14:paraId="598AB096" w14:textId="77777777" w:rsidR="00F7113A" w:rsidRPr="00580C0D" w:rsidRDefault="00142E5B" w:rsidP="00D665D9">
            <w:pPr>
              <w:jc w:val="right"/>
            </w:pPr>
            <w:r w:rsidRPr="00580C0D">
              <w:t>Nei</w:t>
            </w:r>
          </w:p>
        </w:tc>
      </w:tr>
      <w:tr w:rsidR="00F7113A" w:rsidRPr="00580C0D" w14:paraId="799EA33A"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39352BCA" w14:textId="77777777" w:rsidR="00F7113A" w:rsidRPr="00580C0D" w:rsidRDefault="00142E5B" w:rsidP="00D665D9">
            <w:r w:rsidRPr="00580C0D">
              <w:t>2021 – 2022</w:t>
            </w:r>
          </w:p>
        </w:tc>
        <w:tc>
          <w:tcPr>
            <w:tcW w:w="1354" w:type="dxa"/>
            <w:tcBorders>
              <w:top w:val="nil"/>
              <w:left w:val="nil"/>
              <w:bottom w:val="nil"/>
              <w:right w:val="nil"/>
            </w:tcBorders>
            <w:tcMar>
              <w:top w:w="128" w:type="dxa"/>
              <w:left w:w="43" w:type="dxa"/>
              <w:bottom w:w="43" w:type="dxa"/>
              <w:right w:w="43" w:type="dxa"/>
            </w:tcMar>
          </w:tcPr>
          <w:p w14:paraId="47DDC15E" w14:textId="77777777" w:rsidR="00F7113A" w:rsidRPr="00580C0D" w:rsidRDefault="00142E5B" w:rsidP="00D665D9">
            <w:pPr>
              <w:ind w:right="113"/>
              <w:jc w:val="right"/>
            </w:pPr>
            <w:r w:rsidRPr="00580C0D">
              <w:t>794</w:t>
            </w:r>
          </w:p>
        </w:tc>
        <w:tc>
          <w:tcPr>
            <w:tcW w:w="5466" w:type="dxa"/>
            <w:tcBorders>
              <w:top w:val="nil"/>
              <w:left w:val="nil"/>
              <w:bottom w:val="nil"/>
              <w:right w:val="nil"/>
            </w:tcBorders>
            <w:tcMar>
              <w:top w:w="128" w:type="dxa"/>
              <w:left w:w="43" w:type="dxa"/>
              <w:bottom w:w="43" w:type="dxa"/>
              <w:right w:w="43" w:type="dxa"/>
            </w:tcMar>
          </w:tcPr>
          <w:p w14:paraId="21501CF3" w14:textId="77777777" w:rsidR="00F7113A" w:rsidRPr="00580C0D" w:rsidRDefault="00142E5B" w:rsidP="00D665D9">
            <w:proofErr w:type="spellStart"/>
            <w:r w:rsidRPr="00580C0D">
              <w:t>Tilgjengelegheit</w:t>
            </w:r>
            <w:proofErr w:type="spellEnd"/>
            <w:r w:rsidRPr="00580C0D">
              <w:t xml:space="preserve"> og kvalitet i økonomisk rådgiving og gjeldsrådgiving</w:t>
            </w:r>
          </w:p>
        </w:tc>
        <w:tc>
          <w:tcPr>
            <w:tcW w:w="1400" w:type="dxa"/>
            <w:tcBorders>
              <w:top w:val="nil"/>
              <w:left w:val="nil"/>
              <w:bottom w:val="nil"/>
              <w:right w:val="nil"/>
            </w:tcBorders>
            <w:tcMar>
              <w:top w:w="128" w:type="dxa"/>
              <w:left w:w="43" w:type="dxa"/>
              <w:bottom w:w="43" w:type="dxa"/>
              <w:right w:w="43" w:type="dxa"/>
            </w:tcMar>
          </w:tcPr>
          <w:p w14:paraId="19735C0A" w14:textId="77777777" w:rsidR="00F7113A" w:rsidRPr="00580C0D" w:rsidRDefault="00142E5B" w:rsidP="00D665D9">
            <w:pPr>
              <w:jc w:val="right"/>
            </w:pPr>
            <w:r w:rsidRPr="00580C0D">
              <w:t>Nei</w:t>
            </w:r>
          </w:p>
        </w:tc>
      </w:tr>
      <w:tr w:rsidR="00F7113A" w:rsidRPr="00580C0D" w14:paraId="445A81FC" w14:textId="77777777" w:rsidTr="00D665D9">
        <w:trPr>
          <w:trHeight w:val="880"/>
        </w:trPr>
        <w:tc>
          <w:tcPr>
            <w:tcW w:w="1340" w:type="dxa"/>
            <w:tcBorders>
              <w:top w:val="nil"/>
              <w:left w:val="nil"/>
              <w:bottom w:val="nil"/>
              <w:right w:val="nil"/>
            </w:tcBorders>
            <w:tcMar>
              <w:top w:w="128" w:type="dxa"/>
              <w:left w:w="43" w:type="dxa"/>
              <w:bottom w:w="43" w:type="dxa"/>
              <w:right w:w="43" w:type="dxa"/>
            </w:tcMar>
          </w:tcPr>
          <w:p w14:paraId="55E8DFBB" w14:textId="77777777" w:rsidR="00F7113A" w:rsidRPr="00580C0D" w:rsidRDefault="00142E5B" w:rsidP="00D665D9">
            <w:r w:rsidRPr="00580C0D">
              <w:t>2021 – 2022</w:t>
            </w:r>
          </w:p>
        </w:tc>
        <w:tc>
          <w:tcPr>
            <w:tcW w:w="1354" w:type="dxa"/>
            <w:tcBorders>
              <w:top w:val="nil"/>
              <w:left w:val="nil"/>
              <w:bottom w:val="nil"/>
              <w:right w:val="nil"/>
            </w:tcBorders>
            <w:tcMar>
              <w:top w:w="128" w:type="dxa"/>
              <w:left w:w="43" w:type="dxa"/>
              <w:bottom w:w="43" w:type="dxa"/>
              <w:right w:w="43" w:type="dxa"/>
            </w:tcMar>
          </w:tcPr>
          <w:p w14:paraId="61DBE5EB" w14:textId="77777777" w:rsidR="00F7113A" w:rsidRPr="00580C0D" w:rsidRDefault="00142E5B" w:rsidP="00D665D9">
            <w:pPr>
              <w:ind w:right="113"/>
              <w:jc w:val="right"/>
            </w:pPr>
            <w:r w:rsidRPr="00580C0D">
              <w:t>813</w:t>
            </w:r>
          </w:p>
        </w:tc>
        <w:tc>
          <w:tcPr>
            <w:tcW w:w="5466" w:type="dxa"/>
            <w:tcBorders>
              <w:top w:val="nil"/>
              <w:left w:val="nil"/>
              <w:bottom w:val="nil"/>
              <w:right w:val="nil"/>
            </w:tcBorders>
            <w:tcMar>
              <w:top w:w="128" w:type="dxa"/>
              <w:left w:w="43" w:type="dxa"/>
              <w:bottom w:w="43" w:type="dxa"/>
              <w:right w:w="43" w:type="dxa"/>
            </w:tcMar>
          </w:tcPr>
          <w:p w14:paraId="4C10522B" w14:textId="77777777" w:rsidR="00F7113A" w:rsidRPr="00580C0D" w:rsidRDefault="00142E5B" w:rsidP="00D665D9">
            <w:proofErr w:type="spellStart"/>
            <w:r w:rsidRPr="00580C0D">
              <w:t>Berekning</w:t>
            </w:r>
            <w:proofErr w:type="spellEnd"/>
            <w:r w:rsidRPr="00580C0D">
              <w:t xml:space="preserve"> av uføretrygd når inntektsevna </w:t>
            </w:r>
            <w:proofErr w:type="spellStart"/>
            <w:r w:rsidRPr="00580C0D">
              <w:t>tidlegare</w:t>
            </w:r>
            <w:proofErr w:type="spellEnd"/>
            <w:r w:rsidRPr="00580C0D">
              <w:t xml:space="preserve"> har </w:t>
            </w:r>
            <w:proofErr w:type="spellStart"/>
            <w:r w:rsidRPr="00580C0D">
              <w:t>vore</w:t>
            </w:r>
            <w:proofErr w:type="spellEnd"/>
            <w:r w:rsidRPr="00580C0D">
              <w:t xml:space="preserve"> nedsett pga. delvis uførleik </w:t>
            </w:r>
            <w:proofErr w:type="spellStart"/>
            <w:r w:rsidRPr="00580C0D">
              <w:t>utan</w:t>
            </w:r>
            <w:proofErr w:type="spellEnd"/>
            <w:r w:rsidRPr="00580C0D">
              <w:t xml:space="preserve"> at inngangsvilkåret for </w:t>
            </w:r>
            <w:proofErr w:type="spellStart"/>
            <w:r w:rsidRPr="00580C0D">
              <w:t>uføreytingar</w:t>
            </w:r>
            <w:proofErr w:type="spellEnd"/>
            <w:r w:rsidRPr="00580C0D">
              <w:t xml:space="preserve"> i folketrygda har </w:t>
            </w:r>
            <w:proofErr w:type="spellStart"/>
            <w:r w:rsidRPr="00580C0D">
              <w:t>vore</w:t>
            </w:r>
            <w:proofErr w:type="spellEnd"/>
            <w:r w:rsidRPr="00580C0D">
              <w:t xml:space="preserve"> oppfylt.</w:t>
            </w:r>
          </w:p>
        </w:tc>
        <w:tc>
          <w:tcPr>
            <w:tcW w:w="1400" w:type="dxa"/>
            <w:tcBorders>
              <w:top w:val="nil"/>
              <w:left w:val="nil"/>
              <w:bottom w:val="nil"/>
              <w:right w:val="nil"/>
            </w:tcBorders>
            <w:tcMar>
              <w:top w:w="128" w:type="dxa"/>
              <w:left w:w="43" w:type="dxa"/>
              <w:bottom w:w="43" w:type="dxa"/>
              <w:right w:w="43" w:type="dxa"/>
            </w:tcMar>
          </w:tcPr>
          <w:p w14:paraId="292D27BF" w14:textId="77777777" w:rsidR="00F7113A" w:rsidRPr="00580C0D" w:rsidRDefault="00142E5B" w:rsidP="00D665D9">
            <w:pPr>
              <w:jc w:val="right"/>
            </w:pPr>
            <w:r w:rsidRPr="00580C0D">
              <w:t>Nei</w:t>
            </w:r>
          </w:p>
        </w:tc>
      </w:tr>
      <w:tr w:rsidR="00F7113A" w:rsidRPr="00580C0D" w14:paraId="50BF2675"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5F3971D8" w14:textId="77777777" w:rsidR="00F7113A" w:rsidRPr="00580C0D" w:rsidRDefault="00142E5B" w:rsidP="00D665D9">
            <w:r w:rsidRPr="00580C0D">
              <w:t>2021 – 2022</w:t>
            </w:r>
          </w:p>
        </w:tc>
        <w:tc>
          <w:tcPr>
            <w:tcW w:w="1354" w:type="dxa"/>
            <w:tcBorders>
              <w:top w:val="nil"/>
              <w:left w:val="nil"/>
              <w:bottom w:val="nil"/>
              <w:right w:val="nil"/>
            </w:tcBorders>
            <w:tcMar>
              <w:top w:w="128" w:type="dxa"/>
              <w:left w:w="43" w:type="dxa"/>
              <w:bottom w:w="43" w:type="dxa"/>
              <w:right w:w="43" w:type="dxa"/>
            </w:tcMar>
          </w:tcPr>
          <w:p w14:paraId="39D14861" w14:textId="77777777" w:rsidR="00F7113A" w:rsidRPr="00580C0D" w:rsidRDefault="00142E5B" w:rsidP="00D665D9">
            <w:pPr>
              <w:ind w:right="113"/>
              <w:jc w:val="right"/>
            </w:pPr>
            <w:r w:rsidRPr="00580C0D">
              <w:t>814</w:t>
            </w:r>
          </w:p>
        </w:tc>
        <w:tc>
          <w:tcPr>
            <w:tcW w:w="5466" w:type="dxa"/>
            <w:tcBorders>
              <w:top w:val="nil"/>
              <w:left w:val="nil"/>
              <w:bottom w:val="nil"/>
              <w:right w:val="nil"/>
            </w:tcBorders>
            <w:tcMar>
              <w:top w:w="128" w:type="dxa"/>
              <w:left w:w="43" w:type="dxa"/>
              <w:bottom w:w="43" w:type="dxa"/>
              <w:right w:w="43" w:type="dxa"/>
            </w:tcMar>
          </w:tcPr>
          <w:p w14:paraId="2CD29412" w14:textId="77777777" w:rsidR="00F7113A" w:rsidRPr="00580C0D" w:rsidRDefault="00142E5B" w:rsidP="00D665D9">
            <w:proofErr w:type="spellStart"/>
            <w:r w:rsidRPr="00580C0D">
              <w:t>Lovendringar</w:t>
            </w:r>
            <w:proofErr w:type="spellEnd"/>
            <w:r w:rsidRPr="00580C0D">
              <w:t xml:space="preserve"> for å styrke tilsette sitt vern mot natt- og alenearbeid</w:t>
            </w:r>
          </w:p>
        </w:tc>
        <w:tc>
          <w:tcPr>
            <w:tcW w:w="1400" w:type="dxa"/>
            <w:tcBorders>
              <w:top w:val="nil"/>
              <w:left w:val="nil"/>
              <w:bottom w:val="nil"/>
              <w:right w:val="nil"/>
            </w:tcBorders>
            <w:tcMar>
              <w:top w:w="128" w:type="dxa"/>
              <w:left w:w="43" w:type="dxa"/>
              <w:bottom w:w="43" w:type="dxa"/>
              <w:right w:w="43" w:type="dxa"/>
            </w:tcMar>
          </w:tcPr>
          <w:p w14:paraId="2587406C" w14:textId="77777777" w:rsidR="00F7113A" w:rsidRPr="00580C0D" w:rsidRDefault="00142E5B" w:rsidP="00D665D9">
            <w:pPr>
              <w:jc w:val="right"/>
            </w:pPr>
            <w:r w:rsidRPr="00580C0D">
              <w:t>Nei</w:t>
            </w:r>
          </w:p>
        </w:tc>
      </w:tr>
      <w:tr w:rsidR="00F7113A" w:rsidRPr="00580C0D" w14:paraId="6D79D0D1" w14:textId="77777777" w:rsidTr="00D665D9">
        <w:trPr>
          <w:trHeight w:val="880"/>
        </w:trPr>
        <w:tc>
          <w:tcPr>
            <w:tcW w:w="1340" w:type="dxa"/>
            <w:tcBorders>
              <w:top w:val="nil"/>
              <w:left w:val="nil"/>
              <w:bottom w:val="nil"/>
              <w:right w:val="nil"/>
            </w:tcBorders>
            <w:tcMar>
              <w:top w:w="128" w:type="dxa"/>
              <w:left w:w="43" w:type="dxa"/>
              <w:bottom w:w="43" w:type="dxa"/>
              <w:right w:w="43" w:type="dxa"/>
            </w:tcMar>
          </w:tcPr>
          <w:p w14:paraId="50332B52"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5611DA4E" w14:textId="77777777" w:rsidR="00F7113A" w:rsidRPr="00580C0D" w:rsidRDefault="00142E5B" w:rsidP="00D665D9">
            <w:pPr>
              <w:ind w:right="113"/>
              <w:jc w:val="right"/>
            </w:pPr>
            <w:r w:rsidRPr="00580C0D">
              <w:t>238</w:t>
            </w:r>
          </w:p>
        </w:tc>
        <w:tc>
          <w:tcPr>
            <w:tcW w:w="5466" w:type="dxa"/>
            <w:tcBorders>
              <w:top w:val="nil"/>
              <w:left w:val="nil"/>
              <w:bottom w:val="nil"/>
              <w:right w:val="nil"/>
            </w:tcBorders>
            <w:tcMar>
              <w:top w:w="128" w:type="dxa"/>
              <w:left w:w="43" w:type="dxa"/>
              <w:bottom w:w="43" w:type="dxa"/>
              <w:right w:w="43" w:type="dxa"/>
            </w:tcMar>
          </w:tcPr>
          <w:p w14:paraId="05F0C34C" w14:textId="77777777" w:rsidR="00F7113A" w:rsidRPr="00580C0D" w:rsidRDefault="00142E5B" w:rsidP="00D665D9">
            <w:proofErr w:type="spellStart"/>
            <w:r w:rsidRPr="00580C0D">
              <w:t>Lovendringar</w:t>
            </w:r>
            <w:proofErr w:type="spellEnd"/>
            <w:r w:rsidRPr="00580C0D">
              <w:t xml:space="preserve"> for å redusere kravet til innbetaling av premie </w:t>
            </w:r>
            <w:proofErr w:type="spellStart"/>
            <w:r w:rsidRPr="00580C0D">
              <w:t>frå</w:t>
            </w:r>
            <w:proofErr w:type="spellEnd"/>
            <w:r w:rsidRPr="00580C0D">
              <w:t xml:space="preserve"> det tidspunktet den enkelte har kompensert for levealdersjusteringa</w:t>
            </w:r>
          </w:p>
        </w:tc>
        <w:tc>
          <w:tcPr>
            <w:tcW w:w="1400" w:type="dxa"/>
            <w:tcBorders>
              <w:top w:val="nil"/>
              <w:left w:val="nil"/>
              <w:bottom w:val="nil"/>
              <w:right w:val="nil"/>
            </w:tcBorders>
            <w:tcMar>
              <w:top w:w="128" w:type="dxa"/>
              <w:left w:w="43" w:type="dxa"/>
              <w:bottom w:w="43" w:type="dxa"/>
              <w:right w:w="43" w:type="dxa"/>
            </w:tcMar>
          </w:tcPr>
          <w:p w14:paraId="0080EFBD" w14:textId="77777777" w:rsidR="00F7113A" w:rsidRPr="00580C0D" w:rsidRDefault="00142E5B" w:rsidP="00D665D9">
            <w:pPr>
              <w:jc w:val="right"/>
            </w:pPr>
            <w:r w:rsidRPr="00580C0D">
              <w:t>Nei</w:t>
            </w:r>
          </w:p>
        </w:tc>
      </w:tr>
      <w:tr w:rsidR="00F7113A" w:rsidRPr="00580C0D" w14:paraId="348DA51D"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754CD3BD"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1F64021B" w14:textId="77777777" w:rsidR="00F7113A" w:rsidRPr="00580C0D" w:rsidRDefault="00142E5B" w:rsidP="00D665D9">
            <w:pPr>
              <w:ind w:right="113"/>
              <w:jc w:val="right"/>
            </w:pPr>
            <w:r w:rsidRPr="00580C0D">
              <w:t>239</w:t>
            </w:r>
          </w:p>
        </w:tc>
        <w:tc>
          <w:tcPr>
            <w:tcW w:w="5466" w:type="dxa"/>
            <w:tcBorders>
              <w:top w:val="nil"/>
              <w:left w:val="nil"/>
              <w:bottom w:val="nil"/>
              <w:right w:val="nil"/>
            </w:tcBorders>
            <w:tcMar>
              <w:top w:w="128" w:type="dxa"/>
              <w:left w:w="43" w:type="dxa"/>
              <w:bottom w:w="43" w:type="dxa"/>
              <w:right w:w="43" w:type="dxa"/>
            </w:tcMar>
          </w:tcPr>
          <w:p w14:paraId="5AB196CE" w14:textId="77777777" w:rsidR="00F7113A" w:rsidRPr="00580C0D" w:rsidRDefault="00142E5B" w:rsidP="00D665D9">
            <w:r w:rsidRPr="00580C0D">
              <w:t xml:space="preserve">Styrke arbeidslinja for </w:t>
            </w:r>
            <w:proofErr w:type="spellStart"/>
            <w:r w:rsidRPr="00580C0D">
              <w:t>offentleg</w:t>
            </w:r>
            <w:proofErr w:type="spellEnd"/>
            <w:r w:rsidRPr="00580C0D">
              <w:t xml:space="preserve"> tilsette født i årene </w:t>
            </w:r>
            <w:r w:rsidRPr="00580C0D">
              <w:br/>
              <w:t>1944 – 1962</w:t>
            </w:r>
          </w:p>
        </w:tc>
        <w:tc>
          <w:tcPr>
            <w:tcW w:w="1400" w:type="dxa"/>
            <w:tcBorders>
              <w:top w:val="nil"/>
              <w:left w:val="nil"/>
              <w:bottom w:val="nil"/>
              <w:right w:val="nil"/>
            </w:tcBorders>
            <w:tcMar>
              <w:top w:w="128" w:type="dxa"/>
              <w:left w:w="43" w:type="dxa"/>
              <w:bottom w:w="43" w:type="dxa"/>
              <w:right w:w="43" w:type="dxa"/>
            </w:tcMar>
          </w:tcPr>
          <w:p w14:paraId="69F3443C" w14:textId="77777777" w:rsidR="00F7113A" w:rsidRPr="00580C0D" w:rsidRDefault="00142E5B" w:rsidP="00D665D9">
            <w:pPr>
              <w:jc w:val="right"/>
            </w:pPr>
            <w:r w:rsidRPr="00580C0D">
              <w:t>Nei</w:t>
            </w:r>
          </w:p>
        </w:tc>
      </w:tr>
      <w:tr w:rsidR="00F7113A" w:rsidRPr="00580C0D" w14:paraId="6A8CCB18"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390411EB"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6C3029AD" w14:textId="77777777" w:rsidR="00F7113A" w:rsidRPr="00580C0D" w:rsidRDefault="00142E5B" w:rsidP="00D665D9">
            <w:pPr>
              <w:ind w:right="113"/>
              <w:jc w:val="right"/>
            </w:pPr>
            <w:r w:rsidRPr="00580C0D">
              <w:t>530</w:t>
            </w:r>
          </w:p>
        </w:tc>
        <w:tc>
          <w:tcPr>
            <w:tcW w:w="5466" w:type="dxa"/>
            <w:tcBorders>
              <w:top w:val="nil"/>
              <w:left w:val="nil"/>
              <w:bottom w:val="nil"/>
              <w:right w:val="nil"/>
            </w:tcBorders>
            <w:tcMar>
              <w:top w:w="128" w:type="dxa"/>
              <w:left w:w="43" w:type="dxa"/>
              <w:bottom w:w="43" w:type="dxa"/>
              <w:right w:w="43" w:type="dxa"/>
            </w:tcMar>
          </w:tcPr>
          <w:p w14:paraId="0EBBD2BA" w14:textId="77777777" w:rsidR="00F7113A" w:rsidRPr="00580C0D" w:rsidRDefault="00142E5B" w:rsidP="00D665D9">
            <w:r w:rsidRPr="00580C0D">
              <w:t>Rapportering om barn etterlate i utlandet</w:t>
            </w:r>
          </w:p>
        </w:tc>
        <w:tc>
          <w:tcPr>
            <w:tcW w:w="1400" w:type="dxa"/>
            <w:tcBorders>
              <w:top w:val="nil"/>
              <w:left w:val="nil"/>
              <w:bottom w:val="nil"/>
              <w:right w:val="nil"/>
            </w:tcBorders>
            <w:tcMar>
              <w:top w:w="128" w:type="dxa"/>
              <w:left w:w="43" w:type="dxa"/>
              <w:bottom w:w="43" w:type="dxa"/>
              <w:right w:w="43" w:type="dxa"/>
            </w:tcMar>
          </w:tcPr>
          <w:p w14:paraId="568FED3B" w14:textId="77777777" w:rsidR="00F7113A" w:rsidRPr="00580C0D" w:rsidRDefault="00142E5B" w:rsidP="00D665D9">
            <w:pPr>
              <w:jc w:val="right"/>
            </w:pPr>
            <w:r w:rsidRPr="00580C0D">
              <w:t>Nei</w:t>
            </w:r>
          </w:p>
        </w:tc>
      </w:tr>
      <w:tr w:rsidR="00F7113A" w:rsidRPr="00580C0D" w14:paraId="443A5FA7"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36584FAE"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74F598A1" w14:textId="77777777" w:rsidR="00F7113A" w:rsidRPr="00580C0D" w:rsidRDefault="00142E5B" w:rsidP="00D665D9">
            <w:pPr>
              <w:ind w:right="113"/>
              <w:jc w:val="right"/>
            </w:pPr>
            <w:r w:rsidRPr="00580C0D">
              <w:t>615</w:t>
            </w:r>
          </w:p>
        </w:tc>
        <w:tc>
          <w:tcPr>
            <w:tcW w:w="5466" w:type="dxa"/>
            <w:tcBorders>
              <w:top w:val="nil"/>
              <w:left w:val="nil"/>
              <w:bottom w:val="nil"/>
              <w:right w:val="nil"/>
            </w:tcBorders>
            <w:tcMar>
              <w:top w:w="128" w:type="dxa"/>
              <w:left w:w="43" w:type="dxa"/>
              <w:bottom w:w="43" w:type="dxa"/>
              <w:right w:w="43" w:type="dxa"/>
            </w:tcMar>
          </w:tcPr>
          <w:p w14:paraId="0CED5134" w14:textId="77777777" w:rsidR="00F7113A" w:rsidRPr="00580C0D" w:rsidRDefault="00142E5B" w:rsidP="00D665D9">
            <w:proofErr w:type="spellStart"/>
            <w:r w:rsidRPr="00580C0D">
              <w:t>Pensjonsutvalets</w:t>
            </w:r>
            <w:proofErr w:type="spellEnd"/>
            <w:r w:rsidRPr="00580C0D">
              <w:t xml:space="preserve"> vurdering</w:t>
            </w:r>
          </w:p>
        </w:tc>
        <w:tc>
          <w:tcPr>
            <w:tcW w:w="1400" w:type="dxa"/>
            <w:tcBorders>
              <w:top w:val="nil"/>
              <w:left w:val="nil"/>
              <w:bottom w:val="nil"/>
              <w:right w:val="nil"/>
            </w:tcBorders>
            <w:tcMar>
              <w:top w:w="128" w:type="dxa"/>
              <w:left w:w="43" w:type="dxa"/>
              <w:bottom w:w="43" w:type="dxa"/>
              <w:right w:w="43" w:type="dxa"/>
            </w:tcMar>
          </w:tcPr>
          <w:p w14:paraId="0750DCFC" w14:textId="77777777" w:rsidR="00F7113A" w:rsidRPr="00580C0D" w:rsidRDefault="00142E5B" w:rsidP="00D665D9">
            <w:pPr>
              <w:jc w:val="right"/>
            </w:pPr>
            <w:r w:rsidRPr="00580C0D">
              <w:t>Nei</w:t>
            </w:r>
          </w:p>
        </w:tc>
      </w:tr>
      <w:tr w:rsidR="00F7113A" w:rsidRPr="00580C0D" w14:paraId="023C46C6"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0E7454AD"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1FE11D82" w14:textId="77777777" w:rsidR="00F7113A" w:rsidRPr="00580C0D" w:rsidRDefault="00142E5B" w:rsidP="00D665D9">
            <w:pPr>
              <w:ind w:right="113"/>
              <w:jc w:val="right"/>
            </w:pPr>
            <w:r w:rsidRPr="00580C0D">
              <w:t>686</w:t>
            </w:r>
          </w:p>
        </w:tc>
        <w:tc>
          <w:tcPr>
            <w:tcW w:w="5466" w:type="dxa"/>
            <w:tcBorders>
              <w:top w:val="nil"/>
              <w:left w:val="nil"/>
              <w:bottom w:val="nil"/>
              <w:right w:val="nil"/>
            </w:tcBorders>
            <w:tcMar>
              <w:top w:w="128" w:type="dxa"/>
              <w:left w:w="43" w:type="dxa"/>
              <w:bottom w:w="43" w:type="dxa"/>
              <w:right w:w="43" w:type="dxa"/>
            </w:tcMar>
          </w:tcPr>
          <w:p w14:paraId="1A35C198" w14:textId="77777777" w:rsidR="00F7113A" w:rsidRPr="00580C0D" w:rsidRDefault="00142E5B" w:rsidP="00D665D9">
            <w:proofErr w:type="spellStart"/>
            <w:r w:rsidRPr="00580C0D">
              <w:t>Studentar</w:t>
            </w:r>
            <w:proofErr w:type="spellEnd"/>
            <w:r w:rsidRPr="00580C0D">
              <w:t xml:space="preserve"> i utlandet kan ha deltidsjobb </w:t>
            </w:r>
            <w:proofErr w:type="spellStart"/>
            <w:r w:rsidRPr="00580C0D">
              <w:t>utan</w:t>
            </w:r>
            <w:proofErr w:type="spellEnd"/>
            <w:r w:rsidRPr="00580C0D">
              <w:t xml:space="preserve"> å miste </w:t>
            </w:r>
            <w:r w:rsidRPr="00580C0D">
              <w:br/>
              <w:t>medlemskap i folketrygda</w:t>
            </w:r>
          </w:p>
        </w:tc>
        <w:tc>
          <w:tcPr>
            <w:tcW w:w="1400" w:type="dxa"/>
            <w:tcBorders>
              <w:top w:val="nil"/>
              <w:left w:val="nil"/>
              <w:bottom w:val="nil"/>
              <w:right w:val="nil"/>
            </w:tcBorders>
            <w:tcMar>
              <w:top w:w="128" w:type="dxa"/>
              <w:left w:w="43" w:type="dxa"/>
              <w:bottom w:w="43" w:type="dxa"/>
              <w:right w:w="43" w:type="dxa"/>
            </w:tcMar>
          </w:tcPr>
          <w:p w14:paraId="1B50B4FE" w14:textId="77777777" w:rsidR="00F7113A" w:rsidRPr="00580C0D" w:rsidRDefault="00142E5B" w:rsidP="00D665D9">
            <w:pPr>
              <w:jc w:val="right"/>
            </w:pPr>
            <w:r w:rsidRPr="00580C0D">
              <w:t>Nei</w:t>
            </w:r>
          </w:p>
        </w:tc>
      </w:tr>
      <w:tr w:rsidR="00F7113A" w:rsidRPr="00580C0D" w14:paraId="348EF175"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5D73CCE1"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3E87C15C" w14:textId="77777777" w:rsidR="00F7113A" w:rsidRPr="00580C0D" w:rsidRDefault="00142E5B" w:rsidP="00D665D9">
            <w:pPr>
              <w:ind w:right="113"/>
              <w:jc w:val="right"/>
            </w:pPr>
            <w:r w:rsidRPr="00580C0D">
              <w:t>770</w:t>
            </w:r>
          </w:p>
        </w:tc>
        <w:tc>
          <w:tcPr>
            <w:tcW w:w="5466" w:type="dxa"/>
            <w:tcBorders>
              <w:top w:val="nil"/>
              <w:left w:val="nil"/>
              <w:bottom w:val="nil"/>
              <w:right w:val="nil"/>
            </w:tcBorders>
            <w:tcMar>
              <w:top w:w="128" w:type="dxa"/>
              <w:left w:w="43" w:type="dxa"/>
              <w:bottom w:w="43" w:type="dxa"/>
              <w:right w:w="43" w:type="dxa"/>
            </w:tcMar>
          </w:tcPr>
          <w:p w14:paraId="7911CD4C" w14:textId="77777777" w:rsidR="00F7113A" w:rsidRPr="00580C0D" w:rsidRDefault="00142E5B" w:rsidP="00D665D9">
            <w:proofErr w:type="spellStart"/>
            <w:r w:rsidRPr="00580C0D">
              <w:t>Endringar</w:t>
            </w:r>
            <w:proofErr w:type="spellEnd"/>
            <w:r w:rsidRPr="00580C0D">
              <w:t xml:space="preserve"> i arbeidsmiljølova for yrkesdykking og losing, føresegn og </w:t>
            </w:r>
            <w:proofErr w:type="spellStart"/>
            <w:r w:rsidRPr="00580C0D">
              <w:t>rettar</w:t>
            </w:r>
            <w:proofErr w:type="spellEnd"/>
            <w:r w:rsidRPr="00580C0D">
              <w:t xml:space="preserve"> om </w:t>
            </w:r>
            <w:proofErr w:type="spellStart"/>
            <w:r w:rsidRPr="00580C0D">
              <w:t>sjukepengar</w:t>
            </w:r>
            <w:proofErr w:type="spellEnd"/>
          </w:p>
        </w:tc>
        <w:tc>
          <w:tcPr>
            <w:tcW w:w="1400" w:type="dxa"/>
            <w:tcBorders>
              <w:top w:val="nil"/>
              <w:left w:val="nil"/>
              <w:bottom w:val="nil"/>
              <w:right w:val="nil"/>
            </w:tcBorders>
            <w:tcMar>
              <w:top w:w="128" w:type="dxa"/>
              <w:left w:w="43" w:type="dxa"/>
              <w:bottom w:w="43" w:type="dxa"/>
              <w:right w:w="43" w:type="dxa"/>
            </w:tcMar>
          </w:tcPr>
          <w:p w14:paraId="3AFDC582" w14:textId="77777777" w:rsidR="00F7113A" w:rsidRPr="00580C0D" w:rsidRDefault="00142E5B" w:rsidP="00D665D9">
            <w:pPr>
              <w:jc w:val="right"/>
            </w:pPr>
            <w:r w:rsidRPr="00580C0D">
              <w:t>Ja</w:t>
            </w:r>
          </w:p>
        </w:tc>
      </w:tr>
      <w:tr w:rsidR="00F7113A" w:rsidRPr="00580C0D" w14:paraId="1227926A" w14:textId="77777777" w:rsidTr="00D665D9">
        <w:trPr>
          <w:trHeight w:val="880"/>
        </w:trPr>
        <w:tc>
          <w:tcPr>
            <w:tcW w:w="1340" w:type="dxa"/>
            <w:tcBorders>
              <w:top w:val="nil"/>
              <w:left w:val="nil"/>
              <w:bottom w:val="nil"/>
              <w:right w:val="nil"/>
            </w:tcBorders>
            <w:tcMar>
              <w:top w:w="128" w:type="dxa"/>
              <w:left w:w="43" w:type="dxa"/>
              <w:bottom w:w="43" w:type="dxa"/>
              <w:right w:w="43" w:type="dxa"/>
            </w:tcMar>
          </w:tcPr>
          <w:p w14:paraId="6AD1D830"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0F5F9C9B" w14:textId="77777777" w:rsidR="00F7113A" w:rsidRPr="00580C0D" w:rsidRDefault="00142E5B" w:rsidP="00D665D9">
            <w:pPr>
              <w:ind w:right="113"/>
              <w:jc w:val="right"/>
            </w:pPr>
            <w:r w:rsidRPr="00580C0D">
              <w:t>771</w:t>
            </w:r>
          </w:p>
        </w:tc>
        <w:tc>
          <w:tcPr>
            <w:tcW w:w="5466" w:type="dxa"/>
            <w:tcBorders>
              <w:top w:val="nil"/>
              <w:left w:val="nil"/>
              <w:bottom w:val="nil"/>
              <w:right w:val="nil"/>
            </w:tcBorders>
            <w:tcMar>
              <w:top w:w="128" w:type="dxa"/>
              <w:left w:w="43" w:type="dxa"/>
              <w:bottom w:w="43" w:type="dxa"/>
              <w:right w:w="43" w:type="dxa"/>
            </w:tcMar>
          </w:tcPr>
          <w:p w14:paraId="6207A0D3" w14:textId="77777777" w:rsidR="00F7113A" w:rsidRPr="00580C0D" w:rsidRDefault="00142E5B" w:rsidP="00D665D9">
            <w:proofErr w:type="spellStart"/>
            <w:r w:rsidRPr="00580C0D">
              <w:t>Endringar</w:t>
            </w:r>
            <w:proofErr w:type="spellEnd"/>
            <w:r w:rsidRPr="00580C0D">
              <w:t xml:space="preserve"> i arbeidsmiljølova for yrkesdykking og losing, kapteinen sitt ansvarsforhold, føresegn om arbeids- og kviletid</w:t>
            </w:r>
          </w:p>
        </w:tc>
        <w:tc>
          <w:tcPr>
            <w:tcW w:w="1400" w:type="dxa"/>
            <w:tcBorders>
              <w:top w:val="nil"/>
              <w:left w:val="nil"/>
              <w:bottom w:val="nil"/>
              <w:right w:val="nil"/>
            </w:tcBorders>
            <w:tcMar>
              <w:top w:w="128" w:type="dxa"/>
              <w:left w:w="43" w:type="dxa"/>
              <w:bottom w:w="43" w:type="dxa"/>
              <w:right w:w="43" w:type="dxa"/>
            </w:tcMar>
          </w:tcPr>
          <w:p w14:paraId="59B1B989" w14:textId="77777777" w:rsidR="00F7113A" w:rsidRPr="00580C0D" w:rsidRDefault="00142E5B" w:rsidP="00D665D9">
            <w:pPr>
              <w:jc w:val="right"/>
            </w:pPr>
            <w:r w:rsidRPr="00580C0D">
              <w:t>Ja</w:t>
            </w:r>
          </w:p>
        </w:tc>
      </w:tr>
      <w:tr w:rsidR="00F7113A" w:rsidRPr="00580C0D" w14:paraId="624650AA"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1328B797"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1C17CF7C" w14:textId="77777777" w:rsidR="00F7113A" w:rsidRPr="00580C0D" w:rsidRDefault="00142E5B" w:rsidP="00D665D9">
            <w:pPr>
              <w:ind w:right="113"/>
              <w:jc w:val="right"/>
            </w:pPr>
            <w:r w:rsidRPr="00580C0D">
              <w:t>772</w:t>
            </w:r>
          </w:p>
        </w:tc>
        <w:tc>
          <w:tcPr>
            <w:tcW w:w="5466" w:type="dxa"/>
            <w:tcBorders>
              <w:top w:val="nil"/>
              <w:left w:val="nil"/>
              <w:bottom w:val="nil"/>
              <w:right w:val="nil"/>
            </w:tcBorders>
            <w:tcMar>
              <w:top w:w="128" w:type="dxa"/>
              <w:left w:w="43" w:type="dxa"/>
              <w:bottom w:w="43" w:type="dxa"/>
              <w:right w:w="43" w:type="dxa"/>
            </w:tcMar>
          </w:tcPr>
          <w:p w14:paraId="587F814A" w14:textId="3DF4CA1F" w:rsidR="00F7113A" w:rsidRPr="00580C0D" w:rsidRDefault="00142E5B" w:rsidP="00D665D9">
            <w:proofErr w:type="spellStart"/>
            <w:r w:rsidRPr="00580C0D">
              <w:t>Endringar</w:t>
            </w:r>
            <w:proofErr w:type="spellEnd"/>
            <w:r w:rsidRPr="00580C0D">
              <w:t xml:space="preserve"> i arbeidsmiljøloven for yrkesdykking og </w:t>
            </w:r>
            <w:r w:rsidR="009A1051">
              <w:br/>
            </w:r>
            <w:r w:rsidRPr="00580C0D">
              <w:t>losing, krav til arbeids- og kviletid</w:t>
            </w:r>
          </w:p>
        </w:tc>
        <w:tc>
          <w:tcPr>
            <w:tcW w:w="1400" w:type="dxa"/>
            <w:tcBorders>
              <w:top w:val="nil"/>
              <w:left w:val="nil"/>
              <w:bottom w:val="nil"/>
              <w:right w:val="nil"/>
            </w:tcBorders>
            <w:tcMar>
              <w:top w:w="128" w:type="dxa"/>
              <w:left w:w="43" w:type="dxa"/>
              <w:bottom w:w="43" w:type="dxa"/>
              <w:right w:w="43" w:type="dxa"/>
            </w:tcMar>
          </w:tcPr>
          <w:p w14:paraId="2E8FEB65" w14:textId="77777777" w:rsidR="00F7113A" w:rsidRPr="00580C0D" w:rsidRDefault="00142E5B" w:rsidP="00D665D9">
            <w:pPr>
              <w:jc w:val="right"/>
            </w:pPr>
            <w:r w:rsidRPr="00580C0D">
              <w:t>Ja</w:t>
            </w:r>
          </w:p>
        </w:tc>
      </w:tr>
      <w:tr w:rsidR="00F7113A" w:rsidRPr="00580C0D" w14:paraId="403D8C59"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3E9174D5"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6D3BD882" w14:textId="77777777" w:rsidR="00F7113A" w:rsidRPr="00580C0D" w:rsidRDefault="00142E5B" w:rsidP="00D665D9">
            <w:pPr>
              <w:ind w:right="113"/>
              <w:jc w:val="right"/>
            </w:pPr>
            <w:r w:rsidRPr="00580C0D">
              <w:t>911</w:t>
            </w:r>
          </w:p>
        </w:tc>
        <w:tc>
          <w:tcPr>
            <w:tcW w:w="5466" w:type="dxa"/>
            <w:tcBorders>
              <w:top w:val="nil"/>
              <w:left w:val="nil"/>
              <w:bottom w:val="nil"/>
              <w:right w:val="nil"/>
            </w:tcBorders>
            <w:tcMar>
              <w:top w:w="128" w:type="dxa"/>
              <w:left w:w="43" w:type="dxa"/>
              <w:bottom w:w="43" w:type="dxa"/>
              <w:right w:w="43" w:type="dxa"/>
            </w:tcMar>
          </w:tcPr>
          <w:p w14:paraId="2BEDD7DB" w14:textId="77777777" w:rsidR="00F7113A" w:rsidRPr="00580C0D" w:rsidRDefault="00142E5B" w:rsidP="00D665D9">
            <w:r w:rsidRPr="00580C0D">
              <w:t>Forenkling av yrkesskadereglene</w:t>
            </w:r>
          </w:p>
        </w:tc>
        <w:tc>
          <w:tcPr>
            <w:tcW w:w="1400" w:type="dxa"/>
            <w:tcBorders>
              <w:top w:val="nil"/>
              <w:left w:val="nil"/>
              <w:bottom w:val="nil"/>
              <w:right w:val="nil"/>
            </w:tcBorders>
            <w:tcMar>
              <w:top w:w="128" w:type="dxa"/>
              <w:left w:w="43" w:type="dxa"/>
              <w:bottom w:w="43" w:type="dxa"/>
              <w:right w:w="43" w:type="dxa"/>
            </w:tcMar>
          </w:tcPr>
          <w:p w14:paraId="5E7EC44C" w14:textId="77777777" w:rsidR="00F7113A" w:rsidRPr="00580C0D" w:rsidRDefault="00142E5B" w:rsidP="00D665D9">
            <w:pPr>
              <w:jc w:val="right"/>
            </w:pPr>
            <w:r w:rsidRPr="00580C0D">
              <w:t>Nei</w:t>
            </w:r>
          </w:p>
        </w:tc>
      </w:tr>
      <w:tr w:rsidR="00F7113A" w:rsidRPr="00580C0D" w14:paraId="4C2043E2"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143E0C06"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2B6005EB" w14:textId="77777777" w:rsidR="00F7113A" w:rsidRPr="00580C0D" w:rsidRDefault="00142E5B" w:rsidP="00D665D9">
            <w:pPr>
              <w:ind w:right="113"/>
              <w:jc w:val="right"/>
            </w:pPr>
            <w:r w:rsidRPr="00580C0D">
              <w:t>930</w:t>
            </w:r>
          </w:p>
        </w:tc>
        <w:tc>
          <w:tcPr>
            <w:tcW w:w="5466" w:type="dxa"/>
            <w:tcBorders>
              <w:top w:val="nil"/>
              <w:left w:val="nil"/>
              <w:bottom w:val="nil"/>
              <w:right w:val="nil"/>
            </w:tcBorders>
            <w:tcMar>
              <w:top w:w="128" w:type="dxa"/>
              <w:left w:w="43" w:type="dxa"/>
              <w:bottom w:w="43" w:type="dxa"/>
              <w:right w:w="43" w:type="dxa"/>
            </w:tcMar>
          </w:tcPr>
          <w:p w14:paraId="1DCFC3A4" w14:textId="77777777" w:rsidR="00F7113A" w:rsidRPr="00580C0D" w:rsidRDefault="00142E5B" w:rsidP="00D665D9">
            <w:r w:rsidRPr="00580C0D">
              <w:t>NAV-</w:t>
            </w:r>
            <w:proofErr w:type="spellStart"/>
            <w:r w:rsidRPr="00580C0D">
              <w:t>ombod</w:t>
            </w:r>
            <w:proofErr w:type="spellEnd"/>
          </w:p>
        </w:tc>
        <w:tc>
          <w:tcPr>
            <w:tcW w:w="1400" w:type="dxa"/>
            <w:tcBorders>
              <w:top w:val="nil"/>
              <w:left w:val="nil"/>
              <w:bottom w:val="nil"/>
              <w:right w:val="nil"/>
            </w:tcBorders>
            <w:tcMar>
              <w:top w:w="128" w:type="dxa"/>
              <w:left w:w="43" w:type="dxa"/>
              <w:bottom w:w="43" w:type="dxa"/>
              <w:right w:w="43" w:type="dxa"/>
            </w:tcMar>
          </w:tcPr>
          <w:p w14:paraId="4691380E" w14:textId="77777777" w:rsidR="00F7113A" w:rsidRPr="00580C0D" w:rsidRDefault="00142E5B" w:rsidP="00D665D9">
            <w:pPr>
              <w:jc w:val="right"/>
            </w:pPr>
            <w:r w:rsidRPr="00580C0D">
              <w:t>Nei</w:t>
            </w:r>
          </w:p>
        </w:tc>
      </w:tr>
      <w:tr w:rsidR="00F7113A" w:rsidRPr="00580C0D" w14:paraId="12D68CF4"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0CD903EE"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7C78783B" w14:textId="77777777" w:rsidR="00F7113A" w:rsidRPr="00580C0D" w:rsidRDefault="00142E5B" w:rsidP="00D665D9">
            <w:pPr>
              <w:ind w:right="113"/>
              <w:jc w:val="right"/>
            </w:pPr>
            <w:r w:rsidRPr="00580C0D">
              <w:t>1149</w:t>
            </w:r>
          </w:p>
        </w:tc>
        <w:tc>
          <w:tcPr>
            <w:tcW w:w="5466" w:type="dxa"/>
            <w:tcBorders>
              <w:top w:val="nil"/>
              <w:left w:val="nil"/>
              <w:bottom w:val="nil"/>
              <w:right w:val="nil"/>
            </w:tcBorders>
            <w:tcMar>
              <w:top w:w="128" w:type="dxa"/>
              <w:left w:w="43" w:type="dxa"/>
              <w:bottom w:w="43" w:type="dxa"/>
              <w:right w:w="43" w:type="dxa"/>
            </w:tcMar>
          </w:tcPr>
          <w:p w14:paraId="34A9672C" w14:textId="77777777" w:rsidR="00F7113A" w:rsidRPr="00580C0D" w:rsidRDefault="00142E5B" w:rsidP="00D665D9">
            <w:proofErr w:type="spellStart"/>
            <w:r w:rsidRPr="00580C0D">
              <w:t>Endringar</w:t>
            </w:r>
            <w:proofErr w:type="spellEnd"/>
            <w:r w:rsidRPr="00580C0D">
              <w:t xml:space="preserve"> i arbeidsmiljølova, tilfeldig uttrekk av </w:t>
            </w:r>
            <w:proofErr w:type="spellStart"/>
            <w:r w:rsidRPr="00580C0D">
              <w:t>meddommarar</w:t>
            </w:r>
            <w:proofErr w:type="spellEnd"/>
            <w:r w:rsidRPr="00580C0D">
              <w:t xml:space="preserve"> </w:t>
            </w:r>
            <w:proofErr w:type="spellStart"/>
            <w:r w:rsidRPr="00580C0D">
              <w:t>frå</w:t>
            </w:r>
            <w:proofErr w:type="spellEnd"/>
            <w:r w:rsidRPr="00580C0D">
              <w:t xml:space="preserve"> kvar av </w:t>
            </w:r>
            <w:proofErr w:type="spellStart"/>
            <w:r w:rsidRPr="00580C0D">
              <w:t>dei</w:t>
            </w:r>
            <w:proofErr w:type="spellEnd"/>
            <w:r w:rsidRPr="00580C0D">
              <w:t xml:space="preserve"> særskilt arbeidslivskyndige </w:t>
            </w:r>
            <w:proofErr w:type="spellStart"/>
            <w:r w:rsidRPr="00580C0D">
              <w:t>utvala</w:t>
            </w:r>
            <w:proofErr w:type="spellEnd"/>
          </w:p>
        </w:tc>
        <w:tc>
          <w:tcPr>
            <w:tcW w:w="1400" w:type="dxa"/>
            <w:tcBorders>
              <w:top w:val="nil"/>
              <w:left w:val="nil"/>
              <w:bottom w:val="nil"/>
              <w:right w:val="nil"/>
            </w:tcBorders>
            <w:tcMar>
              <w:top w:w="128" w:type="dxa"/>
              <w:left w:w="43" w:type="dxa"/>
              <w:bottom w:w="43" w:type="dxa"/>
              <w:right w:w="43" w:type="dxa"/>
            </w:tcMar>
          </w:tcPr>
          <w:p w14:paraId="61E7C0A6" w14:textId="77777777" w:rsidR="00F7113A" w:rsidRPr="00580C0D" w:rsidRDefault="00142E5B" w:rsidP="00D665D9">
            <w:pPr>
              <w:jc w:val="right"/>
            </w:pPr>
            <w:r w:rsidRPr="00580C0D">
              <w:t>Nei</w:t>
            </w:r>
          </w:p>
        </w:tc>
      </w:tr>
      <w:tr w:rsidR="00F7113A" w:rsidRPr="00580C0D" w14:paraId="360AAEA6"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4BEA2EA7"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720C977A" w14:textId="77777777" w:rsidR="00F7113A" w:rsidRPr="00580C0D" w:rsidRDefault="00142E5B" w:rsidP="00D665D9">
            <w:pPr>
              <w:ind w:right="113"/>
              <w:jc w:val="right"/>
            </w:pPr>
            <w:r w:rsidRPr="00580C0D">
              <w:t>1200</w:t>
            </w:r>
          </w:p>
        </w:tc>
        <w:tc>
          <w:tcPr>
            <w:tcW w:w="5466" w:type="dxa"/>
            <w:tcBorders>
              <w:top w:val="nil"/>
              <w:left w:val="nil"/>
              <w:bottom w:val="nil"/>
              <w:right w:val="nil"/>
            </w:tcBorders>
            <w:tcMar>
              <w:top w:w="128" w:type="dxa"/>
              <w:left w:w="43" w:type="dxa"/>
              <w:bottom w:w="43" w:type="dxa"/>
              <w:right w:w="43" w:type="dxa"/>
            </w:tcMar>
          </w:tcPr>
          <w:p w14:paraId="681C2937" w14:textId="77777777" w:rsidR="00F7113A" w:rsidRPr="00580C0D" w:rsidRDefault="00142E5B" w:rsidP="00D665D9">
            <w:proofErr w:type="spellStart"/>
            <w:r w:rsidRPr="00580C0D">
              <w:t>Avkorting</w:t>
            </w:r>
            <w:proofErr w:type="spellEnd"/>
            <w:r w:rsidRPr="00580C0D">
              <w:t xml:space="preserve"> i uføretrygd for fosterforeldre</w:t>
            </w:r>
          </w:p>
        </w:tc>
        <w:tc>
          <w:tcPr>
            <w:tcW w:w="1400" w:type="dxa"/>
            <w:tcBorders>
              <w:top w:val="nil"/>
              <w:left w:val="nil"/>
              <w:bottom w:val="nil"/>
              <w:right w:val="nil"/>
            </w:tcBorders>
            <w:tcMar>
              <w:top w:w="128" w:type="dxa"/>
              <w:left w:w="43" w:type="dxa"/>
              <w:bottom w:w="43" w:type="dxa"/>
              <w:right w:w="43" w:type="dxa"/>
            </w:tcMar>
          </w:tcPr>
          <w:p w14:paraId="1B66139A" w14:textId="77777777" w:rsidR="00F7113A" w:rsidRPr="00580C0D" w:rsidRDefault="00142E5B" w:rsidP="00D665D9">
            <w:pPr>
              <w:jc w:val="right"/>
            </w:pPr>
            <w:r w:rsidRPr="00580C0D">
              <w:t>Nei</w:t>
            </w:r>
          </w:p>
        </w:tc>
      </w:tr>
      <w:tr w:rsidR="00F7113A" w:rsidRPr="00580C0D" w14:paraId="0FF187B6"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52DAD684"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30647958" w14:textId="77777777" w:rsidR="00F7113A" w:rsidRPr="00580C0D" w:rsidRDefault="00142E5B" w:rsidP="00D665D9">
            <w:pPr>
              <w:ind w:right="113"/>
              <w:jc w:val="right"/>
            </w:pPr>
            <w:r w:rsidRPr="00580C0D">
              <w:t>1219</w:t>
            </w:r>
          </w:p>
        </w:tc>
        <w:tc>
          <w:tcPr>
            <w:tcW w:w="5466" w:type="dxa"/>
            <w:tcBorders>
              <w:top w:val="nil"/>
              <w:left w:val="nil"/>
              <w:bottom w:val="nil"/>
              <w:right w:val="nil"/>
            </w:tcBorders>
            <w:tcMar>
              <w:top w:w="128" w:type="dxa"/>
              <w:left w:w="43" w:type="dxa"/>
              <w:bottom w:w="43" w:type="dxa"/>
              <w:right w:w="43" w:type="dxa"/>
            </w:tcMar>
          </w:tcPr>
          <w:p w14:paraId="198FF452" w14:textId="77777777" w:rsidR="00F7113A" w:rsidRPr="00580C0D" w:rsidRDefault="00142E5B" w:rsidP="00D665D9">
            <w:r w:rsidRPr="00580C0D">
              <w:t xml:space="preserve">Reduksjon av </w:t>
            </w:r>
            <w:proofErr w:type="spellStart"/>
            <w:r w:rsidRPr="00580C0D">
              <w:t>ytingar</w:t>
            </w:r>
            <w:proofErr w:type="spellEnd"/>
            <w:r w:rsidRPr="00580C0D">
              <w:t xml:space="preserve"> under </w:t>
            </w:r>
            <w:proofErr w:type="spellStart"/>
            <w:r w:rsidRPr="00580C0D">
              <w:t>opphald</w:t>
            </w:r>
            <w:proofErr w:type="spellEnd"/>
            <w:r w:rsidRPr="00580C0D">
              <w:t xml:space="preserve"> i institusjon, </w:t>
            </w:r>
            <w:r w:rsidRPr="00580C0D">
              <w:br/>
              <w:t>likebehandling av pasientgrupper</w:t>
            </w:r>
          </w:p>
        </w:tc>
        <w:tc>
          <w:tcPr>
            <w:tcW w:w="1400" w:type="dxa"/>
            <w:tcBorders>
              <w:top w:val="nil"/>
              <w:left w:val="nil"/>
              <w:bottom w:val="nil"/>
              <w:right w:val="nil"/>
            </w:tcBorders>
            <w:tcMar>
              <w:top w:w="128" w:type="dxa"/>
              <w:left w:w="43" w:type="dxa"/>
              <w:bottom w:w="43" w:type="dxa"/>
              <w:right w:w="43" w:type="dxa"/>
            </w:tcMar>
          </w:tcPr>
          <w:p w14:paraId="429CAEFA" w14:textId="77777777" w:rsidR="00F7113A" w:rsidRPr="00580C0D" w:rsidRDefault="00142E5B" w:rsidP="00D665D9">
            <w:pPr>
              <w:jc w:val="right"/>
            </w:pPr>
            <w:r w:rsidRPr="00580C0D">
              <w:t>Ja</w:t>
            </w:r>
          </w:p>
        </w:tc>
      </w:tr>
      <w:tr w:rsidR="00F7113A" w:rsidRPr="00580C0D" w14:paraId="645523F7"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3FF01142" w14:textId="77777777" w:rsidR="00F7113A" w:rsidRPr="00580C0D" w:rsidRDefault="00142E5B" w:rsidP="00D665D9">
            <w:r w:rsidRPr="00580C0D">
              <w:t>2020 – 2021</w:t>
            </w:r>
          </w:p>
        </w:tc>
        <w:tc>
          <w:tcPr>
            <w:tcW w:w="1354" w:type="dxa"/>
            <w:tcBorders>
              <w:top w:val="nil"/>
              <w:left w:val="nil"/>
              <w:bottom w:val="nil"/>
              <w:right w:val="nil"/>
            </w:tcBorders>
            <w:tcMar>
              <w:top w:w="128" w:type="dxa"/>
              <w:left w:w="43" w:type="dxa"/>
              <w:bottom w:w="43" w:type="dxa"/>
              <w:right w:w="43" w:type="dxa"/>
            </w:tcMar>
          </w:tcPr>
          <w:p w14:paraId="77D2D708" w14:textId="77777777" w:rsidR="00F7113A" w:rsidRPr="00580C0D" w:rsidRDefault="00142E5B" w:rsidP="00D665D9">
            <w:pPr>
              <w:ind w:right="113"/>
              <w:jc w:val="right"/>
            </w:pPr>
            <w:r w:rsidRPr="00580C0D">
              <w:t>1342</w:t>
            </w:r>
          </w:p>
        </w:tc>
        <w:tc>
          <w:tcPr>
            <w:tcW w:w="5466" w:type="dxa"/>
            <w:tcBorders>
              <w:top w:val="nil"/>
              <w:left w:val="nil"/>
              <w:bottom w:val="nil"/>
              <w:right w:val="nil"/>
            </w:tcBorders>
            <w:tcMar>
              <w:top w:w="128" w:type="dxa"/>
              <w:left w:w="43" w:type="dxa"/>
              <w:bottom w:w="43" w:type="dxa"/>
              <w:right w:w="43" w:type="dxa"/>
            </w:tcMar>
          </w:tcPr>
          <w:p w14:paraId="6E9047BD" w14:textId="77777777" w:rsidR="00F7113A" w:rsidRPr="00580C0D" w:rsidRDefault="00142E5B" w:rsidP="00D665D9">
            <w:r w:rsidRPr="00580C0D">
              <w:t>Evaluering av brillestøtteordninga</w:t>
            </w:r>
          </w:p>
        </w:tc>
        <w:tc>
          <w:tcPr>
            <w:tcW w:w="1400" w:type="dxa"/>
            <w:tcBorders>
              <w:top w:val="nil"/>
              <w:left w:val="nil"/>
              <w:bottom w:val="nil"/>
              <w:right w:val="nil"/>
            </w:tcBorders>
            <w:tcMar>
              <w:top w:w="128" w:type="dxa"/>
              <w:left w:w="43" w:type="dxa"/>
              <w:bottom w:w="43" w:type="dxa"/>
              <w:right w:w="43" w:type="dxa"/>
            </w:tcMar>
          </w:tcPr>
          <w:p w14:paraId="301D04FD" w14:textId="77777777" w:rsidR="00F7113A" w:rsidRPr="00580C0D" w:rsidRDefault="00142E5B" w:rsidP="00D665D9">
            <w:pPr>
              <w:jc w:val="right"/>
            </w:pPr>
            <w:r w:rsidRPr="00580C0D">
              <w:t>Nei</w:t>
            </w:r>
          </w:p>
        </w:tc>
      </w:tr>
      <w:tr w:rsidR="00F7113A" w:rsidRPr="00580C0D" w14:paraId="503C9287"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3151B491" w14:textId="77777777" w:rsidR="00F7113A" w:rsidRPr="00580C0D" w:rsidRDefault="00142E5B" w:rsidP="00D665D9">
            <w:r w:rsidRPr="00580C0D">
              <w:t>2019 – 2020</w:t>
            </w:r>
          </w:p>
        </w:tc>
        <w:tc>
          <w:tcPr>
            <w:tcW w:w="1354" w:type="dxa"/>
            <w:tcBorders>
              <w:top w:val="nil"/>
              <w:left w:val="nil"/>
              <w:bottom w:val="nil"/>
              <w:right w:val="nil"/>
            </w:tcBorders>
            <w:tcMar>
              <w:top w:w="128" w:type="dxa"/>
              <w:left w:w="43" w:type="dxa"/>
              <w:bottom w:w="43" w:type="dxa"/>
              <w:right w:w="43" w:type="dxa"/>
            </w:tcMar>
          </w:tcPr>
          <w:p w14:paraId="2688DF7E" w14:textId="77777777" w:rsidR="00F7113A" w:rsidRPr="00580C0D" w:rsidRDefault="00142E5B" w:rsidP="00D665D9">
            <w:pPr>
              <w:ind w:right="113"/>
              <w:jc w:val="right"/>
            </w:pPr>
            <w:r w:rsidRPr="00580C0D">
              <w:t>626</w:t>
            </w:r>
          </w:p>
        </w:tc>
        <w:tc>
          <w:tcPr>
            <w:tcW w:w="5466" w:type="dxa"/>
            <w:tcBorders>
              <w:top w:val="nil"/>
              <w:left w:val="nil"/>
              <w:bottom w:val="nil"/>
              <w:right w:val="nil"/>
            </w:tcBorders>
            <w:tcMar>
              <w:top w:w="128" w:type="dxa"/>
              <w:left w:w="43" w:type="dxa"/>
              <w:bottom w:w="43" w:type="dxa"/>
              <w:right w:w="43" w:type="dxa"/>
            </w:tcMar>
          </w:tcPr>
          <w:p w14:paraId="6BF29CD1" w14:textId="77777777" w:rsidR="00F7113A" w:rsidRPr="00580C0D" w:rsidRDefault="00142E5B" w:rsidP="00D665D9">
            <w:r w:rsidRPr="00580C0D">
              <w:t xml:space="preserve">Juridisk og økonomisk medansvar for </w:t>
            </w:r>
            <w:proofErr w:type="spellStart"/>
            <w:r w:rsidRPr="00580C0D">
              <w:t>transportkjøparar</w:t>
            </w:r>
            <w:proofErr w:type="spellEnd"/>
            <w:r w:rsidRPr="00580C0D">
              <w:t>/</w:t>
            </w:r>
            <w:proofErr w:type="spellStart"/>
            <w:r w:rsidRPr="00580C0D">
              <w:t>transporttingarar</w:t>
            </w:r>
            <w:proofErr w:type="spellEnd"/>
          </w:p>
        </w:tc>
        <w:tc>
          <w:tcPr>
            <w:tcW w:w="1400" w:type="dxa"/>
            <w:tcBorders>
              <w:top w:val="nil"/>
              <w:left w:val="nil"/>
              <w:bottom w:val="nil"/>
              <w:right w:val="nil"/>
            </w:tcBorders>
            <w:tcMar>
              <w:top w:w="128" w:type="dxa"/>
              <w:left w:w="43" w:type="dxa"/>
              <w:bottom w:w="43" w:type="dxa"/>
              <w:right w:w="43" w:type="dxa"/>
            </w:tcMar>
          </w:tcPr>
          <w:p w14:paraId="5576F908" w14:textId="77777777" w:rsidR="00F7113A" w:rsidRPr="00580C0D" w:rsidRDefault="00142E5B" w:rsidP="00D665D9">
            <w:pPr>
              <w:jc w:val="right"/>
            </w:pPr>
            <w:r w:rsidRPr="00580C0D">
              <w:t>Nei</w:t>
            </w:r>
          </w:p>
        </w:tc>
      </w:tr>
      <w:tr w:rsidR="00F7113A" w:rsidRPr="00580C0D" w14:paraId="1CF4E1F3"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3ECE3117" w14:textId="77777777" w:rsidR="00F7113A" w:rsidRPr="00580C0D" w:rsidRDefault="00142E5B" w:rsidP="00D665D9">
            <w:r w:rsidRPr="00580C0D">
              <w:t>2019 – 2020</w:t>
            </w:r>
          </w:p>
        </w:tc>
        <w:tc>
          <w:tcPr>
            <w:tcW w:w="1354" w:type="dxa"/>
            <w:tcBorders>
              <w:top w:val="nil"/>
              <w:left w:val="nil"/>
              <w:bottom w:val="nil"/>
              <w:right w:val="nil"/>
            </w:tcBorders>
            <w:tcMar>
              <w:top w:w="128" w:type="dxa"/>
              <w:left w:w="43" w:type="dxa"/>
              <w:bottom w:w="43" w:type="dxa"/>
              <w:right w:w="43" w:type="dxa"/>
            </w:tcMar>
          </w:tcPr>
          <w:p w14:paraId="073E165A" w14:textId="77777777" w:rsidR="00F7113A" w:rsidRPr="00580C0D" w:rsidRDefault="00142E5B" w:rsidP="00D665D9">
            <w:pPr>
              <w:ind w:right="113"/>
              <w:jc w:val="right"/>
            </w:pPr>
            <w:r w:rsidRPr="00580C0D">
              <w:t>627</w:t>
            </w:r>
          </w:p>
        </w:tc>
        <w:tc>
          <w:tcPr>
            <w:tcW w:w="5466" w:type="dxa"/>
            <w:tcBorders>
              <w:top w:val="nil"/>
              <w:left w:val="nil"/>
              <w:bottom w:val="nil"/>
              <w:right w:val="nil"/>
            </w:tcBorders>
            <w:tcMar>
              <w:top w:w="128" w:type="dxa"/>
              <w:left w:w="43" w:type="dxa"/>
              <w:bottom w:w="43" w:type="dxa"/>
              <w:right w:w="43" w:type="dxa"/>
            </w:tcMar>
          </w:tcPr>
          <w:p w14:paraId="73EC29BF" w14:textId="77777777" w:rsidR="00F7113A" w:rsidRPr="00580C0D" w:rsidRDefault="00142E5B" w:rsidP="00D665D9">
            <w:proofErr w:type="spellStart"/>
            <w:r w:rsidRPr="00580C0D">
              <w:t>Rettshevdinga</w:t>
            </w:r>
            <w:proofErr w:type="spellEnd"/>
            <w:r w:rsidRPr="00580C0D">
              <w:t xml:space="preserve"> til å stanse </w:t>
            </w:r>
            <w:proofErr w:type="spellStart"/>
            <w:r w:rsidRPr="00580C0D">
              <w:t>køyretøy</w:t>
            </w:r>
            <w:proofErr w:type="spellEnd"/>
          </w:p>
        </w:tc>
        <w:tc>
          <w:tcPr>
            <w:tcW w:w="1400" w:type="dxa"/>
            <w:tcBorders>
              <w:top w:val="nil"/>
              <w:left w:val="nil"/>
              <w:bottom w:val="nil"/>
              <w:right w:val="nil"/>
            </w:tcBorders>
            <w:tcMar>
              <w:top w:w="128" w:type="dxa"/>
              <w:left w:w="43" w:type="dxa"/>
              <w:bottom w:w="43" w:type="dxa"/>
              <w:right w:w="43" w:type="dxa"/>
            </w:tcMar>
          </w:tcPr>
          <w:p w14:paraId="460A8749" w14:textId="77777777" w:rsidR="00F7113A" w:rsidRPr="00580C0D" w:rsidRDefault="00142E5B" w:rsidP="00D665D9">
            <w:pPr>
              <w:jc w:val="right"/>
            </w:pPr>
            <w:r w:rsidRPr="00580C0D">
              <w:t>Nei</w:t>
            </w:r>
          </w:p>
        </w:tc>
      </w:tr>
      <w:tr w:rsidR="00F7113A" w:rsidRPr="00580C0D" w14:paraId="4A9F5D5A" w14:textId="77777777" w:rsidTr="00D665D9">
        <w:trPr>
          <w:trHeight w:val="640"/>
        </w:trPr>
        <w:tc>
          <w:tcPr>
            <w:tcW w:w="1340" w:type="dxa"/>
            <w:tcBorders>
              <w:top w:val="nil"/>
              <w:left w:val="nil"/>
              <w:bottom w:val="nil"/>
              <w:right w:val="nil"/>
            </w:tcBorders>
            <w:tcMar>
              <w:top w:w="128" w:type="dxa"/>
              <w:left w:w="43" w:type="dxa"/>
              <w:bottom w:w="43" w:type="dxa"/>
              <w:right w:w="43" w:type="dxa"/>
            </w:tcMar>
          </w:tcPr>
          <w:p w14:paraId="798CE65D" w14:textId="77777777" w:rsidR="00F7113A" w:rsidRPr="00580C0D" w:rsidRDefault="00142E5B" w:rsidP="00D665D9">
            <w:r w:rsidRPr="00580C0D">
              <w:t>2019 – 2020</w:t>
            </w:r>
          </w:p>
        </w:tc>
        <w:tc>
          <w:tcPr>
            <w:tcW w:w="1354" w:type="dxa"/>
            <w:tcBorders>
              <w:top w:val="nil"/>
              <w:left w:val="nil"/>
              <w:bottom w:val="nil"/>
              <w:right w:val="nil"/>
            </w:tcBorders>
            <w:tcMar>
              <w:top w:w="128" w:type="dxa"/>
              <w:left w:w="43" w:type="dxa"/>
              <w:bottom w:w="43" w:type="dxa"/>
              <w:right w:w="43" w:type="dxa"/>
            </w:tcMar>
          </w:tcPr>
          <w:p w14:paraId="2D6E7BBE" w14:textId="77777777" w:rsidR="00F7113A" w:rsidRPr="00580C0D" w:rsidRDefault="00142E5B" w:rsidP="00D665D9">
            <w:pPr>
              <w:ind w:right="113"/>
              <w:jc w:val="right"/>
            </w:pPr>
            <w:r w:rsidRPr="00580C0D">
              <w:t>658</w:t>
            </w:r>
          </w:p>
        </w:tc>
        <w:tc>
          <w:tcPr>
            <w:tcW w:w="5466" w:type="dxa"/>
            <w:tcBorders>
              <w:top w:val="nil"/>
              <w:left w:val="nil"/>
              <w:bottom w:val="nil"/>
              <w:right w:val="nil"/>
            </w:tcBorders>
            <w:tcMar>
              <w:top w:w="128" w:type="dxa"/>
              <w:left w:w="43" w:type="dxa"/>
              <w:bottom w:w="43" w:type="dxa"/>
              <w:right w:w="43" w:type="dxa"/>
            </w:tcMar>
          </w:tcPr>
          <w:p w14:paraId="028DE88A" w14:textId="0AAD85DB" w:rsidR="00F7113A" w:rsidRPr="00580C0D" w:rsidRDefault="00142E5B" w:rsidP="00D665D9">
            <w:proofErr w:type="spellStart"/>
            <w:r w:rsidRPr="00580C0D">
              <w:t>Omsorgspengar</w:t>
            </w:r>
            <w:proofErr w:type="spellEnd"/>
            <w:r w:rsidRPr="00580C0D">
              <w:t xml:space="preserve"> til foreldre som må </w:t>
            </w:r>
            <w:proofErr w:type="spellStart"/>
            <w:r w:rsidRPr="00580C0D">
              <w:t>vere</w:t>
            </w:r>
            <w:proofErr w:type="spellEnd"/>
            <w:r w:rsidRPr="00580C0D">
              <w:t xml:space="preserve"> borte fra </w:t>
            </w:r>
            <w:r w:rsidR="009A1051">
              <w:br/>
            </w:r>
            <w:r w:rsidRPr="00580C0D">
              <w:t>arbeidet deler av dagen</w:t>
            </w:r>
          </w:p>
        </w:tc>
        <w:tc>
          <w:tcPr>
            <w:tcW w:w="1400" w:type="dxa"/>
            <w:tcBorders>
              <w:top w:val="nil"/>
              <w:left w:val="nil"/>
              <w:bottom w:val="nil"/>
              <w:right w:val="nil"/>
            </w:tcBorders>
            <w:tcMar>
              <w:top w:w="128" w:type="dxa"/>
              <w:left w:w="43" w:type="dxa"/>
              <w:bottom w:w="43" w:type="dxa"/>
              <w:right w:w="43" w:type="dxa"/>
            </w:tcMar>
          </w:tcPr>
          <w:p w14:paraId="191EB8AC" w14:textId="77777777" w:rsidR="00F7113A" w:rsidRPr="00580C0D" w:rsidRDefault="00142E5B" w:rsidP="00D665D9">
            <w:pPr>
              <w:jc w:val="right"/>
            </w:pPr>
            <w:r w:rsidRPr="00580C0D">
              <w:t>Ja</w:t>
            </w:r>
          </w:p>
        </w:tc>
      </w:tr>
      <w:tr w:rsidR="00F7113A" w:rsidRPr="00580C0D" w14:paraId="0DDC5DAE" w14:textId="77777777" w:rsidTr="00D665D9">
        <w:trPr>
          <w:trHeight w:val="380"/>
        </w:trPr>
        <w:tc>
          <w:tcPr>
            <w:tcW w:w="1340" w:type="dxa"/>
            <w:tcBorders>
              <w:top w:val="nil"/>
              <w:left w:val="nil"/>
              <w:bottom w:val="nil"/>
              <w:right w:val="nil"/>
            </w:tcBorders>
            <w:tcMar>
              <w:top w:w="128" w:type="dxa"/>
              <w:left w:w="43" w:type="dxa"/>
              <w:bottom w:w="43" w:type="dxa"/>
              <w:right w:w="43" w:type="dxa"/>
            </w:tcMar>
          </w:tcPr>
          <w:p w14:paraId="5ECD1F62" w14:textId="77777777" w:rsidR="00F7113A" w:rsidRPr="00580C0D" w:rsidRDefault="00142E5B" w:rsidP="00D665D9">
            <w:r w:rsidRPr="00580C0D">
              <w:t>2017 – 2018</w:t>
            </w:r>
          </w:p>
        </w:tc>
        <w:tc>
          <w:tcPr>
            <w:tcW w:w="1354" w:type="dxa"/>
            <w:tcBorders>
              <w:top w:val="nil"/>
              <w:left w:val="nil"/>
              <w:bottom w:val="nil"/>
              <w:right w:val="nil"/>
            </w:tcBorders>
            <w:tcMar>
              <w:top w:w="128" w:type="dxa"/>
              <w:left w:w="43" w:type="dxa"/>
              <w:bottom w:w="43" w:type="dxa"/>
              <w:right w:w="43" w:type="dxa"/>
            </w:tcMar>
          </w:tcPr>
          <w:p w14:paraId="7E39DCB2" w14:textId="77777777" w:rsidR="00F7113A" w:rsidRPr="00580C0D" w:rsidRDefault="00142E5B" w:rsidP="00D665D9">
            <w:pPr>
              <w:ind w:right="113"/>
              <w:jc w:val="right"/>
            </w:pPr>
            <w:r w:rsidRPr="00580C0D">
              <w:t>42</w:t>
            </w:r>
          </w:p>
        </w:tc>
        <w:tc>
          <w:tcPr>
            <w:tcW w:w="5466" w:type="dxa"/>
            <w:tcBorders>
              <w:top w:val="nil"/>
              <w:left w:val="nil"/>
              <w:bottom w:val="nil"/>
              <w:right w:val="nil"/>
            </w:tcBorders>
            <w:tcMar>
              <w:top w:w="128" w:type="dxa"/>
              <w:left w:w="43" w:type="dxa"/>
              <w:bottom w:w="43" w:type="dxa"/>
              <w:right w:w="43" w:type="dxa"/>
            </w:tcMar>
          </w:tcPr>
          <w:p w14:paraId="0CD4A0AA" w14:textId="77777777" w:rsidR="00F7113A" w:rsidRPr="00580C0D" w:rsidRDefault="00142E5B" w:rsidP="00D665D9">
            <w:r w:rsidRPr="00580C0D">
              <w:t xml:space="preserve">Særaldergrensen for </w:t>
            </w:r>
            <w:proofErr w:type="gramStart"/>
            <w:r w:rsidRPr="00580C0D">
              <w:t>tilsette</w:t>
            </w:r>
            <w:proofErr w:type="gramEnd"/>
            <w:r w:rsidRPr="00580C0D">
              <w:t xml:space="preserve"> i staten</w:t>
            </w:r>
          </w:p>
        </w:tc>
        <w:tc>
          <w:tcPr>
            <w:tcW w:w="1400" w:type="dxa"/>
            <w:tcBorders>
              <w:top w:val="nil"/>
              <w:left w:val="nil"/>
              <w:bottom w:val="nil"/>
              <w:right w:val="nil"/>
            </w:tcBorders>
            <w:tcMar>
              <w:top w:w="128" w:type="dxa"/>
              <w:left w:w="43" w:type="dxa"/>
              <w:bottom w:w="43" w:type="dxa"/>
              <w:right w:w="43" w:type="dxa"/>
            </w:tcMar>
          </w:tcPr>
          <w:p w14:paraId="542440F2" w14:textId="77777777" w:rsidR="00F7113A" w:rsidRPr="00580C0D" w:rsidRDefault="00142E5B" w:rsidP="00D665D9">
            <w:pPr>
              <w:jc w:val="right"/>
            </w:pPr>
            <w:r w:rsidRPr="00580C0D">
              <w:t>Nei</w:t>
            </w:r>
          </w:p>
        </w:tc>
      </w:tr>
      <w:tr w:rsidR="00F7113A" w:rsidRPr="00580C0D" w14:paraId="790039C5" w14:textId="77777777" w:rsidTr="00D665D9">
        <w:trPr>
          <w:trHeight w:val="380"/>
        </w:trPr>
        <w:tc>
          <w:tcPr>
            <w:tcW w:w="1340" w:type="dxa"/>
            <w:tcBorders>
              <w:top w:val="nil"/>
              <w:left w:val="nil"/>
              <w:bottom w:val="single" w:sz="4" w:space="0" w:color="000000"/>
              <w:right w:val="nil"/>
            </w:tcBorders>
            <w:tcMar>
              <w:top w:w="128" w:type="dxa"/>
              <w:left w:w="43" w:type="dxa"/>
              <w:bottom w:w="43" w:type="dxa"/>
              <w:right w:w="43" w:type="dxa"/>
            </w:tcMar>
          </w:tcPr>
          <w:p w14:paraId="5A02A6EA" w14:textId="77777777" w:rsidR="00F7113A" w:rsidRPr="00580C0D" w:rsidRDefault="00142E5B" w:rsidP="00D665D9">
            <w:r w:rsidRPr="00580C0D">
              <w:t>2017 – 2018</w:t>
            </w:r>
          </w:p>
        </w:tc>
        <w:tc>
          <w:tcPr>
            <w:tcW w:w="1354" w:type="dxa"/>
            <w:tcBorders>
              <w:top w:val="nil"/>
              <w:left w:val="nil"/>
              <w:bottom w:val="single" w:sz="4" w:space="0" w:color="000000"/>
              <w:right w:val="nil"/>
            </w:tcBorders>
            <w:tcMar>
              <w:top w:w="128" w:type="dxa"/>
              <w:left w:w="43" w:type="dxa"/>
              <w:bottom w:w="43" w:type="dxa"/>
              <w:right w:w="43" w:type="dxa"/>
            </w:tcMar>
          </w:tcPr>
          <w:p w14:paraId="32CA3C85" w14:textId="77777777" w:rsidR="00F7113A" w:rsidRPr="00580C0D" w:rsidRDefault="00142E5B" w:rsidP="00D665D9">
            <w:pPr>
              <w:ind w:right="113"/>
              <w:jc w:val="right"/>
            </w:pPr>
            <w:r w:rsidRPr="00580C0D">
              <w:t>321</w:t>
            </w:r>
          </w:p>
        </w:tc>
        <w:tc>
          <w:tcPr>
            <w:tcW w:w="5466" w:type="dxa"/>
            <w:tcBorders>
              <w:top w:val="nil"/>
              <w:left w:val="nil"/>
              <w:bottom w:val="single" w:sz="4" w:space="0" w:color="000000"/>
              <w:right w:val="nil"/>
            </w:tcBorders>
            <w:tcMar>
              <w:top w:w="128" w:type="dxa"/>
              <w:left w:w="43" w:type="dxa"/>
              <w:bottom w:w="43" w:type="dxa"/>
              <w:right w:w="43" w:type="dxa"/>
            </w:tcMar>
          </w:tcPr>
          <w:p w14:paraId="1380882C" w14:textId="77777777" w:rsidR="00F7113A" w:rsidRPr="00580C0D" w:rsidRDefault="00142E5B" w:rsidP="00D665D9">
            <w:r w:rsidRPr="00580C0D">
              <w:t xml:space="preserve">Overgangsordning for fosterforeldre </w:t>
            </w:r>
          </w:p>
        </w:tc>
        <w:tc>
          <w:tcPr>
            <w:tcW w:w="1400" w:type="dxa"/>
            <w:tcBorders>
              <w:top w:val="nil"/>
              <w:left w:val="nil"/>
              <w:bottom w:val="single" w:sz="4" w:space="0" w:color="000000"/>
              <w:right w:val="nil"/>
            </w:tcBorders>
            <w:tcMar>
              <w:top w:w="128" w:type="dxa"/>
              <w:left w:w="43" w:type="dxa"/>
              <w:bottom w:w="43" w:type="dxa"/>
              <w:right w:w="43" w:type="dxa"/>
            </w:tcMar>
          </w:tcPr>
          <w:p w14:paraId="44F4A8E5" w14:textId="77777777" w:rsidR="00F7113A" w:rsidRPr="00580C0D" w:rsidRDefault="00142E5B" w:rsidP="00D665D9">
            <w:pPr>
              <w:jc w:val="right"/>
            </w:pPr>
            <w:r w:rsidRPr="00580C0D">
              <w:t>Nei</w:t>
            </w:r>
          </w:p>
        </w:tc>
      </w:tr>
    </w:tbl>
    <w:p w14:paraId="7C62C050" w14:textId="77777777" w:rsidR="00F7113A" w:rsidRPr="00580C0D" w:rsidRDefault="00142E5B" w:rsidP="00580C0D">
      <w:pPr>
        <w:pStyle w:val="Overskrift2"/>
      </w:pPr>
      <w:r w:rsidRPr="00580C0D">
        <w:t>Stortingssesjon 2022–2023</w:t>
      </w:r>
    </w:p>
    <w:p w14:paraId="7378AD01" w14:textId="77777777" w:rsidR="00F7113A" w:rsidRPr="00580C0D" w:rsidRDefault="00142E5B" w:rsidP="00580C0D">
      <w:pPr>
        <w:pStyle w:val="avsnitt-tittel"/>
      </w:pPr>
      <w:proofErr w:type="spellStart"/>
      <w:r w:rsidRPr="00580C0D">
        <w:t>Endringar</w:t>
      </w:r>
      <w:proofErr w:type="spellEnd"/>
      <w:r w:rsidRPr="00580C0D">
        <w:t xml:space="preserve"> i folketrygdlova mv. (</w:t>
      </w:r>
      <w:proofErr w:type="spellStart"/>
      <w:r w:rsidRPr="00580C0D">
        <w:t>synleggjering</w:t>
      </w:r>
      <w:proofErr w:type="spellEnd"/>
      <w:r w:rsidRPr="00580C0D">
        <w:t xml:space="preserve"> av </w:t>
      </w:r>
      <w:proofErr w:type="spellStart"/>
      <w:r w:rsidRPr="00580C0D">
        <w:t>folkerettslege</w:t>
      </w:r>
      <w:proofErr w:type="spellEnd"/>
      <w:r w:rsidRPr="00580C0D">
        <w:t xml:space="preserve"> </w:t>
      </w:r>
      <w:proofErr w:type="spellStart"/>
      <w:r w:rsidRPr="00580C0D">
        <w:t>forpliktingar</w:t>
      </w:r>
      <w:proofErr w:type="spellEnd"/>
      <w:r w:rsidRPr="00580C0D">
        <w:t xml:space="preserve"> til trygdekoordinering)</w:t>
      </w:r>
    </w:p>
    <w:p w14:paraId="7791E796" w14:textId="77777777" w:rsidR="00F7113A" w:rsidRPr="00580C0D" w:rsidRDefault="00142E5B" w:rsidP="00580C0D">
      <w:pPr>
        <w:pStyle w:val="avsnitt-undertittel"/>
      </w:pPr>
      <w:r w:rsidRPr="00580C0D">
        <w:t>Vedtak 37, 26. oktober 2022</w:t>
      </w:r>
    </w:p>
    <w:p w14:paraId="336E58CF" w14:textId="77777777" w:rsidR="00F7113A" w:rsidRPr="00580C0D" w:rsidRDefault="00142E5B" w:rsidP="00580C0D">
      <w:pPr>
        <w:pStyle w:val="blokksit"/>
        <w:rPr>
          <w:rStyle w:val="kursiv"/>
        </w:rPr>
      </w:pPr>
      <w:r w:rsidRPr="00580C0D">
        <w:rPr>
          <w:rStyle w:val="kursiv"/>
        </w:rPr>
        <w:t>«Stortinget ber regjeringen komme tilbake til Stortinget med en avklaring av forholdet mellom folketrygdlovens bestemmelser og EØS-retten.»</w:t>
      </w:r>
    </w:p>
    <w:p w14:paraId="2B51C5A8"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71 L (2021–2022), </w:t>
      </w:r>
      <w:proofErr w:type="spellStart"/>
      <w:r w:rsidRPr="00580C0D">
        <w:t>Innst</w:t>
      </w:r>
      <w:proofErr w:type="spellEnd"/>
      <w:r w:rsidRPr="00580C0D">
        <w:t>. 33 L (2022–2023), Lovvedtak 2.</w:t>
      </w:r>
    </w:p>
    <w:p w14:paraId="7B188A4E" w14:textId="77777777" w:rsidR="00F7113A" w:rsidRPr="00580C0D" w:rsidRDefault="00142E5B" w:rsidP="00580C0D">
      <w:r w:rsidRPr="00580C0D">
        <w:t xml:space="preserve">Oppmodingsvedtaket er til behandling i departementet. 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777ECF17" w14:textId="77777777" w:rsidR="00F7113A" w:rsidRPr="00580C0D" w:rsidRDefault="00142E5B" w:rsidP="00580C0D">
      <w:pPr>
        <w:pStyle w:val="avsnitt-tittel"/>
      </w:pPr>
      <w:r w:rsidRPr="00580C0D">
        <w:t xml:space="preserve">Representantforslag om å betre ME-sjuke sine </w:t>
      </w:r>
      <w:proofErr w:type="spellStart"/>
      <w:r w:rsidRPr="00580C0D">
        <w:t>trygderettar</w:t>
      </w:r>
      <w:proofErr w:type="spellEnd"/>
    </w:p>
    <w:p w14:paraId="56DB8FD4" w14:textId="77777777" w:rsidR="00F7113A" w:rsidRPr="00580C0D" w:rsidRDefault="00142E5B" w:rsidP="00580C0D">
      <w:pPr>
        <w:pStyle w:val="avsnitt-undertittel"/>
      </w:pPr>
      <w:r w:rsidRPr="00580C0D">
        <w:t>Vedtak 59, 24. november 2022</w:t>
      </w:r>
    </w:p>
    <w:p w14:paraId="40299633" w14:textId="77777777" w:rsidR="00F7113A" w:rsidRPr="00580C0D" w:rsidRDefault="00142E5B" w:rsidP="00580C0D">
      <w:pPr>
        <w:pStyle w:val="blokksit"/>
        <w:rPr>
          <w:rStyle w:val="kursiv"/>
        </w:rPr>
      </w:pPr>
      <w:r w:rsidRPr="00580C0D">
        <w:rPr>
          <w:rStyle w:val="kursiv"/>
        </w:rPr>
        <w:t>«Stortinget ber regjeringen gjennomgå regelverk og praksis for å sikre at man ivaretar CFS/ME-sykes rett til likebehandling med tanke på krav om hensiktsmessig behandling ved søknad om uføretrygd.»</w:t>
      </w:r>
    </w:p>
    <w:p w14:paraId="167408BB" w14:textId="77777777" w:rsidR="00F7113A" w:rsidRPr="00580C0D" w:rsidRDefault="00142E5B" w:rsidP="00580C0D">
      <w:r w:rsidRPr="00580C0D">
        <w:t xml:space="preserve">Vedtaket blei gjort ved behandling av Dokument 8:271 S (2021–2022), </w:t>
      </w:r>
      <w:proofErr w:type="spellStart"/>
      <w:r w:rsidRPr="00580C0D">
        <w:t>Innst</w:t>
      </w:r>
      <w:proofErr w:type="spellEnd"/>
      <w:r w:rsidRPr="00580C0D">
        <w:t>. 52 S (2022–2023).</w:t>
      </w:r>
    </w:p>
    <w:p w14:paraId="7C7FBE7A" w14:textId="77777777" w:rsidR="00F7113A" w:rsidRPr="00580C0D" w:rsidRDefault="00142E5B" w:rsidP="00580C0D">
      <w:r w:rsidRPr="00580C0D">
        <w:t xml:space="preserve">I oppfølging av oppmodingsvedtaket har departementet i samråd med Arbeids- og velferdsdirektoratet gjennomgått regelverk og praksis knytt til behandling av krav om uføretrygd for </w:t>
      </w:r>
      <w:proofErr w:type="spellStart"/>
      <w:r w:rsidRPr="00580C0D">
        <w:t>personar</w:t>
      </w:r>
      <w:proofErr w:type="spellEnd"/>
      <w:r w:rsidRPr="00580C0D">
        <w:t xml:space="preserve"> med CFS/ME. Verken Arbeids- og velferdsdirektoratet eller Arbeids- og inkluderingsdepartement finn det </w:t>
      </w:r>
      <w:proofErr w:type="spellStart"/>
      <w:r w:rsidRPr="00580C0D">
        <w:t>formålstenleg</w:t>
      </w:r>
      <w:proofErr w:type="spellEnd"/>
      <w:r w:rsidRPr="00580C0D">
        <w:t xml:space="preserve"> å foreslå </w:t>
      </w:r>
      <w:proofErr w:type="spellStart"/>
      <w:r w:rsidRPr="00580C0D">
        <w:t>endringar</w:t>
      </w:r>
      <w:proofErr w:type="spellEnd"/>
      <w:r w:rsidRPr="00580C0D">
        <w:t xml:space="preserve"> i folketrygdlova eller forskrifter. </w:t>
      </w:r>
      <w:proofErr w:type="spellStart"/>
      <w:r w:rsidRPr="00580C0D">
        <w:t>Tidlegare</w:t>
      </w:r>
      <w:proofErr w:type="spellEnd"/>
      <w:r w:rsidRPr="00580C0D">
        <w:t xml:space="preserve"> har det </w:t>
      </w:r>
      <w:proofErr w:type="spellStart"/>
      <w:r w:rsidRPr="00580C0D">
        <w:t>vore</w:t>
      </w:r>
      <w:proofErr w:type="spellEnd"/>
      <w:r w:rsidRPr="00580C0D">
        <w:t xml:space="preserve"> ei eiga omtale av CFS/ME i rundskrivet. Dette kan ha skapt inntrykk av at det skjer ei anna og </w:t>
      </w:r>
      <w:proofErr w:type="spellStart"/>
      <w:r w:rsidRPr="00580C0D">
        <w:t>strengare</w:t>
      </w:r>
      <w:proofErr w:type="spellEnd"/>
      <w:r w:rsidRPr="00580C0D">
        <w:t xml:space="preserve"> behandling av denne gruppa, </w:t>
      </w:r>
      <w:proofErr w:type="spellStart"/>
      <w:r w:rsidRPr="00580C0D">
        <w:t>sjølv</w:t>
      </w:r>
      <w:proofErr w:type="spellEnd"/>
      <w:r w:rsidRPr="00580C0D">
        <w:t xml:space="preserve"> om dette </w:t>
      </w:r>
      <w:proofErr w:type="spellStart"/>
      <w:r w:rsidRPr="00580C0D">
        <w:t>ikkje</w:t>
      </w:r>
      <w:proofErr w:type="spellEnd"/>
      <w:r w:rsidRPr="00580C0D">
        <w:t xml:space="preserve"> har </w:t>
      </w:r>
      <w:proofErr w:type="spellStart"/>
      <w:r w:rsidRPr="00580C0D">
        <w:t>vore</w:t>
      </w:r>
      <w:proofErr w:type="spellEnd"/>
      <w:r w:rsidRPr="00580C0D">
        <w:t xml:space="preserve"> formålet med </w:t>
      </w:r>
      <w:proofErr w:type="spellStart"/>
      <w:r w:rsidRPr="00580C0D">
        <w:t>omtala</w:t>
      </w:r>
      <w:proofErr w:type="spellEnd"/>
      <w:r w:rsidRPr="00580C0D">
        <w:t xml:space="preserve"> i rundskrivet. Arbeids- og velferdsdirektoratet har derfor </w:t>
      </w:r>
      <w:proofErr w:type="spellStart"/>
      <w:r w:rsidRPr="00580C0D">
        <w:t>valt</w:t>
      </w:r>
      <w:proofErr w:type="spellEnd"/>
      <w:r w:rsidRPr="00580C0D">
        <w:t xml:space="preserve"> å fjerne den </w:t>
      </w:r>
      <w:proofErr w:type="spellStart"/>
      <w:r w:rsidRPr="00580C0D">
        <w:t>tidlegare</w:t>
      </w:r>
      <w:proofErr w:type="spellEnd"/>
      <w:r w:rsidRPr="00580C0D">
        <w:t xml:space="preserve"> </w:t>
      </w:r>
      <w:proofErr w:type="spellStart"/>
      <w:r w:rsidRPr="00580C0D">
        <w:t>omtala</w:t>
      </w:r>
      <w:proofErr w:type="spellEnd"/>
      <w:r w:rsidRPr="00580C0D">
        <w:t xml:space="preserve"> i rundskrivet. Direktoratet vil også gjennomføre </w:t>
      </w:r>
      <w:proofErr w:type="spellStart"/>
      <w:r w:rsidRPr="00580C0D">
        <w:t>eit</w:t>
      </w:r>
      <w:proofErr w:type="spellEnd"/>
      <w:r w:rsidRPr="00580C0D">
        <w:t xml:space="preserve"> par andre tiltak. Sjå </w:t>
      </w:r>
      <w:proofErr w:type="spellStart"/>
      <w:r w:rsidRPr="00580C0D">
        <w:t>nærmare</w:t>
      </w:r>
      <w:proofErr w:type="spellEnd"/>
      <w:r w:rsidRPr="00580C0D">
        <w:t xml:space="preserve"> omtale av oppfølging av oppmodingsvedtaket under del II, kap. 2655 Uførhet.</w:t>
      </w:r>
    </w:p>
    <w:p w14:paraId="4BBB58A3"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endringa av rundskrivet mv. vil legge til rette for likebehandling av krav om uføretrygd mellom </w:t>
      </w:r>
      <w:proofErr w:type="spellStart"/>
      <w:r w:rsidRPr="00580C0D">
        <w:t>personar</w:t>
      </w:r>
      <w:proofErr w:type="spellEnd"/>
      <w:r w:rsidRPr="00580C0D">
        <w:t xml:space="preserve"> med CFS/ME og </w:t>
      </w:r>
      <w:proofErr w:type="spellStart"/>
      <w:r w:rsidRPr="00580C0D">
        <w:t>personar</w:t>
      </w:r>
      <w:proofErr w:type="spellEnd"/>
      <w:r w:rsidRPr="00580C0D">
        <w:t xml:space="preserve"> med andre </w:t>
      </w:r>
      <w:proofErr w:type="spellStart"/>
      <w:r w:rsidRPr="00580C0D">
        <w:t>diagnosar</w:t>
      </w:r>
      <w:proofErr w:type="spellEnd"/>
      <w:r w:rsidRPr="00580C0D">
        <w:t>.</w:t>
      </w:r>
    </w:p>
    <w:p w14:paraId="6D444B0A"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6FFFB910" w14:textId="77777777" w:rsidR="00F7113A" w:rsidRPr="00580C0D" w:rsidRDefault="00142E5B" w:rsidP="00580C0D">
      <w:pPr>
        <w:pStyle w:val="avsnitt-tittel"/>
      </w:pPr>
      <w:r w:rsidRPr="00580C0D">
        <w:t xml:space="preserve">Representantforslag om å betre ME-sjuke sine </w:t>
      </w:r>
      <w:proofErr w:type="spellStart"/>
      <w:r w:rsidRPr="00580C0D">
        <w:t>trygderettar</w:t>
      </w:r>
      <w:proofErr w:type="spellEnd"/>
    </w:p>
    <w:p w14:paraId="406B9386" w14:textId="77777777" w:rsidR="00F7113A" w:rsidRPr="00580C0D" w:rsidRDefault="00142E5B" w:rsidP="00580C0D">
      <w:pPr>
        <w:pStyle w:val="avsnitt-undertittel"/>
      </w:pPr>
      <w:r w:rsidRPr="00580C0D">
        <w:t>Vedtak 60, 24. november 2022</w:t>
      </w:r>
    </w:p>
    <w:p w14:paraId="7A074721" w14:textId="77777777" w:rsidR="00F7113A" w:rsidRPr="00580C0D" w:rsidRDefault="00142E5B" w:rsidP="00580C0D">
      <w:pPr>
        <w:pStyle w:val="blokksit"/>
        <w:rPr>
          <w:rStyle w:val="kursiv"/>
        </w:rPr>
      </w:pPr>
      <w:r w:rsidRPr="00580C0D">
        <w:rPr>
          <w:rStyle w:val="kursiv"/>
        </w:rPr>
        <w:t>«Stortinget ber regjeringen gjennomgå regelverk og praksis for å sikre at CFS/ME-syke under avklaring ikke blir underlagt krav om behandling som er utilgjengelig, eller som de får avslag på i det offentlige helsevesenet.»</w:t>
      </w:r>
    </w:p>
    <w:p w14:paraId="0440B9D3" w14:textId="77777777" w:rsidR="00F7113A" w:rsidRPr="00580C0D" w:rsidRDefault="00142E5B" w:rsidP="00580C0D">
      <w:r w:rsidRPr="00580C0D">
        <w:t xml:space="preserve">Vedtaket blei gjort ved behandling av Dokument 8:271 S (2021–2022), </w:t>
      </w:r>
      <w:proofErr w:type="spellStart"/>
      <w:r w:rsidRPr="00580C0D">
        <w:t>Innst</w:t>
      </w:r>
      <w:proofErr w:type="spellEnd"/>
      <w:r w:rsidRPr="00580C0D">
        <w:t>. 52 S (2022–2023).</w:t>
      </w:r>
    </w:p>
    <w:p w14:paraId="42257871" w14:textId="77777777" w:rsidR="00F7113A" w:rsidRPr="00580C0D" w:rsidRDefault="00142E5B" w:rsidP="00580C0D">
      <w:r w:rsidRPr="00580C0D">
        <w:t xml:space="preserve">Departementet viser til omtalen under oppmodingsvedtak nr. 59, 24. november 2022, og direktoratet sin gjennomgang av regelverk og praksis for krav om uføretrygd </w:t>
      </w:r>
      <w:proofErr w:type="spellStart"/>
      <w:r w:rsidRPr="00580C0D">
        <w:t>frå</w:t>
      </w:r>
      <w:proofErr w:type="spellEnd"/>
      <w:r w:rsidRPr="00580C0D">
        <w:t xml:space="preserve"> </w:t>
      </w:r>
      <w:proofErr w:type="spellStart"/>
      <w:r w:rsidRPr="00580C0D">
        <w:t>personar</w:t>
      </w:r>
      <w:proofErr w:type="spellEnd"/>
      <w:r w:rsidRPr="00580C0D">
        <w:t xml:space="preserve"> med CFS/ME. Sjå også </w:t>
      </w:r>
      <w:proofErr w:type="spellStart"/>
      <w:r w:rsidRPr="00580C0D">
        <w:t>nærmare</w:t>
      </w:r>
      <w:proofErr w:type="spellEnd"/>
      <w:r w:rsidRPr="00580C0D">
        <w:t xml:space="preserve"> omtale av oppfølging av oppmodingsvedtaket under del II, kap. 2655 Uførhet.</w:t>
      </w:r>
    </w:p>
    <w:p w14:paraId="328A6802"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02C4F038" w14:textId="77777777" w:rsidR="00F7113A" w:rsidRPr="00580C0D" w:rsidRDefault="00142E5B" w:rsidP="00580C0D">
      <w:pPr>
        <w:pStyle w:val="avsnitt-tittel"/>
      </w:pPr>
      <w:r w:rsidRPr="00580C0D">
        <w:t>Oppheve Arbeidstilsynet sin øvre gebyrgrense</w:t>
      </w:r>
    </w:p>
    <w:p w14:paraId="58403F80" w14:textId="77777777" w:rsidR="00F7113A" w:rsidRPr="00580C0D" w:rsidRDefault="00142E5B" w:rsidP="00580C0D">
      <w:pPr>
        <w:pStyle w:val="avsnitt-undertittel"/>
      </w:pPr>
      <w:r w:rsidRPr="00580C0D">
        <w:t>Vedtak 61, 24. november 2022</w:t>
      </w:r>
    </w:p>
    <w:p w14:paraId="33D10352" w14:textId="77777777" w:rsidR="00F7113A" w:rsidRPr="00580C0D" w:rsidRDefault="00142E5B" w:rsidP="00580C0D">
      <w:pPr>
        <w:pStyle w:val="blokksit"/>
        <w:rPr>
          <w:rStyle w:val="kursiv"/>
        </w:rPr>
      </w:pPr>
      <w:r w:rsidRPr="00580C0D">
        <w:rPr>
          <w:rStyle w:val="kursiv"/>
        </w:rPr>
        <w:t>«Stortinget ber regjeringen betydelig heve den øvre grensen for ileggelse av overtredelsesgebyr samt sørge for at arbeidslivskriminalitet av grov karakter skal rutinemessig politianmeldes.»</w:t>
      </w:r>
    </w:p>
    <w:p w14:paraId="747927E5" w14:textId="77777777" w:rsidR="00F7113A" w:rsidRPr="00580C0D" w:rsidRDefault="00142E5B" w:rsidP="00580C0D">
      <w:r w:rsidRPr="00580C0D">
        <w:t xml:space="preserve">Vedtaket blei gjort ved behandling av Dokument 8:278 S (2021–2022), </w:t>
      </w:r>
      <w:proofErr w:type="spellStart"/>
      <w:r w:rsidRPr="00580C0D">
        <w:t>Innst</w:t>
      </w:r>
      <w:proofErr w:type="spellEnd"/>
      <w:r w:rsidRPr="00580C0D">
        <w:t>. 51 S (2022–2023).</w:t>
      </w:r>
    </w:p>
    <w:p w14:paraId="66FC647D" w14:textId="77777777" w:rsidR="00F7113A" w:rsidRPr="00580C0D" w:rsidRDefault="00142E5B" w:rsidP="00580C0D">
      <w:r w:rsidRPr="00580C0D">
        <w:t xml:space="preserve">Oppmodingsvedtaket er til behandling i departementet. Departementet tar sikte på å sende </w:t>
      </w:r>
      <w:proofErr w:type="spellStart"/>
      <w:r w:rsidRPr="00580C0D">
        <w:t>eit</w:t>
      </w:r>
      <w:proofErr w:type="spellEnd"/>
      <w:r w:rsidRPr="00580C0D">
        <w:t xml:space="preserve"> forslag om Arbeidstilsynet si øvre gebyrgrense på </w:t>
      </w:r>
      <w:proofErr w:type="spellStart"/>
      <w:r w:rsidRPr="00580C0D">
        <w:t>høyring</w:t>
      </w:r>
      <w:proofErr w:type="spellEnd"/>
      <w:r w:rsidRPr="00580C0D">
        <w:t xml:space="preserve"> i løpet av kort tid. </w:t>
      </w:r>
    </w:p>
    <w:p w14:paraId="7BA8099D" w14:textId="77777777" w:rsidR="00F7113A" w:rsidRPr="00580C0D" w:rsidRDefault="00142E5B" w:rsidP="00580C0D">
      <w:pPr>
        <w:pStyle w:val="avsnitt-tittel"/>
      </w:pPr>
      <w:proofErr w:type="spellStart"/>
      <w:r w:rsidRPr="00580C0D">
        <w:t>Eit</w:t>
      </w:r>
      <w:proofErr w:type="spellEnd"/>
      <w:r w:rsidRPr="00580C0D">
        <w:t xml:space="preserve"> </w:t>
      </w:r>
      <w:proofErr w:type="spellStart"/>
      <w:r w:rsidRPr="00580C0D">
        <w:t>meir</w:t>
      </w:r>
      <w:proofErr w:type="spellEnd"/>
      <w:r w:rsidRPr="00580C0D">
        <w:t xml:space="preserve"> </w:t>
      </w:r>
      <w:proofErr w:type="spellStart"/>
      <w:r w:rsidRPr="00580C0D">
        <w:t>tilgjengeleg</w:t>
      </w:r>
      <w:proofErr w:type="spellEnd"/>
      <w:r w:rsidRPr="00580C0D">
        <w:t xml:space="preserve"> Nav</w:t>
      </w:r>
    </w:p>
    <w:p w14:paraId="7885D60D" w14:textId="77777777" w:rsidR="00F7113A" w:rsidRPr="00580C0D" w:rsidRDefault="00142E5B" w:rsidP="00580C0D">
      <w:pPr>
        <w:pStyle w:val="avsnitt-undertittel"/>
      </w:pPr>
      <w:r w:rsidRPr="00580C0D">
        <w:t>Vedtak 63, 29. november 2022</w:t>
      </w:r>
    </w:p>
    <w:p w14:paraId="4171A10A" w14:textId="77777777" w:rsidR="00F7113A" w:rsidRPr="00580C0D" w:rsidRDefault="00142E5B" w:rsidP="00580C0D">
      <w:pPr>
        <w:pStyle w:val="blokksit"/>
        <w:rPr>
          <w:rStyle w:val="kursiv"/>
        </w:rPr>
      </w:pPr>
      <w:r w:rsidRPr="00580C0D">
        <w:rPr>
          <w:rStyle w:val="kursiv"/>
        </w:rPr>
        <w:t>«Stortinget ber regjeringen sørge for at alle landets Nav-kontor har en åpningstid og tilgjengelighet som sikrer brukere som ikke kan eller ikke er komfortable med å benytte seg av digitale og selvbetjente løsninger.»</w:t>
      </w:r>
    </w:p>
    <w:p w14:paraId="3F3BE143" w14:textId="77777777" w:rsidR="00F7113A" w:rsidRPr="00580C0D" w:rsidRDefault="00142E5B" w:rsidP="00580C0D">
      <w:r w:rsidRPr="00580C0D">
        <w:t xml:space="preserve">Vedtaket blei gjort ved behandling av Dokument 8:1 S (2022–2023), </w:t>
      </w:r>
      <w:proofErr w:type="spellStart"/>
      <w:r w:rsidRPr="00580C0D">
        <w:t>Innst</w:t>
      </w:r>
      <w:proofErr w:type="spellEnd"/>
      <w:r w:rsidRPr="00580C0D">
        <w:t>. 62 S (2022–2023).</w:t>
      </w:r>
    </w:p>
    <w:p w14:paraId="773D9F01" w14:textId="77777777" w:rsidR="00F7113A" w:rsidRPr="00580C0D" w:rsidRDefault="00142E5B" w:rsidP="00580C0D">
      <w:r w:rsidRPr="00580C0D">
        <w:t xml:space="preserve">Dette er </w:t>
      </w:r>
      <w:proofErr w:type="spellStart"/>
      <w:r w:rsidRPr="00580C0D">
        <w:t>følgt</w:t>
      </w:r>
      <w:proofErr w:type="spellEnd"/>
      <w:r w:rsidRPr="00580C0D">
        <w:t xml:space="preserve"> opp i styringsdialogen med Arbeids- og velferdsdirektoratet. I tildelingsbrevet for 2023 er det presisert at arbeids- og velferdsforvaltninga skal </w:t>
      </w:r>
      <w:proofErr w:type="spellStart"/>
      <w:r w:rsidRPr="00580C0D">
        <w:t>vere</w:t>
      </w:r>
      <w:proofErr w:type="spellEnd"/>
      <w:r w:rsidRPr="00580C0D">
        <w:t xml:space="preserve"> </w:t>
      </w:r>
      <w:proofErr w:type="spellStart"/>
      <w:r w:rsidRPr="00580C0D">
        <w:t>tilgjengeleg</w:t>
      </w:r>
      <w:proofErr w:type="spellEnd"/>
      <w:r w:rsidRPr="00580C0D">
        <w:t xml:space="preserve"> digitalt, på telefon eller ved </w:t>
      </w:r>
      <w:proofErr w:type="spellStart"/>
      <w:r w:rsidRPr="00580C0D">
        <w:t>personleg</w:t>
      </w:r>
      <w:proofErr w:type="spellEnd"/>
      <w:r w:rsidRPr="00580C0D">
        <w:t xml:space="preserve"> frammøte. Arbeids- og velferdsdirektoratet skal legge til rette for at alle NAV-kontora har ei </w:t>
      </w:r>
      <w:proofErr w:type="spellStart"/>
      <w:r w:rsidRPr="00580C0D">
        <w:t>opningstid</w:t>
      </w:r>
      <w:proofErr w:type="spellEnd"/>
      <w:r w:rsidRPr="00580C0D">
        <w:t xml:space="preserve"> som </w:t>
      </w:r>
      <w:proofErr w:type="spellStart"/>
      <w:r w:rsidRPr="00580C0D">
        <w:t>sikrar</w:t>
      </w:r>
      <w:proofErr w:type="spellEnd"/>
      <w:r w:rsidRPr="00580C0D">
        <w:t xml:space="preserve"> god </w:t>
      </w:r>
      <w:proofErr w:type="spellStart"/>
      <w:r w:rsidRPr="00580C0D">
        <w:t>tilgjengelegheit</w:t>
      </w:r>
      <w:proofErr w:type="spellEnd"/>
      <w:r w:rsidRPr="00580C0D">
        <w:t xml:space="preserve"> til </w:t>
      </w:r>
      <w:proofErr w:type="spellStart"/>
      <w:r w:rsidRPr="00580C0D">
        <w:t>brukarane</w:t>
      </w:r>
      <w:proofErr w:type="spellEnd"/>
      <w:r w:rsidRPr="00580C0D">
        <w:t xml:space="preserve"> som </w:t>
      </w:r>
      <w:proofErr w:type="spellStart"/>
      <w:r w:rsidRPr="00580C0D">
        <w:t>ikkje</w:t>
      </w:r>
      <w:proofErr w:type="spellEnd"/>
      <w:r w:rsidRPr="00580C0D">
        <w:t xml:space="preserve"> kan eller </w:t>
      </w:r>
      <w:proofErr w:type="spellStart"/>
      <w:r w:rsidRPr="00580C0D">
        <w:t>ikkje</w:t>
      </w:r>
      <w:proofErr w:type="spellEnd"/>
      <w:r w:rsidRPr="00580C0D">
        <w:t xml:space="preserve"> er komfortable med å nytte seg av digitale og </w:t>
      </w:r>
      <w:proofErr w:type="spellStart"/>
      <w:r w:rsidRPr="00580C0D">
        <w:t>sjølvbetente</w:t>
      </w:r>
      <w:proofErr w:type="spellEnd"/>
      <w:r w:rsidRPr="00580C0D">
        <w:t xml:space="preserve"> </w:t>
      </w:r>
      <w:proofErr w:type="spellStart"/>
      <w:r w:rsidRPr="00580C0D">
        <w:t>løysingar</w:t>
      </w:r>
      <w:proofErr w:type="spellEnd"/>
      <w:r w:rsidRPr="00580C0D">
        <w:t>.</w:t>
      </w:r>
    </w:p>
    <w:p w14:paraId="1209D723" w14:textId="77777777" w:rsidR="00F7113A" w:rsidRPr="00580C0D" w:rsidRDefault="00142E5B" w:rsidP="00580C0D">
      <w:proofErr w:type="spellStart"/>
      <w:r w:rsidRPr="00580C0D">
        <w:t>Sosialtenestelova</w:t>
      </w:r>
      <w:proofErr w:type="spellEnd"/>
      <w:r w:rsidRPr="00580C0D">
        <w:t xml:space="preserve"> er samfunnets siste </w:t>
      </w:r>
      <w:proofErr w:type="spellStart"/>
      <w:r w:rsidRPr="00580C0D">
        <w:t>sikkerheitsnett</w:t>
      </w:r>
      <w:proofErr w:type="spellEnd"/>
      <w:r w:rsidRPr="00580C0D">
        <w:t xml:space="preserve">. Den skal ivareta menneska i </w:t>
      </w:r>
      <w:proofErr w:type="spellStart"/>
      <w:r w:rsidRPr="00580C0D">
        <w:t>ein</w:t>
      </w:r>
      <w:proofErr w:type="spellEnd"/>
      <w:r w:rsidRPr="00580C0D">
        <w:t xml:space="preserve"> </w:t>
      </w:r>
      <w:proofErr w:type="spellStart"/>
      <w:r w:rsidRPr="00580C0D">
        <w:t>vanskeleg</w:t>
      </w:r>
      <w:proofErr w:type="spellEnd"/>
      <w:r w:rsidRPr="00580C0D">
        <w:t xml:space="preserve"> livssituasjon. Det kan handle om behov for råd og rettleiing, stønad til livsopphold og mellombels bustad.</w:t>
      </w:r>
    </w:p>
    <w:p w14:paraId="1E8F113D" w14:textId="77777777" w:rsidR="00F7113A" w:rsidRPr="00580C0D" w:rsidRDefault="00142E5B" w:rsidP="00580C0D">
      <w:r w:rsidRPr="00580C0D">
        <w:t xml:space="preserve">Arbeids- og velferdsdirektoratet har i dialogen med fylkeskontora understreka at </w:t>
      </w:r>
      <w:proofErr w:type="spellStart"/>
      <w:r w:rsidRPr="00580C0D">
        <w:t>opningstider</w:t>
      </w:r>
      <w:proofErr w:type="spellEnd"/>
      <w:r w:rsidRPr="00580C0D">
        <w:t xml:space="preserve"> og </w:t>
      </w:r>
      <w:proofErr w:type="spellStart"/>
      <w:r w:rsidRPr="00580C0D">
        <w:t>tilgjengelegheit</w:t>
      </w:r>
      <w:proofErr w:type="spellEnd"/>
      <w:r w:rsidRPr="00580C0D">
        <w:t xml:space="preserve"> på NAV-kontora må ivareta alle </w:t>
      </w:r>
      <w:proofErr w:type="spellStart"/>
      <w:r w:rsidRPr="00580C0D">
        <w:t>brukarane</w:t>
      </w:r>
      <w:proofErr w:type="spellEnd"/>
      <w:r w:rsidRPr="00580C0D">
        <w:t xml:space="preserve"> sine behov. Dette er spørsmål som blir tatt opp i </w:t>
      </w:r>
      <w:proofErr w:type="spellStart"/>
      <w:r w:rsidRPr="00580C0D">
        <w:t>partnarskapsmøta</w:t>
      </w:r>
      <w:proofErr w:type="spellEnd"/>
      <w:r w:rsidRPr="00580C0D">
        <w:t xml:space="preserve"> med </w:t>
      </w:r>
      <w:proofErr w:type="spellStart"/>
      <w:r w:rsidRPr="00580C0D">
        <w:t>kommunane</w:t>
      </w:r>
      <w:proofErr w:type="spellEnd"/>
      <w:r w:rsidRPr="00580C0D">
        <w:t>.</w:t>
      </w:r>
    </w:p>
    <w:p w14:paraId="71951B7C" w14:textId="77777777" w:rsidR="00F7113A" w:rsidRPr="00580C0D" w:rsidRDefault="00142E5B" w:rsidP="00580C0D">
      <w:r w:rsidRPr="00580C0D">
        <w:t xml:space="preserve">Den enkelte kommune og det enkelte NAV-kontor må </w:t>
      </w:r>
      <w:proofErr w:type="spellStart"/>
      <w:r w:rsidRPr="00580C0D">
        <w:t>avgjere</w:t>
      </w:r>
      <w:proofErr w:type="spellEnd"/>
      <w:r w:rsidRPr="00580C0D">
        <w:t xml:space="preserve"> korleis </w:t>
      </w:r>
      <w:proofErr w:type="spellStart"/>
      <w:r w:rsidRPr="00580C0D">
        <w:t>dei</w:t>
      </w:r>
      <w:proofErr w:type="spellEnd"/>
      <w:r w:rsidRPr="00580C0D">
        <w:t xml:space="preserve"> innafor ramma av </w:t>
      </w:r>
      <w:proofErr w:type="spellStart"/>
      <w:r w:rsidRPr="00580C0D">
        <w:t>sosialtenestelova</w:t>
      </w:r>
      <w:proofErr w:type="spellEnd"/>
      <w:r w:rsidRPr="00580C0D">
        <w:t xml:space="preserve"> sitt krav til </w:t>
      </w:r>
      <w:proofErr w:type="spellStart"/>
      <w:r w:rsidRPr="00580C0D">
        <w:t>forsvarlege</w:t>
      </w:r>
      <w:proofErr w:type="spellEnd"/>
      <w:r w:rsidRPr="00580C0D">
        <w:t xml:space="preserve"> </w:t>
      </w:r>
      <w:proofErr w:type="spellStart"/>
      <w:r w:rsidRPr="00580C0D">
        <w:t>tenester</w:t>
      </w:r>
      <w:proofErr w:type="spellEnd"/>
      <w:r w:rsidRPr="00580C0D">
        <w:t xml:space="preserve"> kan ivareta </w:t>
      </w:r>
      <w:proofErr w:type="spellStart"/>
      <w:r w:rsidRPr="00580C0D">
        <w:t>opningstider</w:t>
      </w:r>
      <w:proofErr w:type="spellEnd"/>
      <w:r w:rsidRPr="00580C0D">
        <w:t xml:space="preserve"> og </w:t>
      </w:r>
      <w:proofErr w:type="spellStart"/>
      <w:r w:rsidRPr="00580C0D">
        <w:t>tilgjengelegheit</w:t>
      </w:r>
      <w:proofErr w:type="spellEnd"/>
      <w:r w:rsidRPr="00580C0D">
        <w:t xml:space="preserve">. </w:t>
      </w:r>
      <w:proofErr w:type="spellStart"/>
      <w:r w:rsidRPr="00580C0D">
        <w:t>Vurderingane</w:t>
      </w:r>
      <w:proofErr w:type="spellEnd"/>
      <w:r w:rsidRPr="00580C0D">
        <w:t xml:space="preserve"> skal legge vekt på at alle med akutt behov for sosialhjelp raskt skal få kontakt og hjelp </w:t>
      </w:r>
      <w:proofErr w:type="spellStart"/>
      <w:r w:rsidRPr="00580C0D">
        <w:t>frå</w:t>
      </w:r>
      <w:proofErr w:type="spellEnd"/>
      <w:r w:rsidRPr="00580C0D">
        <w:t xml:space="preserve"> sitt NAV-kontor, </w:t>
      </w:r>
      <w:proofErr w:type="spellStart"/>
      <w:r w:rsidRPr="00580C0D">
        <w:t>utan</w:t>
      </w:r>
      <w:proofErr w:type="spellEnd"/>
      <w:r w:rsidRPr="00580C0D">
        <w:t xml:space="preserve"> avtale på førehand.</w:t>
      </w:r>
    </w:p>
    <w:p w14:paraId="004C6B72" w14:textId="77777777" w:rsidR="00F7113A" w:rsidRPr="00580C0D" w:rsidRDefault="00142E5B" w:rsidP="00580C0D">
      <w:r w:rsidRPr="00580C0D">
        <w:t xml:space="preserve">Arbeids- og velferdsdirektoratet </w:t>
      </w:r>
      <w:proofErr w:type="spellStart"/>
      <w:r w:rsidRPr="00580C0D">
        <w:t>oppmoda</w:t>
      </w:r>
      <w:proofErr w:type="spellEnd"/>
      <w:r w:rsidRPr="00580C0D">
        <w:t xml:space="preserve"> i kommunebrevet alle </w:t>
      </w:r>
      <w:proofErr w:type="spellStart"/>
      <w:r w:rsidRPr="00580C0D">
        <w:t>kommunar</w:t>
      </w:r>
      <w:proofErr w:type="spellEnd"/>
      <w:r w:rsidRPr="00580C0D">
        <w:t xml:space="preserve"> som </w:t>
      </w:r>
      <w:proofErr w:type="spellStart"/>
      <w:r w:rsidRPr="00580C0D">
        <w:t>ikkje</w:t>
      </w:r>
      <w:proofErr w:type="spellEnd"/>
      <w:r w:rsidRPr="00580C0D">
        <w:t xml:space="preserve"> </w:t>
      </w:r>
      <w:proofErr w:type="spellStart"/>
      <w:r w:rsidRPr="00580C0D">
        <w:t>allereie</w:t>
      </w:r>
      <w:proofErr w:type="spellEnd"/>
      <w:r w:rsidRPr="00580C0D">
        <w:t xml:space="preserve"> har det, om å opprette </w:t>
      </w:r>
      <w:proofErr w:type="spellStart"/>
      <w:r w:rsidRPr="00580C0D">
        <w:t>ein</w:t>
      </w:r>
      <w:proofErr w:type="spellEnd"/>
      <w:r w:rsidRPr="00580C0D">
        <w:t xml:space="preserve"> bemanna vakttelefon for </w:t>
      </w:r>
      <w:proofErr w:type="spellStart"/>
      <w:r w:rsidRPr="00580C0D">
        <w:t>dei</w:t>
      </w:r>
      <w:proofErr w:type="spellEnd"/>
      <w:r w:rsidRPr="00580C0D">
        <w:t xml:space="preserve"> sosiale </w:t>
      </w:r>
      <w:proofErr w:type="spellStart"/>
      <w:r w:rsidRPr="00580C0D">
        <w:t>tenestene</w:t>
      </w:r>
      <w:proofErr w:type="spellEnd"/>
      <w:r w:rsidRPr="00580C0D">
        <w:t>.</w:t>
      </w:r>
    </w:p>
    <w:p w14:paraId="0EC2B096" w14:textId="77777777" w:rsidR="00F7113A" w:rsidRPr="00580C0D" w:rsidRDefault="00142E5B" w:rsidP="00580C0D">
      <w:r w:rsidRPr="00580C0D">
        <w:t xml:space="preserve">Arbeids- og velferdsdirektoratet opplyser at </w:t>
      </w:r>
      <w:proofErr w:type="spellStart"/>
      <w:r w:rsidRPr="00580C0D">
        <w:t>meir</w:t>
      </w:r>
      <w:proofErr w:type="spellEnd"/>
      <w:r w:rsidRPr="00580C0D">
        <w:t xml:space="preserve"> enn 90 pst. av NAV-kontora </w:t>
      </w:r>
      <w:proofErr w:type="spellStart"/>
      <w:r w:rsidRPr="00580C0D">
        <w:t>no</w:t>
      </w:r>
      <w:proofErr w:type="spellEnd"/>
      <w:r w:rsidRPr="00580C0D">
        <w:t xml:space="preserve"> har </w:t>
      </w:r>
      <w:proofErr w:type="spellStart"/>
      <w:r w:rsidRPr="00580C0D">
        <w:t>ein</w:t>
      </w:r>
      <w:proofErr w:type="spellEnd"/>
      <w:r w:rsidRPr="00580C0D">
        <w:t xml:space="preserve"> vakttelefon for sosiale </w:t>
      </w:r>
      <w:proofErr w:type="spellStart"/>
      <w:r w:rsidRPr="00580C0D">
        <w:t>tenester</w:t>
      </w:r>
      <w:proofErr w:type="spellEnd"/>
      <w:r w:rsidRPr="00580C0D">
        <w:t xml:space="preserve"> som er </w:t>
      </w:r>
      <w:proofErr w:type="spellStart"/>
      <w:r w:rsidRPr="00580C0D">
        <w:t>tilgjengeleg</w:t>
      </w:r>
      <w:proofErr w:type="spellEnd"/>
      <w:r w:rsidRPr="00580C0D">
        <w:t xml:space="preserve"> for NAV Kontaktsenter (NKS). Enkelte av kontora som </w:t>
      </w:r>
      <w:proofErr w:type="spellStart"/>
      <w:r w:rsidRPr="00580C0D">
        <w:t>ikkje</w:t>
      </w:r>
      <w:proofErr w:type="spellEnd"/>
      <w:r w:rsidRPr="00580C0D">
        <w:t xml:space="preserve"> </w:t>
      </w:r>
      <w:proofErr w:type="spellStart"/>
      <w:r w:rsidRPr="00580C0D">
        <w:t>no</w:t>
      </w:r>
      <w:proofErr w:type="spellEnd"/>
      <w:r w:rsidRPr="00580C0D">
        <w:t xml:space="preserve"> har </w:t>
      </w:r>
      <w:proofErr w:type="spellStart"/>
      <w:r w:rsidRPr="00580C0D">
        <w:t>ein</w:t>
      </w:r>
      <w:proofErr w:type="spellEnd"/>
      <w:r w:rsidRPr="00580C0D">
        <w:t xml:space="preserve"> slik vakttelefon, kan ha ei anna løysing. Det kan for eksempel </w:t>
      </w:r>
      <w:proofErr w:type="spellStart"/>
      <w:r w:rsidRPr="00580C0D">
        <w:t>vere</w:t>
      </w:r>
      <w:proofErr w:type="spellEnd"/>
      <w:r w:rsidRPr="00580C0D">
        <w:t xml:space="preserve"> at det er lagt ut direktenummer til </w:t>
      </w:r>
      <w:proofErr w:type="spellStart"/>
      <w:r w:rsidRPr="00580C0D">
        <w:t>saksbehandlar</w:t>
      </w:r>
      <w:proofErr w:type="spellEnd"/>
      <w:r w:rsidRPr="00580C0D">
        <w:t xml:space="preserve"> eller </w:t>
      </w:r>
      <w:proofErr w:type="spellStart"/>
      <w:r w:rsidRPr="00580C0D">
        <w:t>leiar</w:t>
      </w:r>
      <w:proofErr w:type="spellEnd"/>
      <w:r w:rsidRPr="00580C0D">
        <w:t xml:space="preserve"> på kommunens nettsider.</w:t>
      </w:r>
    </w:p>
    <w:p w14:paraId="5DFD1880" w14:textId="77777777" w:rsidR="00F7113A" w:rsidRPr="00580C0D" w:rsidRDefault="00142E5B" w:rsidP="00580C0D">
      <w:proofErr w:type="spellStart"/>
      <w:r w:rsidRPr="00580C0D">
        <w:t>Forutsetningane</w:t>
      </w:r>
      <w:proofErr w:type="spellEnd"/>
      <w:r w:rsidRPr="00580C0D">
        <w:t xml:space="preserve"> om at arbeids- og velferdsforvaltninga skal ha god </w:t>
      </w:r>
      <w:proofErr w:type="spellStart"/>
      <w:r w:rsidRPr="00580C0D">
        <w:t>tilgjengelegheit</w:t>
      </w:r>
      <w:proofErr w:type="spellEnd"/>
      <w:r w:rsidRPr="00580C0D">
        <w:t xml:space="preserve"> vil bli </w:t>
      </w:r>
      <w:proofErr w:type="spellStart"/>
      <w:r w:rsidRPr="00580C0D">
        <w:t>følgt</w:t>
      </w:r>
      <w:proofErr w:type="spellEnd"/>
      <w:r w:rsidRPr="00580C0D">
        <w:t xml:space="preserve"> opp som </w:t>
      </w:r>
      <w:proofErr w:type="spellStart"/>
      <w:r w:rsidRPr="00580C0D">
        <w:t>ein</w:t>
      </w:r>
      <w:proofErr w:type="spellEnd"/>
      <w:r w:rsidRPr="00580C0D">
        <w:t xml:space="preserve"> del av den ordinære styringsdialogen.</w:t>
      </w:r>
    </w:p>
    <w:p w14:paraId="51A1BC93"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44CC29CB" w14:textId="77777777" w:rsidR="00F7113A" w:rsidRPr="00580C0D" w:rsidRDefault="00142E5B" w:rsidP="00580C0D">
      <w:pPr>
        <w:pStyle w:val="avsnitt-tittel"/>
      </w:pPr>
      <w:r w:rsidRPr="00580C0D">
        <w:t xml:space="preserve">Utbetaling av </w:t>
      </w:r>
      <w:proofErr w:type="spellStart"/>
      <w:r w:rsidRPr="00580C0D">
        <w:t>eingongsbeløp</w:t>
      </w:r>
      <w:proofErr w:type="spellEnd"/>
      <w:r w:rsidRPr="00580C0D">
        <w:t xml:space="preserve"> til </w:t>
      </w:r>
      <w:proofErr w:type="spellStart"/>
      <w:r w:rsidRPr="00580C0D">
        <w:t>mottakarar</w:t>
      </w:r>
      <w:proofErr w:type="spellEnd"/>
      <w:r w:rsidRPr="00580C0D">
        <w:t xml:space="preserve"> av minstesats på uføretrygd</w:t>
      </w:r>
    </w:p>
    <w:p w14:paraId="676C3B24" w14:textId="77777777" w:rsidR="00F7113A" w:rsidRPr="00580C0D" w:rsidRDefault="00142E5B" w:rsidP="00580C0D">
      <w:pPr>
        <w:pStyle w:val="avsnitt-undertittel"/>
      </w:pPr>
      <w:r w:rsidRPr="00580C0D">
        <w:t>Vedtak 344, 19. desember 2022</w:t>
      </w:r>
    </w:p>
    <w:p w14:paraId="3E25D195" w14:textId="77777777" w:rsidR="00F7113A" w:rsidRPr="00580C0D" w:rsidRDefault="00142E5B" w:rsidP="00580C0D">
      <w:pPr>
        <w:pStyle w:val="blokksit"/>
        <w:rPr>
          <w:rStyle w:val="kursiv"/>
        </w:rPr>
      </w:pPr>
      <w:r w:rsidRPr="00580C0D">
        <w:rPr>
          <w:rStyle w:val="kursiv"/>
        </w:rPr>
        <w:t>«Stortinget ber regjeringen sørge for utbetaling av et engangsbeløp på 3 000 kroner så raskt som mulig for alle som mottar en minstesats for uføretrygd i januar 2023. Utbetalingen skal ikke være skattepliktig, pensjonsgivende, oppgavepliktig eller trekkpliktig.»</w:t>
      </w:r>
    </w:p>
    <w:p w14:paraId="4BE6247C"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1 S (2022–2023), </w:t>
      </w:r>
      <w:proofErr w:type="spellStart"/>
      <w:r w:rsidRPr="00580C0D">
        <w:t>Innst</w:t>
      </w:r>
      <w:proofErr w:type="spellEnd"/>
      <w:r w:rsidRPr="00580C0D">
        <w:t>. 15 S (2022–2023).</w:t>
      </w:r>
    </w:p>
    <w:p w14:paraId="57127D57" w14:textId="6FE4672D" w:rsidR="00F7113A" w:rsidRPr="00580C0D" w:rsidRDefault="00142E5B" w:rsidP="00580C0D">
      <w:r w:rsidRPr="00580C0D">
        <w:t xml:space="preserve">Arbeids- og inkluderingsdepartementet fastsette 31. januar 2023 med verknad </w:t>
      </w:r>
      <w:proofErr w:type="spellStart"/>
      <w:r w:rsidRPr="00580C0D">
        <w:t>frå</w:t>
      </w:r>
      <w:proofErr w:type="spellEnd"/>
      <w:r w:rsidRPr="00580C0D">
        <w:t xml:space="preserve"> 1. januar 2023 ei forskrift om utbetaling av </w:t>
      </w:r>
      <w:r w:rsidR="00D665D9">
        <w:pgNum/>
      </w:r>
      <w:proofErr w:type="spellStart"/>
      <w:r w:rsidR="00D665D9">
        <w:t>orbrukararm</w:t>
      </w:r>
      <w:proofErr w:type="spellEnd"/>
      <w:r w:rsidR="00D665D9">
        <w:t xml:space="preserve"> eir</w:t>
      </w:r>
      <w:r w:rsidR="00D665D9">
        <w:pgNum/>
      </w:r>
      <w:r w:rsidRPr="00580C0D">
        <w:t xml:space="preserve"> på 3 000 kroner (jamfør forskrift 31. januar 2023 nr. 132 om utbetaling av </w:t>
      </w:r>
      <w:r w:rsidR="00D665D9">
        <w:pgNum/>
      </w:r>
      <w:proofErr w:type="spellStart"/>
      <w:r w:rsidR="00D665D9">
        <w:t>orbrukararm</w:t>
      </w:r>
      <w:proofErr w:type="spellEnd"/>
      <w:r w:rsidR="00D665D9">
        <w:t xml:space="preserve"> eir</w:t>
      </w:r>
      <w:r w:rsidR="00D665D9">
        <w:pgNum/>
      </w:r>
      <w:r w:rsidRPr="00580C0D">
        <w:t xml:space="preserve"> til uføretrygda). Beløpet blei utbetalt i februar 2023 til </w:t>
      </w:r>
      <w:proofErr w:type="spellStart"/>
      <w:r w:rsidRPr="00580C0D">
        <w:t>mottakarar</w:t>
      </w:r>
      <w:proofErr w:type="spellEnd"/>
      <w:r w:rsidRPr="00580C0D">
        <w:t xml:space="preserve"> som i januar 2023 hadde rett til uføretrygd etter </w:t>
      </w:r>
      <w:proofErr w:type="spellStart"/>
      <w:r w:rsidRPr="00580C0D">
        <w:t>ein</w:t>
      </w:r>
      <w:proofErr w:type="spellEnd"/>
      <w:r w:rsidRPr="00580C0D">
        <w:t xml:space="preserve"> av </w:t>
      </w:r>
      <w:proofErr w:type="spellStart"/>
      <w:r w:rsidRPr="00580C0D">
        <w:t>dei</w:t>
      </w:r>
      <w:proofErr w:type="spellEnd"/>
      <w:r w:rsidRPr="00580C0D">
        <w:t xml:space="preserve"> fem </w:t>
      </w:r>
      <w:proofErr w:type="spellStart"/>
      <w:r w:rsidRPr="00580C0D">
        <w:t>minstesatsane</w:t>
      </w:r>
      <w:proofErr w:type="spellEnd"/>
      <w:r w:rsidRPr="00580C0D">
        <w:t xml:space="preserve"> for minste </w:t>
      </w:r>
      <w:proofErr w:type="spellStart"/>
      <w:r w:rsidRPr="00580C0D">
        <w:t>årleg</w:t>
      </w:r>
      <w:proofErr w:type="spellEnd"/>
      <w:r w:rsidRPr="00580C0D">
        <w:t xml:space="preserve"> yting som er </w:t>
      </w:r>
      <w:proofErr w:type="spellStart"/>
      <w:r w:rsidRPr="00580C0D">
        <w:t>nemnt</w:t>
      </w:r>
      <w:proofErr w:type="spellEnd"/>
      <w:r w:rsidRPr="00580C0D">
        <w:t xml:space="preserve"> i folketrygdlova. Alle </w:t>
      </w:r>
      <w:proofErr w:type="spellStart"/>
      <w:r w:rsidRPr="00580C0D">
        <w:t>mottakarane</w:t>
      </w:r>
      <w:proofErr w:type="spellEnd"/>
      <w:r w:rsidRPr="00580C0D">
        <w:t xml:space="preserve"> </w:t>
      </w:r>
      <w:proofErr w:type="spellStart"/>
      <w:r w:rsidRPr="00580C0D">
        <w:t>fekk</w:t>
      </w:r>
      <w:proofErr w:type="spellEnd"/>
      <w:r w:rsidRPr="00580C0D">
        <w:t xml:space="preserve"> 3 000 kroner kvar, uavhengig av uføregrad, utbetalingsgrad og trygdetid. Det gjekk også fram av forskrifta, som </w:t>
      </w:r>
      <w:proofErr w:type="spellStart"/>
      <w:r w:rsidRPr="00580C0D">
        <w:t>no</w:t>
      </w:r>
      <w:proofErr w:type="spellEnd"/>
      <w:r w:rsidRPr="00580C0D">
        <w:t xml:space="preserve"> er oppheva, at beløpet verken var skattepliktig, </w:t>
      </w:r>
      <w:proofErr w:type="spellStart"/>
      <w:r w:rsidRPr="00580C0D">
        <w:t>pensjonsgivande</w:t>
      </w:r>
      <w:proofErr w:type="spellEnd"/>
      <w:r w:rsidRPr="00580C0D">
        <w:t xml:space="preserve">, </w:t>
      </w:r>
      <w:proofErr w:type="spellStart"/>
      <w:r w:rsidRPr="00580C0D">
        <w:t>oppgåvepliktig</w:t>
      </w:r>
      <w:proofErr w:type="spellEnd"/>
      <w:r w:rsidRPr="00580C0D">
        <w:t xml:space="preserve"> eller trekkpliktig.</w:t>
      </w:r>
    </w:p>
    <w:p w14:paraId="7B5F59B4"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14014C33" w14:textId="77777777" w:rsidR="00F7113A" w:rsidRPr="00580C0D" w:rsidRDefault="00142E5B" w:rsidP="00580C0D">
      <w:pPr>
        <w:pStyle w:val="avsnitt-tittel"/>
      </w:pPr>
      <w:r w:rsidRPr="00580C0D">
        <w:t xml:space="preserve">Representantforslag om </w:t>
      </w:r>
      <w:proofErr w:type="spellStart"/>
      <w:r w:rsidRPr="00580C0D">
        <w:t>meir</w:t>
      </w:r>
      <w:proofErr w:type="spellEnd"/>
      <w:r w:rsidRPr="00580C0D">
        <w:t xml:space="preserve"> fridom til å jobbe der du vil</w:t>
      </w:r>
    </w:p>
    <w:p w14:paraId="10D4F31B" w14:textId="77777777" w:rsidR="00F7113A" w:rsidRPr="00580C0D" w:rsidRDefault="00142E5B" w:rsidP="00580C0D">
      <w:pPr>
        <w:pStyle w:val="avsnitt-undertittel"/>
      </w:pPr>
      <w:r w:rsidRPr="00580C0D">
        <w:t>Vedtak 491, 21. februar 2023</w:t>
      </w:r>
    </w:p>
    <w:p w14:paraId="547F1D96" w14:textId="77777777" w:rsidR="00F7113A" w:rsidRPr="00580C0D" w:rsidRDefault="00142E5B" w:rsidP="00580C0D">
      <w:pPr>
        <w:pStyle w:val="blokksit"/>
        <w:rPr>
          <w:rStyle w:val="kursiv"/>
        </w:rPr>
      </w:pPr>
      <w:r w:rsidRPr="00580C0D">
        <w:rPr>
          <w:rStyle w:val="kursiv"/>
        </w:rPr>
        <w:t>«Stortinget ber regjeringen komme tilbake til Stortinget, på et egnet tidspunkt, med en oppsummering av kunnskapsinnhentingen og om utviklingstrekk for hjemmekontor og stedsuavhengige arbeidsplasser i arbeidslivet samt en vurdering av behovet for ytterligere tiltak i lys av dette.»</w:t>
      </w:r>
    </w:p>
    <w:p w14:paraId="2B9EE7F9" w14:textId="77777777" w:rsidR="00F7113A" w:rsidRPr="00580C0D" w:rsidRDefault="00142E5B" w:rsidP="00580C0D">
      <w:r w:rsidRPr="00580C0D">
        <w:t xml:space="preserve">Vedtaket blei gjort ved behandling av Dokument 8:34 S (2022–2023), </w:t>
      </w:r>
      <w:proofErr w:type="spellStart"/>
      <w:r w:rsidRPr="00580C0D">
        <w:t>Innst</w:t>
      </w:r>
      <w:proofErr w:type="spellEnd"/>
      <w:r w:rsidRPr="00580C0D">
        <w:t>. 188 S (2022–2023).</w:t>
      </w:r>
    </w:p>
    <w:p w14:paraId="0A360531" w14:textId="77777777" w:rsidR="00F7113A" w:rsidRPr="00580C0D" w:rsidRDefault="00142E5B" w:rsidP="00580C0D">
      <w:r w:rsidRPr="00580C0D">
        <w:t xml:space="preserve">Departementet har gjennomført en større kartlegging av omfang, utviklingstrekk og </w:t>
      </w:r>
      <w:proofErr w:type="spellStart"/>
      <w:r w:rsidRPr="00580C0D">
        <w:t>konsekvensar</w:t>
      </w:r>
      <w:proofErr w:type="spellEnd"/>
      <w:r w:rsidRPr="00580C0D">
        <w:t xml:space="preserve"> ved bruk av heimekontor og annet fjernarbeid. Kartlegginga har </w:t>
      </w:r>
      <w:proofErr w:type="spellStart"/>
      <w:r w:rsidRPr="00580C0D">
        <w:t>vore</w:t>
      </w:r>
      <w:proofErr w:type="spellEnd"/>
      <w:r w:rsidRPr="00580C0D">
        <w:t xml:space="preserve"> avgrensa til ei tid kor heimekontor i stor grad har </w:t>
      </w:r>
      <w:proofErr w:type="spellStart"/>
      <w:r w:rsidRPr="00580C0D">
        <w:t>vore</w:t>
      </w:r>
      <w:proofErr w:type="spellEnd"/>
      <w:r w:rsidRPr="00580C0D">
        <w:t xml:space="preserve"> pålagt, og den følges derfor videre opp i perioden 2021-2026.</w:t>
      </w:r>
    </w:p>
    <w:p w14:paraId="5571D216" w14:textId="77777777" w:rsidR="00F7113A" w:rsidRPr="00580C0D" w:rsidRDefault="00142E5B" w:rsidP="00580C0D">
      <w:r w:rsidRPr="00580C0D">
        <w:t xml:space="preserve">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0A95730F" w14:textId="77777777" w:rsidR="00F7113A" w:rsidRPr="00580C0D" w:rsidRDefault="00142E5B" w:rsidP="00580C0D">
      <w:pPr>
        <w:pStyle w:val="avsnitt-tittel"/>
      </w:pPr>
      <w:proofErr w:type="spellStart"/>
      <w:r w:rsidRPr="00580C0D">
        <w:t>Endringar</w:t>
      </w:r>
      <w:proofErr w:type="spellEnd"/>
      <w:r w:rsidRPr="00580C0D">
        <w:t xml:space="preserve"> i arbeidsmiljølova mv. (</w:t>
      </w:r>
      <w:proofErr w:type="spellStart"/>
      <w:r w:rsidRPr="00580C0D">
        <w:t>arbeidstakaromgrepet</w:t>
      </w:r>
      <w:proofErr w:type="spellEnd"/>
      <w:r w:rsidRPr="00580C0D">
        <w:t xml:space="preserve"> og </w:t>
      </w:r>
      <w:proofErr w:type="spellStart"/>
      <w:r w:rsidRPr="00580C0D">
        <w:t>arbeidsgivaransvar</w:t>
      </w:r>
      <w:proofErr w:type="spellEnd"/>
      <w:r w:rsidRPr="00580C0D">
        <w:t xml:space="preserve"> i konsern)</w:t>
      </w:r>
    </w:p>
    <w:p w14:paraId="226BAA7E" w14:textId="77777777" w:rsidR="00F7113A" w:rsidRPr="00580C0D" w:rsidRDefault="00142E5B" w:rsidP="00580C0D">
      <w:pPr>
        <w:pStyle w:val="avsnitt-undertittel"/>
      </w:pPr>
      <w:r w:rsidRPr="00580C0D">
        <w:t>Vedtak 493, 21. februar 2023</w:t>
      </w:r>
    </w:p>
    <w:p w14:paraId="1778656A" w14:textId="77777777" w:rsidR="00F7113A" w:rsidRPr="00580C0D" w:rsidRDefault="00142E5B" w:rsidP="00580C0D">
      <w:pPr>
        <w:pStyle w:val="blokksit"/>
        <w:rPr>
          <w:rStyle w:val="kursiv"/>
        </w:rPr>
      </w:pPr>
      <w:r w:rsidRPr="00580C0D">
        <w:rPr>
          <w:rStyle w:val="kursiv"/>
        </w:rPr>
        <w:t>«Stortinget ber regjeringen snarest mulig utrede et lovforslag om å gi Arbeidstilsynet påleggskompetanse med hensyn til arbeidstakerbegrepet definert i § 1-8 og komme tilbake til Stortinget på egnet måte.»</w:t>
      </w:r>
    </w:p>
    <w:p w14:paraId="00D74B7C"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14 L (2022–2023), </w:t>
      </w:r>
      <w:proofErr w:type="spellStart"/>
      <w:r w:rsidRPr="00580C0D">
        <w:t>Innst</w:t>
      </w:r>
      <w:proofErr w:type="spellEnd"/>
      <w:r w:rsidRPr="00580C0D">
        <w:t>. 181 L (2022–2023), Lovvedtak 41 (2022–2023).</w:t>
      </w:r>
    </w:p>
    <w:p w14:paraId="5E777B75" w14:textId="14F73766" w:rsidR="00F7113A" w:rsidRPr="00580C0D" w:rsidRDefault="00142E5B" w:rsidP="00580C0D">
      <w:r w:rsidRPr="00580C0D">
        <w:t xml:space="preserve">Oppmodingsvedtaket er til behandling i departementet. Departementet har satt i gang </w:t>
      </w:r>
      <w:proofErr w:type="spellStart"/>
      <w:r w:rsidRPr="00580C0D">
        <w:t>eit</w:t>
      </w:r>
      <w:proofErr w:type="spellEnd"/>
      <w:r w:rsidRPr="00580C0D">
        <w:t xml:space="preserve"> utredningsarbeid for å gjennomgå Arbeidstilsynet sitt </w:t>
      </w:r>
      <w:proofErr w:type="spellStart"/>
      <w:r w:rsidRPr="00580C0D">
        <w:t>verkemiddelapparat</w:t>
      </w:r>
      <w:proofErr w:type="spellEnd"/>
      <w:r w:rsidRPr="00580C0D">
        <w:t xml:space="preserve"> i breitt. Oppmodingsvedtak 493, 530, 531 og 532 inngår i utredningsarbeidet.</w:t>
      </w:r>
      <w:r w:rsidR="00580C0D">
        <w:t xml:space="preserve"> </w:t>
      </w:r>
      <w:r w:rsidRPr="00580C0D">
        <w:t xml:space="preserve">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28C8262D" w14:textId="77777777" w:rsidR="00F7113A" w:rsidRPr="00580C0D" w:rsidRDefault="00142E5B" w:rsidP="00580C0D">
      <w:pPr>
        <w:pStyle w:val="avsnitt-tittel"/>
      </w:pPr>
      <w:r w:rsidRPr="00580C0D">
        <w:t xml:space="preserve">Representantforslag om </w:t>
      </w:r>
      <w:proofErr w:type="spellStart"/>
      <w:r w:rsidRPr="00580C0D">
        <w:t>ein</w:t>
      </w:r>
      <w:proofErr w:type="spellEnd"/>
      <w:r w:rsidRPr="00580C0D">
        <w:t xml:space="preserve"> tillitsreform i Arbeidstilsynet</w:t>
      </w:r>
    </w:p>
    <w:p w14:paraId="216D5627" w14:textId="77777777" w:rsidR="00F7113A" w:rsidRPr="00580C0D" w:rsidRDefault="00142E5B" w:rsidP="00580C0D">
      <w:pPr>
        <w:pStyle w:val="avsnitt-undertittel"/>
      </w:pPr>
      <w:r w:rsidRPr="00580C0D">
        <w:t>Vedtak 530, 14. mars 2023</w:t>
      </w:r>
    </w:p>
    <w:p w14:paraId="7A8EECC8" w14:textId="77777777" w:rsidR="00F7113A" w:rsidRPr="00580C0D" w:rsidRDefault="00142E5B" w:rsidP="00580C0D">
      <w:pPr>
        <w:pStyle w:val="blokksit"/>
        <w:rPr>
          <w:rStyle w:val="kursiv"/>
        </w:rPr>
      </w:pPr>
      <w:r w:rsidRPr="00580C0D">
        <w:rPr>
          <w:rStyle w:val="kursiv"/>
        </w:rPr>
        <w:t>«Stortinget ber regjeringen utrede forslag om en hjemmel for å ta beslag i relevante dokumenter som firmaer ikke vil vise frem under Arbeidstilsynets kontroller, og komme tilbake til Stortinget på egnet måte.»</w:t>
      </w:r>
    </w:p>
    <w:p w14:paraId="581EB3F5" w14:textId="77777777" w:rsidR="00F7113A" w:rsidRPr="00580C0D" w:rsidRDefault="00142E5B" w:rsidP="00580C0D">
      <w:r w:rsidRPr="00580C0D">
        <w:t xml:space="preserve">Vedtaket blei gjort ved behandling av Dokument 8:70 S (2022 -2023), </w:t>
      </w:r>
      <w:proofErr w:type="spellStart"/>
      <w:r w:rsidRPr="00580C0D">
        <w:t>Innst</w:t>
      </w:r>
      <w:proofErr w:type="spellEnd"/>
      <w:r w:rsidRPr="00580C0D">
        <w:t>. 196 S (2022–2023).</w:t>
      </w:r>
    </w:p>
    <w:p w14:paraId="2CEAAF39" w14:textId="21264E86" w:rsidR="00F7113A" w:rsidRPr="00580C0D" w:rsidRDefault="00142E5B" w:rsidP="00580C0D">
      <w:r w:rsidRPr="00580C0D">
        <w:t xml:space="preserve">Oppmodingsvedtaket er til behandling i departementet. Departementet har satt i gang </w:t>
      </w:r>
      <w:proofErr w:type="spellStart"/>
      <w:r w:rsidRPr="00580C0D">
        <w:t>eit</w:t>
      </w:r>
      <w:proofErr w:type="spellEnd"/>
      <w:r w:rsidRPr="00580C0D">
        <w:t xml:space="preserve"> utredningsarbeid for å gjennomgå Arbeidstilsynet sitt </w:t>
      </w:r>
      <w:proofErr w:type="spellStart"/>
      <w:r w:rsidRPr="00580C0D">
        <w:t>verkemiddelapparat</w:t>
      </w:r>
      <w:proofErr w:type="spellEnd"/>
      <w:r w:rsidRPr="00580C0D">
        <w:t xml:space="preserve"> i breitt. Oppmodingsvedtak 493, 530, 531 og 532 inngår i utredningsarbeidet.</w:t>
      </w:r>
      <w:r w:rsidR="00580C0D">
        <w:t xml:space="preserve"> </w:t>
      </w:r>
      <w:r w:rsidRPr="00580C0D">
        <w:t xml:space="preserve">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4250E2CB" w14:textId="77777777" w:rsidR="00F7113A" w:rsidRPr="00580C0D" w:rsidRDefault="00142E5B" w:rsidP="00580C0D">
      <w:pPr>
        <w:pStyle w:val="avsnitt-tittel"/>
      </w:pPr>
      <w:r w:rsidRPr="00580C0D">
        <w:t xml:space="preserve">Representantforslag om </w:t>
      </w:r>
      <w:proofErr w:type="spellStart"/>
      <w:r w:rsidRPr="00580C0D">
        <w:t>ein</w:t>
      </w:r>
      <w:proofErr w:type="spellEnd"/>
      <w:r w:rsidRPr="00580C0D">
        <w:t xml:space="preserve"> tillitsreform i Arbeidstilsynet</w:t>
      </w:r>
    </w:p>
    <w:p w14:paraId="34194B5B" w14:textId="77777777" w:rsidR="00F7113A" w:rsidRPr="00580C0D" w:rsidRDefault="00142E5B" w:rsidP="00580C0D">
      <w:pPr>
        <w:pStyle w:val="avsnitt-undertittel"/>
      </w:pPr>
      <w:r w:rsidRPr="00580C0D">
        <w:t>Vedtak 531, 14. mars 2023</w:t>
      </w:r>
    </w:p>
    <w:p w14:paraId="496CB215" w14:textId="77777777" w:rsidR="00F7113A" w:rsidRPr="00580C0D" w:rsidRDefault="00142E5B" w:rsidP="00580C0D">
      <w:pPr>
        <w:pStyle w:val="blokksit"/>
        <w:rPr>
          <w:rStyle w:val="kursiv"/>
        </w:rPr>
      </w:pPr>
      <w:r w:rsidRPr="00580C0D">
        <w:rPr>
          <w:rStyle w:val="kursiv"/>
        </w:rPr>
        <w:t>«Stortinget ber regjeringen utrede forslag som sikrer Arbeidstilsynet adgang til å hente informasjon fra flere aktører, en såkalt tredjepart, og komme tilbake til Stortinget på egnet måte.»</w:t>
      </w:r>
    </w:p>
    <w:p w14:paraId="69F8A92A" w14:textId="77777777" w:rsidR="00F7113A" w:rsidRPr="00580C0D" w:rsidRDefault="00142E5B" w:rsidP="00580C0D">
      <w:r w:rsidRPr="00580C0D">
        <w:t xml:space="preserve">Vedtaket blei gjort ved behandling av Dokument 8:70 S (2022 -2023), </w:t>
      </w:r>
      <w:proofErr w:type="spellStart"/>
      <w:r w:rsidRPr="00580C0D">
        <w:t>Innst</w:t>
      </w:r>
      <w:proofErr w:type="spellEnd"/>
      <w:r w:rsidRPr="00580C0D">
        <w:t>. 196 S (2022–2023).</w:t>
      </w:r>
    </w:p>
    <w:p w14:paraId="037EB2C9" w14:textId="77777777" w:rsidR="00F7113A" w:rsidRPr="00580C0D" w:rsidRDefault="00142E5B" w:rsidP="00580C0D">
      <w:r w:rsidRPr="00580C0D">
        <w:t xml:space="preserve">Oppmodingsvedtaket er til behandling i departementet. Departementet har satt i gang </w:t>
      </w:r>
      <w:proofErr w:type="spellStart"/>
      <w:r w:rsidRPr="00580C0D">
        <w:t>eit</w:t>
      </w:r>
      <w:proofErr w:type="spellEnd"/>
      <w:r w:rsidRPr="00580C0D">
        <w:t xml:space="preserve"> utredningsarbeid for å gjennomgå Arbeidstilsynet sitt </w:t>
      </w:r>
      <w:proofErr w:type="spellStart"/>
      <w:r w:rsidRPr="00580C0D">
        <w:t>verkemiddelapparat</w:t>
      </w:r>
      <w:proofErr w:type="spellEnd"/>
      <w:r w:rsidRPr="00580C0D">
        <w:t xml:space="preserve"> i breitt. Oppmodingsvedtak 493, 530, 531 og 532 inngår i utredningsarbeidet. 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2E9D8C88" w14:textId="77777777" w:rsidR="00F7113A" w:rsidRPr="00580C0D" w:rsidRDefault="00142E5B" w:rsidP="00580C0D">
      <w:pPr>
        <w:pStyle w:val="avsnitt-tittel"/>
      </w:pPr>
      <w:r w:rsidRPr="00580C0D">
        <w:t xml:space="preserve">Representantforslag om </w:t>
      </w:r>
      <w:proofErr w:type="spellStart"/>
      <w:r w:rsidRPr="00580C0D">
        <w:t>ein</w:t>
      </w:r>
      <w:proofErr w:type="spellEnd"/>
      <w:r w:rsidRPr="00580C0D">
        <w:t xml:space="preserve"> tillitsreform i Arbeidstilsynet</w:t>
      </w:r>
    </w:p>
    <w:p w14:paraId="6D250A21" w14:textId="77777777" w:rsidR="00F7113A" w:rsidRPr="00580C0D" w:rsidRDefault="00142E5B" w:rsidP="00580C0D">
      <w:pPr>
        <w:pStyle w:val="avsnitt-undertittel"/>
      </w:pPr>
      <w:r w:rsidRPr="00580C0D">
        <w:t>Vedtak 532, 14. mars 2023</w:t>
      </w:r>
    </w:p>
    <w:p w14:paraId="41029431" w14:textId="77777777" w:rsidR="00F7113A" w:rsidRPr="00580C0D" w:rsidRDefault="00142E5B" w:rsidP="00580C0D">
      <w:pPr>
        <w:pStyle w:val="blokksit"/>
        <w:rPr>
          <w:rStyle w:val="kursiv"/>
        </w:rPr>
      </w:pPr>
      <w:r w:rsidRPr="00580C0D">
        <w:rPr>
          <w:rStyle w:val="kursiv"/>
        </w:rPr>
        <w:t>«Stortinget ber regjeringen gjennomgå og vurdere Arbeidstilsynets hjemler for tilsyn, informasjonstilgang og sanksjonsmuligheter etter arbeidsmiljøloven.»</w:t>
      </w:r>
    </w:p>
    <w:p w14:paraId="1AFBED8D" w14:textId="77777777" w:rsidR="00F7113A" w:rsidRPr="00580C0D" w:rsidRDefault="00142E5B" w:rsidP="00580C0D">
      <w:r w:rsidRPr="00580C0D">
        <w:t xml:space="preserve">Vedtaket blei gjort ved behandling av Dokument 8:70 S (2022 -2023), </w:t>
      </w:r>
      <w:proofErr w:type="spellStart"/>
      <w:r w:rsidRPr="00580C0D">
        <w:t>Innst</w:t>
      </w:r>
      <w:proofErr w:type="spellEnd"/>
      <w:r w:rsidRPr="00580C0D">
        <w:t>. 196 S (2022–2023).</w:t>
      </w:r>
    </w:p>
    <w:p w14:paraId="4DD4F437" w14:textId="77777777" w:rsidR="00F7113A" w:rsidRPr="00580C0D" w:rsidRDefault="00142E5B" w:rsidP="00580C0D">
      <w:r w:rsidRPr="00580C0D">
        <w:t xml:space="preserve">Oppmodingsvedtaket er til behandling i departementet. Departementet har satt i gang </w:t>
      </w:r>
      <w:proofErr w:type="spellStart"/>
      <w:r w:rsidRPr="00580C0D">
        <w:t>eit</w:t>
      </w:r>
      <w:proofErr w:type="spellEnd"/>
      <w:r w:rsidRPr="00580C0D">
        <w:t xml:space="preserve"> utredningsarbeid for å gjennomgå Arbeidstilsynet sitt </w:t>
      </w:r>
      <w:proofErr w:type="spellStart"/>
      <w:r w:rsidRPr="00580C0D">
        <w:t>verkemiddelapparat</w:t>
      </w:r>
      <w:proofErr w:type="spellEnd"/>
      <w:r w:rsidRPr="00580C0D">
        <w:t xml:space="preserve"> i breitt. Oppmodingsvedtak 493, 530, 531 og 532 inngår i utredningsarbeidet. 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7DA9D272" w14:textId="77777777" w:rsidR="00F7113A" w:rsidRPr="00580C0D" w:rsidRDefault="00142E5B" w:rsidP="00580C0D">
      <w:pPr>
        <w:pStyle w:val="avsnitt-tittel"/>
      </w:pPr>
      <w:r w:rsidRPr="00580C0D">
        <w:t xml:space="preserve">Representantforslag om å hindre </w:t>
      </w:r>
      <w:proofErr w:type="spellStart"/>
      <w:r w:rsidRPr="00580C0D">
        <w:t>urimeleg</w:t>
      </w:r>
      <w:proofErr w:type="spellEnd"/>
      <w:r w:rsidRPr="00580C0D">
        <w:t xml:space="preserve"> tilbakebetaling for uføre som får seg jobb</w:t>
      </w:r>
    </w:p>
    <w:p w14:paraId="76FB51E7" w14:textId="77777777" w:rsidR="00F7113A" w:rsidRPr="00580C0D" w:rsidRDefault="00142E5B" w:rsidP="00580C0D">
      <w:pPr>
        <w:pStyle w:val="avsnitt-undertittel"/>
      </w:pPr>
      <w:r w:rsidRPr="00580C0D">
        <w:t>Vedtak 533, 14. mars 2023</w:t>
      </w:r>
    </w:p>
    <w:p w14:paraId="2281F9BD" w14:textId="77777777" w:rsidR="00F7113A" w:rsidRPr="00580C0D" w:rsidRDefault="00142E5B" w:rsidP="00580C0D">
      <w:pPr>
        <w:pStyle w:val="blokksit"/>
        <w:rPr>
          <w:rStyle w:val="kursiv"/>
        </w:rPr>
      </w:pPr>
      <w:r w:rsidRPr="00580C0D">
        <w:rPr>
          <w:rStyle w:val="kursiv"/>
        </w:rPr>
        <w:t>«Stortinget ber regjeringen komme tilbake til Stortinget med forslag som sikrer at uføre som kommer i arbeid, ikke skal få urimelige tilbakebetalingskrav for allerede utbetalt uføretrygd. Endringen må ikke innebære at dagens fribeløp svekkes eller fjernes.»</w:t>
      </w:r>
    </w:p>
    <w:p w14:paraId="6F569402" w14:textId="77777777" w:rsidR="00F7113A" w:rsidRPr="00580C0D" w:rsidRDefault="00142E5B" w:rsidP="00580C0D">
      <w:r w:rsidRPr="00580C0D">
        <w:t xml:space="preserve">Vedtaket blei gjort ved behandling av Dokument 8:76 S (2022 -2023), </w:t>
      </w:r>
      <w:proofErr w:type="spellStart"/>
      <w:r w:rsidRPr="00580C0D">
        <w:t>Innst</w:t>
      </w:r>
      <w:proofErr w:type="spellEnd"/>
      <w:r w:rsidRPr="00580C0D">
        <w:t>. 195 S (2022–2023).</w:t>
      </w:r>
    </w:p>
    <w:p w14:paraId="67791473" w14:textId="77777777" w:rsidR="00F7113A" w:rsidRPr="00580C0D" w:rsidRDefault="00142E5B" w:rsidP="00580C0D">
      <w:proofErr w:type="spellStart"/>
      <w:r w:rsidRPr="00580C0D">
        <w:t>Personar</w:t>
      </w:r>
      <w:proofErr w:type="spellEnd"/>
      <w:r w:rsidRPr="00580C0D">
        <w:t xml:space="preserve"> som mottar uføretrygd kan </w:t>
      </w:r>
      <w:proofErr w:type="spellStart"/>
      <w:r w:rsidRPr="00580C0D">
        <w:t>årleg</w:t>
      </w:r>
      <w:proofErr w:type="spellEnd"/>
      <w:r w:rsidRPr="00580C0D">
        <w:t xml:space="preserve"> </w:t>
      </w:r>
      <w:proofErr w:type="spellStart"/>
      <w:r w:rsidRPr="00580C0D">
        <w:t>tene</w:t>
      </w:r>
      <w:proofErr w:type="spellEnd"/>
      <w:r w:rsidRPr="00580C0D">
        <w:t xml:space="preserve"> inntil 0,4 gonger grunnbeløpet (G) </w:t>
      </w:r>
      <w:proofErr w:type="spellStart"/>
      <w:r w:rsidRPr="00580C0D">
        <w:t>utan</w:t>
      </w:r>
      <w:proofErr w:type="spellEnd"/>
      <w:r w:rsidRPr="00580C0D">
        <w:t xml:space="preserve"> at uføretrygda blir redusert. Delvis uføre kan i tillegg utnytte den delen av inntektsevna som </w:t>
      </w:r>
      <w:proofErr w:type="spellStart"/>
      <w:r w:rsidRPr="00580C0D">
        <w:t>ikkje</w:t>
      </w:r>
      <w:proofErr w:type="spellEnd"/>
      <w:r w:rsidRPr="00580C0D">
        <w:t xml:space="preserve"> har falt bort på grunn av uførleiken, og som ligg til grunn for den fastsette uføregraden. </w:t>
      </w:r>
      <w:proofErr w:type="spellStart"/>
      <w:r w:rsidRPr="00580C0D">
        <w:t>Høgare</w:t>
      </w:r>
      <w:proofErr w:type="spellEnd"/>
      <w:r w:rsidRPr="00580C0D">
        <w:t xml:space="preserve"> inntekt enn dette </w:t>
      </w:r>
      <w:proofErr w:type="spellStart"/>
      <w:r w:rsidRPr="00580C0D">
        <w:t>gjer</w:t>
      </w:r>
      <w:proofErr w:type="spellEnd"/>
      <w:r w:rsidRPr="00580C0D">
        <w:t xml:space="preserve"> at ytinga blir redusert </w:t>
      </w:r>
      <w:proofErr w:type="spellStart"/>
      <w:r w:rsidRPr="00580C0D">
        <w:t>høvesvis</w:t>
      </w:r>
      <w:proofErr w:type="spellEnd"/>
      <w:r w:rsidRPr="00580C0D">
        <w:t xml:space="preserve">. Uføretrygda fell heilt vekk om inntekta blir </w:t>
      </w:r>
      <w:proofErr w:type="spellStart"/>
      <w:r w:rsidRPr="00580C0D">
        <w:t>høgare</w:t>
      </w:r>
      <w:proofErr w:type="spellEnd"/>
      <w:r w:rsidRPr="00580C0D">
        <w:t xml:space="preserve"> enn 80 pst. av den inntekta </w:t>
      </w:r>
      <w:proofErr w:type="spellStart"/>
      <w:r w:rsidRPr="00580C0D">
        <w:t>ein</w:t>
      </w:r>
      <w:proofErr w:type="spellEnd"/>
      <w:r w:rsidRPr="00580C0D">
        <w:t xml:space="preserve"> hadde rett før uførleiken. For </w:t>
      </w:r>
      <w:proofErr w:type="spellStart"/>
      <w:r w:rsidRPr="00580C0D">
        <w:t>mykje</w:t>
      </w:r>
      <w:proofErr w:type="spellEnd"/>
      <w:r w:rsidRPr="00580C0D">
        <w:t xml:space="preserve"> eller for lite utbetalt uføretrygd blir korrigert det </w:t>
      </w:r>
      <w:proofErr w:type="spellStart"/>
      <w:r w:rsidRPr="00580C0D">
        <w:t>følgjande</w:t>
      </w:r>
      <w:proofErr w:type="spellEnd"/>
      <w:r w:rsidRPr="00580C0D">
        <w:t xml:space="preserve"> året i form av </w:t>
      </w:r>
      <w:proofErr w:type="spellStart"/>
      <w:r w:rsidRPr="00580C0D">
        <w:t>eit</w:t>
      </w:r>
      <w:proofErr w:type="spellEnd"/>
      <w:r w:rsidRPr="00580C0D">
        <w:t xml:space="preserve"> </w:t>
      </w:r>
      <w:proofErr w:type="spellStart"/>
      <w:r w:rsidRPr="00580C0D">
        <w:t>etteroppgjer</w:t>
      </w:r>
      <w:proofErr w:type="spellEnd"/>
      <w:r w:rsidRPr="00580C0D">
        <w:t>.</w:t>
      </w:r>
    </w:p>
    <w:p w14:paraId="2B126635" w14:textId="77777777" w:rsidR="00F7113A" w:rsidRPr="00580C0D" w:rsidRDefault="00142E5B" w:rsidP="00580C0D">
      <w:r w:rsidRPr="00580C0D">
        <w:t xml:space="preserve">Som utgangspunkt skal uføretrygda for heile året </w:t>
      </w:r>
      <w:proofErr w:type="spellStart"/>
      <w:r w:rsidRPr="00580C0D">
        <w:t>krevast</w:t>
      </w:r>
      <w:proofErr w:type="spellEnd"/>
      <w:r w:rsidRPr="00580C0D">
        <w:t xml:space="preserve"> tilbake i </w:t>
      </w:r>
      <w:proofErr w:type="spellStart"/>
      <w:r w:rsidRPr="00580C0D">
        <w:t>etteroppgjeret</w:t>
      </w:r>
      <w:proofErr w:type="spellEnd"/>
      <w:r w:rsidRPr="00580C0D">
        <w:t xml:space="preserve"> om den </w:t>
      </w:r>
      <w:proofErr w:type="spellStart"/>
      <w:r w:rsidRPr="00580C0D">
        <w:t>årlege</w:t>
      </w:r>
      <w:proofErr w:type="spellEnd"/>
      <w:r w:rsidRPr="00580C0D">
        <w:t xml:space="preserve"> inntekta overstig 80 pst. av </w:t>
      </w:r>
      <w:proofErr w:type="spellStart"/>
      <w:r w:rsidRPr="00580C0D">
        <w:t>tidlegare</w:t>
      </w:r>
      <w:proofErr w:type="spellEnd"/>
      <w:r w:rsidRPr="00580C0D">
        <w:t xml:space="preserve"> inntekt. Arbeids- og velferdsetaten kan likevel la </w:t>
      </w:r>
      <w:proofErr w:type="spellStart"/>
      <w:r w:rsidRPr="00580C0D">
        <w:t>vere</w:t>
      </w:r>
      <w:proofErr w:type="spellEnd"/>
      <w:r w:rsidRPr="00580C0D">
        <w:t xml:space="preserve"> å </w:t>
      </w:r>
      <w:proofErr w:type="spellStart"/>
      <w:r w:rsidRPr="00580C0D">
        <w:t>gjere</w:t>
      </w:r>
      <w:proofErr w:type="spellEnd"/>
      <w:r w:rsidRPr="00580C0D">
        <w:t xml:space="preserve"> krav på </w:t>
      </w:r>
      <w:proofErr w:type="spellStart"/>
      <w:r w:rsidRPr="00580C0D">
        <w:t>tidlegare</w:t>
      </w:r>
      <w:proofErr w:type="spellEnd"/>
      <w:r w:rsidRPr="00580C0D">
        <w:t xml:space="preserve"> utbetalt uføretrygd som </w:t>
      </w:r>
      <w:proofErr w:type="spellStart"/>
      <w:r w:rsidRPr="00580C0D">
        <w:t>mottakaren</w:t>
      </w:r>
      <w:proofErr w:type="spellEnd"/>
      <w:r w:rsidRPr="00580C0D">
        <w:t xml:space="preserve"> hadde rett på, om overskridinga er på grunn av </w:t>
      </w:r>
      <w:proofErr w:type="spellStart"/>
      <w:r w:rsidRPr="00580C0D">
        <w:t>eit</w:t>
      </w:r>
      <w:proofErr w:type="spellEnd"/>
      <w:r w:rsidRPr="00580C0D">
        <w:t xml:space="preserve"> forsøk på å komme seg tilbake i arbeid. Departementet gjennomgår </w:t>
      </w:r>
      <w:proofErr w:type="spellStart"/>
      <w:r w:rsidRPr="00580C0D">
        <w:t>no</w:t>
      </w:r>
      <w:proofErr w:type="spellEnd"/>
      <w:r w:rsidRPr="00580C0D">
        <w:t xml:space="preserve"> </w:t>
      </w:r>
      <w:proofErr w:type="spellStart"/>
      <w:r w:rsidRPr="00580C0D">
        <w:t>reglane</w:t>
      </w:r>
      <w:proofErr w:type="spellEnd"/>
      <w:r w:rsidRPr="00580C0D">
        <w:t xml:space="preserve"> og tar sikte på å sende </w:t>
      </w:r>
      <w:proofErr w:type="spellStart"/>
      <w:r w:rsidRPr="00580C0D">
        <w:t>eit</w:t>
      </w:r>
      <w:proofErr w:type="spellEnd"/>
      <w:r w:rsidRPr="00580C0D">
        <w:t xml:space="preserve"> framlegg om endring av forskrifta på </w:t>
      </w:r>
      <w:proofErr w:type="spellStart"/>
      <w:r w:rsidRPr="00580C0D">
        <w:t>høyring</w:t>
      </w:r>
      <w:proofErr w:type="spellEnd"/>
      <w:r w:rsidRPr="00580C0D">
        <w:t xml:space="preserve"> i løpet av året. Sjå </w:t>
      </w:r>
      <w:proofErr w:type="spellStart"/>
      <w:r w:rsidRPr="00580C0D">
        <w:t>nærmare</w:t>
      </w:r>
      <w:proofErr w:type="spellEnd"/>
      <w:r w:rsidRPr="00580C0D">
        <w:t xml:space="preserve"> omtale av oppfølging av oppmodingsvedtaket under del II, punkt 6.6 Inntektssikringsordninger som gir økonomisk trygghet og samtidig stimulerer til arbeid.</w:t>
      </w:r>
    </w:p>
    <w:p w14:paraId="7BE7BE57" w14:textId="77777777" w:rsidR="00F7113A" w:rsidRPr="00580C0D" w:rsidRDefault="00142E5B" w:rsidP="00580C0D">
      <w:r w:rsidRPr="00580C0D">
        <w:t>Regjeringa vil komme tilbake til Stortinget på eigna måte.</w:t>
      </w:r>
    </w:p>
    <w:p w14:paraId="047E0D90" w14:textId="77777777" w:rsidR="00F7113A" w:rsidRPr="00580C0D" w:rsidRDefault="00142E5B" w:rsidP="00580C0D">
      <w:pPr>
        <w:pStyle w:val="avsnitt-tittel"/>
      </w:pPr>
      <w:r w:rsidRPr="00580C0D">
        <w:t xml:space="preserve">Betre og </w:t>
      </w:r>
      <w:proofErr w:type="spellStart"/>
      <w:r w:rsidRPr="00580C0D">
        <w:t>raskare</w:t>
      </w:r>
      <w:proofErr w:type="spellEnd"/>
      <w:r w:rsidRPr="00580C0D">
        <w:t xml:space="preserve"> integrering i hele landet</w:t>
      </w:r>
    </w:p>
    <w:p w14:paraId="72DB0DD3" w14:textId="77777777" w:rsidR="00F7113A" w:rsidRPr="00580C0D" w:rsidRDefault="00142E5B" w:rsidP="00580C0D">
      <w:pPr>
        <w:pStyle w:val="avsnitt-undertittel"/>
      </w:pPr>
      <w:r w:rsidRPr="00580C0D">
        <w:t>Vedtak 580, 30. mars 2023</w:t>
      </w:r>
    </w:p>
    <w:p w14:paraId="58AE408D" w14:textId="77777777" w:rsidR="00F7113A" w:rsidRPr="00580C0D" w:rsidRDefault="00142E5B" w:rsidP="00580C0D">
      <w:pPr>
        <w:pStyle w:val="blokksit"/>
        <w:rPr>
          <w:rStyle w:val="kursiv"/>
        </w:rPr>
      </w:pPr>
      <w:r w:rsidRPr="00580C0D">
        <w:rPr>
          <w:rStyle w:val="kursiv"/>
        </w:rPr>
        <w:t>«Stortinget ber regjeringen arbeide for at bosetting i kommunene skjer raskt, slik at den enkelte flyktning tilbringer kortere tid på mottak.</w:t>
      </w:r>
      <w:r w:rsidRPr="00580C0D">
        <w:t>»</w:t>
      </w:r>
    </w:p>
    <w:p w14:paraId="2FEF4674" w14:textId="77777777" w:rsidR="00F7113A" w:rsidRPr="00580C0D" w:rsidRDefault="00142E5B" w:rsidP="00580C0D">
      <w:r w:rsidRPr="00580C0D">
        <w:t xml:space="preserve">Vedtaket blei gjort ved behandling av Dokument 8:84 S (2022–2023), </w:t>
      </w:r>
      <w:proofErr w:type="spellStart"/>
      <w:r w:rsidRPr="00580C0D">
        <w:t>Innst</w:t>
      </w:r>
      <w:proofErr w:type="spellEnd"/>
      <w:r w:rsidRPr="00580C0D">
        <w:t>. 250 S (2022–2023)</w:t>
      </w:r>
    </w:p>
    <w:p w14:paraId="096E92D5" w14:textId="77777777" w:rsidR="00F7113A" w:rsidRPr="00580C0D" w:rsidRDefault="00142E5B" w:rsidP="00580C0D">
      <w:r w:rsidRPr="00580C0D">
        <w:t xml:space="preserve">Etter Russlands fullskala invasjon av Ukraina i februar, har svært mange </w:t>
      </w:r>
      <w:proofErr w:type="spellStart"/>
      <w:r w:rsidRPr="00580C0D">
        <w:t>flyktningar</w:t>
      </w:r>
      <w:proofErr w:type="spellEnd"/>
      <w:r w:rsidRPr="00580C0D">
        <w:t xml:space="preserve"> komme til </w:t>
      </w:r>
      <w:proofErr w:type="spellStart"/>
      <w:r w:rsidRPr="00580C0D">
        <w:t>Noreg</w:t>
      </w:r>
      <w:proofErr w:type="spellEnd"/>
      <w:r w:rsidRPr="00580C0D">
        <w:t xml:space="preserve">. </w:t>
      </w:r>
      <w:proofErr w:type="spellStart"/>
      <w:r w:rsidRPr="00580C0D">
        <w:t>Framleis</w:t>
      </w:r>
      <w:proofErr w:type="spellEnd"/>
      <w:r w:rsidRPr="00580C0D">
        <w:t xml:space="preserve"> er det mange som kjem hit </w:t>
      </w:r>
      <w:proofErr w:type="spellStart"/>
      <w:r w:rsidRPr="00580C0D">
        <w:t>frå</w:t>
      </w:r>
      <w:proofErr w:type="spellEnd"/>
      <w:r w:rsidRPr="00580C0D">
        <w:t xml:space="preserve"> Ukraina, og </w:t>
      </w:r>
      <w:proofErr w:type="spellStart"/>
      <w:r w:rsidRPr="00580C0D">
        <w:t>frå</w:t>
      </w:r>
      <w:proofErr w:type="spellEnd"/>
      <w:r w:rsidRPr="00580C0D">
        <w:t xml:space="preserve"> andre deler av verda. </w:t>
      </w:r>
      <w:proofErr w:type="spellStart"/>
      <w:r w:rsidRPr="00580C0D">
        <w:t>Utlendingsmyndigheitene</w:t>
      </w:r>
      <w:proofErr w:type="spellEnd"/>
      <w:r w:rsidRPr="00580C0D">
        <w:t xml:space="preserve"> og </w:t>
      </w:r>
      <w:proofErr w:type="spellStart"/>
      <w:r w:rsidRPr="00580C0D">
        <w:t>kommunane</w:t>
      </w:r>
      <w:proofErr w:type="spellEnd"/>
      <w:r w:rsidRPr="00580C0D">
        <w:t xml:space="preserve"> legg ned </w:t>
      </w:r>
      <w:proofErr w:type="spellStart"/>
      <w:r w:rsidRPr="00580C0D">
        <w:t>eit</w:t>
      </w:r>
      <w:proofErr w:type="spellEnd"/>
      <w:r w:rsidRPr="00580C0D">
        <w:t xml:space="preserve"> stort arbeid for å busette flest </w:t>
      </w:r>
      <w:proofErr w:type="spellStart"/>
      <w:r w:rsidRPr="00580C0D">
        <w:t>mogleg</w:t>
      </w:r>
      <w:proofErr w:type="spellEnd"/>
      <w:r w:rsidRPr="00580C0D">
        <w:t xml:space="preserve"> </w:t>
      </w:r>
      <w:proofErr w:type="spellStart"/>
      <w:r w:rsidRPr="00580C0D">
        <w:t>raskast</w:t>
      </w:r>
      <w:proofErr w:type="spellEnd"/>
      <w:r w:rsidRPr="00580C0D">
        <w:t xml:space="preserve"> </w:t>
      </w:r>
      <w:proofErr w:type="spellStart"/>
      <w:r w:rsidRPr="00580C0D">
        <w:t>mogleg</w:t>
      </w:r>
      <w:proofErr w:type="spellEnd"/>
      <w:r w:rsidRPr="00580C0D">
        <w:t xml:space="preserve">. Så langt har ventetida i mottak </w:t>
      </w:r>
      <w:proofErr w:type="spellStart"/>
      <w:r w:rsidRPr="00580C0D">
        <w:t>vore</w:t>
      </w:r>
      <w:proofErr w:type="spellEnd"/>
      <w:r w:rsidRPr="00580C0D">
        <w:t xml:space="preserve"> kort. Busettinga var </w:t>
      </w:r>
      <w:proofErr w:type="spellStart"/>
      <w:r w:rsidRPr="00580C0D">
        <w:t>særleg</w:t>
      </w:r>
      <w:proofErr w:type="spellEnd"/>
      <w:r w:rsidRPr="00580C0D">
        <w:t xml:space="preserve"> rask i 2022, og skjer </w:t>
      </w:r>
      <w:proofErr w:type="spellStart"/>
      <w:r w:rsidRPr="00580C0D">
        <w:t>framleis</w:t>
      </w:r>
      <w:proofErr w:type="spellEnd"/>
      <w:r w:rsidRPr="00580C0D">
        <w:t xml:space="preserve"> i </w:t>
      </w:r>
      <w:proofErr w:type="spellStart"/>
      <w:r w:rsidRPr="00580C0D">
        <w:t>eit</w:t>
      </w:r>
      <w:proofErr w:type="spellEnd"/>
      <w:r w:rsidRPr="00580C0D">
        <w:t xml:space="preserve"> høgt tempo. For </w:t>
      </w:r>
      <w:proofErr w:type="gramStart"/>
      <w:r w:rsidRPr="00580C0D">
        <w:t>busette</w:t>
      </w:r>
      <w:proofErr w:type="gramEnd"/>
      <w:r w:rsidRPr="00580C0D">
        <w:t xml:space="preserve"> </w:t>
      </w:r>
      <w:proofErr w:type="spellStart"/>
      <w:r w:rsidRPr="00580C0D">
        <w:t>flyktningar</w:t>
      </w:r>
      <w:proofErr w:type="spellEnd"/>
      <w:r w:rsidRPr="00580C0D">
        <w:t xml:space="preserve"> i 2023 er </w:t>
      </w:r>
      <w:proofErr w:type="spellStart"/>
      <w:r w:rsidRPr="00580C0D">
        <w:t>gjennomsnittleg</w:t>
      </w:r>
      <w:proofErr w:type="spellEnd"/>
      <w:r w:rsidRPr="00580C0D">
        <w:t xml:space="preserve"> ventetid </w:t>
      </w:r>
      <w:proofErr w:type="spellStart"/>
      <w:r w:rsidRPr="00580C0D">
        <w:t>frå</w:t>
      </w:r>
      <w:proofErr w:type="spellEnd"/>
      <w:r w:rsidRPr="00580C0D">
        <w:t xml:space="preserve"> vedtak om </w:t>
      </w:r>
      <w:proofErr w:type="spellStart"/>
      <w:r w:rsidRPr="00580C0D">
        <w:t>opphald</w:t>
      </w:r>
      <w:proofErr w:type="spellEnd"/>
      <w:r w:rsidRPr="00580C0D">
        <w:t xml:space="preserve"> til busetting på 2,6 </w:t>
      </w:r>
      <w:proofErr w:type="spellStart"/>
      <w:r w:rsidRPr="00580C0D">
        <w:t>månader</w:t>
      </w:r>
      <w:proofErr w:type="spellEnd"/>
      <w:r w:rsidRPr="00580C0D">
        <w:t xml:space="preserve"> per utgangen av august. Dette er klart </w:t>
      </w:r>
      <w:proofErr w:type="spellStart"/>
      <w:r w:rsidRPr="00580C0D">
        <w:t>lågare</w:t>
      </w:r>
      <w:proofErr w:type="spellEnd"/>
      <w:r w:rsidRPr="00580C0D">
        <w:t xml:space="preserve"> enn gjennomsnittet </w:t>
      </w:r>
      <w:proofErr w:type="spellStart"/>
      <w:r w:rsidRPr="00580C0D">
        <w:t>dei</w:t>
      </w:r>
      <w:proofErr w:type="spellEnd"/>
      <w:r w:rsidRPr="00580C0D">
        <w:t xml:space="preserve"> siste ti åra. Regjeringa har styrka kapasiteten i alle ledd, forenkla </w:t>
      </w:r>
      <w:proofErr w:type="spellStart"/>
      <w:r w:rsidRPr="00580C0D">
        <w:t>ordningar</w:t>
      </w:r>
      <w:proofErr w:type="spellEnd"/>
      <w:r w:rsidRPr="00580C0D">
        <w:t xml:space="preserve"> og foreslått </w:t>
      </w:r>
      <w:proofErr w:type="spellStart"/>
      <w:r w:rsidRPr="00580C0D">
        <w:t>tilpassingar</w:t>
      </w:r>
      <w:proofErr w:type="spellEnd"/>
      <w:r w:rsidRPr="00580C0D">
        <w:t xml:space="preserve"> i regelverk og </w:t>
      </w:r>
      <w:proofErr w:type="spellStart"/>
      <w:r w:rsidRPr="00580C0D">
        <w:t>tilskotsordningar</w:t>
      </w:r>
      <w:proofErr w:type="spellEnd"/>
      <w:r w:rsidRPr="00580C0D">
        <w:t xml:space="preserve"> til </w:t>
      </w:r>
      <w:proofErr w:type="spellStart"/>
      <w:r w:rsidRPr="00580C0D">
        <w:t>busettingskommunar</w:t>
      </w:r>
      <w:proofErr w:type="spellEnd"/>
      <w:r w:rsidRPr="00580C0D">
        <w:t xml:space="preserve">. </w:t>
      </w:r>
      <w:proofErr w:type="spellStart"/>
      <w:r w:rsidRPr="00580C0D">
        <w:t>Ein</w:t>
      </w:r>
      <w:proofErr w:type="spellEnd"/>
      <w:r w:rsidRPr="00580C0D">
        <w:t xml:space="preserve"> </w:t>
      </w:r>
      <w:proofErr w:type="spellStart"/>
      <w:r w:rsidRPr="00580C0D">
        <w:t>føresetnad</w:t>
      </w:r>
      <w:proofErr w:type="spellEnd"/>
      <w:r w:rsidRPr="00580C0D">
        <w:t xml:space="preserve"> for rask busetting er </w:t>
      </w:r>
      <w:proofErr w:type="spellStart"/>
      <w:r w:rsidRPr="00580C0D">
        <w:t>kommunane</w:t>
      </w:r>
      <w:proofErr w:type="spellEnd"/>
      <w:r w:rsidRPr="00580C0D">
        <w:t xml:space="preserve"> </w:t>
      </w:r>
      <w:proofErr w:type="spellStart"/>
      <w:r w:rsidRPr="00580C0D">
        <w:t>si</w:t>
      </w:r>
      <w:proofErr w:type="spellEnd"/>
      <w:r w:rsidRPr="00580C0D">
        <w:t xml:space="preserve"> vilje og evne til å busette alle </w:t>
      </w:r>
      <w:proofErr w:type="spellStart"/>
      <w:r w:rsidRPr="00580C0D">
        <w:t>dei</w:t>
      </w:r>
      <w:proofErr w:type="spellEnd"/>
      <w:r w:rsidRPr="00580C0D">
        <w:t xml:space="preserve"> det gjeld. Når så mange skal </w:t>
      </w:r>
      <w:proofErr w:type="spellStart"/>
      <w:r w:rsidRPr="00580C0D">
        <w:t>busettast</w:t>
      </w:r>
      <w:proofErr w:type="spellEnd"/>
      <w:r w:rsidRPr="00580C0D">
        <w:t xml:space="preserve"> på så kort tid, kan </w:t>
      </w:r>
      <w:proofErr w:type="spellStart"/>
      <w:r w:rsidRPr="00580C0D">
        <w:t>kapasitetsutfordringar</w:t>
      </w:r>
      <w:proofErr w:type="spellEnd"/>
      <w:r w:rsidRPr="00580C0D">
        <w:t xml:space="preserve"> i </w:t>
      </w:r>
      <w:proofErr w:type="spellStart"/>
      <w:r w:rsidRPr="00580C0D">
        <w:t>kommunane</w:t>
      </w:r>
      <w:proofErr w:type="spellEnd"/>
      <w:r w:rsidRPr="00580C0D">
        <w:t xml:space="preserve"> over tid føre til at det blir </w:t>
      </w:r>
      <w:proofErr w:type="spellStart"/>
      <w:r w:rsidRPr="00580C0D">
        <w:t>vanskelegare</w:t>
      </w:r>
      <w:proofErr w:type="spellEnd"/>
      <w:r w:rsidRPr="00580C0D">
        <w:t xml:space="preserve"> å busette. Da kan ventetid i mottak </w:t>
      </w:r>
      <w:proofErr w:type="spellStart"/>
      <w:r w:rsidRPr="00580C0D">
        <w:t>auke</w:t>
      </w:r>
      <w:proofErr w:type="spellEnd"/>
      <w:r w:rsidRPr="00580C0D">
        <w:t xml:space="preserve">. Regjeringa følgjer utviklinga og er klar til å handle raskt ved behov. Regjeringa arbeider med ei melding til Stortinget om integreringspolitikken. I meldinga vil vi komme tilbake til Stortinget med ei drøfting av arbeidet for at busettinga skjer raskt, samtidig som den skjer treffsikkert, styrt og </w:t>
      </w:r>
      <w:proofErr w:type="spellStart"/>
      <w:r w:rsidRPr="00580C0D">
        <w:t>spreidd</w:t>
      </w:r>
      <w:proofErr w:type="spellEnd"/>
      <w:r w:rsidRPr="00580C0D">
        <w:t xml:space="preserve">. Med dette ser departementet oppmodingsvedtaket som </w:t>
      </w:r>
      <w:proofErr w:type="spellStart"/>
      <w:r w:rsidRPr="00580C0D">
        <w:t>følgt</w:t>
      </w:r>
      <w:proofErr w:type="spellEnd"/>
      <w:r w:rsidRPr="00580C0D">
        <w:t xml:space="preserve"> opp.</w:t>
      </w:r>
    </w:p>
    <w:p w14:paraId="72039BD0" w14:textId="77777777" w:rsidR="00F7113A" w:rsidRPr="00580C0D" w:rsidRDefault="00142E5B" w:rsidP="00580C0D">
      <w:pPr>
        <w:pStyle w:val="avsnitt-tittel"/>
      </w:pPr>
      <w:proofErr w:type="spellStart"/>
      <w:r w:rsidRPr="00580C0D">
        <w:t>Menneskerettar</w:t>
      </w:r>
      <w:proofErr w:type="spellEnd"/>
      <w:r w:rsidRPr="00580C0D">
        <w:t xml:space="preserve"> for </w:t>
      </w:r>
      <w:proofErr w:type="spellStart"/>
      <w:r w:rsidRPr="00580C0D">
        <w:t>personar</w:t>
      </w:r>
      <w:proofErr w:type="spellEnd"/>
      <w:r w:rsidRPr="00580C0D">
        <w:t xml:space="preserve"> med utviklingshemming – </w:t>
      </w:r>
      <w:proofErr w:type="spellStart"/>
      <w:r w:rsidRPr="00580C0D">
        <w:t>regelendringar</w:t>
      </w:r>
      <w:proofErr w:type="spellEnd"/>
      <w:r w:rsidRPr="00580C0D">
        <w:t xml:space="preserve"> for å gi </w:t>
      </w:r>
      <w:proofErr w:type="spellStart"/>
      <w:r w:rsidRPr="00580C0D">
        <w:t>personar</w:t>
      </w:r>
      <w:proofErr w:type="spellEnd"/>
      <w:r w:rsidRPr="00580C0D">
        <w:t xml:space="preserve"> med utviklingshemming i VTA-O varig oppfølging</w:t>
      </w:r>
    </w:p>
    <w:p w14:paraId="0F7D81BD" w14:textId="77777777" w:rsidR="00F7113A" w:rsidRPr="00580C0D" w:rsidRDefault="00142E5B" w:rsidP="00580C0D">
      <w:pPr>
        <w:pStyle w:val="avsnitt-undertittel"/>
      </w:pPr>
      <w:r w:rsidRPr="00580C0D">
        <w:t>Vedtak 604, 18. april 2023</w:t>
      </w:r>
    </w:p>
    <w:p w14:paraId="5CE6D6D9" w14:textId="77777777" w:rsidR="00F7113A" w:rsidRPr="00580C0D" w:rsidRDefault="00142E5B" w:rsidP="00580C0D">
      <w:pPr>
        <w:pStyle w:val="blokksit"/>
        <w:rPr>
          <w:rStyle w:val="kursiv"/>
        </w:rPr>
      </w:pPr>
      <w:r w:rsidRPr="00580C0D">
        <w:rPr>
          <w:rStyle w:val="kursiv"/>
        </w:rPr>
        <w:t>«Stortinget ber regjeringen sørge for nødvendige regelendringer for å gi personer med utviklingshemming i VTA-O varig oppfølging, uavhengig av hvilket fylke man bor i, og med et omfang tilsvarende det som praktiseres i HELT MED. Oppfølgingen må kunne gis også av andre enn Nav, eksempelvis HELT MED eller vekst- og attføringsbedriftene, gjerne ved at dagens tilskudd erstattes med varig oppfølging av både arbeidstaker og arbeidsgiver. Regjeringen bes komme tilbake med sin oppfølging i forbindelse med statsbudsjettet for 2024.»</w:t>
      </w:r>
    </w:p>
    <w:p w14:paraId="1ECD1C99" w14:textId="77777777" w:rsidR="00F7113A" w:rsidRPr="00580C0D" w:rsidRDefault="00142E5B" w:rsidP="00580C0D">
      <w:r w:rsidRPr="00580C0D">
        <w:t xml:space="preserve">Vedtaket blei gjort ved behandling av Meld. St. 8 (2022–2023), </w:t>
      </w:r>
      <w:proofErr w:type="spellStart"/>
      <w:r w:rsidRPr="00580C0D">
        <w:t>Innst</w:t>
      </w:r>
      <w:proofErr w:type="spellEnd"/>
      <w:r w:rsidRPr="00580C0D">
        <w:t>. 246 S (2022–2023).</w:t>
      </w:r>
    </w:p>
    <w:p w14:paraId="3DCEE449" w14:textId="77777777" w:rsidR="00F7113A" w:rsidRPr="00580C0D" w:rsidRDefault="00142E5B" w:rsidP="00580C0D">
      <w:r w:rsidRPr="00580C0D">
        <w:t xml:space="preserve">Arbeids- og inkluderingsdepartementet har starta arbeidet med å </w:t>
      </w:r>
      <w:proofErr w:type="spellStart"/>
      <w:r w:rsidRPr="00580C0D">
        <w:t>gjere</w:t>
      </w:r>
      <w:proofErr w:type="spellEnd"/>
      <w:r w:rsidRPr="00580C0D">
        <w:t xml:space="preserve"> nødvendige </w:t>
      </w:r>
      <w:proofErr w:type="spellStart"/>
      <w:r w:rsidRPr="00580C0D">
        <w:t>endringar</w:t>
      </w:r>
      <w:proofErr w:type="spellEnd"/>
      <w:r w:rsidRPr="00580C0D">
        <w:t xml:space="preserve"> i forskrift om </w:t>
      </w:r>
      <w:proofErr w:type="spellStart"/>
      <w:r w:rsidRPr="00580C0D">
        <w:t>arbeidsmarknadstiltak</w:t>
      </w:r>
      <w:proofErr w:type="spellEnd"/>
      <w:r w:rsidRPr="00580C0D">
        <w:t xml:space="preserve"> for å </w:t>
      </w:r>
      <w:proofErr w:type="spellStart"/>
      <w:r w:rsidRPr="00580C0D">
        <w:t>opne</w:t>
      </w:r>
      <w:proofErr w:type="spellEnd"/>
      <w:r w:rsidRPr="00580C0D">
        <w:t xml:space="preserve"> for å kombinere varig tilrettelagt arbeid i ordinær </w:t>
      </w:r>
      <w:proofErr w:type="spellStart"/>
      <w:r w:rsidRPr="00580C0D">
        <w:t>verksemd</w:t>
      </w:r>
      <w:proofErr w:type="spellEnd"/>
      <w:r w:rsidRPr="00580C0D">
        <w:t xml:space="preserve"> med oppfølging. Arbeid- og inkluderingsdepartementet planlegg å sende forslag om nye </w:t>
      </w:r>
      <w:proofErr w:type="spellStart"/>
      <w:r w:rsidRPr="00580C0D">
        <w:t>reglar</w:t>
      </w:r>
      <w:proofErr w:type="spellEnd"/>
      <w:r w:rsidRPr="00580C0D">
        <w:t xml:space="preserve"> på </w:t>
      </w:r>
      <w:proofErr w:type="spellStart"/>
      <w:r w:rsidRPr="00580C0D">
        <w:t>høyring</w:t>
      </w:r>
      <w:proofErr w:type="spellEnd"/>
      <w:r w:rsidRPr="00580C0D">
        <w:t xml:space="preserve"> </w:t>
      </w:r>
      <w:proofErr w:type="spellStart"/>
      <w:r w:rsidRPr="00580C0D">
        <w:t>tidleg</w:t>
      </w:r>
      <w:proofErr w:type="spellEnd"/>
      <w:r w:rsidRPr="00580C0D">
        <w:t xml:space="preserve"> i 2024. Departementet tar sikte på at den nye ordninga blir iverksett i 2025. I </w:t>
      </w:r>
      <w:proofErr w:type="spellStart"/>
      <w:r w:rsidRPr="00580C0D">
        <w:t>Prop</w:t>
      </w:r>
      <w:proofErr w:type="spellEnd"/>
      <w:r w:rsidRPr="00580C0D">
        <w:t xml:space="preserve">. 1 S (2022–2023) varsla regjeringa at Arbeids- og velferdsetaten ville starte </w:t>
      </w:r>
      <w:proofErr w:type="spellStart"/>
      <w:r w:rsidRPr="00580C0D">
        <w:t>eit</w:t>
      </w:r>
      <w:proofErr w:type="spellEnd"/>
      <w:r w:rsidRPr="00580C0D">
        <w:t xml:space="preserve"> forsøk med forsterka oppfølging i VTA i ordinære </w:t>
      </w:r>
      <w:proofErr w:type="spellStart"/>
      <w:r w:rsidRPr="00580C0D">
        <w:t>verksemder</w:t>
      </w:r>
      <w:proofErr w:type="spellEnd"/>
      <w:r w:rsidRPr="00580C0D">
        <w:t xml:space="preserve">. Arbeids- og inkluderingsdepartementet </w:t>
      </w:r>
      <w:proofErr w:type="spellStart"/>
      <w:r w:rsidRPr="00580C0D">
        <w:t>tolkar</w:t>
      </w:r>
      <w:proofErr w:type="spellEnd"/>
      <w:r w:rsidRPr="00580C0D">
        <w:t xml:space="preserve"> oppmodingsvedtak 604 som at Stortinget ber regjeringa starte arbeidet med nødvendige </w:t>
      </w:r>
      <w:proofErr w:type="spellStart"/>
      <w:r w:rsidRPr="00580C0D">
        <w:t>regelendringar</w:t>
      </w:r>
      <w:proofErr w:type="spellEnd"/>
      <w:r w:rsidRPr="00580C0D">
        <w:t xml:space="preserve"> </w:t>
      </w:r>
      <w:proofErr w:type="spellStart"/>
      <w:r w:rsidRPr="00580C0D">
        <w:t>utan</w:t>
      </w:r>
      <w:proofErr w:type="spellEnd"/>
      <w:r w:rsidRPr="00580C0D">
        <w:t xml:space="preserve"> å vente på resultata av </w:t>
      </w:r>
      <w:proofErr w:type="spellStart"/>
      <w:r w:rsidRPr="00580C0D">
        <w:t>eit</w:t>
      </w:r>
      <w:proofErr w:type="spellEnd"/>
      <w:r w:rsidRPr="00580C0D">
        <w:t xml:space="preserve"> forsøk. Arbeids- og inkluderingsdepartementet vurderer det likevel som </w:t>
      </w:r>
      <w:proofErr w:type="spellStart"/>
      <w:r w:rsidRPr="00580C0D">
        <w:t>føremålstenleg</w:t>
      </w:r>
      <w:proofErr w:type="spellEnd"/>
      <w:r w:rsidRPr="00580C0D">
        <w:t xml:space="preserve"> å starte </w:t>
      </w:r>
      <w:proofErr w:type="spellStart"/>
      <w:r w:rsidRPr="00580C0D">
        <w:t>eit</w:t>
      </w:r>
      <w:proofErr w:type="spellEnd"/>
      <w:r w:rsidRPr="00580C0D">
        <w:t xml:space="preserve"> pilotprosjekt i </w:t>
      </w:r>
      <w:proofErr w:type="spellStart"/>
      <w:r w:rsidRPr="00580C0D">
        <w:t>nokre</w:t>
      </w:r>
      <w:proofErr w:type="spellEnd"/>
      <w:r w:rsidRPr="00580C0D">
        <w:t xml:space="preserve"> fylke parallelt med regelverksarbeidet. </w:t>
      </w:r>
      <w:proofErr w:type="spellStart"/>
      <w:r w:rsidRPr="00580C0D">
        <w:t>Føremålet</w:t>
      </w:r>
      <w:proofErr w:type="spellEnd"/>
      <w:r w:rsidRPr="00580C0D">
        <w:t xml:space="preserve"> med pilotprosjektet vil </w:t>
      </w:r>
      <w:proofErr w:type="spellStart"/>
      <w:r w:rsidRPr="00580C0D">
        <w:t>vere</w:t>
      </w:r>
      <w:proofErr w:type="spellEnd"/>
      <w:r w:rsidRPr="00580C0D">
        <w:t xml:space="preserve"> å samle </w:t>
      </w:r>
      <w:proofErr w:type="spellStart"/>
      <w:r w:rsidRPr="00580C0D">
        <w:t>erfaringar</w:t>
      </w:r>
      <w:proofErr w:type="spellEnd"/>
      <w:r w:rsidRPr="00580C0D">
        <w:t xml:space="preserve"> som skal hjelpe Arbeids- og velferdsdirektoratet å førebu implementeringa av ei ny ordning.</w:t>
      </w:r>
    </w:p>
    <w:p w14:paraId="4518A208" w14:textId="77777777" w:rsidR="00F7113A" w:rsidRPr="00580C0D" w:rsidRDefault="00142E5B" w:rsidP="00580C0D">
      <w:r w:rsidRPr="00580C0D">
        <w:t xml:space="preserve">Sjå </w:t>
      </w:r>
      <w:proofErr w:type="spellStart"/>
      <w:r w:rsidRPr="00580C0D">
        <w:t>nærmare</w:t>
      </w:r>
      <w:proofErr w:type="spellEnd"/>
      <w:r w:rsidRPr="00580C0D">
        <w:t xml:space="preserve"> omtale av VTA under kap. 634, post 77.</w:t>
      </w:r>
    </w:p>
    <w:p w14:paraId="5D0CDAC1" w14:textId="77777777" w:rsidR="00F7113A" w:rsidRPr="00580C0D" w:rsidRDefault="00142E5B" w:rsidP="00580C0D">
      <w:pPr>
        <w:pStyle w:val="avsnitt-tittel"/>
      </w:pPr>
      <w:proofErr w:type="spellStart"/>
      <w:r w:rsidRPr="00580C0D">
        <w:t>Menneskerettar</w:t>
      </w:r>
      <w:proofErr w:type="spellEnd"/>
      <w:r w:rsidRPr="00580C0D">
        <w:t xml:space="preserve"> for </w:t>
      </w:r>
      <w:proofErr w:type="spellStart"/>
      <w:r w:rsidRPr="00580C0D">
        <w:t>personar</w:t>
      </w:r>
      <w:proofErr w:type="spellEnd"/>
      <w:r w:rsidRPr="00580C0D">
        <w:t xml:space="preserve"> med utviklingshemming – plan for </w:t>
      </w:r>
      <w:proofErr w:type="spellStart"/>
      <w:r w:rsidRPr="00580C0D">
        <w:t>fleire</w:t>
      </w:r>
      <w:proofErr w:type="spellEnd"/>
      <w:r w:rsidRPr="00580C0D">
        <w:t xml:space="preserve"> VTA-</w:t>
      </w:r>
      <w:proofErr w:type="spellStart"/>
      <w:r w:rsidRPr="00580C0D">
        <w:t>plassar</w:t>
      </w:r>
      <w:proofErr w:type="spellEnd"/>
    </w:p>
    <w:p w14:paraId="513113C0" w14:textId="77777777" w:rsidR="00F7113A" w:rsidRPr="00580C0D" w:rsidRDefault="00142E5B" w:rsidP="00580C0D">
      <w:pPr>
        <w:pStyle w:val="avsnitt-undertittel"/>
      </w:pPr>
      <w:r w:rsidRPr="00580C0D">
        <w:t>Vedtak 605, 18. april 2023</w:t>
      </w:r>
    </w:p>
    <w:p w14:paraId="62CF8D55" w14:textId="77777777" w:rsidR="00F7113A" w:rsidRPr="00580C0D" w:rsidRDefault="00142E5B" w:rsidP="00580C0D">
      <w:pPr>
        <w:pStyle w:val="blokksit"/>
        <w:rPr>
          <w:rStyle w:val="kursiv"/>
        </w:rPr>
      </w:pPr>
      <w:r w:rsidRPr="00580C0D">
        <w:rPr>
          <w:rStyle w:val="kursiv"/>
        </w:rPr>
        <w:t>«Stortinget ber regjeringen komme tilbake i forbindelse med statsbudsjettet for 2024 med en langsiktig og forpliktende plan for hvordan en skal sikre et betydelig løft for flere VTA-plasser.»</w:t>
      </w:r>
    </w:p>
    <w:p w14:paraId="4F6DD4E3" w14:textId="77777777" w:rsidR="00F7113A" w:rsidRPr="00580C0D" w:rsidRDefault="00142E5B" w:rsidP="00580C0D">
      <w:r w:rsidRPr="00580C0D">
        <w:t xml:space="preserve">Vedtaket blei gjort ved behandling av Meld. St. 8 (2022–2023), </w:t>
      </w:r>
      <w:proofErr w:type="spellStart"/>
      <w:r w:rsidRPr="00580C0D">
        <w:t>Innst</w:t>
      </w:r>
      <w:proofErr w:type="spellEnd"/>
      <w:r w:rsidRPr="00580C0D">
        <w:t>. 246 S (2022–2023).</w:t>
      </w:r>
    </w:p>
    <w:p w14:paraId="438CEE98" w14:textId="77777777" w:rsidR="00F7113A" w:rsidRPr="00580C0D" w:rsidRDefault="00142E5B" w:rsidP="00580C0D">
      <w:r w:rsidRPr="00580C0D">
        <w:t xml:space="preserve">Regjeringa vil styrke VTA med om lag 2 000 nye </w:t>
      </w:r>
      <w:proofErr w:type="spellStart"/>
      <w:r w:rsidRPr="00580C0D">
        <w:t>plassar</w:t>
      </w:r>
      <w:proofErr w:type="spellEnd"/>
      <w:r w:rsidRPr="00580C0D">
        <w:t xml:space="preserve"> </w:t>
      </w:r>
      <w:proofErr w:type="spellStart"/>
      <w:r w:rsidRPr="00580C0D">
        <w:t>innan</w:t>
      </w:r>
      <w:proofErr w:type="spellEnd"/>
      <w:r w:rsidRPr="00580C0D">
        <w:t xml:space="preserve"> utgangen av 2027. For 2024 foreslås det ei opptrapping på 500 </w:t>
      </w:r>
      <w:proofErr w:type="spellStart"/>
      <w:r w:rsidRPr="00580C0D">
        <w:t>plassar</w:t>
      </w:r>
      <w:proofErr w:type="spellEnd"/>
      <w:r w:rsidRPr="00580C0D">
        <w:t xml:space="preserve">. Det vil </w:t>
      </w:r>
      <w:proofErr w:type="spellStart"/>
      <w:r w:rsidRPr="00580C0D">
        <w:t>vere</w:t>
      </w:r>
      <w:proofErr w:type="spellEnd"/>
      <w:r w:rsidRPr="00580C0D">
        <w:t xml:space="preserve"> behov for </w:t>
      </w:r>
      <w:proofErr w:type="spellStart"/>
      <w:r w:rsidRPr="00580C0D">
        <w:t>plassar</w:t>
      </w:r>
      <w:proofErr w:type="spellEnd"/>
      <w:r w:rsidRPr="00580C0D">
        <w:t xml:space="preserve"> både i førehandsgodkjente og i ordinære </w:t>
      </w:r>
      <w:proofErr w:type="spellStart"/>
      <w:r w:rsidRPr="00580C0D">
        <w:t>verksemder</w:t>
      </w:r>
      <w:proofErr w:type="spellEnd"/>
      <w:r w:rsidRPr="00580C0D">
        <w:t xml:space="preserve">, </w:t>
      </w:r>
      <w:proofErr w:type="spellStart"/>
      <w:r w:rsidRPr="00580C0D">
        <w:t>noko</w:t>
      </w:r>
      <w:proofErr w:type="spellEnd"/>
      <w:r w:rsidRPr="00580C0D">
        <w:t xml:space="preserve"> Arbeids- og velferdsetaten vil vurdere ut </w:t>
      </w:r>
      <w:proofErr w:type="spellStart"/>
      <w:r w:rsidRPr="00580C0D">
        <w:t>frå</w:t>
      </w:r>
      <w:proofErr w:type="spellEnd"/>
      <w:r w:rsidRPr="00580C0D">
        <w:t xml:space="preserve"> lokale tilhøve og behova til </w:t>
      </w:r>
      <w:proofErr w:type="spellStart"/>
      <w:r w:rsidRPr="00580C0D">
        <w:t>søkarane</w:t>
      </w:r>
      <w:proofErr w:type="spellEnd"/>
      <w:r w:rsidRPr="00580C0D">
        <w:t>.</w:t>
      </w:r>
    </w:p>
    <w:p w14:paraId="10AA06CD" w14:textId="77777777" w:rsidR="00F7113A" w:rsidRPr="00580C0D" w:rsidRDefault="00142E5B" w:rsidP="00580C0D">
      <w:r w:rsidRPr="00580C0D">
        <w:t xml:space="preserve">Behovet for </w:t>
      </w:r>
      <w:proofErr w:type="spellStart"/>
      <w:r w:rsidRPr="00580C0D">
        <w:t>auka</w:t>
      </w:r>
      <w:proofErr w:type="spellEnd"/>
      <w:r w:rsidRPr="00580C0D">
        <w:t xml:space="preserve"> ressursramme til 2 000 </w:t>
      </w:r>
      <w:proofErr w:type="spellStart"/>
      <w:r w:rsidRPr="00580C0D">
        <w:t>fleire</w:t>
      </w:r>
      <w:proofErr w:type="spellEnd"/>
      <w:r w:rsidRPr="00580C0D">
        <w:t xml:space="preserve"> VTA-</w:t>
      </w:r>
      <w:proofErr w:type="spellStart"/>
      <w:r w:rsidRPr="00580C0D">
        <w:t>plassar</w:t>
      </w:r>
      <w:proofErr w:type="spellEnd"/>
      <w:r w:rsidRPr="00580C0D">
        <w:t xml:space="preserve"> er med </w:t>
      </w:r>
      <w:proofErr w:type="spellStart"/>
      <w:r w:rsidRPr="00580C0D">
        <w:t>satsar</w:t>
      </w:r>
      <w:proofErr w:type="spellEnd"/>
      <w:r w:rsidRPr="00580C0D">
        <w:t xml:space="preserve"> for 2024 om lag 360 mill. kroner. Det er lagt til grunn at 40 pst. av </w:t>
      </w:r>
      <w:proofErr w:type="spellStart"/>
      <w:r w:rsidRPr="00580C0D">
        <w:t>dei</w:t>
      </w:r>
      <w:proofErr w:type="spellEnd"/>
      <w:r w:rsidRPr="00580C0D">
        <w:t xml:space="preserve"> nye </w:t>
      </w:r>
      <w:proofErr w:type="spellStart"/>
      <w:r w:rsidRPr="00580C0D">
        <w:t>plassane</w:t>
      </w:r>
      <w:proofErr w:type="spellEnd"/>
      <w:r w:rsidRPr="00580C0D">
        <w:t xml:space="preserve"> blir lagt til ordinær </w:t>
      </w:r>
      <w:proofErr w:type="spellStart"/>
      <w:r w:rsidRPr="00580C0D">
        <w:t>verksemd</w:t>
      </w:r>
      <w:proofErr w:type="spellEnd"/>
      <w:r w:rsidRPr="00580C0D">
        <w:t xml:space="preserve">. Regjeringa vil komme tilbake til løyvinga for enkeltår i </w:t>
      </w:r>
      <w:proofErr w:type="spellStart"/>
      <w:r w:rsidRPr="00580C0D">
        <w:t>dei</w:t>
      </w:r>
      <w:proofErr w:type="spellEnd"/>
      <w:r w:rsidRPr="00580C0D">
        <w:t xml:space="preserve"> </w:t>
      </w:r>
      <w:proofErr w:type="spellStart"/>
      <w:r w:rsidRPr="00580C0D">
        <w:t>årlege</w:t>
      </w:r>
      <w:proofErr w:type="spellEnd"/>
      <w:r w:rsidRPr="00580C0D">
        <w:t xml:space="preserve"> </w:t>
      </w:r>
      <w:proofErr w:type="spellStart"/>
      <w:r w:rsidRPr="00580C0D">
        <w:t>budsjettproposisjonane</w:t>
      </w:r>
      <w:proofErr w:type="spellEnd"/>
      <w:r w:rsidRPr="00580C0D">
        <w:t>.</w:t>
      </w:r>
    </w:p>
    <w:p w14:paraId="65D3A82F" w14:textId="77777777" w:rsidR="00F7113A" w:rsidRPr="00580C0D" w:rsidRDefault="00142E5B" w:rsidP="00580C0D">
      <w:r w:rsidRPr="00580C0D">
        <w:t xml:space="preserve">Sjå </w:t>
      </w:r>
      <w:proofErr w:type="spellStart"/>
      <w:r w:rsidRPr="00580C0D">
        <w:t>nærmare</w:t>
      </w:r>
      <w:proofErr w:type="spellEnd"/>
      <w:r w:rsidRPr="00580C0D">
        <w:t xml:space="preserve"> omtale av VTA under kap. 634, post 77.</w:t>
      </w:r>
    </w:p>
    <w:p w14:paraId="03E7F862"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75306AE4" w14:textId="77777777" w:rsidR="00F7113A" w:rsidRPr="00580C0D" w:rsidRDefault="00142E5B" w:rsidP="00580C0D">
      <w:pPr>
        <w:pStyle w:val="avsnitt-tittel"/>
      </w:pPr>
      <w:proofErr w:type="spellStart"/>
      <w:r w:rsidRPr="00580C0D">
        <w:t>Endringar</w:t>
      </w:r>
      <w:proofErr w:type="spellEnd"/>
      <w:r w:rsidRPr="00580C0D">
        <w:t xml:space="preserve"> i folketrygdlova (tilgang til å sjukmelde etter e-konsultasjon)</w:t>
      </w:r>
    </w:p>
    <w:p w14:paraId="5D819BDF" w14:textId="77777777" w:rsidR="00F7113A" w:rsidRPr="00580C0D" w:rsidRDefault="00142E5B" w:rsidP="00580C0D">
      <w:pPr>
        <w:pStyle w:val="avsnitt-undertittel"/>
      </w:pPr>
      <w:r w:rsidRPr="00580C0D">
        <w:t>Vedtak 627, 27. april 2023</w:t>
      </w:r>
    </w:p>
    <w:p w14:paraId="50459B58" w14:textId="77777777" w:rsidR="00F7113A" w:rsidRPr="00580C0D" w:rsidRDefault="00142E5B" w:rsidP="00580C0D">
      <w:pPr>
        <w:pStyle w:val="blokksit"/>
        <w:rPr>
          <w:rStyle w:val="kursiv"/>
        </w:rPr>
      </w:pPr>
      <w:r w:rsidRPr="00580C0D">
        <w:rPr>
          <w:rStyle w:val="kursiv"/>
        </w:rPr>
        <w:t>«Stortinget ber regjeringen gjennomføre en evaluering av ordningen med sykmelding basert på elektronisk konsultasjon, senest innen fire år.»</w:t>
      </w:r>
    </w:p>
    <w:p w14:paraId="196556F0"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42 L (2022–2023), </w:t>
      </w:r>
      <w:proofErr w:type="spellStart"/>
      <w:r w:rsidRPr="00580C0D">
        <w:t>Innst</w:t>
      </w:r>
      <w:proofErr w:type="spellEnd"/>
      <w:r w:rsidRPr="00580C0D">
        <w:t>. 283 L (2022–2023), Lovvedtak 51 (2022–2023).</w:t>
      </w:r>
    </w:p>
    <w:p w14:paraId="5FC4F21A" w14:textId="77777777" w:rsidR="00F7113A" w:rsidRPr="00580C0D" w:rsidRDefault="00142E5B" w:rsidP="00580C0D">
      <w:r w:rsidRPr="00580C0D">
        <w:t xml:space="preserve">Arbeids- og inkluderingsdepartementet signerte juni 2023 avtale med Nasjonalt Senter for E-helseforskning om evaluering av sjukmelding etter e-konsultasjon. Formålet er å evaluere </w:t>
      </w:r>
      <w:proofErr w:type="spellStart"/>
      <w:r w:rsidRPr="00580C0D">
        <w:t>erfaringar</w:t>
      </w:r>
      <w:proofErr w:type="spellEnd"/>
      <w:r w:rsidRPr="00580C0D">
        <w:t xml:space="preserve"> og </w:t>
      </w:r>
      <w:proofErr w:type="spellStart"/>
      <w:r w:rsidRPr="00580C0D">
        <w:t>effektar</w:t>
      </w:r>
      <w:proofErr w:type="spellEnd"/>
      <w:r w:rsidRPr="00580C0D">
        <w:t xml:space="preserve"> av lovendringa. </w:t>
      </w:r>
      <w:proofErr w:type="spellStart"/>
      <w:r w:rsidRPr="00580C0D">
        <w:t>Forskarane</w:t>
      </w:r>
      <w:proofErr w:type="spellEnd"/>
      <w:r w:rsidRPr="00580C0D">
        <w:t xml:space="preserve"> vil undersøke kva </w:t>
      </w:r>
      <w:proofErr w:type="spellStart"/>
      <w:r w:rsidRPr="00580C0D">
        <w:t>erfaringar</w:t>
      </w:r>
      <w:proofErr w:type="spellEnd"/>
      <w:r w:rsidRPr="00580C0D">
        <w:t xml:space="preserve"> og </w:t>
      </w:r>
      <w:proofErr w:type="spellStart"/>
      <w:r w:rsidRPr="00580C0D">
        <w:t>haldningar</w:t>
      </w:r>
      <w:proofErr w:type="spellEnd"/>
      <w:r w:rsidRPr="00580C0D">
        <w:t xml:space="preserve"> </w:t>
      </w:r>
      <w:proofErr w:type="spellStart"/>
      <w:r w:rsidRPr="00580C0D">
        <w:t>legane</w:t>
      </w:r>
      <w:proofErr w:type="spellEnd"/>
      <w:r w:rsidRPr="00580C0D">
        <w:t xml:space="preserve"> og </w:t>
      </w:r>
      <w:proofErr w:type="spellStart"/>
      <w:r w:rsidRPr="00580C0D">
        <w:t>pasientane</w:t>
      </w:r>
      <w:proofErr w:type="spellEnd"/>
      <w:r w:rsidRPr="00580C0D">
        <w:t xml:space="preserve"> har med sjukmelding over e-</w:t>
      </w:r>
      <w:proofErr w:type="spellStart"/>
      <w:r w:rsidRPr="00580C0D">
        <w:t>konsultasjonar</w:t>
      </w:r>
      <w:proofErr w:type="spellEnd"/>
      <w:r w:rsidRPr="00580C0D">
        <w:t xml:space="preserve">, kva som </w:t>
      </w:r>
      <w:proofErr w:type="spellStart"/>
      <w:r w:rsidRPr="00580C0D">
        <w:t>kjenneteiknar</w:t>
      </w:r>
      <w:proofErr w:type="spellEnd"/>
      <w:r w:rsidRPr="00580C0D">
        <w:t xml:space="preserve"> </w:t>
      </w:r>
      <w:proofErr w:type="spellStart"/>
      <w:r w:rsidRPr="00580C0D">
        <w:t>sjukmeldingane</w:t>
      </w:r>
      <w:proofErr w:type="spellEnd"/>
      <w:r w:rsidRPr="00580C0D">
        <w:t xml:space="preserve"> og kva betydning innføringa har for </w:t>
      </w:r>
      <w:proofErr w:type="spellStart"/>
      <w:r w:rsidRPr="00580C0D">
        <w:t>sjukefråværet</w:t>
      </w:r>
      <w:proofErr w:type="spellEnd"/>
      <w:r w:rsidRPr="00580C0D">
        <w:t>. Prosjektperioden for oppdraget er 2023–2026.</w:t>
      </w:r>
    </w:p>
    <w:p w14:paraId="2188C323" w14:textId="77777777" w:rsidR="00F7113A" w:rsidRPr="00580C0D" w:rsidRDefault="00142E5B" w:rsidP="00580C0D">
      <w:r w:rsidRPr="00580C0D">
        <w:t xml:space="preserve">Departementet vil komme tilbake til Stortinget med informasjon om funna </w:t>
      </w:r>
      <w:proofErr w:type="spellStart"/>
      <w:r w:rsidRPr="00580C0D">
        <w:t>frå</w:t>
      </w:r>
      <w:proofErr w:type="spellEnd"/>
      <w:r w:rsidRPr="00580C0D">
        <w:t xml:space="preserve"> evalueringa på eigna måte.</w:t>
      </w:r>
    </w:p>
    <w:p w14:paraId="16B2DA94" w14:textId="77777777" w:rsidR="00F7113A" w:rsidRPr="00580C0D" w:rsidRDefault="00142E5B" w:rsidP="00580C0D">
      <w:pPr>
        <w:pStyle w:val="avsnitt-tittel"/>
      </w:pPr>
      <w:r w:rsidRPr="00580C0D">
        <w:t>Representantforslag om å styrke a-</w:t>
      </w:r>
      <w:proofErr w:type="spellStart"/>
      <w:r w:rsidRPr="00580C0D">
        <w:t>krimsentera</w:t>
      </w:r>
      <w:proofErr w:type="spellEnd"/>
    </w:p>
    <w:p w14:paraId="66781078" w14:textId="77777777" w:rsidR="00F7113A" w:rsidRPr="00580C0D" w:rsidRDefault="00142E5B" w:rsidP="00580C0D">
      <w:pPr>
        <w:pStyle w:val="avsnitt-undertittel"/>
      </w:pPr>
      <w:r w:rsidRPr="00580C0D">
        <w:t>Vedtak 727, 1. juni 2023</w:t>
      </w:r>
    </w:p>
    <w:p w14:paraId="271CA7FB" w14:textId="77777777" w:rsidR="00F7113A" w:rsidRPr="00580C0D" w:rsidRDefault="00142E5B" w:rsidP="00580C0D">
      <w:pPr>
        <w:pStyle w:val="blokksit"/>
        <w:rPr>
          <w:rStyle w:val="kursiv"/>
        </w:rPr>
      </w:pPr>
      <w:r w:rsidRPr="00580C0D">
        <w:rPr>
          <w:rStyle w:val="kursiv"/>
        </w:rPr>
        <w:t>«Stortinget ber regjeringen sørge for at a-krimsentrene prioriterer operative kontroller, sanksjonering og etterforskning, samt at kunnskapsinnhentingen innrettes for å understøtte dette.»</w:t>
      </w:r>
    </w:p>
    <w:p w14:paraId="1165209A" w14:textId="77777777" w:rsidR="00F7113A" w:rsidRPr="00580C0D" w:rsidRDefault="00142E5B" w:rsidP="00580C0D">
      <w:r w:rsidRPr="00580C0D">
        <w:t xml:space="preserve">Vedtaket blei gjort ved behandling av Dokument 8:198 S (2022–2023), </w:t>
      </w:r>
      <w:proofErr w:type="spellStart"/>
      <w:r w:rsidRPr="00580C0D">
        <w:t>Innst</w:t>
      </w:r>
      <w:proofErr w:type="spellEnd"/>
      <w:r w:rsidRPr="00580C0D">
        <w:t>. 388 S (2022–2023)</w:t>
      </w:r>
    </w:p>
    <w:p w14:paraId="6FA0744E" w14:textId="0630CF09" w:rsidR="00F7113A" w:rsidRPr="00580C0D" w:rsidRDefault="00142E5B" w:rsidP="00580C0D">
      <w:r w:rsidRPr="00580C0D">
        <w:t xml:space="preserve">Departementa har gjeve Arbeidstilsynet, Arbeids- og velferdsetaten, politiet og Skatteetaten </w:t>
      </w:r>
      <w:proofErr w:type="spellStart"/>
      <w:r w:rsidRPr="00580C0D">
        <w:t>eit</w:t>
      </w:r>
      <w:proofErr w:type="spellEnd"/>
      <w:r w:rsidRPr="00580C0D">
        <w:t xml:space="preserve"> oppdrag knytt til </w:t>
      </w:r>
      <w:proofErr w:type="spellStart"/>
      <w:r w:rsidRPr="00580C0D">
        <w:t>vidareutvikling</w:t>
      </w:r>
      <w:proofErr w:type="spellEnd"/>
      <w:r w:rsidRPr="00580C0D">
        <w:t xml:space="preserve"> av a</w:t>
      </w:r>
      <w:r w:rsidR="00580C0D">
        <w:t>-</w:t>
      </w:r>
      <w:r w:rsidRPr="00580C0D">
        <w:t xml:space="preserve">krimsamarbeidet. </w:t>
      </w:r>
      <w:proofErr w:type="spellStart"/>
      <w:r w:rsidRPr="00580C0D">
        <w:t>Etatane</w:t>
      </w:r>
      <w:proofErr w:type="spellEnd"/>
      <w:r w:rsidRPr="00580C0D">
        <w:t xml:space="preserve"> skal </w:t>
      </w:r>
      <w:proofErr w:type="spellStart"/>
      <w:r w:rsidRPr="00580C0D">
        <w:t>gje</w:t>
      </w:r>
      <w:proofErr w:type="spellEnd"/>
      <w:r w:rsidRPr="00580C0D">
        <w:t xml:space="preserve"> tilbakemelding i samband med den </w:t>
      </w:r>
      <w:proofErr w:type="spellStart"/>
      <w:r w:rsidRPr="00580C0D">
        <w:t>årlege</w:t>
      </w:r>
      <w:proofErr w:type="spellEnd"/>
      <w:r w:rsidRPr="00580C0D">
        <w:t xml:space="preserve"> rapporten for 2023.</w:t>
      </w:r>
    </w:p>
    <w:p w14:paraId="799AD5A9" w14:textId="77777777" w:rsidR="00F7113A" w:rsidRPr="00580C0D" w:rsidRDefault="00142E5B" w:rsidP="00580C0D">
      <w:r w:rsidRPr="00580C0D">
        <w:t xml:space="preserve">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4403A204" w14:textId="77777777" w:rsidR="00F7113A" w:rsidRPr="00580C0D" w:rsidRDefault="00142E5B" w:rsidP="00580C0D">
      <w:pPr>
        <w:pStyle w:val="avsnitt-tittel"/>
      </w:pPr>
      <w:r w:rsidRPr="00580C0D">
        <w:t>Representantforslag om å styrke a-</w:t>
      </w:r>
      <w:proofErr w:type="spellStart"/>
      <w:r w:rsidRPr="00580C0D">
        <w:t>krimsentera</w:t>
      </w:r>
      <w:proofErr w:type="spellEnd"/>
    </w:p>
    <w:p w14:paraId="5A6B4366" w14:textId="77777777" w:rsidR="00F7113A" w:rsidRPr="00580C0D" w:rsidRDefault="00142E5B" w:rsidP="00580C0D">
      <w:pPr>
        <w:pStyle w:val="avsnitt-undertittel"/>
      </w:pPr>
      <w:r w:rsidRPr="00580C0D">
        <w:t>Vedtak 728, 1. juni 2023</w:t>
      </w:r>
    </w:p>
    <w:p w14:paraId="600598FD" w14:textId="5C67C617" w:rsidR="00F7113A" w:rsidRPr="00580C0D" w:rsidRDefault="00142E5B" w:rsidP="00580C0D">
      <w:pPr>
        <w:pStyle w:val="blokksit"/>
        <w:rPr>
          <w:rStyle w:val="kursiv"/>
        </w:rPr>
      </w:pPr>
      <w:r w:rsidRPr="00580C0D">
        <w:rPr>
          <w:rStyle w:val="kursiv"/>
        </w:rPr>
        <w:t>«Stortinget ber regjeringen sørge for at man i a</w:t>
      </w:r>
      <w:r w:rsidR="00580C0D">
        <w:rPr>
          <w:rStyle w:val="kursiv"/>
        </w:rPr>
        <w:t>-</w:t>
      </w:r>
      <w:r w:rsidRPr="00580C0D">
        <w:rPr>
          <w:rStyle w:val="kursiv"/>
        </w:rPr>
        <w:t>krimsamarbeidet prioriterer bruk av arrest og utlegg fra kriminelle aktører.»</w:t>
      </w:r>
    </w:p>
    <w:p w14:paraId="51CB0231" w14:textId="77777777" w:rsidR="00F7113A" w:rsidRPr="00580C0D" w:rsidRDefault="00142E5B" w:rsidP="00580C0D">
      <w:r w:rsidRPr="00580C0D">
        <w:t xml:space="preserve">Vedtaket blei gjort ved behandling av Dokument 8:198 S (2022–2023), </w:t>
      </w:r>
      <w:proofErr w:type="spellStart"/>
      <w:r w:rsidRPr="00580C0D">
        <w:t>Innst</w:t>
      </w:r>
      <w:proofErr w:type="spellEnd"/>
      <w:r w:rsidRPr="00580C0D">
        <w:t>. 388 S (2022–2023)</w:t>
      </w:r>
    </w:p>
    <w:p w14:paraId="741FFB4C" w14:textId="4229883B" w:rsidR="00F7113A" w:rsidRPr="00580C0D" w:rsidRDefault="00142E5B" w:rsidP="00580C0D">
      <w:r w:rsidRPr="00580C0D">
        <w:t xml:space="preserve">Departementa har gjeve Arbeidstilsynet, Arbeids- og velferdsetaten, politiet og Skatteetaten </w:t>
      </w:r>
      <w:proofErr w:type="spellStart"/>
      <w:r w:rsidRPr="00580C0D">
        <w:t>eit</w:t>
      </w:r>
      <w:proofErr w:type="spellEnd"/>
      <w:r w:rsidRPr="00580C0D">
        <w:t xml:space="preserve"> oppdrag knytt til </w:t>
      </w:r>
      <w:proofErr w:type="spellStart"/>
      <w:r w:rsidRPr="00580C0D">
        <w:t>vidareutvikling</w:t>
      </w:r>
      <w:proofErr w:type="spellEnd"/>
      <w:r w:rsidRPr="00580C0D">
        <w:t xml:space="preserve"> av a</w:t>
      </w:r>
      <w:r w:rsidR="00580C0D">
        <w:t>-</w:t>
      </w:r>
      <w:r w:rsidRPr="00580C0D">
        <w:t xml:space="preserve">krimsamarbeidet. </w:t>
      </w:r>
      <w:proofErr w:type="spellStart"/>
      <w:r w:rsidRPr="00580C0D">
        <w:t>Etatane</w:t>
      </w:r>
      <w:proofErr w:type="spellEnd"/>
      <w:r w:rsidRPr="00580C0D">
        <w:t xml:space="preserve"> skal </w:t>
      </w:r>
      <w:proofErr w:type="spellStart"/>
      <w:r w:rsidRPr="00580C0D">
        <w:t>gje</w:t>
      </w:r>
      <w:proofErr w:type="spellEnd"/>
      <w:r w:rsidRPr="00580C0D">
        <w:t xml:space="preserve"> tilbakemelding i samband med den </w:t>
      </w:r>
      <w:proofErr w:type="spellStart"/>
      <w:r w:rsidRPr="00580C0D">
        <w:t>årlege</w:t>
      </w:r>
      <w:proofErr w:type="spellEnd"/>
      <w:r w:rsidRPr="00580C0D">
        <w:t xml:space="preserve"> rapporten for 2023.</w:t>
      </w:r>
    </w:p>
    <w:p w14:paraId="09F88939" w14:textId="77777777" w:rsidR="00F7113A" w:rsidRPr="00580C0D" w:rsidRDefault="00142E5B" w:rsidP="00580C0D">
      <w:r w:rsidRPr="00580C0D">
        <w:t xml:space="preserve">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1EB517DE" w14:textId="77777777" w:rsidR="00F7113A" w:rsidRPr="00580C0D" w:rsidRDefault="00142E5B" w:rsidP="00580C0D">
      <w:pPr>
        <w:pStyle w:val="avsnitt-tittel"/>
      </w:pPr>
      <w:r w:rsidRPr="00580C0D">
        <w:t>Representantforslag om å styrke a-</w:t>
      </w:r>
      <w:proofErr w:type="spellStart"/>
      <w:r w:rsidRPr="00580C0D">
        <w:t>krimsentera</w:t>
      </w:r>
      <w:proofErr w:type="spellEnd"/>
    </w:p>
    <w:p w14:paraId="2461500E" w14:textId="77777777" w:rsidR="00F7113A" w:rsidRPr="00580C0D" w:rsidRDefault="00142E5B" w:rsidP="00580C0D">
      <w:pPr>
        <w:pStyle w:val="avsnitt-undertittel"/>
      </w:pPr>
      <w:r w:rsidRPr="00580C0D">
        <w:t>Vedtak 730, 1. juni 2023</w:t>
      </w:r>
    </w:p>
    <w:p w14:paraId="4448E999" w14:textId="77777777" w:rsidR="00F7113A" w:rsidRPr="00580C0D" w:rsidRDefault="00142E5B" w:rsidP="00580C0D">
      <w:pPr>
        <w:pStyle w:val="blokksit"/>
        <w:rPr>
          <w:rStyle w:val="kursiv"/>
        </w:rPr>
      </w:pPr>
      <w:r w:rsidRPr="00580C0D">
        <w:rPr>
          <w:rStyle w:val="kursiv"/>
        </w:rPr>
        <w:t>«Stortinget ber regjeringen sørge for at a-krimsentrene har en plan for samarbeidet med ikke-statlige aktører som er tett på ofrene for arbeidslivskriminalitet, samt at det etableres et kontaktpunkt / en tipsløsning.»</w:t>
      </w:r>
    </w:p>
    <w:p w14:paraId="3C367B7B" w14:textId="77777777" w:rsidR="00F7113A" w:rsidRPr="00580C0D" w:rsidRDefault="00142E5B" w:rsidP="00580C0D">
      <w:r w:rsidRPr="00580C0D">
        <w:t xml:space="preserve">Vedtaket blei gjort ved behandling av Dokument 8:198 S (2022–2023), </w:t>
      </w:r>
      <w:proofErr w:type="spellStart"/>
      <w:r w:rsidRPr="00580C0D">
        <w:t>Innst</w:t>
      </w:r>
      <w:proofErr w:type="spellEnd"/>
      <w:r w:rsidRPr="00580C0D">
        <w:t>. 388 S (2022–2023)</w:t>
      </w:r>
    </w:p>
    <w:p w14:paraId="112C02EA" w14:textId="3CA476BA" w:rsidR="00F7113A" w:rsidRPr="00580C0D" w:rsidRDefault="00142E5B" w:rsidP="00580C0D">
      <w:r w:rsidRPr="00580C0D">
        <w:t xml:space="preserve">Departementa har gjeve Arbeidstilsynet, Arbeids- og velferdsetaten, politiet og Skatteetaten </w:t>
      </w:r>
      <w:proofErr w:type="spellStart"/>
      <w:r w:rsidRPr="00580C0D">
        <w:t>eit</w:t>
      </w:r>
      <w:proofErr w:type="spellEnd"/>
      <w:r w:rsidRPr="00580C0D">
        <w:t xml:space="preserve"> oppdrag knytt til </w:t>
      </w:r>
      <w:proofErr w:type="spellStart"/>
      <w:r w:rsidRPr="00580C0D">
        <w:t>vidareutvikling</w:t>
      </w:r>
      <w:proofErr w:type="spellEnd"/>
      <w:r w:rsidRPr="00580C0D">
        <w:t xml:space="preserve"> av a</w:t>
      </w:r>
      <w:r w:rsidR="00580C0D">
        <w:t>-</w:t>
      </w:r>
      <w:r w:rsidRPr="00580C0D">
        <w:t xml:space="preserve">krimsamarbeidet. </w:t>
      </w:r>
      <w:proofErr w:type="spellStart"/>
      <w:r w:rsidRPr="00580C0D">
        <w:t>Etatane</w:t>
      </w:r>
      <w:proofErr w:type="spellEnd"/>
      <w:r w:rsidRPr="00580C0D">
        <w:t xml:space="preserve"> skal </w:t>
      </w:r>
      <w:proofErr w:type="spellStart"/>
      <w:r w:rsidRPr="00580C0D">
        <w:t>gje</w:t>
      </w:r>
      <w:proofErr w:type="spellEnd"/>
      <w:r w:rsidRPr="00580C0D">
        <w:t xml:space="preserve"> tilbakemelding i samband med den </w:t>
      </w:r>
      <w:proofErr w:type="spellStart"/>
      <w:r w:rsidRPr="00580C0D">
        <w:t>årlege</w:t>
      </w:r>
      <w:proofErr w:type="spellEnd"/>
      <w:r w:rsidRPr="00580C0D">
        <w:t xml:space="preserve"> rapporten for 2023.</w:t>
      </w:r>
    </w:p>
    <w:p w14:paraId="60788DB1" w14:textId="77777777" w:rsidR="00F7113A" w:rsidRPr="00580C0D" w:rsidRDefault="00142E5B" w:rsidP="00580C0D">
      <w:r w:rsidRPr="00580C0D">
        <w:t xml:space="preserve">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0BE0B278" w14:textId="77777777" w:rsidR="00F7113A" w:rsidRPr="00580C0D" w:rsidRDefault="00142E5B" w:rsidP="00580C0D">
      <w:pPr>
        <w:pStyle w:val="avsnitt-tittel"/>
      </w:pPr>
      <w:r w:rsidRPr="00580C0D">
        <w:t>Vurdering av omlegging av fribeløpet i uføretrygda</w:t>
      </w:r>
    </w:p>
    <w:p w14:paraId="462B600A" w14:textId="77777777" w:rsidR="00F7113A" w:rsidRPr="00580C0D" w:rsidRDefault="00142E5B" w:rsidP="00580C0D">
      <w:pPr>
        <w:pStyle w:val="avsnitt-undertittel"/>
      </w:pPr>
      <w:r w:rsidRPr="00580C0D">
        <w:t>Vedtak 937, 16. juni 2023</w:t>
      </w:r>
    </w:p>
    <w:p w14:paraId="09102D30" w14:textId="77777777" w:rsidR="00F7113A" w:rsidRPr="00580C0D" w:rsidRDefault="00142E5B" w:rsidP="00580C0D">
      <w:pPr>
        <w:pStyle w:val="blokksit"/>
        <w:rPr>
          <w:rStyle w:val="kursiv"/>
        </w:rPr>
      </w:pPr>
      <w:r w:rsidRPr="00580C0D">
        <w:rPr>
          <w:rStyle w:val="kursiv"/>
        </w:rPr>
        <w:t>«Stortinget ber regjeringen i forbindelse med statsbudsjettet for 2024 komme tilbake med en vurdering av en omlegging av fribeløpet i uføretrygden, herunder en vurdering av en økning av fribeløpet inntil 1 G og andre endringer med mål om at uføre med restarbeidsevne i større grad enn med dagens regelverk kan kombinere arbeidsinntekt med uføretrygd.»</w:t>
      </w:r>
    </w:p>
    <w:p w14:paraId="4CA23DD6" w14:textId="77777777" w:rsidR="00F7113A" w:rsidRPr="00580C0D" w:rsidRDefault="00142E5B" w:rsidP="00580C0D">
      <w:r w:rsidRPr="00580C0D">
        <w:t xml:space="preserve">Vedtaket blei gjort ved behandling av Meld. St. 2 (2022–2023, </w:t>
      </w:r>
      <w:proofErr w:type="spellStart"/>
      <w:r w:rsidRPr="00580C0D">
        <w:t>Innst</w:t>
      </w:r>
      <w:proofErr w:type="spellEnd"/>
      <w:r w:rsidRPr="00580C0D">
        <w:t>. 490 S (2022–2023).</w:t>
      </w:r>
    </w:p>
    <w:p w14:paraId="072B2BD0" w14:textId="77777777" w:rsidR="00F7113A" w:rsidRPr="00580C0D" w:rsidRDefault="00142E5B" w:rsidP="00580C0D">
      <w:r w:rsidRPr="00580C0D">
        <w:t xml:space="preserve">Ettersom det er ulike omsyn som trekker i ulike </w:t>
      </w:r>
      <w:proofErr w:type="spellStart"/>
      <w:r w:rsidRPr="00580C0D">
        <w:t>retningar</w:t>
      </w:r>
      <w:proofErr w:type="spellEnd"/>
      <w:r w:rsidRPr="00580C0D">
        <w:t xml:space="preserve">, ser departementet at det er behov for å samle inn kunnskap om ulike </w:t>
      </w:r>
      <w:proofErr w:type="spellStart"/>
      <w:r w:rsidRPr="00580C0D">
        <w:t>modellar</w:t>
      </w:r>
      <w:proofErr w:type="spellEnd"/>
      <w:r w:rsidRPr="00580C0D">
        <w:t xml:space="preserve"> for </w:t>
      </w:r>
      <w:proofErr w:type="spellStart"/>
      <w:r w:rsidRPr="00580C0D">
        <w:t>endringar</w:t>
      </w:r>
      <w:proofErr w:type="spellEnd"/>
      <w:r w:rsidRPr="00580C0D">
        <w:t xml:space="preserve"> i fribeløpet for å kunne svare ut oppmodingsvedtaket </w:t>
      </w:r>
      <w:proofErr w:type="spellStart"/>
      <w:r w:rsidRPr="00580C0D">
        <w:t>frå</w:t>
      </w:r>
      <w:proofErr w:type="spellEnd"/>
      <w:r w:rsidRPr="00580C0D">
        <w:t xml:space="preserve"> Stortinget.</w:t>
      </w:r>
    </w:p>
    <w:p w14:paraId="1E3C81B6" w14:textId="77777777" w:rsidR="00F7113A" w:rsidRPr="00580C0D" w:rsidRDefault="00142E5B" w:rsidP="00580C0D">
      <w:r w:rsidRPr="00580C0D">
        <w:t xml:space="preserve">Departementet tar derfor sikte på å lyse ut ei ekstern utgreiing </w:t>
      </w:r>
      <w:proofErr w:type="spellStart"/>
      <w:r w:rsidRPr="00580C0D">
        <w:t>innan</w:t>
      </w:r>
      <w:proofErr w:type="spellEnd"/>
      <w:r w:rsidRPr="00580C0D">
        <w:t xml:space="preserve"> kort tid, for å få </w:t>
      </w:r>
      <w:proofErr w:type="spellStart"/>
      <w:r w:rsidRPr="00580C0D">
        <w:t>eit</w:t>
      </w:r>
      <w:proofErr w:type="spellEnd"/>
      <w:r w:rsidRPr="00580C0D">
        <w:t xml:space="preserve"> </w:t>
      </w:r>
      <w:proofErr w:type="spellStart"/>
      <w:r w:rsidRPr="00580C0D">
        <w:t>tilstrekkeleg</w:t>
      </w:r>
      <w:proofErr w:type="spellEnd"/>
      <w:r w:rsidRPr="00580C0D">
        <w:t xml:space="preserve"> kunnskapsgrunnlag i høve med vurderinga av omlegging av fribeløpet.</w:t>
      </w:r>
    </w:p>
    <w:p w14:paraId="1248F0F9" w14:textId="77777777" w:rsidR="00F7113A" w:rsidRPr="00580C0D" w:rsidRDefault="00142E5B" w:rsidP="00580C0D">
      <w:r w:rsidRPr="00580C0D">
        <w:t xml:space="preserve">På bakgrunn av dette foreslår departementet at oppmodingsvedtaket blir </w:t>
      </w:r>
      <w:proofErr w:type="spellStart"/>
      <w:r w:rsidRPr="00580C0D">
        <w:t>følgt</w:t>
      </w:r>
      <w:proofErr w:type="spellEnd"/>
      <w:r w:rsidRPr="00580C0D">
        <w:t xml:space="preserve"> opp ved ei vurdering av ei omlegging av fribeløpet i samband med statsbudsjettet for 2025. Sjå </w:t>
      </w:r>
      <w:proofErr w:type="spellStart"/>
      <w:r w:rsidRPr="00580C0D">
        <w:t>nærmare</w:t>
      </w:r>
      <w:proofErr w:type="spellEnd"/>
      <w:r w:rsidRPr="00580C0D">
        <w:t xml:space="preserve"> omtale i del II, punkt 6.6 Inntektssikringsordninger som gir økonomisk trygghet og samtidig stimulerer til arbeid.</w:t>
      </w:r>
    </w:p>
    <w:p w14:paraId="1351295F" w14:textId="77777777" w:rsidR="00F7113A" w:rsidRPr="00580C0D" w:rsidRDefault="00142E5B" w:rsidP="00580C0D">
      <w:pPr>
        <w:pStyle w:val="Overskrift2"/>
      </w:pPr>
      <w:r w:rsidRPr="00580C0D">
        <w:t>Stortingssesjon 2021–2022</w:t>
      </w:r>
    </w:p>
    <w:p w14:paraId="2BACDBBC" w14:textId="77777777" w:rsidR="00F7113A" w:rsidRPr="00580C0D" w:rsidRDefault="00142E5B" w:rsidP="00580C0D">
      <w:pPr>
        <w:pStyle w:val="avsnitt-tittel"/>
      </w:pPr>
      <w:r w:rsidRPr="00580C0D">
        <w:t xml:space="preserve">Varig ordning for ferietillegg for </w:t>
      </w:r>
      <w:proofErr w:type="spellStart"/>
      <w:r w:rsidRPr="00580C0D">
        <w:t>dagpengar</w:t>
      </w:r>
      <w:proofErr w:type="spellEnd"/>
    </w:p>
    <w:p w14:paraId="217673F2" w14:textId="77777777" w:rsidR="00F7113A" w:rsidRPr="00580C0D" w:rsidRDefault="00142E5B" w:rsidP="00580C0D">
      <w:pPr>
        <w:pStyle w:val="avsnitt-undertittel"/>
      </w:pPr>
      <w:r w:rsidRPr="00580C0D">
        <w:t>Vedtak 35, punkt 55 2. desember 2021</w:t>
      </w:r>
    </w:p>
    <w:p w14:paraId="584ACAAD" w14:textId="77777777" w:rsidR="00F7113A" w:rsidRPr="00580C0D" w:rsidRDefault="00142E5B" w:rsidP="00580C0D">
      <w:pPr>
        <w:pStyle w:val="blokksit"/>
        <w:rPr>
          <w:rStyle w:val="kursiv"/>
        </w:rPr>
      </w:pPr>
      <w:r w:rsidRPr="00580C0D">
        <w:rPr>
          <w:rStyle w:val="kursiv"/>
        </w:rPr>
        <w:t>«Stortinget ber regjeringen komme tilbake med forslag til varig ordning for ferietillegg for dagpenger med opptjening i 2022.»</w:t>
      </w:r>
    </w:p>
    <w:p w14:paraId="484E3ECA" w14:textId="77777777" w:rsidR="00F7113A" w:rsidRPr="00580C0D" w:rsidRDefault="00142E5B" w:rsidP="00580C0D">
      <w:r w:rsidRPr="00580C0D">
        <w:t xml:space="preserve">Vedtaket blei gjort ved behandling av Meld. St. 1 (2021–2022), </w:t>
      </w:r>
      <w:proofErr w:type="spellStart"/>
      <w:r w:rsidRPr="00580C0D">
        <w:t>Innst</w:t>
      </w:r>
      <w:proofErr w:type="spellEnd"/>
      <w:r w:rsidRPr="00580C0D">
        <w:t>. 2 S (2021–2022).</w:t>
      </w:r>
    </w:p>
    <w:p w14:paraId="7CCBB374" w14:textId="77777777" w:rsidR="00F7113A" w:rsidRPr="00580C0D" w:rsidRDefault="00142E5B" w:rsidP="00580C0D">
      <w:r w:rsidRPr="00580C0D">
        <w:t xml:space="preserve">For å bidra til å styrke inntektssikringa ved ferie foreslo regjeringa å innføre </w:t>
      </w:r>
      <w:proofErr w:type="spellStart"/>
      <w:r w:rsidRPr="00580C0D">
        <w:t>eit</w:t>
      </w:r>
      <w:proofErr w:type="spellEnd"/>
      <w:r w:rsidRPr="00580C0D">
        <w:t xml:space="preserve"> ferietillegg til </w:t>
      </w:r>
      <w:proofErr w:type="spellStart"/>
      <w:r w:rsidRPr="00580C0D">
        <w:t>dagpengar</w:t>
      </w:r>
      <w:proofErr w:type="spellEnd"/>
      <w:r w:rsidRPr="00580C0D">
        <w:t xml:space="preserve"> i 2023. </w:t>
      </w:r>
      <w:proofErr w:type="spellStart"/>
      <w:r w:rsidRPr="00580C0D">
        <w:t>Dagpengemottakarar</w:t>
      </w:r>
      <w:proofErr w:type="spellEnd"/>
      <w:r w:rsidRPr="00580C0D">
        <w:t xml:space="preserve"> som hadde mottatt </w:t>
      </w:r>
      <w:proofErr w:type="spellStart"/>
      <w:r w:rsidRPr="00580C0D">
        <w:t>dagpengar</w:t>
      </w:r>
      <w:proofErr w:type="spellEnd"/>
      <w:r w:rsidRPr="00580C0D">
        <w:t xml:space="preserve"> i </w:t>
      </w:r>
      <w:proofErr w:type="spellStart"/>
      <w:r w:rsidRPr="00580C0D">
        <w:t>meir</w:t>
      </w:r>
      <w:proofErr w:type="spellEnd"/>
      <w:r w:rsidRPr="00580C0D">
        <w:t xml:space="preserve"> enn åtte veker i 2022, </w:t>
      </w:r>
      <w:proofErr w:type="spellStart"/>
      <w:r w:rsidRPr="00580C0D">
        <w:t>fekk</w:t>
      </w:r>
      <w:proofErr w:type="spellEnd"/>
      <w:r w:rsidRPr="00580C0D">
        <w:t xml:space="preserve"> utbetalt 9,5 pst. av utbetalte </w:t>
      </w:r>
      <w:proofErr w:type="spellStart"/>
      <w:r w:rsidRPr="00580C0D">
        <w:t>dagpengar</w:t>
      </w:r>
      <w:proofErr w:type="spellEnd"/>
      <w:r w:rsidRPr="00580C0D">
        <w:t xml:space="preserve"> som ferietillegg i 2023. I </w:t>
      </w:r>
      <w:proofErr w:type="spellStart"/>
      <w:r w:rsidRPr="00580C0D">
        <w:t>Prop</w:t>
      </w:r>
      <w:proofErr w:type="spellEnd"/>
      <w:r w:rsidRPr="00580C0D">
        <w:t xml:space="preserve">. 1 S (2022–2023) varsla regjeringa at ho ville sjå </w:t>
      </w:r>
      <w:proofErr w:type="spellStart"/>
      <w:r w:rsidRPr="00580C0D">
        <w:t>nærmare</w:t>
      </w:r>
      <w:proofErr w:type="spellEnd"/>
      <w:r w:rsidRPr="00580C0D">
        <w:t xml:space="preserve"> på </w:t>
      </w:r>
      <w:proofErr w:type="spellStart"/>
      <w:r w:rsidRPr="00580C0D">
        <w:t>moglegheitene</w:t>
      </w:r>
      <w:proofErr w:type="spellEnd"/>
      <w:r w:rsidRPr="00580C0D">
        <w:t xml:space="preserve"> for å innføre ei ordning med ferietillegg til </w:t>
      </w:r>
      <w:proofErr w:type="spellStart"/>
      <w:r w:rsidRPr="00580C0D">
        <w:t>dagpengar</w:t>
      </w:r>
      <w:proofErr w:type="spellEnd"/>
      <w:r w:rsidRPr="00580C0D">
        <w:t xml:space="preserve"> </w:t>
      </w:r>
      <w:proofErr w:type="spellStart"/>
      <w:r w:rsidRPr="00580C0D">
        <w:t>frå</w:t>
      </w:r>
      <w:proofErr w:type="spellEnd"/>
      <w:r w:rsidRPr="00580C0D">
        <w:t xml:space="preserve"> 2024 som ligg </w:t>
      </w:r>
      <w:proofErr w:type="spellStart"/>
      <w:r w:rsidRPr="00580C0D">
        <w:t>nærmare</w:t>
      </w:r>
      <w:proofErr w:type="spellEnd"/>
      <w:r w:rsidRPr="00580C0D">
        <w:t xml:space="preserve"> ordninga med </w:t>
      </w:r>
      <w:proofErr w:type="spellStart"/>
      <w:r w:rsidRPr="00580C0D">
        <w:t>feriepengar</w:t>
      </w:r>
      <w:proofErr w:type="spellEnd"/>
      <w:r w:rsidRPr="00580C0D">
        <w:t xml:space="preserve"> for </w:t>
      </w:r>
      <w:proofErr w:type="spellStart"/>
      <w:r w:rsidRPr="00580C0D">
        <w:t>arbeidstakarar</w:t>
      </w:r>
      <w:proofErr w:type="spellEnd"/>
      <w:r w:rsidRPr="00580C0D">
        <w:t xml:space="preserve">. I forbindelse med arbeidet med statsbudsjettet for 2024 har det derfor blitt </w:t>
      </w:r>
      <w:proofErr w:type="spellStart"/>
      <w:r w:rsidRPr="00580C0D">
        <w:t>utgreidd</w:t>
      </w:r>
      <w:proofErr w:type="spellEnd"/>
      <w:r w:rsidRPr="00580C0D">
        <w:t xml:space="preserve"> ei ordning med ferietillegg til </w:t>
      </w:r>
      <w:proofErr w:type="spellStart"/>
      <w:r w:rsidRPr="00580C0D">
        <w:t>dagpengar</w:t>
      </w:r>
      <w:proofErr w:type="spellEnd"/>
      <w:r w:rsidRPr="00580C0D">
        <w:t xml:space="preserve"> der </w:t>
      </w:r>
      <w:proofErr w:type="spellStart"/>
      <w:r w:rsidRPr="00580C0D">
        <w:t>dagpengane</w:t>
      </w:r>
      <w:proofErr w:type="spellEnd"/>
      <w:r w:rsidRPr="00580C0D">
        <w:t xml:space="preserve"> blir stansa i juli, men med </w:t>
      </w:r>
      <w:proofErr w:type="spellStart"/>
      <w:r w:rsidRPr="00580C0D">
        <w:t>moglegheit</w:t>
      </w:r>
      <w:proofErr w:type="spellEnd"/>
      <w:r w:rsidRPr="00580C0D">
        <w:t xml:space="preserve"> for søknadsbasert unntak for </w:t>
      </w:r>
      <w:proofErr w:type="spellStart"/>
      <w:r w:rsidRPr="00580C0D">
        <w:t>dei</w:t>
      </w:r>
      <w:proofErr w:type="spellEnd"/>
      <w:r w:rsidRPr="00580C0D">
        <w:t xml:space="preserve"> som </w:t>
      </w:r>
      <w:proofErr w:type="spellStart"/>
      <w:r w:rsidRPr="00580C0D">
        <w:t>ikkje</w:t>
      </w:r>
      <w:proofErr w:type="spellEnd"/>
      <w:r w:rsidRPr="00580C0D">
        <w:t xml:space="preserve"> har </w:t>
      </w:r>
      <w:proofErr w:type="spellStart"/>
      <w:r w:rsidRPr="00580C0D">
        <w:t>tilstrekkeleg</w:t>
      </w:r>
      <w:proofErr w:type="spellEnd"/>
      <w:r w:rsidRPr="00580C0D">
        <w:t xml:space="preserve"> opptente </w:t>
      </w:r>
      <w:proofErr w:type="spellStart"/>
      <w:r w:rsidRPr="00580C0D">
        <w:t>feriepengar</w:t>
      </w:r>
      <w:proofErr w:type="spellEnd"/>
      <w:r w:rsidRPr="00580C0D">
        <w:t xml:space="preserve">. Regjeringa har vurdert at ei slik ordning </w:t>
      </w:r>
      <w:proofErr w:type="spellStart"/>
      <w:r w:rsidRPr="00580C0D">
        <w:t>ikkje</w:t>
      </w:r>
      <w:proofErr w:type="spellEnd"/>
      <w:r w:rsidRPr="00580C0D">
        <w:t xml:space="preserve"> vil </w:t>
      </w:r>
      <w:proofErr w:type="spellStart"/>
      <w:r w:rsidRPr="00580C0D">
        <w:t>vere</w:t>
      </w:r>
      <w:proofErr w:type="spellEnd"/>
      <w:r w:rsidRPr="00580C0D">
        <w:t xml:space="preserve"> </w:t>
      </w:r>
      <w:proofErr w:type="spellStart"/>
      <w:r w:rsidRPr="00580C0D">
        <w:t>mogleg</w:t>
      </w:r>
      <w:proofErr w:type="spellEnd"/>
      <w:r w:rsidRPr="00580C0D">
        <w:t xml:space="preserve"> å gjennomføre i praksis, og foreslår derfor å </w:t>
      </w:r>
      <w:proofErr w:type="spellStart"/>
      <w:r w:rsidRPr="00580C0D">
        <w:t>vidareføre</w:t>
      </w:r>
      <w:proofErr w:type="spellEnd"/>
      <w:r w:rsidRPr="00580C0D">
        <w:t xml:space="preserve"> den ordninga som blei innført for 2023.</w:t>
      </w:r>
    </w:p>
    <w:p w14:paraId="2DB074CF"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657DF2DA" w14:textId="77777777" w:rsidR="00F7113A" w:rsidRPr="00580C0D" w:rsidRDefault="00142E5B" w:rsidP="00580C0D">
      <w:pPr>
        <w:pStyle w:val="avsnitt-tittel"/>
      </w:pPr>
      <w:r w:rsidRPr="00580C0D">
        <w:t xml:space="preserve">Utvikle betre modeller for oppfølging i VTA-O kor også andre kan </w:t>
      </w:r>
      <w:proofErr w:type="spellStart"/>
      <w:r w:rsidRPr="00580C0D">
        <w:t>vere</w:t>
      </w:r>
      <w:proofErr w:type="spellEnd"/>
      <w:r w:rsidRPr="00580C0D">
        <w:t xml:space="preserve"> </w:t>
      </w:r>
      <w:proofErr w:type="spellStart"/>
      <w:r w:rsidRPr="00580C0D">
        <w:t>ansvarleg</w:t>
      </w:r>
      <w:proofErr w:type="spellEnd"/>
      <w:r w:rsidRPr="00580C0D">
        <w:t xml:space="preserve"> for oppfølging</w:t>
      </w:r>
    </w:p>
    <w:p w14:paraId="2BDA843E" w14:textId="77777777" w:rsidR="00F7113A" w:rsidRPr="00580C0D" w:rsidRDefault="00142E5B" w:rsidP="00580C0D">
      <w:pPr>
        <w:pStyle w:val="avsnitt-undertittel"/>
      </w:pPr>
      <w:r w:rsidRPr="00580C0D">
        <w:t>Vedtak 409, 3. mars 2022</w:t>
      </w:r>
    </w:p>
    <w:p w14:paraId="790FF957" w14:textId="77777777" w:rsidR="00F7113A" w:rsidRPr="00580C0D" w:rsidRDefault="00142E5B" w:rsidP="00580C0D">
      <w:pPr>
        <w:pStyle w:val="blokksit"/>
        <w:rPr>
          <w:rStyle w:val="kursiv"/>
        </w:rPr>
      </w:pPr>
      <w:r w:rsidRPr="00580C0D">
        <w:rPr>
          <w:rStyle w:val="kursiv"/>
        </w:rPr>
        <w:t>«Stortinget ber regjeringen sørge for at det utvikles bedre modeller for oppfølging i VTA-O, hvor også andre aktører enn Nav – eksempelvis HELT MED – kan være ansvarlig for oppfølging, og komme tilbake til Stortinget på egnet måte, senest innen statsbudsjettet for 2023. Tilrettelagt oppfølging for personer med utviklingshemming i ordinært arbeidsliv må være av varig karakter og ha et omfang tilsvarende det som praktiseres i HELT MED-modellen.»</w:t>
      </w:r>
    </w:p>
    <w:p w14:paraId="74DD6EFF" w14:textId="77777777" w:rsidR="00F7113A" w:rsidRPr="00580C0D" w:rsidRDefault="00142E5B" w:rsidP="00580C0D">
      <w:r w:rsidRPr="00580C0D">
        <w:t xml:space="preserve">Vedtaket blei gjort ved behandling av Dokument 8:45 S (2021–2022), </w:t>
      </w:r>
      <w:proofErr w:type="spellStart"/>
      <w:r w:rsidRPr="00580C0D">
        <w:t>Innst</w:t>
      </w:r>
      <w:proofErr w:type="spellEnd"/>
      <w:r w:rsidRPr="00580C0D">
        <w:t>. 160 S (2021–2022).</w:t>
      </w:r>
    </w:p>
    <w:p w14:paraId="6DF81828" w14:textId="77777777" w:rsidR="00F7113A" w:rsidRPr="00580C0D" w:rsidRDefault="00142E5B" w:rsidP="00580C0D">
      <w:r w:rsidRPr="00580C0D">
        <w:t xml:space="preserve">I </w:t>
      </w:r>
      <w:proofErr w:type="spellStart"/>
      <w:r w:rsidRPr="00580C0D">
        <w:t>Prop</w:t>
      </w:r>
      <w:proofErr w:type="spellEnd"/>
      <w:r w:rsidRPr="00580C0D">
        <w:t xml:space="preserve">. 1 S (2022–2023) varsla regjeringa at </w:t>
      </w:r>
      <w:proofErr w:type="spellStart"/>
      <w:r w:rsidRPr="00580C0D">
        <w:t>oppmodningsvedtak</w:t>
      </w:r>
      <w:proofErr w:type="spellEnd"/>
      <w:r w:rsidRPr="00580C0D">
        <w:t xml:space="preserve"> 409 skulle bli </w:t>
      </w:r>
      <w:proofErr w:type="spellStart"/>
      <w:r w:rsidRPr="00580C0D">
        <w:t>følgt</w:t>
      </w:r>
      <w:proofErr w:type="spellEnd"/>
      <w:r w:rsidRPr="00580C0D">
        <w:t xml:space="preserve"> opp gjennom </w:t>
      </w:r>
      <w:proofErr w:type="spellStart"/>
      <w:r w:rsidRPr="00580C0D">
        <w:t>eit</w:t>
      </w:r>
      <w:proofErr w:type="spellEnd"/>
      <w:r w:rsidRPr="00580C0D">
        <w:t xml:space="preserve"> forsøk med forsterka oppfølging i VTA i ordinære </w:t>
      </w:r>
      <w:proofErr w:type="spellStart"/>
      <w:r w:rsidRPr="00580C0D">
        <w:t>verksemder</w:t>
      </w:r>
      <w:proofErr w:type="spellEnd"/>
      <w:r w:rsidRPr="00580C0D">
        <w:t xml:space="preserve">. Stortinget avslo utkvittering gjennom </w:t>
      </w:r>
      <w:proofErr w:type="spellStart"/>
      <w:r w:rsidRPr="00580C0D">
        <w:t>eit</w:t>
      </w:r>
      <w:proofErr w:type="spellEnd"/>
      <w:r w:rsidRPr="00580C0D">
        <w:t xml:space="preserve"> forsøk, og vedtok </w:t>
      </w:r>
      <w:proofErr w:type="spellStart"/>
      <w:r w:rsidRPr="00580C0D">
        <w:t>eit</w:t>
      </w:r>
      <w:proofErr w:type="spellEnd"/>
      <w:r w:rsidRPr="00580C0D">
        <w:t xml:space="preserve"> nytt oppmodingsvedtak om den same saka (oppmodingsvedtak 604, 18. april 2023). Arbeids- og inkluderingsdepartementet </w:t>
      </w:r>
      <w:proofErr w:type="spellStart"/>
      <w:r w:rsidRPr="00580C0D">
        <w:t>tolkar</w:t>
      </w:r>
      <w:proofErr w:type="spellEnd"/>
      <w:r w:rsidRPr="00580C0D">
        <w:t xml:space="preserve"> oppmodingsvedtak 604 som at Stortinget ber regjeringa starte arbeidet med nødvendige </w:t>
      </w:r>
      <w:proofErr w:type="spellStart"/>
      <w:r w:rsidRPr="00580C0D">
        <w:t>regelendringar</w:t>
      </w:r>
      <w:proofErr w:type="spellEnd"/>
      <w:r w:rsidRPr="00580C0D">
        <w:t xml:space="preserve"> </w:t>
      </w:r>
      <w:proofErr w:type="spellStart"/>
      <w:r w:rsidRPr="00580C0D">
        <w:t>utan</w:t>
      </w:r>
      <w:proofErr w:type="spellEnd"/>
      <w:r w:rsidRPr="00580C0D">
        <w:t xml:space="preserve"> å vente på resultata av </w:t>
      </w:r>
      <w:proofErr w:type="spellStart"/>
      <w:r w:rsidRPr="00580C0D">
        <w:t>eit</w:t>
      </w:r>
      <w:proofErr w:type="spellEnd"/>
      <w:r w:rsidRPr="00580C0D">
        <w:t xml:space="preserve"> forsøk. Sjå omtale under vedtak 604 av 18. april 2023. Vedtak 409 følges </w:t>
      </w:r>
      <w:proofErr w:type="spellStart"/>
      <w:r w:rsidRPr="00580C0D">
        <w:t>vidare</w:t>
      </w:r>
      <w:proofErr w:type="spellEnd"/>
      <w:r w:rsidRPr="00580C0D">
        <w:t xml:space="preserve"> opp gjennom dette vedtaket.</w:t>
      </w:r>
    </w:p>
    <w:p w14:paraId="61C3A98B" w14:textId="77777777" w:rsidR="00F7113A" w:rsidRPr="00580C0D" w:rsidRDefault="00142E5B" w:rsidP="00580C0D">
      <w:pPr>
        <w:pStyle w:val="avsnitt-tittel"/>
      </w:pPr>
      <w:r w:rsidRPr="00580C0D">
        <w:t xml:space="preserve">Utgreie om sjølvstendige </w:t>
      </w:r>
      <w:proofErr w:type="spellStart"/>
      <w:r w:rsidRPr="00580C0D">
        <w:t>næringsdrivande</w:t>
      </w:r>
      <w:proofErr w:type="spellEnd"/>
      <w:r w:rsidRPr="00580C0D">
        <w:t xml:space="preserve"> og </w:t>
      </w:r>
      <w:proofErr w:type="spellStart"/>
      <w:r w:rsidRPr="00580C0D">
        <w:t>frilansarar</w:t>
      </w:r>
      <w:proofErr w:type="spellEnd"/>
      <w:r w:rsidRPr="00580C0D">
        <w:t xml:space="preserve"> skal opparbeide seg </w:t>
      </w:r>
      <w:proofErr w:type="spellStart"/>
      <w:r w:rsidRPr="00580C0D">
        <w:t>sterkare</w:t>
      </w:r>
      <w:proofErr w:type="spellEnd"/>
      <w:r w:rsidRPr="00580C0D">
        <w:t xml:space="preserve"> </w:t>
      </w:r>
      <w:proofErr w:type="spellStart"/>
      <w:r w:rsidRPr="00580C0D">
        <w:t>rettar</w:t>
      </w:r>
      <w:proofErr w:type="spellEnd"/>
      <w:r w:rsidRPr="00580C0D">
        <w:t xml:space="preserve"> til inntektssikring</w:t>
      </w:r>
    </w:p>
    <w:p w14:paraId="2A4C32CF" w14:textId="77777777" w:rsidR="00F7113A" w:rsidRPr="00580C0D" w:rsidRDefault="00142E5B" w:rsidP="00580C0D">
      <w:pPr>
        <w:pStyle w:val="avsnitt-undertittel"/>
      </w:pPr>
      <w:r w:rsidRPr="00580C0D">
        <w:t>Vedtak 456, 31. mars 2022</w:t>
      </w:r>
    </w:p>
    <w:p w14:paraId="4845E599" w14:textId="77777777" w:rsidR="00F7113A" w:rsidRPr="00580C0D" w:rsidRDefault="00142E5B" w:rsidP="00580C0D">
      <w:pPr>
        <w:pStyle w:val="blokksit"/>
        <w:rPr>
          <w:rStyle w:val="kursiv"/>
        </w:rPr>
      </w:pPr>
      <w:r w:rsidRPr="00580C0D">
        <w:rPr>
          <w:rStyle w:val="kursiv"/>
        </w:rPr>
        <w:t>«Stortinget ber regjeringen utrede om selvstendig næringsdrivende og frilansere skal opparbeide seg sterkere rettigheter til inntektssikring, inkludert forbedring av sykelønnsordningen og sosiale ordninger for selvstendig næringsdrivende.»</w:t>
      </w:r>
    </w:p>
    <w:p w14:paraId="3C85F37A" w14:textId="77777777" w:rsidR="00F7113A" w:rsidRPr="00580C0D" w:rsidRDefault="00142E5B" w:rsidP="00580C0D">
      <w:r w:rsidRPr="00580C0D">
        <w:t xml:space="preserve">Vedtaket blei gjort ved behandling av Dokument 8:92 S (2021–2022), </w:t>
      </w:r>
      <w:proofErr w:type="spellStart"/>
      <w:r w:rsidRPr="00580C0D">
        <w:t>Innst</w:t>
      </w:r>
      <w:proofErr w:type="spellEnd"/>
      <w:r w:rsidRPr="00580C0D">
        <w:t>. 215 S (2021–2022).</w:t>
      </w:r>
    </w:p>
    <w:p w14:paraId="79DA6170" w14:textId="77777777" w:rsidR="00F7113A" w:rsidRPr="00580C0D" w:rsidRDefault="00142E5B" w:rsidP="00580C0D">
      <w:r w:rsidRPr="00580C0D">
        <w:t xml:space="preserve">Regjeringa </w:t>
      </w:r>
      <w:proofErr w:type="spellStart"/>
      <w:r w:rsidRPr="00580C0D">
        <w:t>arbeidar</w:t>
      </w:r>
      <w:proofErr w:type="spellEnd"/>
      <w:r w:rsidRPr="00580C0D">
        <w:t xml:space="preserve"> med å vurdere </w:t>
      </w:r>
      <w:proofErr w:type="spellStart"/>
      <w:r w:rsidRPr="00580C0D">
        <w:t>utvalde</w:t>
      </w:r>
      <w:proofErr w:type="spellEnd"/>
      <w:r w:rsidRPr="00580C0D">
        <w:t xml:space="preserve"> </w:t>
      </w:r>
      <w:proofErr w:type="spellStart"/>
      <w:r w:rsidRPr="00580C0D">
        <w:t>problemstillingar</w:t>
      </w:r>
      <w:proofErr w:type="spellEnd"/>
      <w:r w:rsidRPr="00580C0D">
        <w:t xml:space="preserve"> knytt til sjølvstendig </w:t>
      </w:r>
      <w:proofErr w:type="spellStart"/>
      <w:r w:rsidRPr="00580C0D">
        <w:t>næringsdrivande</w:t>
      </w:r>
      <w:proofErr w:type="spellEnd"/>
      <w:r w:rsidRPr="00580C0D">
        <w:t xml:space="preserve"> og </w:t>
      </w:r>
      <w:proofErr w:type="spellStart"/>
      <w:r w:rsidRPr="00580C0D">
        <w:t>frilansarar</w:t>
      </w:r>
      <w:proofErr w:type="spellEnd"/>
      <w:r w:rsidRPr="00580C0D">
        <w:t xml:space="preserve"> sine sosiale </w:t>
      </w:r>
      <w:proofErr w:type="spellStart"/>
      <w:r w:rsidRPr="00580C0D">
        <w:t>rettar</w:t>
      </w:r>
      <w:proofErr w:type="spellEnd"/>
      <w:r w:rsidRPr="00580C0D">
        <w:t xml:space="preserve">. Sjå </w:t>
      </w:r>
      <w:proofErr w:type="spellStart"/>
      <w:r w:rsidRPr="00580C0D">
        <w:t>nærmare</w:t>
      </w:r>
      <w:proofErr w:type="spellEnd"/>
      <w:r w:rsidRPr="00580C0D">
        <w:t xml:space="preserve"> omtale av det </w:t>
      </w:r>
      <w:proofErr w:type="spellStart"/>
      <w:r w:rsidRPr="00580C0D">
        <w:t>planlagde</w:t>
      </w:r>
      <w:proofErr w:type="spellEnd"/>
      <w:r w:rsidRPr="00580C0D">
        <w:t xml:space="preserve"> oppfølgingsarbeidet i del II, punkt 6.6 Inntektssikringsordninger som gir økonomisk trygghet og samtidig stimulerer til arbeid. Regjeringa vil komme tilbake til Stortinget i </w:t>
      </w:r>
      <w:proofErr w:type="spellStart"/>
      <w:r w:rsidRPr="00580C0D">
        <w:t>samanheng</w:t>
      </w:r>
      <w:proofErr w:type="spellEnd"/>
      <w:r w:rsidRPr="00580C0D">
        <w:t xml:space="preserve"> med </w:t>
      </w:r>
      <w:proofErr w:type="spellStart"/>
      <w:r w:rsidRPr="00580C0D">
        <w:t>Prop</w:t>
      </w:r>
      <w:proofErr w:type="spellEnd"/>
      <w:r w:rsidRPr="00580C0D">
        <w:t>. 1 S for 2025.</w:t>
      </w:r>
    </w:p>
    <w:p w14:paraId="49D908E3" w14:textId="77777777" w:rsidR="00F7113A" w:rsidRPr="00580C0D" w:rsidRDefault="00142E5B" w:rsidP="00580C0D">
      <w:pPr>
        <w:pStyle w:val="avsnitt-tittel"/>
      </w:pPr>
      <w:proofErr w:type="spellStart"/>
      <w:r w:rsidRPr="00580C0D">
        <w:t>Tilgjengelegheit</w:t>
      </w:r>
      <w:proofErr w:type="spellEnd"/>
      <w:r w:rsidRPr="00580C0D">
        <w:t xml:space="preserve"> og kvalitet i økonomisk rådgiving og gjeldsrådgiving</w:t>
      </w:r>
    </w:p>
    <w:p w14:paraId="2636C867" w14:textId="77777777" w:rsidR="00F7113A" w:rsidRPr="00580C0D" w:rsidRDefault="00142E5B" w:rsidP="00580C0D">
      <w:pPr>
        <w:pStyle w:val="avsnitt-undertittel"/>
      </w:pPr>
      <w:r w:rsidRPr="00580C0D">
        <w:t>Vedtak 794, 15. juni 2022</w:t>
      </w:r>
    </w:p>
    <w:p w14:paraId="1EB2EC64" w14:textId="77777777" w:rsidR="00F7113A" w:rsidRPr="00580C0D" w:rsidRDefault="00142E5B" w:rsidP="00580C0D">
      <w:pPr>
        <w:pStyle w:val="blokksit"/>
        <w:rPr>
          <w:rStyle w:val="kursiv"/>
        </w:rPr>
      </w:pPr>
      <w:r w:rsidRPr="00580C0D">
        <w:rPr>
          <w:rStyle w:val="kursiv"/>
        </w:rPr>
        <w:t>«Stortinget ber regjeringen komme tilbake til Stortinget på egnet måte med en rapport om dekningsgrad for gjeldsrådgivere, ventetiden for å få time hos en gjeldsrådgiver og hvilken kompetanse gjeldsrådgiverne har.»</w:t>
      </w:r>
    </w:p>
    <w:p w14:paraId="51236B0E" w14:textId="77777777" w:rsidR="00F7113A" w:rsidRPr="00580C0D" w:rsidRDefault="00142E5B" w:rsidP="00580C0D">
      <w:r w:rsidRPr="00580C0D">
        <w:t xml:space="preserve">Vedtaket blei gjort ved behandling av Dokument 8:200 S (2021–2022), </w:t>
      </w:r>
      <w:proofErr w:type="spellStart"/>
      <w:r w:rsidRPr="00580C0D">
        <w:t>Innst</w:t>
      </w:r>
      <w:proofErr w:type="spellEnd"/>
      <w:r w:rsidRPr="00580C0D">
        <w:t>. 373 S (2021- 2022).</w:t>
      </w:r>
    </w:p>
    <w:p w14:paraId="56CED0CD" w14:textId="77777777" w:rsidR="00F7113A" w:rsidRPr="00580C0D" w:rsidRDefault="00142E5B" w:rsidP="00580C0D">
      <w:r w:rsidRPr="00580C0D">
        <w:t xml:space="preserve">Det </w:t>
      </w:r>
      <w:proofErr w:type="spellStart"/>
      <w:r w:rsidRPr="00580C0D">
        <w:t>finst</w:t>
      </w:r>
      <w:proofErr w:type="spellEnd"/>
      <w:r w:rsidRPr="00580C0D">
        <w:t xml:space="preserve"> </w:t>
      </w:r>
      <w:proofErr w:type="spellStart"/>
      <w:r w:rsidRPr="00580C0D">
        <w:t>ikkje</w:t>
      </w:r>
      <w:proofErr w:type="spellEnd"/>
      <w:r w:rsidRPr="00580C0D">
        <w:t xml:space="preserve"> </w:t>
      </w:r>
      <w:proofErr w:type="spellStart"/>
      <w:r w:rsidRPr="00580C0D">
        <w:t>nyare</w:t>
      </w:r>
      <w:proofErr w:type="spellEnd"/>
      <w:r w:rsidRPr="00580C0D">
        <w:t xml:space="preserve"> </w:t>
      </w:r>
      <w:proofErr w:type="spellStart"/>
      <w:r w:rsidRPr="00580C0D">
        <w:t>undersøkingar</w:t>
      </w:r>
      <w:proofErr w:type="spellEnd"/>
      <w:r w:rsidRPr="00580C0D">
        <w:t xml:space="preserve"> om tilgang på og kvalitet i økonomisk rådgiving i NAV-kontora. På oppdrag av Arbeids- og inkluderingsdepartementet har Arbeids- og velferdsdirektoratet i 2023 satt ut </w:t>
      </w:r>
      <w:proofErr w:type="spellStart"/>
      <w:r w:rsidRPr="00580C0D">
        <w:t>eit</w:t>
      </w:r>
      <w:proofErr w:type="spellEnd"/>
      <w:r w:rsidRPr="00580C0D">
        <w:t xml:space="preserve"> eksternt FoU-oppdrag for å få oppdatert kunnskap om tilgang på og kvalitet i </w:t>
      </w:r>
      <w:proofErr w:type="spellStart"/>
      <w:r w:rsidRPr="00580C0D">
        <w:t>tenesta</w:t>
      </w:r>
      <w:proofErr w:type="spellEnd"/>
      <w:r w:rsidRPr="00580C0D">
        <w:t xml:space="preserve">. Økonomisk rådgiving vil òg </w:t>
      </w:r>
      <w:proofErr w:type="spellStart"/>
      <w:r w:rsidRPr="00580C0D">
        <w:t>vere</w:t>
      </w:r>
      <w:proofErr w:type="spellEnd"/>
      <w:r w:rsidRPr="00580C0D">
        <w:t xml:space="preserve"> tema for </w:t>
      </w:r>
      <w:proofErr w:type="spellStart"/>
      <w:r w:rsidRPr="00580C0D">
        <w:t>landsomfattande</w:t>
      </w:r>
      <w:proofErr w:type="spellEnd"/>
      <w:r w:rsidRPr="00580C0D">
        <w:t xml:space="preserve"> tilsyn med sosiale </w:t>
      </w:r>
      <w:proofErr w:type="spellStart"/>
      <w:r w:rsidRPr="00580C0D">
        <w:t>tenester</w:t>
      </w:r>
      <w:proofErr w:type="spellEnd"/>
      <w:r w:rsidRPr="00580C0D">
        <w:t xml:space="preserve"> i NAV for 2024–2025.</w:t>
      </w:r>
    </w:p>
    <w:p w14:paraId="572D24B5" w14:textId="77777777" w:rsidR="00F7113A" w:rsidRPr="00580C0D" w:rsidRDefault="00142E5B" w:rsidP="00580C0D">
      <w:r w:rsidRPr="00580C0D">
        <w:t xml:space="preserve">Regjeringa vil komme tilbake til Stortinget når ny kunnskap </w:t>
      </w:r>
      <w:proofErr w:type="spellStart"/>
      <w:r w:rsidRPr="00580C0D">
        <w:t>frå</w:t>
      </w:r>
      <w:proofErr w:type="spellEnd"/>
      <w:r w:rsidRPr="00580C0D">
        <w:t xml:space="preserve"> FoU-oppdraget ligg føre.</w:t>
      </w:r>
    </w:p>
    <w:p w14:paraId="79E62498" w14:textId="77777777" w:rsidR="00F7113A" w:rsidRPr="00580C0D" w:rsidRDefault="00142E5B" w:rsidP="00580C0D">
      <w:pPr>
        <w:pStyle w:val="avsnitt-tittel"/>
      </w:pPr>
      <w:proofErr w:type="spellStart"/>
      <w:r w:rsidRPr="00580C0D">
        <w:t>Berekning</w:t>
      </w:r>
      <w:proofErr w:type="spellEnd"/>
      <w:r w:rsidRPr="00580C0D">
        <w:t xml:space="preserve"> av uføretrygd når inntektsevna </w:t>
      </w:r>
      <w:proofErr w:type="spellStart"/>
      <w:r w:rsidRPr="00580C0D">
        <w:t>tidlegare</w:t>
      </w:r>
      <w:proofErr w:type="spellEnd"/>
      <w:r w:rsidRPr="00580C0D">
        <w:t xml:space="preserve"> har </w:t>
      </w:r>
      <w:proofErr w:type="spellStart"/>
      <w:r w:rsidRPr="00580C0D">
        <w:t>vore</w:t>
      </w:r>
      <w:proofErr w:type="spellEnd"/>
      <w:r w:rsidRPr="00580C0D">
        <w:t xml:space="preserve"> nedsett pga. delvis uførleik </w:t>
      </w:r>
      <w:proofErr w:type="spellStart"/>
      <w:r w:rsidRPr="00580C0D">
        <w:t>utan</w:t>
      </w:r>
      <w:proofErr w:type="spellEnd"/>
      <w:r w:rsidRPr="00580C0D">
        <w:t xml:space="preserve"> at inngangsvilkåret for </w:t>
      </w:r>
      <w:proofErr w:type="spellStart"/>
      <w:r w:rsidRPr="00580C0D">
        <w:t>uføreytingar</w:t>
      </w:r>
      <w:proofErr w:type="spellEnd"/>
      <w:r w:rsidRPr="00580C0D">
        <w:t xml:space="preserve"> i folketrygda har </w:t>
      </w:r>
      <w:proofErr w:type="spellStart"/>
      <w:r w:rsidRPr="00580C0D">
        <w:t>vore</w:t>
      </w:r>
      <w:proofErr w:type="spellEnd"/>
      <w:r w:rsidRPr="00580C0D">
        <w:t xml:space="preserve"> oppfylt</w:t>
      </w:r>
    </w:p>
    <w:p w14:paraId="0D16CA31" w14:textId="77777777" w:rsidR="00F7113A" w:rsidRPr="00580C0D" w:rsidRDefault="00142E5B" w:rsidP="00580C0D">
      <w:pPr>
        <w:pStyle w:val="avsnitt-undertittel"/>
      </w:pPr>
      <w:r w:rsidRPr="00580C0D">
        <w:t>Vedtak 813, 16. juni 2022</w:t>
      </w:r>
    </w:p>
    <w:p w14:paraId="3E576DBA" w14:textId="77777777" w:rsidR="00F7113A" w:rsidRPr="00580C0D" w:rsidRDefault="00142E5B" w:rsidP="00580C0D">
      <w:pPr>
        <w:pStyle w:val="blokksit"/>
        <w:rPr>
          <w:rStyle w:val="kursiv"/>
        </w:rPr>
      </w:pPr>
      <w:r w:rsidRPr="00580C0D">
        <w:rPr>
          <w:rStyle w:val="kursiv"/>
        </w:rPr>
        <w:t>«Stortinget ber regjeringen foreta en gjennomgang av problemstillingen om at arbeidsfolk som blir syke, men som ønsker å fortsette i inntektsbringende arbeid utover 50 pst., får lavere uføretrygd dersom de på et seinere tidspunkt må søke uføretrygd fordi arbeidskapasiteten blir ytterligere redusert, og komme tilbake på egnet måte til Stortinget.»</w:t>
      </w:r>
    </w:p>
    <w:p w14:paraId="3B194DB1" w14:textId="77777777" w:rsidR="00F7113A" w:rsidRPr="00580C0D" w:rsidRDefault="00142E5B" w:rsidP="00580C0D">
      <w:r w:rsidRPr="00580C0D">
        <w:t xml:space="preserve">Vedtaket blei gjort ved behandling av Dokument 8:189 S (2021–2022), </w:t>
      </w:r>
      <w:proofErr w:type="spellStart"/>
      <w:r w:rsidRPr="00580C0D">
        <w:t>Innst</w:t>
      </w:r>
      <w:proofErr w:type="spellEnd"/>
      <w:r w:rsidRPr="00580C0D">
        <w:t>. 424 S (2021–2022).</w:t>
      </w:r>
    </w:p>
    <w:p w14:paraId="54C63FF7" w14:textId="77777777" w:rsidR="00F7113A" w:rsidRPr="00580C0D" w:rsidRDefault="00142E5B" w:rsidP="00580C0D">
      <w:r w:rsidRPr="00580C0D">
        <w:t>Oppmodingsvedtaket er til behandling i departementet. Regjeringa vil komme tilbake til Stortinget på eigna måte.</w:t>
      </w:r>
    </w:p>
    <w:p w14:paraId="5490B734" w14:textId="77777777" w:rsidR="00F7113A" w:rsidRPr="00580C0D" w:rsidRDefault="00142E5B" w:rsidP="00580C0D">
      <w:pPr>
        <w:pStyle w:val="avsnitt-tittel"/>
      </w:pPr>
      <w:proofErr w:type="spellStart"/>
      <w:r w:rsidRPr="00580C0D">
        <w:t>Lovendringar</w:t>
      </w:r>
      <w:proofErr w:type="spellEnd"/>
      <w:r w:rsidRPr="00580C0D">
        <w:t xml:space="preserve"> for å styrke tilsette sitt vern mot natt- og alenearbeid</w:t>
      </w:r>
    </w:p>
    <w:p w14:paraId="4ED122E0" w14:textId="77777777" w:rsidR="00F7113A" w:rsidRPr="00580C0D" w:rsidRDefault="00142E5B" w:rsidP="00580C0D">
      <w:pPr>
        <w:pStyle w:val="avsnitt-undertittel"/>
      </w:pPr>
      <w:r w:rsidRPr="00580C0D">
        <w:t>Vedtak 814, 16. juni 2022</w:t>
      </w:r>
    </w:p>
    <w:p w14:paraId="4833D52C" w14:textId="77777777" w:rsidR="00F7113A" w:rsidRPr="00580C0D" w:rsidRDefault="00142E5B" w:rsidP="00580C0D">
      <w:pPr>
        <w:pStyle w:val="blokksit"/>
        <w:rPr>
          <w:rStyle w:val="kursiv"/>
        </w:rPr>
      </w:pPr>
      <w:r w:rsidRPr="00580C0D">
        <w:rPr>
          <w:rStyle w:val="kursiv"/>
        </w:rPr>
        <w:t>«Stortinget ber regjeringen sette ned et utvalg som skal utrede og legge frem forslag til lovendringer for å styrke ansattes vern mot natt- og alenearbeid. Særlig må det sikres at ansatte i varehandelen er tilstrekkelig beskyttet av arbeidsmiljølovens bestemmelser om kvelds-, helge- og nattarbeid. Partene må være representert i utvalget.»</w:t>
      </w:r>
    </w:p>
    <w:p w14:paraId="0785E51C" w14:textId="77777777" w:rsidR="00F7113A" w:rsidRPr="00580C0D" w:rsidRDefault="00142E5B" w:rsidP="00580C0D">
      <w:r w:rsidRPr="00580C0D">
        <w:t xml:space="preserve">Vedtaket blei gjort ved behandling av Dokument 8:208 S (2021–2022), </w:t>
      </w:r>
      <w:proofErr w:type="spellStart"/>
      <w:r w:rsidRPr="00580C0D">
        <w:t>Innst</w:t>
      </w:r>
      <w:proofErr w:type="spellEnd"/>
      <w:r w:rsidRPr="00580C0D">
        <w:t>. 362 S (2021–2022).</w:t>
      </w:r>
    </w:p>
    <w:p w14:paraId="36B31AC5" w14:textId="77777777" w:rsidR="00F7113A" w:rsidRPr="00580C0D" w:rsidRDefault="00142E5B" w:rsidP="00580C0D">
      <w:r w:rsidRPr="00580C0D">
        <w:t xml:space="preserve">Det blei nedsett </w:t>
      </w:r>
      <w:proofErr w:type="spellStart"/>
      <w:r w:rsidRPr="00580C0D">
        <w:t>eit</w:t>
      </w:r>
      <w:proofErr w:type="spellEnd"/>
      <w:r w:rsidRPr="00580C0D">
        <w:t xml:space="preserve"> </w:t>
      </w:r>
      <w:proofErr w:type="spellStart"/>
      <w:r w:rsidRPr="00580C0D">
        <w:t>departementsvalt</w:t>
      </w:r>
      <w:proofErr w:type="spellEnd"/>
      <w:r w:rsidRPr="00580C0D">
        <w:t xml:space="preserve"> </w:t>
      </w:r>
      <w:proofErr w:type="spellStart"/>
      <w:r w:rsidRPr="00580C0D">
        <w:t>utval</w:t>
      </w:r>
      <w:proofErr w:type="spellEnd"/>
      <w:r w:rsidRPr="00580C0D">
        <w:t xml:space="preserve"> i mars 2023, der </w:t>
      </w:r>
      <w:proofErr w:type="spellStart"/>
      <w:r w:rsidRPr="00580C0D">
        <w:t>partane</w:t>
      </w:r>
      <w:proofErr w:type="spellEnd"/>
      <w:r w:rsidRPr="00580C0D">
        <w:t xml:space="preserve"> er representerte. </w:t>
      </w:r>
      <w:proofErr w:type="spellStart"/>
      <w:r w:rsidRPr="00580C0D">
        <w:t>Utvalet</w:t>
      </w:r>
      <w:proofErr w:type="spellEnd"/>
      <w:r w:rsidRPr="00580C0D">
        <w:t xml:space="preserve"> skal blant anna kartlegge omfanget av og </w:t>
      </w:r>
      <w:proofErr w:type="spellStart"/>
      <w:r w:rsidRPr="00580C0D">
        <w:t>innhaldet</w:t>
      </w:r>
      <w:proofErr w:type="spellEnd"/>
      <w:r w:rsidRPr="00580C0D">
        <w:t xml:space="preserve"> i nattarbeid, aleinearbeid og helgearbeid i varehandelen og tilknytt </w:t>
      </w:r>
      <w:proofErr w:type="spellStart"/>
      <w:r w:rsidRPr="00580C0D">
        <w:t>verksemd</w:t>
      </w:r>
      <w:proofErr w:type="spellEnd"/>
      <w:r w:rsidRPr="00580C0D">
        <w:t xml:space="preserve">. På bakgrunn av dette kunnskapsgrunnlaget vil </w:t>
      </w:r>
      <w:proofErr w:type="spellStart"/>
      <w:r w:rsidRPr="00580C0D">
        <w:t>utvalet</w:t>
      </w:r>
      <w:proofErr w:type="spellEnd"/>
      <w:r w:rsidRPr="00580C0D">
        <w:t xml:space="preserve"> vurdere behovet for </w:t>
      </w:r>
      <w:proofErr w:type="spellStart"/>
      <w:r w:rsidRPr="00580C0D">
        <w:t>endringar</w:t>
      </w:r>
      <w:proofErr w:type="spellEnd"/>
      <w:r w:rsidRPr="00580C0D">
        <w:t xml:space="preserve"> i regelverk eller andre tiltak, og legge fram forslag for å vareta omsynet til vernet til </w:t>
      </w:r>
      <w:proofErr w:type="spellStart"/>
      <w:r w:rsidRPr="00580C0D">
        <w:t>arbeidstakarane</w:t>
      </w:r>
      <w:proofErr w:type="spellEnd"/>
      <w:r w:rsidRPr="00580C0D">
        <w:t xml:space="preserve"> ved kvelds-, helge- og nattarbeid. </w:t>
      </w:r>
      <w:proofErr w:type="spellStart"/>
      <w:r w:rsidRPr="00580C0D">
        <w:t>Utvalet</w:t>
      </w:r>
      <w:proofErr w:type="spellEnd"/>
      <w:r w:rsidRPr="00580C0D">
        <w:t xml:space="preserve"> skal legge fram forslaga sine i </w:t>
      </w:r>
      <w:proofErr w:type="spellStart"/>
      <w:r w:rsidRPr="00580C0D">
        <w:t>ein</w:t>
      </w:r>
      <w:proofErr w:type="spellEnd"/>
      <w:r w:rsidRPr="00580C0D">
        <w:t xml:space="preserve"> rapport til Arbeids- og inkluderingsdepartementet </w:t>
      </w:r>
      <w:proofErr w:type="spellStart"/>
      <w:r w:rsidRPr="00580C0D">
        <w:t>innan</w:t>
      </w:r>
      <w:proofErr w:type="spellEnd"/>
      <w:r w:rsidRPr="00580C0D">
        <w:t xml:space="preserve"> 1. juni 2024 som deretter vil bli </w:t>
      </w:r>
      <w:proofErr w:type="spellStart"/>
      <w:r w:rsidRPr="00580C0D">
        <w:t>følgd</w:t>
      </w:r>
      <w:proofErr w:type="spellEnd"/>
      <w:r w:rsidRPr="00580C0D">
        <w:t xml:space="preserve"> opp på eigna vis.</w:t>
      </w:r>
    </w:p>
    <w:p w14:paraId="1016C8DE" w14:textId="77777777" w:rsidR="00F7113A" w:rsidRPr="00580C0D" w:rsidRDefault="00142E5B" w:rsidP="00580C0D">
      <w:pPr>
        <w:pStyle w:val="Overskrift2"/>
      </w:pPr>
      <w:r w:rsidRPr="00580C0D">
        <w:t>Stortingssesjon 2020–2021</w:t>
      </w:r>
    </w:p>
    <w:p w14:paraId="5524A332" w14:textId="77777777" w:rsidR="00F7113A" w:rsidRPr="00580C0D" w:rsidRDefault="00142E5B" w:rsidP="00580C0D">
      <w:pPr>
        <w:pStyle w:val="avsnitt-tittel"/>
      </w:pPr>
      <w:proofErr w:type="spellStart"/>
      <w:r w:rsidRPr="00580C0D">
        <w:t>Lovendringar</w:t>
      </w:r>
      <w:proofErr w:type="spellEnd"/>
      <w:r w:rsidRPr="00580C0D">
        <w:t xml:space="preserve"> for å redusere kravet til innbetaling av premie </w:t>
      </w:r>
      <w:proofErr w:type="spellStart"/>
      <w:r w:rsidRPr="00580C0D">
        <w:t>frå</w:t>
      </w:r>
      <w:proofErr w:type="spellEnd"/>
      <w:r w:rsidRPr="00580C0D">
        <w:t xml:space="preserve"> det tidspunktet den enkelte har kompensert for levealdersjusteringa</w:t>
      </w:r>
    </w:p>
    <w:p w14:paraId="799597FE" w14:textId="77777777" w:rsidR="00F7113A" w:rsidRPr="00580C0D" w:rsidRDefault="00142E5B" w:rsidP="00580C0D">
      <w:pPr>
        <w:pStyle w:val="avsnitt-undertittel"/>
      </w:pPr>
      <w:r w:rsidRPr="00580C0D">
        <w:t>Vedtak 238, 11. desember 2020</w:t>
      </w:r>
    </w:p>
    <w:p w14:paraId="7AF4DB83" w14:textId="77777777" w:rsidR="00F7113A" w:rsidRPr="00580C0D" w:rsidRDefault="00142E5B" w:rsidP="00580C0D">
      <w:pPr>
        <w:pStyle w:val="blokksit"/>
        <w:rPr>
          <w:rStyle w:val="kursiv"/>
        </w:rPr>
      </w:pPr>
      <w:r w:rsidRPr="00580C0D">
        <w:rPr>
          <w:rStyle w:val="kursiv"/>
        </w:rPr>
        <w:t>«Stortinget ber regjeringen utrede lovendringer for å redusere kravet til innbetaling av premie fra medlemmer i SPK, kommunale pensjonskasser og andre offentlige brutto tjenestepensjonsordninger fra det tidspunktet den enkelte har kompensert for levealdersjusteringen.»</w:t>
      </w:r>
    </w:p>
    <w:p w14:paraId="1E9634B1" w14:textId="77777777" w:rsidR="00F7113A" w:rsidRPr="00580C0D" w:rsidRDefault="00142E5B" w:rsidP="00580C0D">
      <w:r w:rsidRPr="00580C0D">
        <w:t xml:space="preserve">Vedtaket blei gjort ved behandling av Dokument 8:141 L (2019–2020), </w:t>
      </w:r>
      <w:proofErr w:type="spellStart"/>
      <w:r w:rsidRPr="00580C0D">
        <w:t>Innst</w:t>
      </w:r>
      <w:proofErr w:type="spellEnd"/>
      <w:r w:rsidRPr="00580C0D">
        <w:t>. 71 L (2020–2021).</w:t>
      </w:r>
    </w:p>
    <w:p w14:paraId="037026C6" w14:textId="77777777" w:rsidR="00F7113A" w:rsidRPr="00580C0D" w:rsidRDefault="00142E5B" w:rsidP="00580C0D">
      <w:r w:rsidRPr="00580C0D">
        <w:t xml:space="preserve">I innstillinga </w:t>
      </w:r>
      <w:proofErr w:type="spellStart"/>
      <w:r w:rsidRPr="00580C0D">
        <w:t>frå</w:t>
      </w:r>
      <w:proofErr w:type="spellEnd"/>
      <w:r w:rsidRPr="00580C0D">
        <w:t xml:space="preserve"> Arbeids- og sosialkomiteen om representantforslag om å avvikle samordningsfella, sjå Dokument 8:53 L (2022–2023) og </w:t>
      </w:r>
      <w:proofErr w:type="spellStart"/>
      <w:r w:rsidRPr="00580C0D">
        <w:t>Innst</w:t>
      </w:r>
      <w:proofErr w:type="spellEnd"/>
      <w:r w:rsidRPr="00580C0D">
        <w:t xml:space="preserve">. 175 L (2022–2023), viser komiteens </w:t>
      </w:r>
      <w:proofErr w:type="spellStart"/>
      <w:r w:rsidRPr="00580C0D">
        <w:t>fleirtal</w:t>
      </w:r>
      <w:proofErr w:type="spellEnd"/>
      <w:r w:rsidRPr="00580C0D">
        <w:t xml:space="preserve"> til vedtak 238 og ber regjeringa komme tilbake med omtale av problemstillinga i den varsla meldinga som følger opp </w:t>
      </w:r>
      <w:proofErr w:type="spellStart"/>
      <w:r w:rsidRPr="00580C0D">
        <w:t>pensjonsutvalets</w:t>
      </w:r>
      <w:proofErr w:type="spellEnd"/>
      <w:r w:rsidRPr="00580C0D">
        <w:t xml:space="preserve"> utgreiing (NOU 2022: 7 Et forbedret pensjonssystem).</w:t>
      </w:r>
    </w:p>
    <w:p w14:paraId="008C1D73" w14:textId="77777777" w:rsidR="00F7113A" w:rsidRPr="00580C0D" w:rsidRDefault="00142E5B" w:rsidP="00580C0D">
      <w:r w:rsidRPr="00580C0D">
        <w:t xml:space="preserve">Oppmodingsvedtaket er til behandling i departementet. Regjeringa vil omtale problemstillinga i stortingsmeldinga som følgjer opp </w:t>
      </w:r>
      <w:proofErr w:type="spellStart"/>
      <w:r w:rsidRPr="00580C0D">
        <w:t>pensjonsutvalets</w:t>
      </w:r>
      <w:proofErr w:type="spellEnd"/>
      <w:r w:rsidRPr="00580C0D">
        <w:t xml:space="preserve"> utgreiing. Regjeringa tar sikte på å legge fram meldinga i haustsesjonen 2023.</w:t>
      </w:r>
    </w:p>
    <w:p w14:paraId="1A527C01" w14:textId="77777777" w:rsidR="00F7113A" w:rsidRPr="00580C0D" w:rsidRDefault="00142E5B" w:rsidP="00580C0D">
      <w:pPr>
        <w:pStyle w:val="avsnitt-tittel"/>
      </w:pPr>
      <w:r w:rsidRPr="00580C0D">
        <w:t xml:space="preserve">Styrke arbeidslinja for </w:t>
      </w:r>
      <w:proofErr w:type="spellStart"/>
      <w:r w:rsidRPr="00580C0D">
        <w:t>offentleg</w:t>
      </w:r>
      <w:proofErr w:type="spellEnd"/>
      <w:r w:rsidRPr="00580C0D">
        <w:t xml:space="preserve"> tilsette født i årene 1944–1962</w:t>
      </w:r>
    </w:p>
    <w:p w14:paraId="696BE0D1" w14:textId="77777777" w:rsidR="00F7113A" w:rsidRPr="00580C0D" w:rsidRDefault="00142E5B" w:rsidP="00580C0D">
      <w:pPr>
        <w:pStyle w:val="avsnitt-undertittel"/>
      </w:pPr>
      <w:r w:rsidRPr="00580C0D">
        <w:t>Vedtak 239, 11. desember 2020</w:t>
      </w:r>
    </w:p>
    <w:p w14:paraId="6A9CAEF1" w14:textId="77777777" w:rsidR="00F7113A" w:rsidRPr="00580C0D" w:rsidRDefault="00142E5B" w:rsidP="00580C0D">
      <w:pPr>
        <w:pStyle w:val="blokksit"/>
        <w:rPr>
          <w:rStyle w:val="kursiv"/>
        </w:rPr>
      </w:pPr>
      <w:r w:rsidRPr="00580C0D">
        <w:rPr>
          <w:rStyle w:val="kursiv"/>
        </w:rPr>
        <w:t>«Stortinget ber regjeringen komme tilbake til Stortinget med vurderinger av hvordan en ytterligere kan styrke arbeidslinjen for offentlig ansatte født i årene 1944–1962.»</w:t>
      </w:r>
    </w:p>
    <w:p w14:paraId="17F04332" w14:textId="77777777" w:rsidR="00F7113A" w:rsidRPr="00580C0D" w:rsidRDefault="00142E5B" w:rsidP="00580C0D">
      <w:r w:rsidRPr="00580C0D">
        <w:t xml:space="preserve">Vedtaket blei gjort ved behandling av Dokument 8:141 L (2019–-2020), </w:t>
      </w:r>
      <w:proofErr w:type="spellStart"/>
      <w:r w:rsidRPr="00580C0D">
        <w:t>Innst</w:t>
      </w:r>
      <w:proofErr w:type="spellEnd"/>
      <w:r w:rsidRPr="00580C0D">
        <w:t>. 71 L (2020–2021).</w:t>
      </w:r>
    </w:p>
    <w:p w14:paraId="774EA15D" w14:textId="77777777" w:rsidR="00F7113A" w:rsidRPr="00580C0D" w:rsidRDefault="00142E5B" w:rsidP="00580C0D">
      <w:r w:rsidRPr="00580C0D">
        <w:t xml:space="preserve">I innstillinga </w:t>
      </w:r>
      <w:proofErr w:type="spellStart"/>
      <w:r w:rsidRPr="00580C0D">
        <w:t>frå</w:t>
      </w:r>
      <w:proofErr w:type="spellEnd"/>
      <w:r w:rsidRPr="00580C0D">
        <w:t xml:space="preserve"> Arbeids- og sosialkomiteen om representantforslag om å avvikle samordningsfella, sjå Dokument 8:53 L (2022–2023) og </w:t>
      </w:r>
      <w:proofErr w:type="spellStart"/>
      <w:r w:rsidRPr="00580C0D">
        <w:t>Innst</w:t>
      </w:r>
      <w:proofErr w:type="spellEnd"/>
      <w:r w:rsidRPr="00580C0D">
        <w:t xml:space="preserve">. 175 L (2022–2023), viser komiteens </w:t>
      </w:r>
      <w:proofErr w:type="spellStart"/>
      <w:r w:rsidRPr="00580C0D">
        <w:t>fleirtal</w:t>
      </w:r>
      <w:proofErr w:type="spellEnd"/>
      <w:r w:rsidRPr="00580C0D">
        <w:t xml:space="preserve"> til vedtak 239 og ber regjeringa komme tilbake med omtale av problemstillinga og forslag til tiltak som styrker arbeidsinsentiva for årskulla 1962 og eldre i den varsla meldinga som følger opp </w:t>
      </w:r>
      <w:proofErr w:type="spellStart"/>
      <w:r w:rsidRPr="00580C0D">
        <w:t>pensjonsutvalets</w:t>
      </w:r>
      <w:proofErr w:type="spellEnd"/>
      <w:r w:rsidRPr="00580C0D">
        <w:t xml:space="preserve"> utgreiing (NOU 2022: 7 Et forbedret pensjonssystem).</w:t>
      </w:r>
    </w:p>
    <w:p w14:paraId="1E916293" w14:textId="77777777" w:rsidR="00F7113A" w:rsidRPr="00580C0D" w:rsidRDefault="00142E5B" w:rsidP="00580C0D">
      <w:r w:rsidRPr="00580C0D">
        <w:t xml:space="preserve">Oppmodingsvedtaket er til behandling i departementet. Regjeringa vil omtale problemstillinga i stortingsmeldinga som følgjer opp </w:t>
      </w:r>
      <w:proofErr w:type="spellStart"/>
      <w:r w:rsidRPr="00580C0D">
        <w:t>pensjonsutvalets</w:t>
      </w:r>
      <w:proofErr w:type="spellEnd"/>
      <w:r w:rsidRPr="00580C0D">
        <w:t xml:space="preserve"> utgreiing. Regjeringa tar sikte på å legge fram meldinga i haustsesjonen 2023.</w:t>
      </w:r>
    </w:p>
    <w:p w14:paraId="4A7F698F" w14:textId="77777777" w:rsidR="00F7113A" w:rsidRPr="00580C0D" w:rsidRDefault="00142E5B" w:rsidP="00580C0D">
      <w:pPr>
        <w:pStyle w:val="avsnitt-tittel"/>
      </w:pPr>
      <w:r w:rsidRPr="00580C0D">
        <w:t xml:space="preserve">Rapportering om barn </w:t>
      </w:r>
      <w:proofErr w:type="spellStart"/>
      <w:r w:rsidRPr="00580C0D">
        <w:t>etterlatne</w:t>
      </w:r>
      <w:proofErr w:type="spellEnd"/>
      <w:r w:rsidRPr="00580C0D">
        <w:t xml:space="preserve"> i utlandet</w:t>
      </w:r>
    </w:p>
    <w:p w14:paraId="150169B8" w14:textId="77777777" w:rsidR="00F7113A" w:rsidRPr="00580C0D" w:rsidRDefault="00142E5B" w:rsidP="00580C0D">
      <w:pPr>
        <w:pStyle w:val="avsnitt-undertittel"/>
      </w:pPr>
      <w:r w:rsidRPr="00580C0D">
        <w:t>Vedtak 530, 18. januar 2021</w:t>
      </w:r>
    </w:p>
    <w:p w14:paraId="7241785B" w14:textId="77777777" w:rsidR="00F7113A" w:rsidRPr="00580C0D" w:rsidRDefault="00142E5B" w:rsidP="00580C0D">
      <w:pPr>
        <w:pStyle w:val="blokksit"/>
        <w:rPr>
          <w:rStyle w:val="kursiv"/>
        </w:rPr>
      </w:pPr>
      <w:r w:rsidRPr="00580C0D">
        <w:rPr>
          <w:rStyle w:val="kursiv"/>
        </w:rPr>
        <w:t>«Stortinget ber regjeringen igangsette en utretning med mål om forsterket rapportering om hvor mange barn som er etterlatt i utlandet, og redegjøre for hvordan handlingsrommet for oppfølging kan forsterkes.»</w:t>
      </w:r>
    </w:p>
    <w:p w14:paraId="54B323F5" w14:textId="77777777" w:rsidR="00F7113A" w:rsidRPr="00580C0D" w:rsidRDefault="00142E5B" w:rsidP="00580C0D">
      <w:r w:rsidRPr="00580C0D">
        <w:t xml:space="preserve">Vedtaket blei gjort ved behandling av </w:t>
      </w:r>
      <w:proofErr w:type="spellStart"/>
      <w:r w:rsidRPr="00580C0D">
        <w:t>Dok</w:t>
      </w:r>
      <w:proofErr w:type="spellEnd"/>
      <w:r w:rsidRPr="00580C0D">
        <w:t xml:space="preserve">. 8:132 S (2020–2021), </w:t>
      </w:r>
      <w:proofErr w:type="spellStart"/>
      <w:r w:rsidRPr="00580C0D">
        <w:t>Innst</w:t>
      </w:r>
      <w:proofErr w:type="spellEnd"/>
      <w:r w:rsidRPr="00580C0D">
        <w:t>. 89 S (2020–2021).</w:t>
      </w:r>
    </w:p>
    <w:p w14:paraId="7777533B" w14:textId="33B68E66" w:rsidR="00F7113A" w:rsidRPr="00580C0D" w:rsidRDefault="00142E5B" w:rsidP="00580C0D">
      <w:r w:rsidRPr="00580C0D">
        <w:t xml:space="preserve">Institutt for samfunnsforsking </w:t>
      </w:r>
      <w:proofErr w:type="spellStart"/>
      <w:r w:rsidRPr="00580C0D">
        <w:t>fekk</w:t>
      </w:r>
      <w:proofErr w:type="spellEnd"/>
      <w:r w:rsidRPr="00580C0D">
        <w:t xml:space="preserve"> i desember 2022 i oppdrag </w:t>
      </w:r>
      <w:proofErr w:type="spellStart"/>
      <w:r w:rsidRPr="00580C0D">
        <w:t>frå</w:t>
      </w:r>
      <w:proofErr w:type="spellEnd"/>
      <w:r w:rsidRPr="00580C0D">
        <w:t xml:space="preserve"> Arbeids- og inkluderingsdepartementet å greie ut korleis </w:t>
      </w:r>
      <w:proofErr w:type="spellStart"/>
      <w:r w:rsidRPr="00580C0D">
        <w:t>ein</w:t>
      </w:r>
      <w:proofErr w:type="spellEnd"/>
      <w:r w:rsidRPr="00580C0D">
        <w:t xml:space="preserve"> kan styrke oppfølginga av barn og </w:t>
      </w:r>
      <w:proofErr w:type="spellStart"/>
      <w:r w:rsidRPr="00580C0D">
        <w:t>vaksne</w:t>
      </w:r>
      <w:proofErr w:type="spellEnd"/>
      <w:r w:rsidRPr="00580C0D">
        <w:t xml:space="preserve"> utsett for ufrivillige </w:t>
      </w:r>
      <w:proofErr w:type="spellStart"/>
      <w:r w:rsidRPr="00580C0D">
        <w:t>utanlandsopphald</w:t>
      </w:r>
      <w:proofErr w:type="spellEnd"/>
      <w:r w:rsidRPr="00580C0D">
        <w:t xml:space="preserve">. Utgreiinga vil sjå på korleis </w:t>
      </w:r>
      <w:proofErr w:type="spellStart"/>
      <w:r w:rsidRPr="00580C0D">
        <w:t>ein</w:t>
      </w:r>
      <w:proofErr w:type="spellEnd"/>
      <w:r w:rsidRPr="00580C0D">
        <w:t xml:space="preserve"> kan få </w:t>
      </w:r>
      <w:proofErr w:type="spellStart"/>
      <w:r w:rsidRPr="00580C0D">
        <w:t>meir</w:t>
      </w:r>
      <w:proofErr w:type="spellEnd"/>
      <w:r w:rsidRPr="00580C0D">
        <w:t xml:space="preserve"> kunnskap om omfanget, korleis koordineringa mellom nasjonale </w:t>
      </w:r>
      <w:proofErr w:type="spellStart"/>
      <w:r w:rsidRPr="00580C0D">
        <w:t>instansar</w:t>
      </w:r>
      <w:proofErr w:type="spellEnd"/>
      <w:r w:rsidRPr="00580C0D">
        <w:t xml:space="preserve"> kan bli styrka og om handlingsrommet for oppfølging bør bli klargjort. Den vil </w:t>
      </w:r>
      <w:proofErr w:type="spellStart"/>
      <w:r w:rsidRPr="00580C0D">
        <w:t>vidare</w:t>
      </w:r>
      <w:proofErr w:type="spellEnd"/>
      <w:r w:rsidRPr="00580C0D">
        <w:t xml:space="preserve"> vurdere korleis </w:t>
      </w:r>
      <w:r w:rsidR="00D665D9">
        <w:pgNum/>
      </w:r>
      <w:proofErr w:type="spellStart"/>
      <w:r w:rsidR="00D665D9">
        <w:t>orbrukararm</w:t>
      </w:r>
      <w:proofErr w:type="spellEnd"/>
      <w:r w:rsidR="00D665D9">
        <w:t xml:space="preserve"> ei</w:t>
      </w:r>
      <w:r w:rsidRPr="00580C0D">
        <w:t xml:space="preserve"> kan styrke </w:t>
      </w:r>
      <w:proofErr w:type="spellStart"/>
      <w:r w:rsidRPr="00580C0D">
        <w:t>førebygginga</w:t>
      </w:r>
      <w:proofErr w:type="spellEnd"/>
      <w:r w:rsidRPr="00580C0D">
        <w:t xml:space="preserve"> av ufrivillige </w:t>
      </w:r>
      <w:proofErr w:type="spellStart"/>
      <w:r w:rsidRPr="00580C0D">
        <w:t>utanlandsopphald</w:t>
      </w:r>
      <w:proofErr w:type="spellEnd"/>
      <w:r w:rsidRPr="00580C0D">
        <w:t xml:space="preserve">. Utgreiinga skal også vurdere innretning på </w:t>
      </w:r>
      <w:proofErr w:type="spellStart"/>
      <w:r w:rsidRPr="00580C0D">
        <w:t>integreringsrådgivarordninga</w:t>
      </w:r>
      <w:proofErr w:type="spellEnd"/>
      <w:r w:rsidRPr="00580C0D">
        <w:t xml:space="preserve">, og om det er behov for å styrke eller justere denne. Rapporten vil bli lagt fram i desember 2023 og regjeringa vil orientere Stortinget på </w:t>
      </w:r>
      <w:proofErr w:type="spellStart"/>
      <w:r w:rsidRPr="00580C0D">
        <w:t>ein</w:t>
      </w:r>
      <w:proofErr w:type="spellEnd"/>
      <w:r w:rsidRPr="00580C0D">
        <w:t xml:space="preserve"> eigna måte.</w:t>
      </w:r>
    </w:p>
    <w:p w14:paraId="37C0E77C" w14:textId="77777777" w:rsidR="00F7113A" w:rsidRPr="00580C0D" w:rsidRDefault="00142E5B" w:rsidP="00580C0D">
      <w:pPr>
        <w:pStyle w:val="avsnitt-tittel"/>
      </w:pPr>
      <w:proofErr w:type="spellStart"/>
      <w:r w:rsidRPr="00580C0D">
        <w:t>Pensjonsutvalets</w:t>
      </w:r>
      <w:proofErr w:type="spellEnd"/>
      <w:r w:rsidRPr="00580C0D">
        <w:t xml:space="preserve"> </w:t>
      </w:r>
      <w:proofErr w:type="spellStart"/>
      <w:r w:rsidRPr="00580C0D">
        <w:t>vurderingar</w:t>
      </w:r>
      <w:proofErr w:type="spellEnd"/>
    </w:p>
    <w:p w14:paraId="7E7D4CFF" w14:textId="77777777" w:rsidR="00F7113A" w:rsidRPr="00580C0D" w:rsidRDefault="00142E5B" w:rsidP="00580C0D">
      <w:pPr>
        <w:pStyle w:val="avsnitt-undertittel"/>
      </w:pPr>
      <w:r w:rsidRPr="00580C0D">
        <w:t>Vedtak 615, 16. februar 2021</w:t>
      </w:r>
    </w:p>
    <w:p w14:paraId="27FFC162" w14:textId="77777777" w:rsidR="00F7113A" w:rsidRPr="00580C0D" w:rsidRDefault="00142E5B" w:rsidP="00580C0D">
      <w:pPr>
        <w:pStyle w:val="blokksit"/>
        <w:rPr>
          <w:rStyle w:val="kursiv"/>
        </w:rPr>
      </w:pPr>
      <w:r w:rsidRPr="00580C0D">
        <w:rPr>
          <w:rStyle w:val="kursiv"/>
        </w:rPr>
        <w:t>«Stortinget ber regjeringen om å orientere Stortinget på egnet måte om Pensjonsutvalgets vurderinger når det gjelder minstenivåer, samt hvordan Pensjonsutvalgets innstilling vil bli fulgt opp.»</w:t>
      </w:r>
    </w:p>
    <w:p w14:paraId="19AA9210" w14:textId="77777777" w:rsidR="00F7113A" w:rsidRPr="00580C0D" w:rsidRDefault="00142E5B" w:rsidP="00580C0D">
      <w:r w:rsidRPr="00580C0D">
        <w:t xml:space="preserve">Vedtaket blei gjort ved behandling av Dokument 8:53 S (2020–2021), </w:t>
      </w:r>
      <w:proofErr w:type="spellStart"/>
      <w:r w:rsidRPr="00580C0D">
        <w:t>Innst</w:t>
      </w:r>
      <w:proofErr w:type="spellEnd"/>
      <w:r w:rsidRPr="00580C0D">
        <w:t>. 221 S (2020–2021).</w:t>
      </w:r>
    </w:p>
    <w:p w14:paraId="3FB231E6" w14:textId="77777777" w:rsidR="00F7113A" w:rsidRPr="00580C0D" w:rsidRDefault="00142E5B" w:rsidP="00580C0D">
      <w:proofErr w:type="spellStart"/>
      <w:r w:rsidRPr="00580C0D">
        <w:t>Pensjonsutvalet</w:t>
      </w:r>
      <w:proofErr w:type="spellEnd"/>
      <w:r w:rsidRPr="00580C0D">
        <w:t xml:space="preserve"> leverte innstillinga si, NOU 2022: 7 Et forbedret pensjonssystem 16. juni 2022. Utgreiinga har </w:t>
      </w:r>
      <w:proofErr w:type="spellStart"/>
      <w:r w:rsidRPr="00580C0D">
        <w:t>vore</w:t>
      </w:r>
      <w:proofErr w:type="spellEnd"/>
      <w:r w:rsidRPr="00580C0D">
        <w:t xml:space="preserve"> på </w:t>
      </w:r>
      <w:proofErr w:type="spellStart"/>
      <w:r w:rsidRPr="00580C0D">
        <w:t>høyring</w:t>
      </w:r>
      <w:proofErr w:type="spellEnd"/>
      <w:r w:rsidRPr="00580C0D">
        <w:t>.</w:t>
      </w:r>
    </w:p>
    <w:p w14:paraId="32312656" w14:textId="77777777" w:rsidR="00F7113A" w:rsidRPr="00580C0D" w:rsidRDefault="00142E5B" w:rsidP="00580C0D">
      <w:r w:rsidRPr="00580C0D">
        <w:t xml:space="preserve">Regjeringa tar sikte på å legge fram ei stortingsmelding som følgjer opp </w:t>
      </w:r>
      <w:proofErr w:type="spellStart"/>
      <w:r w:rsidRPr="00580C0D">
        <w:t>pensjonsutvalets</w:t>
      </w:r>
      <w:proofErr w:type="spellEnd"/>
      <w:r w:rsidRPr="00580C0D">
        <w:t xml:space="preserve"> utgreiing i haustsesjonen 2023. </w:t>
      </w:r>
    </w:p>
    <w:p w14:paraId="22988CA8" w14:textId="77777777" w:rsidR="00F7113A" w:rsidRPr="00580C0D" w:rsidRDefault="00142E5B" w:rsidP="00580C0D">
      <w:pPr>
        <w:pStyle w:val="avsnitt-tittel"/>
      </w:pPr>
      <w:proofErr w:type="spellStart"/>
      <w:r w:rsidRPr="00580C0D">
        <w:t>Studentar</w:t>
      </w:r>
      <w:proofErr w:type="spellEnd"/>
      <w:r w:rsidRPr="00580C0D">
        <w:t xml:space="preserve"> i utlandet kan ha deltidsjobb </w:t>
      </w:r>
      <w:proofErr w:type="spellStart"/>
      <w:r w:rsidRPr="00580C0D">
        <w:t>utan</w:t>
      </w:r>
      <w:proofErr w:type="spellEnd"/>
      <w:r w:rsidRPr="00580C0D">
        <w:t xml:space="preserve"> å miste medlemskap i folketrygda</w:t>
      </w:r>
    </w:p>
    <w:p w14:paraId="5158D396" w14:textId="77777777" w:rsidR="00F7113A" w:rsidRPr="00580C0D" w:rsidRDefault="00142E5B" w:rsidP="00580C0D">
      <w:pPr>
        <w:pStyle w:val="avsnitt-undertittel"/>
      </w:pPr>
      <w:r w:rsidRPr="00580C0D">
        <w:t>Vedtak 686, 25. februar 2021</w:t>
      </w:r>
    </w:p>
    <w:p w14:paraId="57B9F111" w14:textId="77777777" w:rsidR="00F7113A" w:rsidRPr="00580C0D" w:rsidRDefault="00142E5B" w:rsidP="00580C0D">
      <w:pPr>
        <w:pStyle w:val="blokksit"/>
        <w:rPr>
          <w:rStyle w:val="kursiv"/>
        </w:rPr>
      </w:pPr>
      <w:r w:rsidRPr="00580C0D">
        <w:rPr>
          <w:rStyle w:val="kursiv"/>
        </w:rPr>
        <w:t>«Stortinget ber regjeringen utrede og komme tilbake til Stortinget med nødvendige forslag slik at norske studenter i utlandet kan ha deltidsjobb ved siden av studiene uten å miste sitt medlemskap i folketrygden.»</w:t>
      </w:r>
    </w:p>
    <w:p w14:paraId="1361EF45" w14:textId="77777777" w:rsidR="00F7113A" w:rsidRPr="00580C0D" w:rsidRDefault="00142E5B" w:rsidP="00580C0D">
      <w:r w:rsidRPr="00580C0D">
        <w:t xml:space="preserve">Vedtaket blei gjort ved behandling av Meld. St. 7 (2020–2021), </w:t>
      </w:r>
      <w:proofErr w:type="spellStart"/>
      <w:r w:rsidRPr="00580C0D">
        <w:t>Innst</w:t>
      </w:r>
      <w:proofErr w:type="spellEnd"/>
      <w:r w:rsidRPr="00580C0D">
        <w:t>. 247 S (2020–2021).</w:t>
      </w:r>
    </w:p>
    <w:p w14:paraId="2F24F898" w14:textId="77777777" w:rsidR="00F7113A" w:rsidRPr="00580C0D" w:rsidRDefault="00142E5B" w:rsidP="00580C0D">
      <w:r w:rsidRPr="00580C0D">
        <w:t xml:space="preserve">Oppmodingsvedtaket er til behandling i departementet. 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3861A07B" w14:textId="77777777" w:rsidR="00F7113A" w:rsidRPr="00580C0D" w:rsidRDefault="00142E5B" w:rsidP="00580C0D">
      <w:pPr>
        <w:pStyle w:val="avsnitt-tittel"/>
      </w:pPr>
      <w:proofErr w:type="spellStart"/>
      <w:r w:rsidRPr="00580C0D">
        <w:t>Endringar</w:t>
      </w:r>
      <w:proofErr w:type="spellEnd"/>
      <w:r w:rsidRPr="00580C0D">
        <w:t xml:space="preserve"> i arbeidsmiljølova for yrkesdykking og losing, føresegn og </w:t>
      </w:r>
      <w:proofErr w:type="spellStart"/>
      <w:r w:rsidRPr="00580C0D">
        <w:t>rettar</w:t>
      </w:r>
      <w:proofErr w:type="spellEnd"/>
      <w:r w:rsidRPr="00580C0D">
        <w:t xml:space="preserve"> om </w:t>
      </w:r>
      <w:proofErr w:type="spellStart"/>
      <w:r w:rsidRPr="00580C0D">
        <w:t>sjukepengar</w:t>
      </w:r>
      <w:proofErr w:type="spellEnd"/>
    </w:p>
    <w:p w14:paraId="1456708B" w14:textId="77777777" w:rsidR="00F7113A" w:rsidRPr="00580C0D" w:rsidRDefault="00142E5B" w:rsidP="00580C0D">
      <w:pPr>
        <w:pStyle w:val="avsnitt-undertittel"/>
      </w:pPr>
      <w:r w:rsidRPr="00580C0D">
        <w:t>Vedtak 770, 23. mars 2021</w:t>
      </w:r>
    </w:p>
    <w:p w14:paraId="53284083" w14:textId="77777777" w:rsidR="00F7113A" w:rsidRPr="00580C0D" w:rsidRDefault="00142E5B" w:rsidP="00580C0D">
      <w:pPr>
        <w:pStyle w:val="blokksit"/>
        <w:rPr>
          <w:rStyle w:val="kursiv"/>
        </w:rPr>
      </w:pPr>
      <w:r w:rsidRPr="00580C0D">
        <w:rPr>
          <w:rStyle w:val="kursiv"/>
        </w:rPr>
        <w:t>«Stortinget ber regjeringen på egnet måte redegjøre for Arbeidstilsynets oppfølging av arbeidsmiljøloven § 1-2 andre ledd bokstav a samt vurdere om det kan være hensiktsmessig å gjøre bestemmelser og rettigheter, som sykepengeregler, som i dag følger av skipsarbeidsloven, gjeldende for de aktuelle arbeidstakerne.»</w:t>
      </w:r>
    </w:p>
    <w:p w14:paraId="4A3FCE63"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68 L (2020–2021), </w:t>
      </w:r>
      <w:proofErr w:type="spellStart"/>
      <w:r w:rsidRPr="00580C0D">
        <w:t>Innst</w:t>
      </w:r>
      <w:proofErr w:type="spellEnd"/>
      <w:r w:rsidRPr="00580C0D">
        <w:t>. 282 L (2020–2021), Lovvedtak 83 (2020–2021).</w:t>
      </w:r>
    </w:p>
    <w:p w14:paraId="0CDD7BEB" w14:textId="77777777" w:rsidR="00F7113A" w:rsidRPr="00580C0D" w:rsidRDefault="00142E5B" w:rsidP="00580C0D">
      <w:r w:rsidRPr="00580C0D">
        <w:t xml:space="preserve">Oppmodingsvedtaket er kvittert ut gjennom behandling i </w:t>
      </w:r>
      <w:proofErr w:type="spellStart"/>
      <w:r w:rsidRPr="00580C0D">
        <w:t>Prop</w:t>
      </w:r>
      <w:proofErr w:type="spellEnd"/>
      <w:r w:rsidRPr="00580C0D">
        <w:t xml:space="preserve">. 122 L (2022–2023). Med dette ser departementet oppmodingsvedtaket som </w:t>
      </w:r>
      <w:proofErr w:type="spellStart"/>
      <w:r w:rsidRPr="00580C0D">
        <w:t>følgt</w:t>
      </w:r>
      <w:proofErr w:type="spellEnd"/>
      <w:r w:rsidRPr="00580C0D">
        <w:t xml:space="preserve"> opp.</w:t>
      </w:r>
    </w:p>
    <w:p w14:paraId="27E79295" w14:textId="77777777" w:rsidR="00F7113A" w:rsidRPr="00580C0D" w:rsidRDefault="00142E5B" w:rsidP="00580C0D">
      <w:pPr>
        <w:pStyle w:val="avsnitt-tittel"/>
      </w:pPr>
      <w:proofErr w:type="spellStart"/>
      <w:r w:rsidRPr="00580C0D">
        <w:t>Endringar</w:t>
      </w:r>
      <w:proofErr w:type="spellEnd"/>
      <w:r w:rsidRPr="00580C0D">
        <w:t xml:space="preserve"> i arbeidsmiljølova for yrkesdykking og losing, kapteinen sitt ansvarsforhold, føresegn om arbeids- og kviletid</w:t>
      </w:r>
    </w:p>
    <w:p w14:paraId="79EF180C" w14:textId="77777777" w:rsidR="00F7113A" w:rsidRPr="00580C0D" w:rsidRDefault="00142E5B" w:rsidP="00580C0D">
      <w:pPr>
        <w:pStyle w:val="avsnitt-undertittel"/>
      </w:pPr>
      <w:r w:rsidRPr="00580C0D">
        <w:t>Vedtak 771, 23. mars 2021</w:t>
      </w:r>
    </w:p>
    <w:p w14:paraId="647A6DDB" w14:textId="77777777" w:rsidR="00F7113A" w:rsidRPr="00580C0D" w:rsidRDefault="00142E5B" w:rsidP="00580C0D">
      <w:pPr>
        <w:pStyle w:val="blokksit"/>
        <w:rPr>
          <w:rStyle w:val="kursiv"/>
        </w:rPr>
      </w:pPr>
      <w:r w:rsidRPr="00580C0D">
        <w:rPr>
          <w:rStyle w:val="kursiv"/>
        </w:rPr>
        <w:t>«Stortinget ber regjeringen ha tett dialog med partene i arbeidslivet for fortløpende å evaluere virkningene av arbeidsmiljøloven § 1-2 andre ledd bokstav a og eventuelt vurdere justeringer i regelverket, herunder sikre at kapteinens ansvarsforhold når dykking gjennomføres avklares, samt at bestemmelsene knyttet til arbeids- og hviletid i forbindelse med dykkeoperasjoner til sjøs klargjøres.»</w:t>
      </w:r>
    </w:p>
    <w:p w14:paraId="47D5612C"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68 L (2020–2021), </w:t>
      </w:r>
      <w:proofErr w:type="spellStart"/>
      <w:r w:rsidRPr="00580C0D">
        <w:t>Innst</w:t>
      </w:r>
      <w:proofErr w:type="spellEnd"/>
      <w:r w:rsidRPr="00580C0D">
        <w:t>. 282 L (2020–2021), Lovvedtak 83 (2020–2021).</w:t>
      </w:r>
    </w:p>
    <w:p w14:paraId="5FFD9D10" w14:textId="77777777" w:rsidR="00F7113A" w:rsidRPr="00580C0D" w:rsidRDefault="00142E5B" w:rsidP="00580C0D">
      <w:r w:rsidRPr="00580C0D">
        <w:t xml:space="preserve">Oppmodingsvedtaket er kvittert ut gjennom behandling i </w:t>
      </w:r>
      <w:proofErr w:type="spellStart"/>
      <w:r w:rsidRPr="00580C0D">
        <w:t>Prop</w:t>
      </w:r>
      <w:proofErr w:type="spellEnd"/>
      <w:r w:rsidRPr="00580C0D">
        <w:t xml:space="preserve">. 122 L (2022–2023). Med dette ser departementet oppmodingsvedtaket som </w:t>
      </w:r>
      <w:proofErr w:type="spellStart"/>
      <w:r w:rsidRPr="00580C0D">
        <w:t>følgt</w:t>
      </w:r>
      <w:proofErr w:type="spellEnd"/>
      <w:r w:rsidRPr="00580C0D">
        <w:t xml:space="preserve"> opp.</w:t>
      </w:r>
    </w:p>
    <w:p w14:paraId="1F7F64FA" w14:textId="77777777" w:rsidR="00F7113A" w:rsidRPr="00580C0D" w:rsidRDefault="00142E5B" w:rsidP="00580C0D">
      <w:pPr>
        <w:pStyle w:val="avsnitt-tittel"/>
      </w:pPr>
      <w:proofErr w:type="spellStart"/>
      <w:r w:rsidRPr="00580C0D">
        <w:t>Endringar</w:t>
      </w:r>
      <w:proofErr w:type="spellEnd"/>
      <w:r w:rsidRPr="00580C0D">
        <w:t xml:space="preserve"> i arbeidsmiljøloven for yrkesdykking og losing, krav til arbeids- og kviletid</w:t>
      </w:r>
    </w:p>
    <w:p w14:paraId="75518F74" w14:textId="77777777" w:rsidR="00F7113A" w:rsidRPr="00580C0D" w:rsidRDefault="00142E5B" w:rsidP="00580C0D">
      <w:pPr>
        <w:pStyle w:val="avsnitt-undertittel"/>
      </w:pPr>
      <w:r w:rsidRPr="00580C0D">
        <w:t>Vedtak 772, 23. mars 2021</w:t>
      </w:r>
    </w:p>
    <w:p w14:paraId="54F93DAA" w14:textId="77777777" w:rsidR="00F7113A" w:rsidRPr="00580C0D" w:rsidRDefault="00142E5B" w:rsidP="00580C0D">
      <w:pPr>
        <w:pStyle w:val="blokksit"/>
        <w:rPr>
          <w:rStyle w:val="kursiv"/>
        </w:rPr>
      </w:pPr>
      <w:r w:rsidRPr="00580C0D">
        <w:rPr>
          <w:rStyle w:val="kursiv"/>
        </w:rPr>
        <w:t>«Stortinget ber regjeringen vurdere innføring av en forskrift med krav til arbeids- og hviletid for selvstendig næringsdrivende og oppdragstakere som driver yrkesdykking fra skip i virksomhet. Forskriften skal gi samme vern for selvstendig næringsdrivende og oppdragstakere som for arbeidstakere etter arbeidsmiljøloven.»</w:t>
      </w:r>
    </w:p>
    <w:p w14:paraId="78BF8B94"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68 L (2020–2021), </w:t>
      </w:r>
      <w:proofErr w:type="spellStart"/>
      <w:r w:rsidRPr="00580C0D">
        <w:t>Innst</w:t>
      </w:r>
      <w:proofErr w:type="spellEnd"/>
      <w:r w:rsidRPr="00580C0D">
        <w:t>. 282 L (2020–2021), Lovvedtak 83 (2020–2021).</w:t>
      </w:r>
    </w:p>
    <w:p w14:paraId="675AB163" w14:textId="77777777" w:rsidR="00F7113A" w:rsidRPr="00580C0D" w:rsidRDefault="00142E5B" w:rsidP="00580C0D">
      <w:r w:rsidRPr="00580C0D">
        <w:t xml:space="preserve">Oppmodingsvedtaket er kvittert ut gjennom behandling i </w:t>
      </w:r>
      <w:proofErr w:type="spellStart"/>
      <w:r w:rsidRPr="00580C0D">
        <w:t>Prop</w:t>
      </w:r>
      <w:proofErr w:type="spellEnd"/>
      <w:r w:rsidRPr="00580C0D">
        <w:t xml:space="preserve">. 122 L (2022–2023). Med dette ser departementet oppmodingsvedtaket som </w:t>
      </w:r>
      <w:proofErr w:type="spellStart"/>
      <w:r w:rsidRPr="00580C0D">
        <w:t>følgt</w:t>
      </w:r>
      <w:proofErr w:type="spellEnd"/>
      <w:r w:rsidRPr="00580C0D">
        <w:t xml:space="preserve"> opp.</w:t>
      </w:r>
    </w:p>
    <w:p w14:paraId="1D54104A" w14:textId="77777777" w:rsidR="00F7113A" w:rsidRPr="00580C0D" w:rsidRDefault="00142E5B" w:rsidP="00580C0D">
      <w:pPr>
        <w:pStyle w:val="avsnitt-tittel"/>
      </w:pPr>
      <w:r w:rsidRPr="00580C0D">
        <w:t>Forenkling av yrkesskadereglene</w:t>
      </w:r>
    </w:p>
    <w:p w14:paraId="3D019AE2" w14:textId="77777777" w:rsidR="00F7113A" w:rsidRPr="00580C0D" w:rsidRDefault="00142E5B" w:rsidP="00580C0D">
      <w:pPr>
        <w:pStyle w:val="avsnitt-undertittel"/>
      </w:pPr>
      <w:r w:rsidRPr="00580C0D">
        <w:t>Vedtak 911, 11. mai 2021</w:t>
      </w:r>
    </w:p>
    <w:p w14:paraId="019FAC31" w14:textId="77777777" w:rsidR="00F7113A" w:rsidRPr="00580C0D" w:rsidRDefault="00142E5B" w:rsidP="00580C0D">
      <w:pPr>
        <w:pStyle w:val="blokksit"/>
        <w:rPr>
          <w:rStyle w:val="kursiv"/>
        </w:rPr>
      </w:pPr>
      <w:r w:rsidRPr="00580C0D">
        <w:rPr>
          <w:rStyle w:val="kursiv"/>
        </w:rPr>
        <w:t>«Stortinget ber regjeringen i samråd med partene i arbeidslivet legge frem et forslag til nødvendig forenkling av yrkesskadereglene som er i tråd med utviklingen i samfunnet og arbeidslivet, og som sikrer den enkelte arbeidstaker. Stortinget ber også regjeringen gjennomgå og om nødvendig oppdatere yrkessykdomslisten.»</w:t>
      </w:r>
    </w:p>
    <w:p w14:paraId="659D9057" w14:textId="77777777" w:rsidR="00F7113A" w:rsidRPr="00580C0D" w:rsidRDefault="00142E5B" w:rsidP="00580C0D">
      <w:r w:rsidRPr="00580C0D">
        <w:t xml:space="preserve">Vedtaket blei gjort ved behandling av Dokument 8:150 S (2020–2021), </w:t>
      </w:r>
      <w:proofErr w:type="spellStart"/>
      <w:r w:rsidRPr="00580C0D">
        <w:t>Innst</w:t>
      </w:r>
      <w:proofErr w:type="spellEnd"/>
      <w:r w:rsidRPr="00580C0D">
        <w:t>. 382 S (2020–2021).</w:t>
      </w:r>
    </w:p>
    <w:p w14:paraId="68B750D1" w14:textId="77777777" w:rsidR="00F7113A" w:rsidRPr="00580C0D" w:rsidRDefault="00142E5B" w:rsidP="00580C0D">
      <w:r w:rsidRPr="00580C0D">
        <w:t xml:space="preserve">Oppmodingsvedtaket er til behandling i departementet. Departementet </w:t>
      </w:r>
      <w:proofErr w:type="spellStart"/>
      <w:r w:rsidRPr="00580C0D">
        <w:t>heldt</w:t>
      </w:r>
      <w:proofErr w:type="spellEnd"/>
      <w:r w:rsidRPr="00580C0D">
        <w:t xml:space="preserve"> i samband med dette 15. mai 2023 </w:t>
      </w:r>
      <w:proofErr w:type="spellStart"/>
      <w:r w:rsidRPr="00580C0D">
        <w:t>eit</w:t>
      </w:r>
      <w:proofErr w:type="spellEnd"/>
      <w:r w:rsidRPr="00580C0D">
        <w:t xml:space="preserve"> </w:t>
      </w:r>
      <w:proofErr w:type="spellStart"/>
      <w:r w:rsidRPr="00580C0D">
        <w:t>innspelsmøte</w:t>
      </w:r>
      <w:proofErr w:type="spellEnd"/>
      <w:r w:rsidRPr="00580C0D">
        <w:t xml:space="preserve">, der </w:t>
      </w:r>
      <w:proofErr w:type="spellStart"/>
      <w:r w:rsidRPr="00580C0D">
        <w:t>hovudorganisasjonane</w:t>
      </w:r>
      <w:proofErr w:type="spellEnd"/>
      <w:r w:rsidRPr="00580C0D">
        <w:t xml:space="preserve"> og enkelte </w:t>
      </w:r>
      <w:proofErr w:type="spellStart"/>
      <w:r w:rsidRPr="00580C0D">
        <w:t>interesseorganisasjonar</w:t>
      </w:r>
      <w:proofErr w:type="spellEnd"/>
      <w:r w:rsidRPr="00580C0D">
        <w:t xml:space="preserve"> gjorde greie for </w:t>
      </w:r>
      <w:proofErr w:type="spellStart"/>
      <w:r w:rsidRPr="00580C0D">
        <w:t>erfaringane</w:t>
      </w:r>
      <w:proofErr w:type="spellEnd"/>
      <w:r w:rsidRPr="00580C0D">
        <w:t xml:space="preserve"> sine med dagens yrkesskaderegelverk, og la fram forslag til </w:t>
      </w:r>
      <w:proofErr w:type="spellStart"/>
      <w:r w:rsidRPr="00580C0D">
        <w:t>forbetringar</w:t>
      </w:r>
      <w:proofErr w:type="spellEnd"/>
      <w:r w:rsidRPr="00580C0D">
        <w:t xml:space="preserve">. Departementet opplyste samtidig om at Statens arbeidsmiljøinstitutt hadde fått i oppdrag å </w:t>
      </w:r>
      <w:proofErr w:type="spellStart"/>
      <w:r w:rsidRPr="00580C0D">
        <w:t>gjennomføra</w:t>
      </w:r>
      <w:proofErr w:type="spellEnd"/>
      <w:r w:rsidRPr="00580C0D">
        <w:t xml:space="preserve"> ei </w:t>
      </w:r>
      <w:proofErr w:type="spellStart"/>
      <w:r w:rsidRPr="00580C0D">
        <w:t>fagleg</w:t>
      </w:r>
      <w:proofErr w:type="spellEnd"/>
      <w:r w:rsidRPr="00580C0D">
        <w:t xml:space="preserve"> oppdatering av Yrkessykdomsutvalgets forslag til ei ny yrkessjukdomsliste i NOU 2008: 11 Yrkessykdommer. 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5BA446DA" w14:textId="77777777" w:rsidR="00F7113A" w:rsidRPr="00580C0D" w:rsidRDefault="00142E5B" w:rsidP="00580C0D">
      <w:pPr>
        <w:pStyle w:val="avsnitt-tittel"/>
      </w:pPr>
      <w:r w:rsidRPr="00580C0D">
        <w:t>NAV-</w:t>
      </w:r>
      <w:proofErr w:type="spellStart"/>
      <w:r w:rsidRPr="00580C0D">
        <w:t>ombod</w:t>
      </w:r>
      <w:proofErr w:type="spellEnd"/>
    </w:p>
    <w:p w14:paraId="483F0CBC" w14:textId="77777777" w:rsidR="00F7113A" w:rsidRPr="00580C0D" w:rsidRDefault="00142E5B" w:rsidP="00580C0D">
      <w:pPr>
        <w:pStyle w:val="avsnitt-undertittel"/>
      </w:pPr>
      <w:r w:rsidRPr="00580C0D">
        <w:t>Vedtak 930, 18. mai 2021</w:t>
      </w:r>
    </w:p>
    <w:p w14:paraId="35D86595" w14:textId="77777777" w:rsidR="00F7113A" w:rsidRPr="00580C0D" w:rsidRDefault="00142E5B" w:rsidP="00580C0D">
      <w:pPr>
        <w:pStyle w:val="blokksit"/>
        <w:rPr>
          <w:rStyle w:val="kursiv"/>
        </w:rPr>
      </w:pPr>
      <w:r w:rsidRPr="00580C0D">
        <w:rPr>
          <w:rStyle w:val="kursiv"/>
        </w:rPr>
        <w:t>«Stortinget ber regjeringen om snarest mulig å opprette et eget, selvstendig Nav-ombud og avklare en mulig samlokalisering med et av de andre ombudene for å dra nytte av felles faglige og administrative ressurser.»</w:t>
      </w:r>
    </w:p>
    <w:p w14:paraId="49BDE470" w14:textId="77777777" w:rsidR="00F7113A" w:rsidRPr="00580C0D" w:rsidRDefault="00142E5B" w:rsidP="00580C0D">
      <w:r w:rsidRPr="00580C0D">
        <w:t xml:space="preserve">Vedtaket blei gjort ved behandling av Dokument 21 (2020–2021), kapittel 8, </w:t>
      </w:r>
      <w:proofErr w:type="spellStart"/>
      <w:r w:rsidRPr="00580C0D">
        <w:t>Innst</w:t>
      </w:r>
      <w:proofErr w:type="spellEnd"/>
      <w:r w:rsidRPr="00580C0D">
        <w:t>. 408 S (2020–2021).</w:t>
      </w:r>
    </w:p>
    <w:p w14:paraId="14F17854" w14:textId="77777777" w:rsidR="00F7113A" w:rsidRPr="00580C0D" w:rsidRDefault="00142E5B" w:rsidP="00580C0D">
      <w:r w:rsidRPr="00580C0D">
        <w:t xml:space="preserve">Våren 2023 blei NOU 2023: 11 </w:t>
      </w:r>
      <w:r w:rsidRPr="00580C0D">
        <w:rPr>
          <w:rStyle w:val="kursiv"/>
        </w:rPr>
        <w:t>Raskt og riktig</w:t>
      </w:r>
      <w:r w:rsidRPr="00580C0D">
        <w:t xml:space="preserve"> lagt fram </w:t>
      </w:r>
      <w:proofErr w:type="spellStart"/>
      <w:r w:rsidRPr="00580C0D">
        <w:t>frå</w:t>
      </w:r>
      <w:proofErr w:type="spellEnd"/>
      <w:r w:rsidRPr="00580C0D">
        <w:t xml:space="preserve"> </w:t>
      </w:r>
      <w:proofErr w:type="spellStart"/>
      <w:r w:rsidRPr="00580C0D">
        <w:t>utvalet</w:t>
      </w:r>
      <w:proofErr w:type="spellEnd"/>
      <w:r w:rsidRPr="00580C0D">
        <w:t xml:space="preserve"> som </w:t>
      </w:r>
      <w:proofErr w:type="spellStart"/>
      <w:r w:rsidRPr="00580C0D">
        <w:t>føretok</w:t>
      </w:r>
      <w:proofErr w:type="spellEnd"/>
      <w:r w:rsidRPr="00580C0D">
        <w:t xml:space="preserve"> </w:t>
      </w:r>
      <w:proofErr w:type="spellStart"/>
      <w:r w:rsidRPr="00580C0D">
        <w:t>ein</w:t>
      </w:r>
      <w:proofErr w:type="spellEnd"/>
      <w:r w:rsidRPr="00580C0D">
        <w:t xml:space="preserve"> </w:t>
      </w:r>
      <w:proofErr w:type="spellStart"/>
      <w:r w:rsidRPr="00580C0D">
        <w:t>heilskapleg</w:t>
      </w:r>
      <w:proofErr w:type="spellEnd"/>
      <w:r w:rsidRPr="00580C0D">
        <w:t xml:space="preserve"> gjennomgang av klage- og </w:t>
      </w:r>
      <w:proofErr w:type="spellStart"/>
      <w:r w:rsidRPr="00580C0D">
        <w:t>ankesystemet</w:t>
      </w:r>
      <w:proofErr w:type="spellEnd"/>
      <w:r w:rsidRPr="00580C0D">
        <w:t xml:space="preserve"> i Arbeids- og velferdsetaten og Trygderetten. Høringsfristen gjekk ut 4. september 2023. Innretning og organisering av </w:t>
      </w:r>
      <w:proofErr w:type="spellStart"/>
      <w:r w:rsidRPr="00580C0D">
        <w:t>eit</w:t>
      </w:r>
      <w:proofErr w:type="spellEnd"/>
      <w:r w:rsidRPr="00580C0D">
        <w:t xml:space="preserve"> NAV-</w:t>
      </w:r>
      <w:proofErr w:type="spellStart"/>
      <w:r w:rsidRPr="00580C0D">
        <w:t>ombod</w:t>
      </w:r>
      <w:proofErr w:type="spellEnd"/>
      <w:r w:rsidRPr="00580C0D">
        <w:t xml:space="preserve"> vil naturlig bli vurdert i samband med oppfølginga av dette </w:t>
      </w:r>
      <w:proofErr w:type="spellStart"/>
      <w:r w:rsidRPr="00580C0D">
        <w:t>utvalets</w:t>
      </w:r>
      <w:proofErr w:type="spellEnd"/>
      <w:r w:rsidRPr="00580C0D">
        <w:t xml:space="preserve"> </w:t>
      </w:r>
      <w:proofErr w:type="spellStart"/>
      <w:r w:rsidRPr="00580C0D">
        <w:t>anbefalingar</w:t>
      </w:r>
      <w:proofErr w:type="spellEnd"/>
      <w:r w:rsidRPr="00580C0D">
        <w:t xml:space="preserve">. Regjeringa vil på bakgrunn av dette </w:t>
      </w:r>
      <w:proofErr w:type="spellStart"/>
      <w:r w:rsidRPr="00580C0D">
        <w:t>gjere</w:t>
      </w:r>
      <w:proofErr w:type="spellEnd"/>
      <w:r w:rsidRPr="00580C0D">
        <w:t xml:space="preserve"> </w:t>
      </w:r>
      <w:proofErr w:type="spellStart"/>
      <w:r w:rsidRPr="00580C0D">
        <w:t>ein</w:t>
      </w:r>
      <w:proofErr w:type="spellEnd"/>
      <w:r w:rsidRPr="00580C0D">
        <w:t xml:space="preserve"> </w:t>
      </w:r>
      <w:proofErr w:type="spellStart"/>
      <w:r w:rsidRPr="00580C0D">
        <w:t>heilskapleg</w:t>
      </w:r>
      <w:proofErr w:type="spellEnd"/>
      <w:r w:rsidRPr="00580C0D">
        <w:t xml:space="preserve"> vurdering av korleis </w:t>
      </w:r>
      <w:proofErr w:type="spellStart"/>
      <w:r w:rsidRPr="00580C0D">
        <w:t>brukarane</w:t>
      </w:r>
      <w:proofErr w:type="spellEnd"/>
      <w:r w:rsidRPr="00580C0D">
        <w:t xml:space="preserve"> sin rettstryggleik skal bli ivaretatt best </w:t>
      </w:r>
      <w:proofErr w:type="spellStart"/>
      <w:r w:rsidRPr="00580C0D">
        <w:t>mogleg</w:t>
      </w:r>
      <w:proofErr w:type="spellEnd"/>
      <w:r w:rsidRPr="00580C0D">
        <w:t xml:space="preserve"> og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0EA1E79D" w14:textId="77777777" w:rsidR="00F7113A" w:rsidRPr="00580C0D" w:rsidRDefault="00142E5B" w:rsidP="00580C0D">
      <w:pPr>
        <w:pStyle w:val="avsnitt-tittel"/>
      </w:pPr>
      <w:proofErr w:type="spellStart"/>
      <w:r w:rsidRPr="00580C0D">
        <w:t>Endringar</w:t>
      </w:r>
      <w:proofErr w:type="spellEnd"/>
      <w:r w:rsidRPr="00580C0D">
        <w:t xml:space="preserve"> i arbeidsmiljølova, tilfeldig uttrekk av </w:t>
      </w:r>
      <w:proofErr w:type="spellStart"/>
      <w:r w:rsidRPr="00580C0D">
        <w:t>meddommarar</w:t>
      </w:r>
      <w:proofErr w:type="spellEnd"/>
      <w:r w:rsidRPr="00580C0D">
        <w:t xml:space="preserve"> </w:t>
      </w:r>
      <w:proofErr w:type="spellStart"/>
      <w:r w:rsidRPr="00580C0D">
        <w:t>frå</w:t>
      </w:r>
      <w:proofErr w:type="spellEnd"/>
      <w:r w:rsidRPr="00580C0D">
        <w:t xml:space="preserve"> kvar av </w:t>
      </w:r>
      <w:proofErr w:type="spellStart"/>
      <w:r w:rsidRPr="00580C0D">
        <w:t>dei</w:t>
      </w:r>
      <w:proofErr w:type="spellEnd"/>
      <w:r w:rsidRPr="00580C0D">
        <w:t xml:space="preserve"> særskilt arbeidslivskyndige </w:t>
      </w:r>
      <w:proofErr w:type="spellStart"/>
      <w:r w:rsidRPr="00580C0D">
        <w:t>utvala</w:t>
      </w:r>
      <w:proofErr w:type="spellEnd"/>
    </w:p>
    <w:p w14:paraId="743F353E" w14:textId="77777777" w:rsidR="00F7113A" w:rsidRPr="00580C0D" w:rsidRDefault="00142E5B" w:rsidP="00580C0D">
      <w:pPr>
        <w:pStyle w:val="avsnitt-undertittel"/>
      </w:pPr>
      <w:r w:rsidRPr="00580C0D">
        <w:t>Vedtak 1149, 8. juni 2021</w:t>
      </w:r>
    </w:p>
    <w:p w14:paraId="37EA891B" w14:textId="77777777" w:rsidR="00F7113A" w:rsidRPr="00580C0D" w:rsidRDefault="00142E5B" w:rsidP="00580C0D">
      <w:pPr>
        <w:pStyle w:val="blokksit"/>
        <w:rPr>
          <w:rStyle w:val="kursiv"/>
        </w:rPr>
      </w:pPr>
      <w:r w:rsidRPr="00580C0D">
        <w:rPr>
          <w:rStyle w:val="kursiv"/>
        </w:rPr>
        <w:t>«Stortinget ber regjeringen utrede mulige endringer i arbeidsmiljøloven der dagens ordning med utnevning av særskilt arbeidslivskyndige meddommere i den enkelte sak etter forslag fra partene, erstattes med et tilfeldig uttrekk av meddommere fra hvert av de særskilt arbeidslivskyndige utvalgene.»</w:t>
      </w:r>
    </w:p>
    <w:p w14:paraId="3B9A94C5" w14:textId="77777777" w:rsidR="00F7113A" w:rsidRPr="00580C0D" w:rsidRDefault="00142E5B" w:rsidP="00580C0D">
      <w:r w:rsidRPr="00580C0D">
        <w:t xml:space="preserve">Vedtaket blei gjort ved behandling av Dokument 8:228 L (2020–2021), </w:t>
      </w:r>
      <w:proofErr w:type="spellStart"/>
      <w:r w:rsidRPr="00580C0D">
        <w:t>Innst</w:t>
      </w:r>
      <w:proofErr w:type="spellEnd"/>
      <w:r w:rsidRPr="00580C0D">
        <w:t>. 586 L (2020–2021).</w:t>
      </w:r>
    </w:p>
    <w:p w14:paraId="344A19BE" w14:textId="77777777" w:rsidR="00F7113A" w:rsidRPr="00580C0D" w:rsidRDefault="00142E5B" w:rsidP="00580C0D">
      <w:r w:rsidRPr="00580C0D">
        <w:t xml:space="preserve">Oppmodingsvedtaket er til behandling i departementet. 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19CA4F24" w14:textId="77777777" w:rsidR="00F7113A" w:rsidRPr="00580C0D" w:rsidRDefault="00142E5B" w:rsidP="00580C0D">
      <w:pPr>
        <w:pStyle w:val="avsnitt-tittel"/>
      </w:pPr>
      <w:proofErr w:type="spellStart"/>
      <w:r w:rsidRPr="00580C0D">
        <w:t>Avkorting</w:t>
      </w:r>
      <w:proofErr w:type="spellEnd"/>
      <w:r w:rsidRPr="00580C0D">
        <w:t xml:space="preserve"> i uføretrygd for fosterforeldre</w:t>
      </w:r>
    </w:p>
    <w:p w14:paraId="014AC5A4" w14:textId="77777777" w:rsidR="00F7113A" w:rsidRPr="00580C0D" w:rsidRDefault="00142E5B" w:rsidP="00580C0D">
      <w:pPr>
        <w:pStyle w:val="avsnitt-undertittel"/>
      </w:pPr>
      <w:r w:rsidRPr="00580C0D">
        <w:t>Vedtak 1200, 10. juni 2021</w:t>
      </w:r>
    </w:p>
    <w:p w14:paraId="2C8CC27A" w14:textId="77777777" w:rsidR="00F7113A" w:rsidRPr="00580C0D" w:rsidRDefault="00142E5B" w:rsidP="00580C0D">
      <w:pPr>
        <w:pStyle w:val="blokksit"/>
        <w:rPr>
          <w:rStyle w:val="kursiv"/>
        </w:rPr>
      </w:pPr>
      <w:r w:rsidRPr="00580C0D">
        <w:rPr>
          <w:rStyle w:val="kursiv"/>
        </w:rPr>
        <w:t>«Stortinget ber regjeringen snarest fremme forslag om at uføre fosterforeldre ikke får avkortning i sin uføretrygd som følge av fosterhjemsoppdraget.»</w:t>
      </w:r>
    </w:p>
    <w:p w14:paraId="2F0D8802"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133 L (2020–2021), </w:t>
      </w:r>
      <w:proofErr w:type="spellStart"/>
      <w:r w:rsidRPr="00580C0D">
        <w:t>Innst</w:t>
      </w:r>
      <w:proofErr w:type="spellEnd"/>
      <w:r w:rsidRPr="00580C0D">
        <w:t>. 625 L (2020–2021), Lovvedtak 173-174 (2020–2021).</w:t>
      </w:r>
    </w:p>
    <w:p w14:paraId="352770DC" w14:textId="77777777" w:rsidR="00F7113A" w:rsidRPr="00580C0D" w:rsidRDefault="00142E5B" w:rsidP="00580C0D">
      <w:r w:rsidRPr="00580C0D">
        <w:t xml:space="preserve">Innstillinga </w:t>
      </w:r>
      <w:proofErr w:type="spellStart"/>
      <w:r w:rsidRPr="00580C0D">
        <w:t>frå</w:t>
      </w:r>
      <w:proofErr w:type="spellEnd"/>
      <w:r w:rsidRPr="00580C0D">
        <w:t xml:space="preserve"> </w:t>
      </w:r>
      <w:proofErr w:type="spellStart"/>
      <w:r w:rsidRPr="00580C0D">
        <w:t>Fosterheimsutvalet</w:t>
      </w:r>
      <w:proofErr w:type="spellEnd"/>
      <w:r w:rsidRPr="00580C0D">
        <w:t xml:space="preserve"> (NOU 2018: 18) blei lagt fram 18. desember 2018. </w:t>
      </w:r>
      <w:proofErr w:type="spellStart"/>
      <w:r w:rsidRPr="00580C0D">
        <w:t>Utvalet</w:t>
      </w:r>
      <w:proofErr w:type="spellEnd"/>
      <w:r w:rsidRPr="00580C0D">
        <w:t xml:space="preserve"> foreslo ei omlegging av </w:t>
      </w:r>
      <w:proofErr w:type="spellStart"/>
      <w:r w:rsidRPr="00580C0D">
        <w:t>fosterheimsgodtgjeringa</w:t>
      </w:r>
      <w:proofErr w:type="spellEnd"/>
      <w:r w:rsidRPr="00580C0D">
        <w:t xml:space="preserve"> til ei skattefri, </w:t>
      </w:r>
      <w:proofErr w:type="spellStart"/>
      <w:r w:rsidRPr="00580C0D">
        <w:t>ikkje-pensjonsgivande</w:t>
      </w:r>
      <w:proofErr w:type="spellEnd"/>
      <w:r w:rsidRPr="00580C0D">
        <w:t xml:space="preserve"> yting. Det blei lagt til grunn at ei slik løysing vil sørge for at </w:t>
      </w:r>
      <w:proofErr w:type="spellStart"/>
      <w:r w:rsidRPr="00580C0D">
        <w:t>arbeidsgodtgjering</w:t>
      </w:r>
      <w:proofErr w:type="spellEnd"/>
      <w:r w:rsidRPr="00580C0D">
        <w:t xml:space="preserve"> verken gir </w:t>
      </w:r>
      <w:proofErr w:type="spellStart"/>
      <w:r w:rsidRPr="00580C0D">
        <w:t>avkorting</w:t>
      </w:r>
      <w:proofErr w:type="spellEnd"/>
      <w:r w:rsidRPr="00580C0D">
        <w:t xml:space="preserve"> i </w:t>
      </w:r>
      <w:proofErr w:type="spellStart"/>
      <w:r w:rsidRPr="00580C0D">
        <w:t>trygdeytingar</w:t>
      </w:r>
      <w:proofErr w:type="spellEnd"/>
      <w:r w:rsidRPr="00580C0D">
        <w:t xml:space="preserve"> eller fører til at fosterforeldre som får arbeidsevna si nedsett med 50 pst., mister rett til </w:t>
      </w:r>
      <w:proofErr w:type="spellStart"/>
      <w:r w:rsidRPr="00580C0D">
        <w:t>ytingar</w:t>
      </w:r>
      <w:proofErr w:type="spellEnd"/>
      <w:r w:rsidRPr="00580C0D">
        <w:t xml:space="preserve">. Barne- og familiedepartementet skal vurdere alternative </w:t>
      </w:r>
      <w:proofErr w:type="spellStart"/>
      <w:r w:rsidRPr="00580C0D">
        <w:t>ordningar</w:t>
      </w:r>
      <w:proofErr w:type="spellEnd"/>
      <w:r w:rsidRPr="00580C0D">
        <w:t xml:space="preserve"> for </w:t>
      </w:r>
      <w:proofErr w:type="spellStart"/>
      <w:r w:rsidRPr="00580C0D">
        <w:t>godtgjering</w:t>
      </w:r>
      <w:proofErr w:type="spellEnd"/>
      <w:r w:rsidRPr="00580C0D">
        <w:t xml:space="preserve"> til fosterforeldre. Forslaget </w:t>
      </w:r>
      <w:proofErr w:type="spellStart"/>
      <w:r w:rsidRPr="00580C0D">
        <w:t>frå</w:t>
      </w:r>
      <w:proofErr w:type="spellEnd"/>
      <w:r w:rsidRPr="00580C0D">
        <w:t xml:space="preserve"> </w:t>
      </w:r>
      <w:proofErr w:type="spellStart"/>
      <w:r w:rsidRPr="00580C0D">
        <w:t>utvalet</w:t>
      </w:r>
      <w:proofErr w:type="spellEnd"/>
      <w:r w:rsidRPr="00580C0D">
        <w:t xml:space="preserve"> om å </w:t>
      </w:r>
      <w:proofErr w:type="spellStart"/>
      <w:r w:rsidRPr="00580C0D">
        <w:t>gjere</w:t>
      </w:r>
      <w:proofErr w:type="spellEnd"/>
      <w:r w:rsidRPr="00580C0D">
        <w:t xml:space="preserve"> </w:t>
      </w:r>
      <w:proofErr w:type="spellStart"/>
      <w:r w:rsidRPr="00580C0D">
        <w:t>godtgjeringa</w:t>
      </w:r>
      <w:proofErr w:type="spellEnd"/>
      <w:r w:rsidRPr="00580C0D">
        <w:t xml:space="preserve"> om til </w:t>
      </w:r>
      <w:proofErr w:type="spellStart"/>
      <w:r w:rsidRPr="00580C0D">
        <w:t>ein</w:t>
      </w:r>
      <w:proofErr w:type="spellEnd"/>
      <w:r w:rsidRPr="00580C0D">
        <w:t xml:space="preserve"> stønad vil inngå i denne vurderinga, sjå </w:t>
      </w:r>
      <w:proofErr w:type="spellStart"/>
      <w:r w:rsidRPr="00580C0D">
        <w:t>nærmare</w:t>
      </w:r>
      <w:proofErr w:type="spellEnd"/>
      <w:r w:rsidRPr="00580C0D">
        <w:t xml:space="preserve"> omtale i </w:t>
      </w:r>
      <w:proofErr w:type="spellStart"/>
      <w:r w:rsidRPr="00580C0D">
        <w:t>Prop</w:t>
      </w:r>
      <w:proofErr w:type="spellEnd"/>
      <w:r w:rsidRPr="00580C0D">
        <w:t xml:space="preserve">. 1 S (2023–2024) </w:t>
      </w:r>
      <w:proofErr w:type="spellStart"/>
      <w:r w:rsidRPr="00580C0D">
        <w:t>frå</w:t>
      </w:r>
      <w:proofErr w:type="spellEnd"/>
      <w:r w:rsidRPr="00580C0D">
        <w:t xml:space="preserve"> Barne- og familiedepartementet. Regjeringa vil derfor komme tilbake til Stortinget etter å ha tatt stilling til korleis </w:t>
      </w:r>
      <w:proofErr w:type="spellStart"/>
      <w:r w:rsidRPr="00580C0D">
        <w:t>godtgjering</w:t>
      </w:r>
      <w:proofErr w:type="spellEnd"/>
      <w:r w:rsidRPr="00580C0D">
        <w:t xml:space="preserve"> til fosterforeldre bør bli utforma.</w:t>
      </w:r>
    </w:p>
    <w:p w14:paraId="452165A0" w14:textId="77777777" w:rsidR="00F7113A" w:rsidRPr="00580C0D" w:rsidRDefault="00142E5B" w:rsidP="00580C0D">
      <w:pPr>
        <w:pStyle w:val="avsnitt-tittel"/>
      </w:pPr>
      <w:r w:rsidRPr="00580C0D">
        <w:t xml:space="preserve">Reduksjon av </w:t>
      </w:r>
      <w:proofErr w:type="spellStart"/>
      <w:r w:rsidRPr="00580C0D">
        <w:t>ytingar</w:t>
      </w:r>
      <w:proofErr w:type="spellEnd"/>
      <w:r w:rsidRPr="00580C0D">
        <w:t xml:space="preserve"> under </w:t>
      </w:r>
      <w:proofErr w:type="spellStart"/>
      <w:r w:rsidRPr="00580C0D">
        <w:t>opphald</w:t>
      </w:r>
      <w:proofErr w:type="spellEnd"/>
      <w:r w:rsidRPr="00580C0D">
        <w:t xml:space="preserve"> i institusjon, likebehandling av pasientgrupper</w:t>
      </w:r>
    </w:p>
    <w:p w14:paraId="2D448813" w14:textId="77777777" w:rsidR="00F7113A" w:rsidRPr="00580C0D" w:rsidRDefault="00142E5B" w:rsidP="00580C0D">
      <w:pPr>
        <w:pStyle w:val="avsnitt-undertittel"/>
      </w:pPr>
      <w:r w:rsidRPr="00580C0D">
        <w:t>Vedtak 1219, 11. juni 2021</w:t>
      </w:r>
    </w:p>
    <w:p w14:paraId="39251413" w14:textId="77777777" w:rsidR="00F7113A" w:rsidRPr="00580C0D" w:rsidRDefault="00142E5B" w:rsidP="00580C0D">
      <w:pPr>
        <w:pStyle w:val="blokksit"/>
        <w:rPr>
          <w:rStyle w:val="kursiv"/>
        </w:rPr>
      </w:pPr>
      <w:r w:rsidRPr="00580C0D">
        <w:rPr>
          <w:rStyle w:val="kursiv"/>
        </w:rPr>
        <w:t>«Stortinget ber regjeringen utrede endringer i folketrygdlovens regler om reduksjon av ytelser under opphold i institusjon, herunder forskjellen mellom innlagte i somatiske og psykiatriske institusjoner, og komme tilbake til Stortinget med forslag til endringer som sikrer likebehandling av pasientgrupper.»</w:t>
      </w:r>
    </w:p>
    <w:p w14:paraId="5E7FE834" w14:textId="77777777" w:rsidR="00F7113A" w:rsidRPr="00580C0D" w:rsidRDefault="00142E5B" w:rsidP="00580C0D">
      <w:r w:rsidRPr="00580C0D">
        <w:t xml:space="preserve">Vedtaket blei gjort ved behandling av Dokument 8:274 S (2020–2021), </w:t>
      </w:r>
      <w:proofErr w:type="spellStart"/>
      <w:r w:rsidRPr="00580C0D">
        <w:t>Innst</w:t>
      </w:r>
      <w:proofErr w:type="spellEnd"/>
      <w:r w:rsidRPr="00580C0D">
        <w:t>. 528 S (2020–2021).</w:t>
      </w:r>
    </w:p>
    <w:p w14:paraId="6BFC01C8" w14:textId="77777777" w:rsidR="00F7113A" w:rsidRPr="00580C0D" w:rsidRDefault="00142E5B" w:rsidP="00580C0D">
      <w:proofErr w:type="spellStart"/>
      <w:r w:rsidRPr="00580C0D">
        <w:t>Sjukepengar</w:t>
      </w:r>
      <w:proofErr w:type="spellEnd"/>
      <w:r w:rsidRPr="00580C0D">
        <w:t xml:space="preserve">, </w:t>
      </w:r>
      <w:proofErr w:type="spellStart"/>
      <w:r w:rsidRPr="00580C0D">
        <w:t>arbeidsavklaringspengar</w:t>
      </w:r>
      <w:proofErr w:type="spellEnd"/>
      <w:r w:rsidRPr="00580C0D">
        <w:t xml:space="preserve">, uføretrygd og </w:t>
      </w:r>
      <w:proofErr w:type="spellStart"/>
      <w:r w:rsidRPr="00580C0D">
        <w:t>pensjonar</w:t>
      </w:r>
      <w:proofErr w:type="spellEnd"/>
      <w:r w:rsidRPr="00580C0D">
        <w:t xml:space="preserve"> er alle </w:t>
      </w:r>
      <w:proofErr w:type="spellStart"/>
      <w:r w:rsidRPr="00580C0D">
        <w:t>ytingar</w:t>
      </w:r>
      <w:proofErr w:type="spellEnd"/>
      <w:r w:rsidRPr="00580C0D">
        <w:t xml:space="preserve"> </w:t>
      </w:r>
      <w:proofErr w:type="spellStart"/>
      <w:r w:rsidRPr="00580C0D">
        <w:t>frå</w:t>
      </w:r>
      <w:proofErr w:type="spellEnd"/>
      <w:r w:rsidRPr="00580C0D">
        <w:t xml:space="preserve"> folketrygda som skal dekke utgifter til </w:t>
      </w:r>
      <w:proofErr w:type="spellStart"/>
      <w:r w:rsidRPr="00580C0D">
        <w:t>livsopphald</w:t>
      </w:r>
      <w:proofErr w:type="spellEnd"/>
      <w:r w:rsidRPr="00580C0D">
        <w:t xml:space="preserve">. Ved </w:t>
      </w:r>
      <w:proofErr w:type="spellStart"/>
      <w:r w:rsidRPr="00580C0D">
        <w:t>opphald</w:t>
      </w:r>
      <w:proofErr w:type="spellEnd"/>
      <w:r w:rsidRPr="00580C0D">
        <w:t xml:space="preserve"> i institusjon under </w:t>
      </w:r>
      <w:proofErr w:type="spellStart"/>
      <w:r w:rsidRPr="00580C0D">
        <w:t>statleg</w:t>
      </w:r>
      <w:proofErr w:type="spellEnd"/>
      <w:r w:rsidRPr="00580C0D">
        <w:t xml:space="preserve"> ansvar med fri kost og losji blir deler av utgiftene til </w:t>
      </w:r>
      <w:proofErr w:type="spellStart"/>
      <w:r w:rsidRPr="00580C0D">
        <w:t>livsopphald</w:t>
      </w:r>
      <w:proofErr w:type="spellEnd"/>
      <w:r w:rsidRPr="00580C0D">
        <w:t xml:space="preserve"> dekte av staten. Ved </w:t>
      </w:r>
      <w:proofErr w:type="spellStart"/>
      <w:r w:rsidRPr="00580C0D">
        <w:t>langtidsopphald</w:t>
      </w:r>
      <w:proofErr w:type="spellEnd"/>
      <w:r w:rsidRPr="00580C0D">
        <w:t xml:space="preserve"> blir derfor </w:t>
      </w:r>
      <w:proofErr w:type="spellStart"/>
      <w:r w:rsidRPr="00580C0D">
        <w:t>ytingane</w:t>
      </w:r>
      <w:proofErr w:type="spellEnd"/>
      <w:r w:rsidRPr="00580C0D">
        <w:t xml:space="preserve"> redusert. </w:t>
      </w:r>
      <w:proofErr w:type="spellStart"/>
      <w:r w:rsidRPr="00580C0D">
        <w:t>Ytingane</w:t>
      </w:r>
      <w:proofErr w:type="spellEnd"/>
      <w:r w:rsidRPr="00580C0D">
        <w:t xml:space="preserve"> skal </w:t>
      </w:r>
      <w:proofErr w:type="spellStart"/>
      <w:r w:rsidRPr="00580C0D">
        <w:t>ikkje</w:t>
      </w:r>
      <w:proofErr w:type="spellEnd"/>
      <w:r w:rsidRPr="00580C0D">
        <w:t xml:space="preserve"> bli reduserte om </w:t>
      </w:r>
      <w:proofErr w:type="spellStart"/>
      <w:r w:rsidRPr="00580C0D">
        <w:t>mottakaren</w:t>
      </w:r>
      <w:proofErr w:type="spellEnd"/>
      <w:r w:rsidRPr="00580C0D">
        <w:t xml:space="preserve"> forsørger ektefelle eller barn. For å sikre at </w:t>
      </w:r>
      <w:proofErr w:type="spellStart"/>
      <w:r w:rsidRPr="00580C0D">
        <w:t>mottakaren</w:t>
      </w:r>
      <w:proofErr w:type="spellEnd"/>
      <w:r w:rsidRPr="00580C0D">
        <w:t xml:space="preserve"> </w:t>
      </w:r>
      <w:proofErr w:type="spellStart"/>
      <w:r w:rsidRPr="00580C0D">
        <w:t>ikkje</w:t>
      </w:r>
      <w:proofErr w:type="spellEnd"/>
      <w:r w:rsidRPr="00580C0D">
        <w:t xml:space="preserve"> skal miste bustaden sin fordi han eller </w:t>
      </w:r>
      <w:proofErr w:type="spellStart"/>
      <w:r w:rsidRPr="00580C0D">
        <w:t>ho</w:t>
      </w:r>
      <w:proofErr w:type="spellEnd"/>
      <w:r w:rsidRPr="00580C0D">
        <w:t xml:space="preserve"> treng behandling, blir </w:t>
      </w:r>
      <w:proofErr w:type="spellStart"/>
      <w:r w:rsidRPr="00580C0D">
        <w:t>ytingane</w:t>
      </w:r>
      <w:proofErr w:type="spellEnd"/>
      <w:r w:rsidRPr="00580C0D">
        <w:t xml:space="preserve"> enten </w:t>
      </w:r>
      <w:proofErr w:type="spellStart"/>
      <w:r w:rsidRPr="00580C0D">
        <w:t>ikkje</w:t>
      </w:r>
      <w:proofErr w:type="spellEnd"/>
      <w:r w:rsidRPr="00580C0D">
        <w:t xml:space="preserve"> redusert eller redusert mindre for å kunne dekke faste og nødvendige utgifter til bustad.</w:t>
      </w:r>
    </w:p>
    <w:p w14:paraId="3DDD4F44" w14:textId="77777777" w:rsidR="00F7113A" w:rsidRPr="00580C0D" w:rsidRDefault="00142E5B" w:rsidP="00580C0D">
      <w:r w:rsidRPr="00580C0D">
        <w:t xml:space="preserve">I 1997 blei det innført </w:t>
      </w:r>
      <w:proofErr w:type="spellStart"/>
      <w:r w:rsidRPr="00580C0D">
        <w:t>eit</w:t>
      </w:r>
      <w:proofErr w:type="spellEnd"/>
      <w:r w:rsidRPr="00580C0D">
        <w:t xml:space="preserve"> unnatak for reduksjon i </w:t>
      </w:r>
      <w:proofErr w:type="spellStart"/>
      <w:r w:rsidRPr="00580C0D">
        <w:t>pensjonsytingane</w:t>
      </w:r>
      <w:proofErr w:type="spellEnd"/>
      <w:r w:rsidRPr="00580C0D">
        <w:t xml:space="preserve"> (inkludert uførepensjon, som </w:t>
      </w:r>
      <w:proofErr w:type="spellStart"/>
      <w:r w:rsidRPr="00580C0D">
        <w:t>no</w:t>
      </w:r>
      <w:proofErr w:type="spellEnd"/>
      <w:r w:rsidRPr="00580C0D">
        <w:t xml:space="preserve"> er erstatta av uføretrygd), for </w:t>
      </w:r>
      <w:proofErr w:type="spellStart"/>
      <w:r w:rsidRPr="00580C0D">
        <w:t>opphald</w:t>
      </w:r>
      <w:proofErr w:type="spellEnd"/>
      <w:r w:rsidRPr="00580C0D">
        <w:t xml:space="preserve"> i somatiske sjukehus. I forarbeida blei det </w:t>
      </w:r>
      <w:proofErr w:type="spellStart"/>
      <w:r w:rsidRPr="00580C0D">
        <w:t>peikt</w:t>
      </w:r>
      <w:proofErr w:type="spellEnd"/>
      <w:r w:rsidRPr="00580C0D">
        <w:t xml:space="preserve"> på at </w:t>
      </w:r>
      <w:proofErr w:type="spellStart"/>
      <w:r w:rsidRPr="00580C0D">
        <w:t>dei</w:t>
      </w:r>
      <w:proofErr w:type="spellEnd"/>
      <w:r w:rsidRPr="00580C0D">
        <w:t xml:space="preserve"> fleste av </w:t>
      </w:r>
      <w:proofErr w:type="spellStart"/>
      <w:r w:rsidRPr="00580C0D">
        <w:t>innleggingane</w:t>
      </w:r>
      <w:proofErr w:type="spellEnd"/>
      <w:r w:rsidRPr="00580C0D">
        <w:t xml:space="preserve"> på somatiske sjukehus var kortvarige, dvs. under fem </w:t>
      </w:r>
      <w:proofErr w:type="spellStart"/>
      <w:r w:rsidRPr="00580C0D">
        <w:t>månader</w:t>
      </w:r>
      <w:proofErr w:type="spellEnd"/>
      <w:r w:rsidRPr="00580C0D">
        <w:t xml:space="preserve">, slik at </w:t>
      </w:r>
      <w:proofErr w:type="spellStart"/>
      <w:r w:rsidRPr="00580C0D">
        <w:t>ytingane</w:t>
      </w:r>
      <w:proofErr w:type="spellEnd"/>
      <w:r w:rsidRPr="00580C0D">
        <w:t xml:space="preserve"> i praksis </w:t>
      </w:r>
      <w:proofErr w:type="spellStart"/>
      <w:r w:rsidRPr="00580C0D">
        <w:t>sjeldan</w:t>
      </w:r>
      <w:proofErr w:type="spellEnd"/>
      <w:r w:rsidRPr="00580C0D">
        <w:t xml:space="preserve"> faktisk blei reduserte. Det blei </w:t>
      </w:r>
      <w:proofErr w:type="spellStart"/>
      <w:r w:rsidRPr="00580C0D">
        <w:t>vidare</w:t>
      </w:r>
      <w:proofErr w:type="spellEnd"/>
      <w:r w:rsidRPr="00580C0D">
        <w:t xml:space="preserve"> </w:t>
      </w:r>
      <w:proofErr w:type="spellStart"/>
      <w:r w:rsidRPr="00580C0D">
        <w:t>heldt</w:t>
      </w:r>
      <w:proofErr w:type="spellEnd"/>
      <w:r w:rsidRPr="00580C0D">
        <w:t xml:space="preserve"> fram at for </w:t>
      </w:r>
      <w:proofErr w:type="spellStart"/>
      <w:r w:rsidRPr="00580C0D">
        <w:t>bebuarar</w:t>
      </w:r>
      <w:proofErr w:type="spellEnd"/>
      <w:r w:rsidRPr="00580C0D">
        <w:t xml:space="preserve"> med </w:t>
      </w:r>
      <w:proofErr w:type="spellStart"/>
      <w:r w:rsidRPr="00580C0D">
        <w:t>langtidsopphald</w:t>
      </w:r>
      <w:proofErr w:type="spellEnd"/>
      <w:r w:rsidRPr="00580C0D">
        <w:t xml:space="preserve"> i psykiatriske sjukehus og spesialsjukeheim må det først </w:t>
      </w:r>
      <w:proofErr w:type="spellStart"/>
      <w:r w:rsidRPr="00580C0D">
        <w:t>finnast</w:t>
      </w:r>
      <w:proofErr w:type="spellEnd"/>
      <w:r w:rsidRPr="00580C0D">
        <w:t xml:space="preserve"> fram til ei alternativ form for </w:t>
      </w:r>
      <w:proofErr w:type="spellStart"/>
      <w:r w:rsidRPr="00580C0D">
        <w:t>eigenbetaling</w:t>
      </w:r>
      <w:proofErr w:type="spellEnd"/>
      <w:r w:rsidRPr="00580C0D">
        <w:t xml:space="preserve"> før ordninga med redusert pensjon kan </w:t>
      </w:r>
      <w:proofErr w:type="spellStart"/>
      <w:r w:rsidRPr="00580C0D">
        <w:t>avviklast</w:t>
      </w:r>
      <w:proofErr w:type="spellEnd"/>
      <w:r w:rsidRPr="00580C0D">
        <w:t xml:space="preserve">. Det kan altså sjå ut til at unnataket først og fremst blei grunngitt med praktiske omsyn. Det blei </w:t>
      </w:r>
      <w:proofErr w:type="spellStart"/>
      <w:r w:rsidRPr="00580C0D">
        <w:t>ikkje</w:t>
      </w:r>
      <w:proofErr w:type="spellEnd"/>
      <w:r w:rsidRPr="00580C0D">
        <w:t xml:space="preserve"> gitt </w:t>
      </w:r>
      <w:proofErr w:type="spellStart"/>
      <w:r w:rsidRPr="00580C0D">
        <w:t>nokre</w:t>
      </w:r>
      <w:proofErr w:type="spellEnd"/>
      <w:r w:rsidRPr="00580C0D">
        <w:t xml:space="preserve"> unnatak for </w:t>
      </w:r>
      <w:proofErr w:type="spellStart"/>
      <w:r w:rsidRPr="00580C0D">
        <w:t>sjukepengar</w:t>
      </w:r>
      <w:proofErr w:type="spellEnd"/>
      <w:r w:rsidRPr="00580C0D">
        <w:t xml:space="preserve"> eller rehabiliterings- og </w:t>
      </w:r>
      <w:proofErr w:type="spellStart"/>
      <w:r w:rsidRPr="00580C0D">
        <w:t>attføringspengar</w:t>
      </w:r>
      <w:proofErr w:type="spellEnd"/>
      <w:r w:rsidRPr="00580C0D">
        <w:t xml:space="preserve"> (</w:t>
      </w:r>
      <w:proofErr w:type="spellStart"/>
      <w:r w:rsidRPr="00580C0D">
        <w:t>no</w:t>
      </w:r>
      <w:proofErr w:type="spellEnd"/>
      <w:r w:rsidRPr="00580C0D">
        <w:t xml:space="preserve"> </w:t>
      </w:r>
      <w:proofErr w:type="spellStart"/>
      <w:r w:rsidRPr="00580C0D">
        <w:t>arbeidsavklaringspengar</w:t>
      </w:r>
      <w:proofErr w:type="spellEnd"/>
      <w:r w:rsidRPr="00580C0D">
        <w:t xml:space="preserve">). Det er </w:t>
      </w:r>
      <w:proofErr w:type="spellStart"/>
      <w:r w:rsidRPr="00580C0D">
        <w:t>mogleg</w:t>
      </w:r>
      <w:proofErr w:type="spellEnd"/>
      <w:r w:rsidRPr="00580C0D">
        <w:t xml:space="preserve"> at dette har </w:t>
      </w:r>
      <w:proofErr w:type="spellStart"/>
      <w:r w:rsidRPr="00580C0D">
        <w:t>samanheng</w:t>
      </w:r>
      <w:proofErr w:type="spellEnd"/>
      <w:r w:rsidRPr="00580C0D">
        <w:t xml:space="preserve"> med at </w:t>
      </w:r>
      <w:proofErr w:type="spellStart"/>
      <w:r w:rsidRPr="00580C0D">
        <w:t>reglane</w:t>
      </w:r>
      <w:proofErr w:type="spellEnd"/>
      <w:r w:rsidRPr="00580C0D">
        <w:t xml:space="preserve"> for uførepensjon og andre </w:t>
      </w:r>
      <w:proofErr w:type="spellStart"/>
      <w:r w:rsidRPr="00580C0D">
        <w:t>pensjonar</w:t>
      </w:r>
      <w:proofErr w:type="spellEnd"/>
      <w:r w:rsidRPr="00580C0D">
        <w:t xml:space="preserve"> var samla i ei </w:t>
      </w:r>
      <w:proofErr w:type="spellStart"/>
      <w:r w:rsidRPr="00580C0D">
        <w:t>lovføresegn</w:t>
      </w:r>
      <w:proofErr w:type="spellEnd"/>
      <w:r w:rsidRPr="00580C0D">
        <w:t xml:space="preserve">, mens </w:t>
      </w:r>
      <w:proofErr w:type="spellStart"/>
      <w:r w:rsidRPr="00580C0D">
        <w:t>reduksjonsreglane</w:t>
      </w:r>
      <w:proofErr w:type="spellEnd"/>
      <w:r w:rsidRPr="00580C0D">
        <w:t xml:space="preserve"> for </w:t>
      </w:r>
      <w:proofErr w:type="spellStart"/>
      <w:r w:rsidRPr="00580C0D">
        <w:t>sjukepengar</w:t>
      </w:r>
      <w:proofErr w:type="spellEnd"/>
      <w:r w:rsidRPr="00580C0D">
        <w:t xml:space="preserve"> og </w:t>
      </w:r>
      <w:proofErr w:type="spellStart"/>
      <w:r w:rsidRPr="00580C0D">
        <w:t>forløparane</w:t>
      </w:r>
      <w:proofErr w:type="spellEnd"/>
      <w:r w:rsidRPr="00580C0D">
        <w:t xml:space="preserve"> til </w:t>
      </w:r>
      <w:proofErr w:type="spellStart"/>
      <w:r w:rsidRPr="00580C0D">
        <w:t>arbeidsavklaringspengar</w:t>
      </w:r>
      <w:proofErr w:type="spellEnd"/>
      <w:r w:rsidRPr="00580C0D">
        <w:t xml:space="preserve"> </w:t>
      </w:r>
      <w:proofErr w:type="spellStart"/>
      <w:r w:rsidRPr="00580C0D">
        <w:t>følgde</w:t>
      </w:r>
      <w:proofErr w:type="spellEnd"/>
      <w:r w:rsidRPr="00580C0D">
        <w:t xml:space="preserve"> av andre føresegn. Innføringa av unnataket </w:t>
      </w:r>
      <w:proofErr w:type="spellStart"/>
      <w:r w:rsidRPr="00580C0D">
        <w:t>frå</w:t>
      </w:r>
      <w:proofErr w:type="spellEnd"/>
      <w:r w:rsidRPr="00580C0D">
        <w:t xml:space="preserve"> reduksjon for </w:t>
      </w:r>
      <w:proofErr w:type="spellStart"/>
      <w:r w:rsidRPr="00580C0D">
        <w:t>nokre</w:t>
      </w:r>
      <w:proofErr w:type="spellEnd"/>
      <w:r w:rsidRPr="00580C0D">
        <w:t xml:space="preserve"> av </w:t>
      </w:r>
      <w:proofErr w:type="spellStart"/>
      <w:r w:rsidRPr="00580C0D">
        <w:t>ytingane</w:t>
      </w:r>
      <w:proofErr w:type="spellEnd"/>
      <w:r w:rsidRPr="00580C0D">
        <w:t xml:space="preserve"> til livsopphold ved </w:t>
      </w:r>
      <w:proofErr w:type="spellStart"/>
      <w:r w:rsidRPr="00580C0D">
        <w:t>opphald</w:t>
      </w:r>
      <w:proofErr w:type="spellEnd"/>
      <w:r w:rsidRPr="00580C0D">
        <w:t xml:space="preserve"> i somatiske sjukehus, har dermed ført til ulike </w:t>
      </w:r>
      <w:proofErr w:type="spellStart"/>
      <w:r w:rsidRPr="00580C0D">
        <w:t>reglar</w:t>
      </w:r>
      <w:proofErr w:type="spellEnd"/>
      <w:r w:rsidRPr="00580C0D">
        <w:t xml:space="preserve"> for reduksjon for ulike </w:t>
      </w:r>
      <w:proofErr w:type="spellStart"/>
      <w:r w:rsidRPr="00580C0D">
        <w:t>institusjonar</w:t>
      </w:r>
      <w:proofErr w:type="spellEnd"/>
      <w:r w:rsidRPr="00580C0D">
        <w:t xml:space="preserve">, men også for ulike </w:t>
      </w:r>
      <w:proofErr w:type="spellStart"/>
      <w:r w:rsidRPr="00580C0D">
        <w:t>ytingar</w:t>
      </w:r>
      <w:proofErr w:type="spellEnd"/>
      <w:r w:rsidRPr="00580C0D">
        <w:t>.</w:t>
      </w:r>
    </w:p>
    <w:p w14:paraId="6E36B60C" w14:textId="77777777" w:rsidR="00F7113A" w:rsidRPr="00580C0D" w:rsidRDefault="00142E5B" w:rsidP="00580C0D">
      <w:r w:rsidRPr="00580C0D">
        <w:t xml:space="preserve">Under del II, kap. 2655 Uførhet, har departementet gjort greie for ulike alternativ, </w:t>
      </w:r>
      <w:proofErr w:type="spellStart"/>
      <w:r w:rsidRPr="00580C0D">
        <w:t>avvegingar</w:t>
      </w:r>
      <w:proofErr w:type="spellEnd"/>
      <w:r w:rsidRPr="00580C0D">
        <w:t xml:space="preserve"> og </w:t>
      </w:r>
      <w:proofErr w:type="spellStart"/>
      <w:r w:rsidRPr="00580C0D">
        <w:t>vurderingar</w:t>
      </w:r>
      <w:proofErr w:type="spellEnd"/>
      <w:r w:rsidRPr="00580C0D">
        <w:t xml:space="preserve">, også sett opp mot </w:t>
      </w:r>
      <w:proofErr w:type="spellStart"/>
      <w:r w:rsidRPr="00580C0D">
        <w:t>reglane</w:t>
      </w:r>
      <w:proofErr w:type="spellEnd"/>
      <w:r w:rsidRPr="00580C0D">
        <w:t xml:space="preserve"> om reduksjon og bortfall under straffegjennomføring og betaling til </w:t>
      </w:r>
      <w:proofErr w:type="spellStart"/>
      <w:r w:rsidRPr="00580C0D">
        <w:t>kommunane</w:t>
      </w:r>
      <w:proofErr w:type="spellEnd"/>
      <w:r w:rsidRPr="00580C0D">
        <w:t xml:space="preserve"> ved </w:t>
      </w:r>
      <w:proofErr w:type="spellStart"/>
      <w:r w:rsidRPr="00580C0D">
        <w:t>opphald</w:t>
      </w:r>
      <w:proofErr w:type="spellEnd"/>
      <w:r w:rsidRPr="00580C0D">
        <w:t xml:space="preserve"> i kommunale </w:t>
      </w:r>
      <w:proofErr w:type="spellStart"/>
      <w:r w:rsidRPr="00580C0D">
        <w:t>institusjonar</w:t>
      </w:r>
      <w:proofErr w:type="spellEnd"/>
      <w:r w:rsidRPr="00580C0D">
        <w:t xml:space="preserve">. Som det går fram der, vil departementet </w:t>
      </w:r>
      <w:proofErr w:type="spellStart"/>
      <w:r w:rsidRPr="00580C0D">
        <w:t>ikkje</w:t>
      </w:r>
      <w:proofErr w:type="spellEnd"/>
      <w:r w:rsidRPr="00580C0D">
        <w:t xml:space="preserve"> tilrå </w:t>
      </w:r>
      <w:proofErr w:type="spellStart"/>
      <w:r w:rsidRPr="00580C0D">
        <w:t>lovendringar</w:t>
      </w:r>
      <w:proofErr w:type="spellEnd"/>
      <w:r w:rsidRPr="00580C0D">
        <w:t xml:space="preserve">. Departementet vil likevel gjennomgå </w:t>
      </w:r>
      <w:proofErr w:type="spellStart"/>
      <w:r w:rsidRPr="00580C0D">
        <w:t>reglane</w:t>
      </w:r>
      <w:proofErr w:type="spellEnd"/>
      <w:r w:rsidRPr="00580C0D">
        <w:t xml:space="preserve"> for unnatak </w:t>
      </w:r>
      <w:proofErr w:type="spellStart"/>
      <w:r w:rsidRPr="00580C0D">
        <w:t>frå</w:t>
      </w:r>
      <w:proofErr w:type="spellEnd"/>
      <w:r w:rsidRPr="00580C0D">
        <w:t xml:space="preserve"> reduksjon av </w:t>
      </w:r>
      <w:proofErr w:type="spellStart"/>
      <w:r w:rsidRPr="00580C0D">
        <w:t>ytingar</w:t>
      </w:r>
      <w:proofErr w:type="spellEnd"/>
      <w:r w:rsidRPr="00580C0D">
        <w:t xml:space="preserve"> når pasienten har faste og nødvendige </w:t>
      </w:r>
      <w:proofErr w:type="spellStart"/>
      <w:r w:rsidRPr="00580C0D">
        <w:t>buutgifter</w:t>
      </w:r>
      <w:proofErr w:type="spellEnd"/>
      <w:r w:rsidRPr="00580C0D">
        <w:t>, for å sikre at formålet med denne føresegna blir oppnådd.</w:t>
      </w:r>
    </w:p>
    <w:p w14:paraId="43F2DC1A"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56F2A118" w14:textId="77777777" w:rsidR="00F7113A" w:rsidRPr="00580C0D" w:rsidRDefault="00142E5B" w:rsidP="00580C0D">
      <w:pPr>
        <w:pStyle w:val="avsnitt-tittel"/>
      </w:pPr>
      <w:r w:rsidRPr="00580C0D">
        <w:t>Evaluering av brillestøtteordninga</w:t>
      </w:r>
    </w:p>
    <w:p w14:paraId="351AF2C8" w14:textId="77777777" w:rsidR="00F7113A" w:rsidRPr="00580C0D" w:rsidRDefault="00142E5B" w:rsidP="00580C0D">
      <w:pPr>
        <w:pStyle w:val="avsnitt-undertittel"/>
      </w:pPr>
      <w:r w:rsidRPr="00580C0D">
        <w:t>Vedtak 1342, 18. juni 2021</w:t>
      </w:r>
    </w:p>
    <w:p w14:paraId="65E0AD0F" w14:textId="77777777" w:rsidR="00F7113A" w:rsidRPr="00580C0D" w:rsidRDefault="00142E5B" w:rsidP="00580C0D">
      <w:pPr>
        <w:pStyle w:val="blokksit"/>
        <w:rPr>
          <w:rStyle w:val="kursiv"/>
        </w:rPr>
      </w:pPr>
      <w:r w:rsidRPr="00580C0D">
        <w:rPr>
          <w:rStyle w:val="kursiv"/>
        </w:rPr>
        <w:t xml:space="preserve">«Stortinget ber regjeringen om å foreta </w:t>
      </w:r>
      <w:proofErr w:type="gramStart"/>
      <w:r w:rsidRPr="00580C0D">
        <w:rPr>
          <w:rStyle w:val="kursiv"/>
        </w:rPr>
        <w:t>en evalueringen</w:t>
      </w:r>
      <w:proofErr w:type="gramEnd"/>
      <w:r w:rsidRPr="00580C0D">
        <w:rPr>
          <w:rStyle w:val="kursiv"/>
        </w:rPr>
        <w:t xml:space="preserve"> av brillestøtteordningen for å se om endringene som ble foretatt, har hatt utilsiktede konsekvenser. Evalueringen skal også se på om de forskjellige støtteordningene er godt nok kjent for de som er i målgruppen. Evalueringen skal også se på om støtteordningene er riktig innrettet sånn at de som faktisk har behov, reelt sett får det.»</w:t>
      </w:r>
    </w:p>
    <w:p w14:paraId="775C0072" w14:textId="77777777" w:rsidR="00F7113A" w:rsidRPr="00580C0D" w:rsidRDefault="00142E5B" w:rsidP="00580C0D">
      <w:r w:rsidRPr="00580C0D">
        <w:t xml:space="preserve">Vedtaket blei gjort ved behandling av Meld. St. 2 (2020–2021), </w:t>
      </w:r>
      <w:proofErr w:type="spellStart"/>
      <w:r w:rsidRPr="00580C0D">
        <w:t>Innst</w:t>
      </w:r>
      <w:proofErr w:type="spellEnd"/>
      <w:r w:rsidRPr="00580C0D">
        <w:t>. 600 S (2020–2021).</w:t>
      </w:r>
    </w:p>
    <w:p w14:paraId="1F8A1A1D" w14:textId="77777777" w:rsidR="00F7113A" w:rsidRPr="00580C0D" w:rsidRDefault="00142E5B" w:rsidP="00580C0D">
      <w:r w:rsidRPr="00580C0D">
        <w:t xml:space="preserve">Ei ny ordning med brillestøtte til barn blei innført i august 2022. Denne gjeld for barn under 18 år som har behov for synskorrigering av ulike årsaker. Ordninga kjem i tillegg til </w:t>
      </w:r>
      <w:proofErr w:type="spellStart"/>
      <w:r w:rsidRPr="00580C0D">
        <w:t>dei</w:t>
      </w:r>
      <w:proofErr w:type="spellEnd"/>
      <w:r w:rsidRPr="00580C0D">
        <w:t xml:space="preserve"> to andre </w:t>
      </w:r>
      <w:proofErr w:type="spellStart"/>
      <w:r w:rsidRPr="00580C0D">
        <w:t>ordningane</w:t>
      </w:r>
      <w:proofErr w:type="spellEnd"/>
      <w:r w:rsidRPr="00580C0D">
        <w:t xml:space="preserve"> som også dekker briller: Briller til behandling eller </w:t>
      </w:r>
      <w:proofErr w:type="spellStart"/>
      <w:r w:rsidRPr="00580C0D">
        <w:t>førebygging</w:t>
      </w:r>
      <w:proofErr w:type="spellEnd"/>
      <w:r w:rsidRPr="00580C0D">
        <w:t xml:space="preserve"> av amblyopi og briller og kontaktlinser for synshemma.</w:t>
      </w:r>
    </w:p>
    <w:p w14:paraId="10189864" w14:textId="77777777" w:rsidR="00F7113A" w:rsidRPr="00580C0D" w:rsidRDefault="00142E5B" w:rsidP="00580C0D">
      <w:r w:rsidRPr="00580C0D">
        <w:t xml:space="preserve">Departementet har lyst ut </w:t>
      </w:r>
      <w:proofErr w:type="spellStart"/>
      <w:r w:rsidRPr="00580C0D">
        <w:t>eit</w:t>
      </w:r>
      <w:proofErr w:type="spellEnd"/>
      <w:r w:rsidRPr="00580C0D">
        <w:t xml:space="preserve"> samla evalueringsoppdrag som skal undersøke </w:t>
      </w:r>
      <w:proofErr w:type="spellStart"/>
      <w:r w:rsidRPr="00580C0D">
        <w:t>dei</w:t>
      </w:r>
      <w:proofErr w:type="spellEnd"/>
      <w:r w:rsidRPr="00580C0D">
        <w:t xml:space="preserve"> tre </w:t>
      </w:r>
      <w:proofErr w:type="spellStart"/>
      <w:r w:rsidRPr="00580C0D">
        <w:t>ordningane</w:t>
      </w:r>
      <w:proofErr w:type="spellEnd"/>
      <w:r w:rsidRPr="00580C0D">
        <w:t xml:space="preserve"> med brillestøtte til barn. Prosjektet starta </w:t>
      </w:r>
      <w:proofErr w:type="spellStart"/>
      <w:r w:rsidRPr="00580C0D">
        <w:t>hausten</w:t>
      </w:r>
      <w:proofErr w:type="spellEnd"/>
      <w:r w:rsidRPr="00580C0D">
        <w:t xml:space="preserve"> 2023, og er venta levert våren 2024.</w:t>
      </w:r>
    </w:p>
    <w:p w14:paraId="1A9ADD3E" w14:textId="77777777" w:rsidR="00F7113A" w:rsidRPr="00580C0D" w:rsidRDefault="00142E5B" w:rsidP="00580C0D">
      <w:r w:rsidRPr="00580C0D">
        <w:t xml:space="preserve">Departementet vil komme tilbake til Stortinget med informasjon om funna </w:t>
      </w:r>
      <w:proofErr w:type="spellStart"/>
      <w:r w:rsidRPr="00580C0D">
        <w:t>frå</w:t>
      </w:r>
      <w:proofErr w:type="spellEnd"/>
      <w:r w:rsidRPr="00580C0D">
        <w:t xml:space="preserve"> evalueringa på eigna måte.</w:t>
      </w:r>
    </w:p>
    <w:p w14:paraId="42264DBE" w14:textId="77777777" w:rsidR="00F7113A" w:rsidRPr="00580C0D" w:rsidRDefault="00142E5B" w:rsidP="00580C0D">
      <w:pPr>
        <w:pStyle w:val="Overskrift2"/>
      </w:pPr>
      <w:r w:rsidRPr="00580C0D">
        <w:t>Stortingssesjon 2019–2020</w:t>
      </w:r>
    </w:p>
    <w:p w14:paraId="52815108" w14:textId="77777777" w:rsidR="00F7113A" w:rsidRPr="00580C0D" w:rsidRDefault="00142E5B" w:rsidP="00580C0D">
      <w:pPr>
        <w:pStyle w:val="avsnitt-tittel"/>
      </w:pPr>
      <w:r w:rsidRPr="00580C0D">
        <w:t xml:space="preserve">Juridisk og økonomisk medansvar for </w:t>
      </w:r>
      <w:proofErr w:type="spellStart"/>
      <w:r w:rsidRPr="00580C0D">
        <w:t>transportkjøparar</w:t>
      </w:r>
      <w:proofErr w:type="spellEnd"/>
      <w:r w:rsidRPr="00580C0D">
        <w:t>/</w:t>
      </w:r>
      <w:proofErr w:type="spellStart"/>
      <w:r w:rsidRPr="00580C0D">
        <w:t>transporttingarar</w:t>
      </w:r>
      <w:proofErr w:type="spellEnd"/>
    </w:p>
    <w:p w14:paraId="460E8609" w14:textId="77777777" w:rsidR="00F7113A" w:rsidRPr="00580C0D" w:rsidRDefault="00142E5B" w:rsidP="00580C0D">
      <w:pPr>
        <w:pStyle w:val="avsnitt-undertittel"/>
      </w:pPr>
      <w:r w:rsidRPr="00580C0D">
        <w:t>Vedtak 626, 28. mai 2020</w:t>
      </w:r>
    </w:p>
    <w:p w14:paraId="3638D0DA" w14:textId="77777777" w:rsidR="00F7113A" w:rsidRPr="00580C0D" w:rsidRDefault="00142E5B" w:rsidP="00580C0D">
      <w:pPr>
        <w:pStyle w:val="blokksit"/>
        <w:rPr>
          <w:rStyle w:val="kursiv"/>
        </w:rPr>
      </w:pPr>
      <w:r w:rsidRPr="00580C0D">
        <w:rPr>
          <w:rStyle w:val="kursiv"/>
        </w:rPr>
        <w:t xml:space="preserve">«Stortinget ber regjeringen utrede innføring av et objektivt juridisk og økonomisk medansvar for transportkjøpere/transportbestillere og komme tilbake til Stortinget på egnet måte. Det objektive ansvaret må inkludere medansvaret for at lønns- og arbeidsvilkårene i sektoren er oppfylt. Utredningen må videre inneholde en vurdering av behovet for et register med virksomheter som oppfyller kravene til å drive med transporttjenester etter modell av for eksempel </w:t>
      </w:r>
      <w:proofErr w:type="spellStart"/>
      <w:r w:rsidRPr="00580C0D">
        <w:rPr>
          <w:rStyle w:val="kursiv"/>
        </w:rPr>
        <w:t>Renholdsregisteret</w:t>
      </w:r>
      <w:proofErr w:type="spellEnd"/>
      <w:r w:rsidRPr="00580C0D">
        <w:rPr>
          <w:rStyle w:val="kursiv"/>
        </w:rPr>
        <w:t>. Utredningen må også vurdere en avgrensning av oppdragsgivere som skal omfattes av medansvaret.»</w:t>
      </w:r>
    </w:p>
    <w:p w14:paraId="3CB0FCE8"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60 L (2019–2020), </w:t>
      </w:r>
      <w:proofErr w:type="spellStart"/>
      <w:r w:rsidRPr="00580C0D">
        <w:t>Innst</w:t>
      </w:r>
      <w:proofErr w:type="spellEnd"/>
      <w:r w:rsidRPr="00580C0D">
        <w:t>. 293 L (2019–2020), Lovvedtak 105 (2019–2020).</w:t>
      </w:r>
    </w:p>
    <w:p w14:paraId="6CE33595" w14:textId="77777777" w:rsidR="00F7113A" w:rsidRPr="00580C0D" w:rsidRDefault="00142E5B" w:rsidP="00580C0D">
      <w:r w:rsidRPr="00580C0D">
        <w:t xml:space="preserve">Oppmodingsvedtaket er til behandling i departementet. 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638B8525" w14:textId="77777777" w:rsidR="00F7113A" w:rsidRPr="00580C0D" w:rsidRDefault="00142E5B" w:rsidP="00580C0D">
      <w:pPr>
        <w:pStyle w:val="avsnitt-tittel"/>
      </w:pPr>
      <w:proofErr w:type="spellStart"/>
      <w:r w:rsidRPr="00580C0D">
        <w:t>Rettshevdinga</w:t>
      </w:r>
      <w:proofErr w:type="spellEnd"/>
      <w:r w:rsidRPr="00580C0D">
        <w:t xml:space="preserve"> til å stanse </w:t>
      </w:r>
      <w:proofErr w:type="spellStart"/>
      <w:r w:rsidRPr="00580C0D">
        <w:t>køyretøy</w:t>
      </w:r>
      <w:proofErr w:type="spellEnd"/>
    </w:p>
    <w:p w14:paraId="7A7FCB8F" w14:textId="77777777" w:rsidR="00F7113A" w:rsidRPr="00580C0D" w:rsidRDefault="00142E5B" w:rsidP="00580C0D">
      <w:pPr>
        <w:pStyle w:val="avsnitt-undertittel"/>
      </w:pPr>
      <w:r w:rsidRPr="00580C0D">
        <w:t>Vedtak 627, 28. mai 2020</w:t>
      </w:r>
    </w:p>
    <w:p w14:paraId="13B1151A" w14:textId="77777777" w:rsidR="00F7113A" w:rsidRPr="00580C0D" w:rsidRDefault="00142E5B" w:rsidP="00580C0D">
      <w:pPr>
        <w:pStyle w:val="blokksit"/>
        <w:rPr>
          <w:rStyle w:val="kursiv"/>
        </w:rPr>
      </w:pPr>
      <w:r w:rsidRPr="00580C0D">
        <w:rPr>
          <w:rStyle w:val="kursiv"/>
        </w:rPr>
        <w:t>«Stortinget ber regjeringen utarbeide og legge frem for Stortinget forslag om at Statens Vegvesen skal gis håndhevingsrett til å stanse kjøretøyer etter vedtak fra Arbeidstilsynet.»</w:t>
      </w:r>
    </w:p>
    <w:p w14:paraId="0B834C82"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60 L (2019–2020), </w:t>
      </w:r>
      <w:proofErr w:type="spellStart"/>
      <w:r w:rsidRPr="00580C0D">
        <w:t>Innst</w:t>
      </w:r>
      <w:proofErr w:type="spellEnd"/>
      <w:r w:rsidRPr="00580C0D">
        <w:t>. 293 L (2019–2020), Lovvedtak 105 (2019–2020).</w:t>
      </w:r>
    </w:p>
    <w:p w14:paraId="471AC455" w14:textId="77777777" w:rsidR="00F7113A" w:rsidRPr="00580C0D" w:rsidRDefault="00142E5B" w:rsidP="00580C0D">
      <w:r w:rsidRPr="00580C0D">
        <w:t xml:space="preserve">Regjeringa varsla i oktober 2022 i handlingsplanen mot sosial dumping i transportsektoren at den vil legge fram forslag om å gi Statens vegvesen </w:t>
      </w:r>
      <w:proofErr w:type="spellStart"/>
      <w:r w:rsidRPr="00580C0D">
        <w:t>myndigheit</w:t>
      </w:r>
      <w:proofErr w:type="spellEnd"/>
      <w:r w:rsidRPr="00580C0D">
        <w:t xml:space="preserve"> til å reagere mot køyring i strid med stansingsvedtak som Arbeidstilsynet har fastsett. Arbeids- og inkluderingsdepartementet og Samferdselsdepartementet har bedd Arbeidstilsynet og Statens vegvesen greie ut og utarbeide utkast til </w:t>
      </w:r>
      <w:proofErr w:type="spellStart"/>
      <w:r w:rsidRPr="00580C0D">
        <w:t>høyringsnotat</w:t>
      </w:r>
      <w:proofErr w:type="spellEnd"/>
      <w:r w:rsidRPr="00580C0D">
        <w:t xml:space="preserve"> med forslag til nødvendige </w:t>
      </w:r>
      <w:proofErr w:type="spellStart"/>
      <w:r w:rsidRPr="00580C0D">
        <w:t>regelverksendringar</w:t>
      </w:r>
      <w:proofErr w:type="spellEnd"/>
      <w:r w:rsidRPr="00580C0D">
        <w:t xml:space="preserve"> for å innføre </w:t>
      </w:r>
      <w:proofErr w:type="spellStart"/>
      <w:r w:rsidRPr="00580C0D">
        <w:t>ein</w:t>
      </w:r>
      <w:proofErr w:type="spellEnd"/>
      <w:r w:rsidRPr="00580C0D">
        <w:t xml:space="preserve"> heimel for Statens vegvesen til å hindre </w:t>
      </w:r>
      <w:proofErr w:type="spellStart"/>
      <w:r w:rsidRPr="00580C0D">
        <w:t>vidare</w:t>
      </w:r>
      <w:proofErr w:type="spellEnd"/>
      <w:r w:rsidRPr="00580C0D">
        <w:t xml:space="preserve"> køyring i strid med slike stansingsvedtak. Utgreiinga skal òg skissere </w:t>
      </w:r>
      <w:proofErr w:type="spellStart"/>
      <w:r w:rsidRPr="00580C0D">
        <w:t>moglege</w:t>
      </w:r>
      <w:proofErr w:type="spellEnd"/>
      <w:r w:rsidRPr="00580C0D">
        <w:t xml:space="preserve"> </w:t>
      </w:r>
      <w:proofErr w:type="spellStart"/>
      <w:r w:rsidRPr="00580C0D">
        <w:t>løysingar</w:t>
      </w:r>
      <w:proofErr w:type="spellEnd"/>
      <w:r w:rsidRPr="00580C0D">
        <w:t xml:space="preserve"> til korleis ei slik ordning kan </w:t>
      </w:r>
      <w:proofErr w:type="spellStart"/>
      <w:r w:rsidRPr="00580C0D">
        <w:t>gjennomførast</w:t>
      </w:r>
      <w:proofErr w:type="spellEnd"/>
      <w:r w:rsidRPr="00580C0D">
        <w:t xml:space="preserve"> i praksis, på </w:t>
      </w:r>
      <w:proofErr w:type="spellStart"/>
      <w:r w:rsidRPr="00580C0D">
        <w:t>ein</w:t>
      </w:r>
      <w:proofErr w:type="spellEnd"/>
      <w:r w:rsidRPr="00580C0D">
        <w:t xml:space="preserve"> måte som </w:t>
      </w:r>
      <w:proofErr w:type="spellStart"/>
      <w:r w:rsidRPr="00580C0D">
        <w:t>tek</w:t>
      </w:r>
      <w:proofErr w:type="spellEnd"/>
      <w:r w:rsidRPr="00580C0D">
        <w:t xml:space="preserve"> vare på rettstryggleiken i </w:t>
      </w:r>
      <w:proofErr w:type="spellStart"/>
      <w:r w:rsidRPr="00580C0D">
        <w:t>transportføretaka</w:t>
      </w:r>
      <w:proofErr w:type="spellEnd"/>
      <w:r w:rsidRPr="00580C0D">
        <w:t xml:space="preserve"> og </w:t>
      </w:r>
      <w:proofErr w:type="spellStart"/>
      <w:r w:rsidRPr="00580C0D">
        <w:t>utan</w:t>
      </w:r>
      <w:proofErr w:type="spellEnd"/>
      <w:r w:rsidRPr="00580C0D">
        <w:t xml:space="preserve"> at ordninga blir unødvendig </w:t>
      </w:r>
      <w:proofErr w:type="spellStart"/>
      <w:r w:rsidRPr="00580C0D">
        <w:t>ressurskrevjande</w:t>
      </w:r>
      <w:proofErr w:type="spellEnd"/>
      <w:r w:rsidRPr="00580C0D">
        <w:t>.</w:t>
      </w:r>
    </w:p>
    <w:p w14:paraId="68EAD80E" w14:textId="77777777" w:rsidR="00F7113A" w:rsidRPr="00580C0D" w:rsidRDefault="00142E5B" w:rsidP="00580C0D">
      <w:r w:rsidRPr="00580C0D">
        <w:t xml:space="preserve">Regjeringa vil komme tilbake til Stortinget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146F6F80" w14:textId="77777777" w:rsidR="00F7113A" w:rsidRPr="00580C0D" w:rsidRDefault="00142E5B" w:rsidP="00580C0D">
      <w:pPr>
        <w:pStyle w:val="avsnitt-tittel"/>
      </w:pPr>
      <w:proofErr w:type="spellStart"/>
      <w:r w:rsidRPr="00580C0D">
        <w:t>Omsorgspengar</w:t>
      </w:r>
      <w:proofErr w:type="spellEnd"/>
      <w:r w:rsidRPr="00580C0D">
        <w:t xml:space="preserve"> til foreldre som må </w:t>
      </w:r>
      <w:proofErr w:type="spellStart"/>
      <w:r w:rsidRPr="00580C0D">
        <w:t>vere</w:t>
      </w:r>
      <w:proofErr w:type="spellEnd"/>
      <w:r w:rsidRPr="00580C0D">
        <w:t xml:space="preserve"> borte </w:t>
      </w:r>
      <w:proofErr w:type="spellStart"/>
      <w:r w:rsidRPr="00580C0D">
        <w:t>frå</w:t>
      </w:r>
      <w:proofErr w:type="spellEnd"/>
      <w:r w:rsidRPr="00580C0D">
        <w:t xml:space="preserve"> arbeidet deler av dagen</w:t>
      </w:r>
    </w:p>
    <w:p w14:paraId="12152FE2" w14:textId="77777777" w:rsidR="00F7113A" w:rsidRPr="00580C0D" w:rsidRDefault="00142E5B" w:rsidP="00580C0D">
      <w:pPr>
        <w:pStyle w:val="avsnitt-undertittel"/>
      </w:pPr>
      <w:r w:rsidRPr="00580C0D">
        <w:t>Vedtak 658, 8. juni 2020</w:t>
      </w:r>
    </w:p>
    <w:p w14:paraId="51DAB549" w14:textId="77777777" w:rsidR="00F7113A" w:rsidRPr="00580C0D" w:rsidRDefault="00142E5B" w:rsidP="00580C0D">
      <w:pPr>
        <w:pStyle w:val="blokksit"/>
        <w:rPr>
          <w:rStyle w:val="kursiv"/>
        </w:rPr>
      </w:pPr>
      <w:r w:rsidRPr="00580C0D">
        <w:rPr>
          <w:rStyle w:val="kursiv"/>
        </w:rPr>
        <w:t>«Stortinget ber regjeringen vurdere å innføre omsorgspenger gradert ned mot 50 pst., for foreldre som må være borte fra arbeidet deler av dagen.»</w:t>
      </w:r>
    </w:p>
    <w:p w14:paraId="4E699699" w14:textId="77777777" w:rsidR="00F7113A" w:rsidRPr="00580C0D" w:rsidRDefault="00142E5B" w:rsidP="00580C0D">
      <w:r w:rsidRPr="00580C0D">
        <w:t xml:space="preserve">Vedtaket blei gjort ved behandling av Dokument 8:100 (2019–2020), </w:t>
      </w:r>
      <w:proofErr w:type="spellStart"/>
      <w:r w:rsidRPr="00580C0D">
        <w:t>Innst</w:t>
      </w:r>
      <w:proofErr w:type="spellEnd"/>
      <w:r w:rsidRPr="00580C0D">
        <w:t>. 349 S (2019–2020).</w:t>
      </w:r>
    </w:p>
    <w:p w14:paraId="43C346B2" w14:textId="77777777" w:rsidR="00F7113A" w:rsidRPr="00580C0D" w:rsidRDefault="00142E5B" w:rsidP="00580C0D">
      <w:proofErr w:type="spellStart"/>
      <w:r w:rsidRPr="00580C0D">
        <w:t>Frå</w:t>
      </w:r>
      <w:proofErr w:type="spellEnd"/>
      <w:r w:rsidRPr="00580C0D">
        <w:t xml:space="preserve"> 1. januar 2023 er det presisert i folketrygdlova at </w:t>
      </w:r>
      <w:proofErr w:type="spellStart"/>
      <w:r w:rsidRPr="00580C0D">
        <w:t>arbeidsgivar</w:t>
      </w:r>
      <w:proofErr w:type="spellEnd"/>
      <w:r w:rsidRPr="00580C0D">
        <w:t xml:space="preserve"> kan gi rett til </w:t>
      </w:r>
      <w:proofErr w:type="spellStart"/>
      <w:r w:rsidRPr="00580C0D">
        <w:t>omsorgspengar</w:t>
      </w:r>
      <w:proofErr w:type="spellEnd"/>
      <w:r w:rsidRPr="00580C0D">
        <w:t xml:space="preserve"> for </w:t>
      </w:r>
      <w:proofErr w:type="spellStart"/>
      <w:r w:rsidRPr="00580C0D">
        <w:t>kortare</w:t>
      </w:r>
      <w:proofErr w:type="spellEnd"/>
      <w:r w:rsidRPr="00580C0D">
        <w:t xml:space="preserve"> </w:t>
      </w:r>
      <w:proofErr w:type="spellStart"/>
      <w:r w:rsidRPr="00580C0D">
        <w:t>periodar</w:t>
      </w:r>
      <w:proofErr w:type="spellEnd"/>
      <w:r w:rsidRPr="00580C0D">
        <w:t xml:space="preserve"> enn heile </w:t>
      </w:r>
      <w:proofErr w:type="spellStart"/>
      <w:r w:rsidRPr="00580C0D">
        <w:t>dagar</w:t>
      </w:r>
      <w:proofErr w:type="spellEnd"/>
      <w:r w:rsidRPr="00580C0D">
        <w:t xml:space="preserve">, og </w:t>
      </w:r>
      <w:proofErr w:type="spellStart"/>
      <w:r w:rsidRPr="00580C0D">
        <w:t>arbeidsgivar</w:t>
      </w:r>
      <w:proofErr w:type="spellEnd"/>
      <w:r w:rsidRPr="00580C0D">
        <w:t xml:space="preserve"> har fått ei plikt til å drøfte med </w:t>
      </w:r>
      <w:proofErr w:type="spellStart"/>
      <w:r w:rsidRPr="00580C0D">
        <w:t>dei</w:t>
      </w:r>
      <w:proofErr w:type="spellEnd"/>
      <w:r w:rsidRPr="00580C0D">
        <w:t xml:space="preserve"> </w:t>
      </w:r>
      <w:proofErr w:type="spellStart"/>
      <w:r w:rsidRPr="00580C0D">
        <w:t>tillitsvalde</w:t>
      </w:r>
      <w:proofErr w:type="spellEnd"/>
      <w:r w:rsidRPr="00580C0D">
        <w:t xml:space="preserve"> om det skal </w:t>
      </w:r>
      <w:proofErr w:type="spellStart"/>
      <w:r w:rsidRPr="00580C0D">
        <w:t>vere</w:t>
      </w:r>
      <w:proofErr w:type="spellEnd"/>
      <w:r w:rsidRPr="00580C0D">
        <w:t xml:space="preserve"> slik rett til å ta ut </w:t>
      </w:r>
      <w:proofErr w:type="spellStart"/>
      <w:r w:rsidRPr="00580C0D">
        <w:t>omsorgspengar</w:t>
      </w:r>
      <w:proofErr w:type="spellEnd"/>
      <w:r w:rsidRPr="00580C0D">
        <w:t xml:space="preserve"> for </w:t>
      </w:r>
      <w:proofErr w:type="spellStart"/>
      <w:r w:rsidRPr="00580C0D">
        <w:t>delar</w:t>
      </w:r>
      <w:proofErr w:type="spellEnd"/>
      <w:r w:rsidRPr="00580C0D">
        <w:t xml:space="preserve"> av dag i den enkelte </w:t>
      </w:r>
      <w:proofErr w:type="spellStart"/>
      <w:r w:rsidRPr="00580C0D">
        <w:t>verksemda</w:t>
      </w:r>
      <w:proofErr w:type="spellEnd"/>
      <w:r w:rsidRPr="00580C0D">
        <w:t xml:space="preserve">, jf. </w:t>
      </w:r>
      <w:proofErr w:type="spellStart"/>
      <w:r w:rsidRPr="00580C0D">
        <w:t>Prop</w:t>
      </w:r>
      <w:proofErr w:type="spellEnd"/>
      <w:r w:rsidRPr="00580C0D">
        <w:t xml:space="preserve">. 7 L (2022–2023) og </w:t>
      </w:r>
      <w:proofErr w:type="spellStart"/>
      <w:r w:rsidRPr="00580C0D">
        <w:t>Innst</w:t>
      </w:r>
      <w:proofErr w:type="spellEnd"/>
      <w:r w:rsidRPr="00580C0D">
        <w:t>. 106 L (2022–2023).</w:t>
      </w:r>
    </w:p>
    <w:p w14:paraId="357BEFB5" w14:textId="77777777" w:rsidR="00F7113A" w:rsidRPr="00580C0D" w:rsidRDefault="00142E5B" w:rsidP="00580C0D">
      <w:r w:rsidRPr="00580C0D">
        <w:t xml:space="preserve">Med dette ser departementet oppmodingsvedtaket som </w:t>
      </w:r>
      <w:proofErr w:type="spellStart"/>
      <w:r w:rsidRPr="00580C0D">
        <w:t>følgt</w:t>
      </w:r>
      <w:proofErr w:type="spellEnd"/>
      <w:r w:rsidRPr="00580C0D">
        <w:t xml:space="preserve"> opp.</w:t>
      </w:r>
    </w:p>
    <w:p w14:paraId="6EA7D2CF" w14:textId="77777777" w:rsidR="00F7113A" w:rsidRPr="00580C0D" w:rsidRDefault="00142E5B" w:rsidP="00580C0D">
      <w:pPr>
        <w:pStyle w:val="Overskrift2"/>
      </w:pPr>
      <w:r w:rsidRPr="00580C0D">
        <w:t>Stortingssesjon 2017–2018</w:t>
      </w:r>
    </w:p>
    <w:p w14:paraId="374F4A28" w14:textId="77777777" w:rsidR="00F7113A" w:rsidRPr="00580C0D" w:rsidRDefault="00142E5B" w:rsidP="00580C0D">
      <w:pPr>
        <w:pStyle w:val="avsnitt-tittel"/>
      </w:pPr>
      <w:r w:rsidRPr="00580C0D">
        <w:t xml:space="preserve">Særaldersgrenser for </w:t>
      </w:r>
      <w:proofErr w:type="gramStart"/>
      <w:r w:rsidRPr="00580C0D">
        <w:t>tilsette</w:t>
      </w:r>
      <w:proofErr w:type="gramEnd"/>
      <w:r w:rsidRPr="00580C0D">
        <w:t xml:space="preserve"> i staten</w:t>
      </w:r>
    </w:p>
    <w:p w14:paraId="77DCBD37" w14:textId="77777777" w:rsidR="00F7113A" w:rsidRPr="00580C0D" w:rsidRDefault="00142E5B" w:rsidP="00580C0D">
      <w:pPr>
        <w:pStyle w:val="avsnitt-undertittel"/>
      </w:pPr>
      <w:r w:rsidRPr="00580C0D">
        <w:t>Vedtak nr. 42, 4. desember 2017</w:t>
      </w:r>
    </w:p>
    <w:p w14:paraId="6A53DB44" w14:textId="77777777" w:rsidR="00F7113A" w:rsidRPr="00580C0D" w:rsidRDefault="00142E5B" w:rsidP="00580C0D">
      <w:pPr>
        <w:pStyle w:val="blokksit"/>
        <w:rPr>
          <w:rStyle w:val="kursiv"/>
        </w:rPr>
      </w:pPr>
      <w:r w:rsidRPr="00580C0D">
        <w:rPr>
          <w:rStyle w:val="kursiv"/>
        </w:rPr>
        <w:t>«Stortinget ber regjeringen vurdere, i samråd med partene i arbeidslivet, om dagens system med særaldersgrenser for ansatte i staten og statlige virksomheter bør endres, i tråd med utviklingen i samfunns- og yrkesliv.»</w:t>
      </w:r>
    </w:p>
    <w:p w14:paraId="2E0FBC4F" w14:textId="77777777" w:rsidR="00F7113A" w:rsidRPr="00580C0D" w:rsidRDefault="00142E5B" w:rsidP="00580C0D">
      <w:r w:rsidRPr="00580C0D">
        <w:t xml:space="preserve">Vedtaket blei gjort ved behandling av Meld. St. 1 (2017–2018), </w:t>
      </w:r>
      <w:proofErr w:type="spellStart"/>
      <w:r w:rsidRPr="00580C0D">
        <w:t>Innst</w:t>
      </w:r>
      <w:proofErr w:type="spellEnd"/>
      <w:r w:rsidRPr="00580C0D">
        <w:t>. 2 S (2017–2018).</w:t>
      </w:r>
    </w:p>
    <w:p w14:paraId="2CB7FF2A" w14:textId="77777777" w:rsidR="00F7113A" w:rsidRPr="00580C0D" w:rsidRDefault="00142E5B" w:rsidP="00580C0D">
      <w:r w:rsidRPr="00580C0D">
        <w:t xml:space="preserve">Regjeringa og </w:t>
      </w:r>
      <w:proofErr w:type="spellStart"/>
      <w:r w:rsidRPr="00580C0D">
        <w:t>partane</w:t>
      </w:r>
      <w:proofErr w:type="spellEnd"/>
      <w:r w:rsidRPr="00580C0D">
        <w:t xml:space="preserve"> i </w:t>
      </w:r>
      <w:proofErr w:type="spellStart"/>
      <w:r w:rsidRPr="00580C0D">
        <w:t>offentleg</w:t>
      </w:r>
      <w:proofErr w:type="spellEnd"/>
      <w:r w:rsidRPr="00580C0D">
        <w:t xml:space="preserve"> sektor gjorde i juni 2022 </w:t>
      </w:r>
      <w:proofErr w:type="spellStart"/>
      <w:r w:rsidRPr="00580C0D">
        <w:t>ein</w:t>
      </w:r>
      <w:proofErr w:type="spellEnd"/>
      <w:r w:rsidRPr="00580C0D">
        <w:t xml:space="preserve"> prosessavtale for det </w:t>
      </w:r>
      <w:proofErr w:type="spellStart"/>
      <w:r w:rsidRPr="00580C0D">
        <w:t>vidare</w:t>
      </w:r>
      <w:proofErr w:type="spellEnd"/>
      <w:r w:rsidRPr="00580C0D">
        <w:t xml:space="preserve"> arbeidet med særaldersgrensene for å følge opp pensjonsavtalens punkt om at regelverket for </w:t>
      </w:r>
      <w:proofErr w:type="spellStart"/>
      <w:r w:rsidRPr="00580C0D">
        <w:t>personar</w:t>
      </w:r>
      <w:proofErr w:type="spellEnd"/>
      <w:r w:rsidRPr="00580C0D">
        <w:t xml:space="preserve"> med særaldersgrenser som er født i 1963 eller </w:t>
      </w:r>
      <w:proofErr w:type="spellStart"/>
      <w:r w:rsidRPr="00580C0D">
        <w:t>seinare</w:t>
      </w:r>
      <w:proofErr w:type="spellEnd"/>
      <w:r w:rsidRPr="00580C0D">
        <w:t xml:space="preserve"> må tilpassas påslagsmodellen. Det følger av pensjonsavtalen </w:t>
      </w:r>
      <w:proofErr w:type="spellStart"/>
      <w:r w:rsidRPr="00580C0D">
        <w:t>frå</w:t>
      </w:r>
      <w:proofErr w:type="spellEnd"/>
      <w:r w:rsidRPr="00580C0D">
        <w:t xml:space="preserve"> 3. mars 2018 at arbeidet med særaldersgrensene har to ulike prosesser; først </w:t>
      </w:r>
      <w:proofErr w:type="spellStart"/>
      <w:r w:rsidRPr="00580C0D">
        <w:t>ein</w:t>
      </w:r>
      <w:proofErr w:type="spellEnd"/>
      <w:r w:rsidRPr="00580C0D">
        <w:t xml:space="preserve"> prosess om </w:t>
      </w:r>
      <w:proofErr w:type="spellStart"/>
      <w:r w:rsidRPr="00580C0D">
        <w:t>pensjonsreglar</w:t>
      </w:r>
      <w:proofErr w:type="spellEnd"/>
      <w:r w:rsidRPr="00580C0D">
        <w:t xml:space="preserve"> og deretter </w:t>
      </w:r>
      <w:proofErr w:type="spellStart"/>
      <w:r w:rsidRPr="00580C0D">
        <w:t>ein</w:t>
      </w:r>
      <w:proofErr w:type="spellEnd"/>
      <w:r w:rsidRPr="00580C0D">
        <w:t xml:space="preserve"> prosess om framtidige aldersgrenser. </w:t>
      </w:r>
      <w:proofErr w:type="spellStart"/>
      <w:r w:rsidRPr="00580C0D">
        <w:t>Partane</w:t>
      </w:r>
      <w:proofErr w:type="spellEnd"/>
      <w:r w:rsidRPr="00580C0D">
        <w:t xml:space="preserve"> i </w:t>
      </w:r>
      <w:proofErr w:type="spellStart"/>
      <w:r w:rsidRPr="00580C0D">
        <w:t>offentleg</w:t>
      </w:r>
      <w:proofErr w:type="spellEnd"/>
      <w:r w:rsidRPr="00580C0D">
        <w:t xml:space="preserve"> sektor blei 25. august </w:t>
      </w:r>
      <w:proofErr w:type="spellStart"/>
      <w:r w:rsidRPr="00580C0D">
        <w:t>einige</w:t>
      </w:r>
      <w:proofErr w:type="spellEnd"/>
      <w:r w:rsidRPr="00580C0D">
        <w:t xml:space="preserve"> om nye </w:t>
      </w:r>
      <w:proofErr w:type="spellStart"/>
      <w:r w:rsidRPr="00580C0D">
        <w:t>pensjonsreglar</w:t>
      </w:r>
      <w:proofErr w:type="spellEnd"/>
      <w:r w:rsidRPr="00580C0D">
        <w:t xml:space="preserve"> for </w:t>
      </w:r>
      <w:proofErr w:type="spellStart"/>
      <w:r w:rsidRPr="00580C0D">
        <w:t>personar</w:t>
      </w:r>
      <w:proofErr w:type="spellEnd"/>
      <w:r w:rsidRPr="00580C0D">
        <w:t xml:space="preserve"> som har særaldersgrenser som er fødd </w:t>
      </w:r>
      <w:proofErr w:type="spellStart"/>
      <w:r w:rsidRPr="00580C0D">
        <w:t>frå</w:t>
      </w:r>
      <w:proofErr w:type="spellEnd"/>
      <w:r w:rsidRPr="00580C0D">
        <w:t xml:space="preserve"> og med 1963. Dei nye </w:t>
      </w:r>
      <w:proofErr w:type="spellStart"/>
      <w:r w:rsidRPr="00580C0D">
        <w:t>reglane</w:t>
      </w:r>
      <w:proofErr w:type="spellEnd"/>
      <w:r w:rsidRPr="00580C0D">
        <w:t xml:space="preserve"> </w:t>
      </w:r>
      <w:proofErr w:type="spellStart"/>
      <w:r w:rsidRPr="00580C0D">
        <w:t>inneber</w:t>
      </w:r>
      <w:proofErr w:type="spellEnd"/>
      <w:r w:rsidRPr="00580C0D">
        <w:t xml:space="preserve"> at </w:t>
      </w:r>
      <w:proofErr w:type="spellStart"/>
      <w:r w:rsidRPr="00580C0D">
        <w:t>personar</w:t>
      </w:r>
      <w:proofErr w:type="spellEnd"/>
      <w:r w:rsidRPr="00580C0D">
        <w:t xml:space="preserve"> med særaldersgrenser får </w:t>
      </w:r>
      <w:proofErr w:type="spellStart"/>
      <w:r w:rsidRPr="00580C0D">
        <w:t>eit</w:t>
      </w:r>
      <w:proofErr w:type="spellEnd"/>
      <w:r w:rsidRPr="00580C0D">
        <w:t xml:space="preserve"> særalderspåslag til livsvarig pensjon som kommer på toppen av ordinær pensjon. Avtalen </w:t>
      </w:r>
      <w:proofErr w:type="spellStart"/>
      <w:r w:rsidRPr="00580C0D">
        <w:t>inneber</w:t>
      </w:r>
      <w:proofErr w:type="spellEnd"/>
      <w:r w:rsidRPr="00580C0D">
        <w:t xml:space="preserve"> </w:t>
      </w:r>
      <w:proofErr w:type="spellStart"/>
      <w:r w:rsidRPr="00580C0D">
        <w:t>vidare</w:t>
      </w:r>
      <w:proofErr w:type="spellEnd"/>
      <w:r w:rsidRPr="00580C0D">
        <w:t xml:space="preserve"> at </w:t>
      </w:r>
      <w:proofErr w:type="spellStart"/>
      <w:r w:rsidRPr="00580C0D">
        <w:t>tidlegpensjonsordninga</w:t>
      </w:r>
      <w:proofErr w:type="spellEnd"/>
      <w:r w:rsidRPr="00580C0D">
        <w:t xml:space="preserve"> </w:t>
      </w:r>
      <w:proofErr w:type="spellStart"/>
      <w:r w:rsidRPr="00580C0D">
        <w:t>avviklast</w:t>
      </w:r>
      <w:proofErr w:type="spellEnd"/>
      <w:r w:rsidRPr="00580C0D">
        <w:t xml:space="preserve"> </w:t>
      </w:r>
      <w:proofErr w:type="spellStart"/>
      <w:r w:rsidRPr="00580C0D">
        <w:t>frå</w:t>
      </w:r>
      <w:proofErr w:type="spellEnd"/>
      <w:r w:rsidRPr="00580C0D">
        <w:t xml:space="preserve"> og med 1965-kullet for de som har aldersgrense 65 år, samt at </w:t>
      </w:r>
      <w:proofErr w:type="spellStart"/>
      <w:r w:rsidRPr="00580C0D">
        <w:t>moglegheita</w:t>
      </w:r>
      <w:proofErr w:type="spellEnd"/>
      <w:r w:rsidRPr="00580C0D">
        <w:t xml:space="preserve"> til å ta ut pensjon før aldersgrensa </w:t>
      </w:r>
      <w:proofErr w:type="spellStart"/>
      <w:r w:rsidRPr="00580C0D">
        <w:t>fasast</w:t>
      </w:r>
      <w:proofErr w:type="spellEnd"/>
      <w:r w:rsidRPr="00580C0D">
        <w:t xml:space="preserve"> ut for </w:t>
      </w:r>
      <w:proofErr w:type="spellStart"/>
      <w:r w:rsidRPr="00580C0D">
        <w:t>dei</w:t>
      </w:r>
      <w:proofErr w:type="spellEnd"/>
      <w:r w:rsidRPr="00580C0D">
        <w:t xml:space="preserve"> som har aldersgrense 60 og 63 år. Dei nye </w:t>
      </w:r>
      <w:proofErr w:type="spellStart"/>
      <w:r w:rsidRPr="00580C0D">
        <w:t>reglane</w:t>
      </w:r>
      <w:proofErr w:type="spellEnd"/>
      <w:r w:rsidRPr="00580C0D">
        <w:t xml:space="preserve"> </w:t>
      </w:r>
      <w:proofErr w:type="spellStart"/>
      <w:r w:rsidRPr="00580C0D">
        <w:t>inneber</w:t>
      </w:r>
      <w:proofErr w:type="spellEnd"/>
      <w:r w:rsidRPr="00580C0D">
        <w:t xml:space="preserve"> også at særaldersgrensene og utbetalingsperioden for </w:t>
      </w:r>
      <w:proofErr w:type="spellStart"/>
      <w:r w:rsidRPr="00580C0D">
        <w:t>tidlegpensjon</w:t>
      </w:r>
      <w:proofErr w:type="spellEnd"/>
      <w:r w:rsidRPr="00580C0D">
        <w:t xml:space="preserve"> </w:t>
      </w:r>
      <w:proofErr w:type="spellStart"/>
      <w:r w:rsidRPr="00580C0D">
        <w:t>flyttast</w:t>
      </w:r>
      <w:proofErr w:type="spellEnd"/>
      <w:r w:rsidRPr="00580C0D">
        <w:t xml:space="preserve"> oppover i takt med aukinga av aldersgrensene i folketrygda.</w:t>
      </w:r>
    </w:p>
    <w:p w14:paraId="29C4A748" w14:textId="77777777" w:rsidR="00F7113A" w:rsidRPr="00580C0D" w:rsidRDefault="00142E5B" w:rsidP="00580C0D">
      <w:r w:rsidRPr="00580C0D">
        <w:t xml:space="preserve">Med ei eining om </w:t>
      </w:r>
      <w:proofErr w:type="spellStart"/>
      <w:r w:rsidRPr="00580C0D">
        <w:t>pensjonsreglane</w:t>
      </w:r>
      <w:proofErr w:type="spellEnd"/>
      <w:r w:rsidRPr="00580C0D">
        <w:t xml:space="preserve"> er </w:t>
      </w:r>
      <w:proofErr w:type="spellStart"/>
      <w:r w:rsidRPr="00580C0D">
        <w:t>partane</w:t>
      </w:r>
      <w:proofErr w:type="spellEnd"/>
      <w:r w:rsidRPr="00580C0D">
        <w:t xml:space="preserve"> innforstått med at det </w:t>
      </w:r>
      <w:proofErr w:type="spellStart"/>
      <w:r w:rsidRPr="00580C0D">
        <w:t>no</w:t>
      </w:r>
      <w:proofErr w:type="spellEnd"/>
      <w:r w:rsidRPr="00580C0D">
        <w:t xml:space="preserve"> </w:t>
      </w:r>
      <w:proofErr w:type="spellStart"/>
      <w:r w:rsidRPr="00580C0D">
        <w:t>setjast</w:t>
      </w:r>
      <w:proofErr w:type="spellEnd"/>
      <w:r w:rsidRPr="00580C0D">
        <w:t xml:space="preserve"> i gang </w:t>
      </w:r>
      <w:proofErr w:type="spellStart"/>
      <w:r w:rsidRPr="00580C0D">
        <w:t>eit</w:t>
      </w:r>
      <w:proofErr w:type="spellEnd"/>
      <w:r w:rsidRPr="00580C0D">
        <w:t xml:space="preserve"> arbeid for å vurdere det framtidige omfanget av særaldersgrenser. Arbeidet har som siktemål at </w:t>
      </w:r>
      <w:proofErr w:type="spellStart"/>
      <w:r w:rsidRPr="00580C0D">
        <w:t>offentleg</w:t>
      </w:r>
      <w:proofErr w:type="spellEnd"/>
      <w:r w:rsidRPr="00580C0D">
        <w:t xml:space="preserve"> sektor i større grad får nyttiggjort den kompetansen </w:t>
      </w:r>
      <w:proofErr w:type="spellStart"/>
      <w:r w:rsidRPr="00580C0D">
        <w:t>personar</w:t>
      </w:r>
      <w:proofErr w:type="spellEnd"/>
      <w:r w:rsidRPr="00580C0D">
        <w:t xml:space="preserve"> som i dag har særaldersgrenser har. Regjeringa vil komme tilbake til Stortinget på eigna tidspunkt og på eigna måte med resultatet av dette arbeidet.</w:t>
      </w:r>
    </w:p>
    <w:p w14:paraId="78523165" w14:textId="77777777" w:rsidR="00F7113A" w:rsidRPr="00580C0D" w:rsidRDefault="00142E5B" w:rsidP="00580C0D">
      <w:pPr>
        <w:pStyle w:val="avsnitt-tittel"/>
      </w:pPr>
      <w:r w:rsidRPr="00580C0D">
        <w:t>Overgangsordning for fosterforeldre</w:t>
      </w:r>
    </w:p>
    <w:p w14:paraId="043DF165" w14:textId="77777777" w:rsidR="00F7113A" w:rsidRPr="00580C0D" w:rsidRDefault="00142E5B" w:rsidP="00580C0D">
      <w:pPr>
        <w:pStyle w:val="avsnitt-undertittel"/>
      </w:pPr>
      <w:r w:rsidRPr="00580C0D">
        <w:t>Vedtak nr. 321, 15. desember 2017</w:t>
      </w:r>
    </w:p>
    <w:p w14:paraId="5762735A" w14:textId="77777777" w:rsidR="00F7113A" w:rsidRPr="00580C0D" w:rsidRDefault="00142E5B" w:rsidP="00580C0D">
      <w:pPr>
        <w:pStyle w:val="blokksit"/>
        <w:rPr>
          <w:rStyle w:val="kursiv"/>
        </w:rPr>
      </w:pPr>
      <w:r w:rsidRPr="00580C0D">
        <w:rPr>
          <w:rStyle w:val="kursiv"/>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14:paraId="76F01E5B" w14:textId="77777777" w:rsidR="00F7113A" w:rsidRPr="00580C0D" w:rsidRDefault="00142E5B" w:rsidP="00580C0D">
      <w:r w:rsidRPr="00580C0D">
        <w:t xml:space="preserve">Vedtaket blei gjort ved behandling av </w:t>
      </w:r>
      <w:proofErr w:type="spellStart"/>
      <w:r w:rsidRPr="00580C0D">
        <w:t>Prop</w:t>
      </w:r>
      <w:proofErr w:type="spellEnd"/>
      <w:r w:rsidRPr="00580C0D">
        <w:t xml:space="preserve">. 1 S (2017–2018), </w:t>
      </w:r>
      <w:proofErr w:type="spellStart"/>
      <w:r w:rsidRPr="00580C0D">
        <w:t>Innst</w:t>
      </w:r>
      <w:proofErr w:type="spellEnd"/>
      <w:r w:rsidRPr="00580C0D">
        <w:t>. 15 S (2017–2018).</w:t>
      </w:r>
    </w:p>
    <w:p w14:paraId="74C98104" w14:textId="77777777" w:rsidR="00F7113A" w:rsidRPr="00580C0D" w:rsidRDefault="00142E5B" w:rsidP="00580C0D">
      <w:r w:rsidRPr="00580C0D">
        <w:t xml:space="preserve">Regjeringa viser til at </w:t>
      </w:r>
      <w:proofErr w:type="spellStart"/>
      <w:r w:rsidRPr="00580C0D">
        <w:t>frå</w:t>
      </w:r>
      <w:proofErr w:type="spellEnd"/>
      <w:r w:rsidRPr="00580C0D">
        <w:t xml:space="preserve"> 1. januar 2018 skal </w:t>
      </w:r>
      <w:proofErr w:type="spellStart"/>
      <w:r w:rsidRPr="00580C0D">
        <w:t>arbeidsavklaringspengar</w:t>
      </w:r>
      <w:proofErr w:type="spellEnd"/>
      <w:r w:rsidRPr="00580C0D">
        <w:t xml:space="preserve"> og </w:t>
      </w:r>
      <w:proofErr w:type="spellStart"/>
      <w:r w:rsidRPr="00580C0D">
        <w:t>dagpengar</w:t>
      </w:r>
      <w:proofErr w:type="spellEnd"/>
      <w:r w:rsidRPr="00580C0D">
        <w:t xml:space="preserve"> </w:t>
      </w:r>
      <w:proofErr w:type="spellStart"/>
      <w:r w:rsidRPr="00580C0D">
        <w:t>ikkje</w:t>
      </w:r>
      <w:proofErr w:type="spellEnd"/>
      <w:r w:rsidRPr="00580C0D">
        <w:t xml:space="preserve"> </w:t>
      </w:r>
      <w:proofErr w:type="spellStart"/>
      <w:r w:rsidRPr="00580C0D">
        <w:t>avkortast</w:t>
      </w:r>
      <w:proofErr w:type="spellEnd"/>
      <w:r w:rsidRPr="00580C0D">
        <w:t xml:space="preserve"> ved arbeid som fosterforeldre. Innstillinga </w:t>
      </w:r>
      <w:proofErr w:type="spellStart"/>
      <w:r w:rsidRPr="00580C0D">
        <w:t>frå</w:t>
      </w:r>
      <w:proofErr w:type="spellEnd"/>
      <w:r w:rsidRPr="00580C0D">
        <w:t xml:space="preserve"> </w:t>
      </w:r>
      <w:proofErr w:type="spellStart"/>
      <w:r w:rsidRPr="00580C0D">
        <w:t>Fosterheimsutvalet</w:t>
      </w:r>
      <w:proofErr w:type="spellEnd"/>
      <w:r w:rsidRPr="00580C0D">
        <w:t xml:space="preserve"> (NOU 2018: 18) blei </w:t>
      </w:r>
      <w:proofErr w:type="gramStart"/>
      <w:r w:rsidRPr="00580C0D">
        <w:t>avgitt</w:t>
      </w:r>
      <w:proofErr w:type="gramEnd"/>
      <w:r w:rsidRPr="00580C0D">
        <w:t xml:space="preserve"> 18. desember 2018. </w:t>
      </w:r>
      <w:proofErr w:type="spellStart"/>
      <w:r w:rsidRPr="00580C0D">
        <w:t>Utvalet</w:t>
      </w:r>
      <w:proofErr w:type="spellEnd"/>
      <w:r w:rsidRPr="00580C0D">
        <w:t xml:space="preserve"> foreslo ei omlegging av </w:t>
      </w:r>
      <w:proofErr w:type="spellStart"/>
      <w:r w:rsidRPr="00580C0D">
        <w:t>fosterheimsgodtgjeringa</w:t>
      </w:r>
      <w:proofErr w:type="spellEnd"/>
      <w:r w:rsidRPr="00580C0D">
        <w:t xml:space="preserve"> til ei skattefri, </w:t>
      </w:r>
      <w:proofErr w:type="spellStart"/>
      <w:r w:rsidRPr="00580C0D">
        <w:t>ikkje-pensjonsgivande</w:t>
      </w:r>
      <w:proofErr w:type="spellEnd"/>
      <w:r w:rsidRPr="00580C0D">
        <w:t xml:space="preserve"> yting. Barne- og familiedepartementet skal vurdere alternative </w:t>
      </w:r>
      <w:proofErr w:type="spellStart"/>
      <w:r w:rsidRPr="00580C0D">
        <w:t>ordningar</w:t>
      </w:r>
      <w:proofErr w:type="spellEnd"/>
      <w:r w:rsidRPr="00580C0D">
        <w:t xml:space="preserve"> for </w:t>
      </w:r>
      <w:proofErr w:type="spellStart"/>
      <w:r w:rsidRPr="00580C0D">
        <w:t>godtgjering</w:t>
      </w:r>
      <w:proofErr w:type="spellEnd"/>
      <w:r w:rsidRPr="00580C0D">
        <w:t xml:space="preserve"> til fosterforeldre. Sjå omtale av vedtak 1200, 10. juni 2021.</w:t>
      </w:r>
    </w:p>
    <w:p w14:paraId="71676F4F" w14:textId="77777777" w:rsidR="00F7113A" w:rsidRPr="00580C0D" w:rsidRDefault="00142E5B" w:rsidP="00580C0D">
      <w:pPr>
        <w:pStyle w:val="Overskrift1"/>
      </w:pPr>
      <w:r w:rsidRPr="00580C0D">
        <w:t>Barne- og familiedepartementet</w:t>
      </w:r>
    </w:p>
    <w:p w14:paraId="28262974" w14:textId="77777777" w:rsidR="00F7113A" w:rsidRPr="00580C0D" w:rsidRDefault="00142E5B" w:rsidP="00580C0D">
      <w:proofErr w:type="spellStart"/>
      <w:r w:rsidRPr="00580C0D">
        <w:t>Nedanfor</w:t>
      </w:r>
      <w:proofErr w:type="spellEnd"/>
      <w:r w:rsidRPr="00580C0D">
        <w:t xml:space="preserve"> er </w:t>
      </w:r>
      <w:proofErr w:type="gramStart"/>
      <w:r w:rsidRPr="00580C0D">
        <w:t>ei oversikt</w:t>
      </w:r>
      <w:proofErr w:type="gramEnd"/>
      <w:r w:rsidRPr="00580C0D">
        <w:t xml:space="preserve"> over oppfølginga av oppmodingsvedtak under Barne- og familiedepartementet. </w:t>
      </w:r>
      <w:proofErr w:type="spellStart"/>
      <w:r w:rsidRPr="00580C0D">
        <w:t>Oversikta</w:t>
      </w:r>
      <w:proofErr w:type="spellEnd"/>
      <w:r w:rsidRPr="00580C0D">
        <w:t xml:space="preserve"> inkluderer alle vedtaka </w:t>
      </w:r>
      <w:proofErr w:type="spellStart"/>
      <w:r w:rsidRPr="00580C0D">
        <w:t>frå</w:t>
      </w:r>
      <w:proofErr w:type="spellEnd"/>
      <w:r w:rsidRPr="00580C0D">
        <w:t xml:space="preserve"> stortingssesjonen (2022–2023) og vedtaka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stortingssesjonar</w:t>
      </w:r>
      <w:proofErr w:type="spellEnd"/>
      <w:r w:rsidRPr="00580C0D">
        <w:t xml:space="preserve"> som kontroll- og konstitusjonskomiteen i </w:t>
      </w:r>
      <w:proofErr w:type="spellStart"/>
      <w:r w:rsidRPr="00580C0D">
        <w:t>Innst</w:t>
      </w:r>
      <w:proofErr w:type="spellEnd"/>
      <w:r w:rsidRPr="00580C0D">
        <w:t xml:space="preserve">. 186 S (2022–2023) meinte </w:t>
      </w:r>
      <w:proofErr w:type="spellStart"/>
      <w:r w:rsidRPr="00580C0D">
        <w:t>ikkje</w:t>
      </w:r>
      <w:proofErr w:type="spellEnd"/>
      <w:r w:rsidRPr="00580C0D">
        <w:t xml:space="preserve"> var </w:t>
      </w:r>
      <w:proofErr w:type="spellStart"/>
      <w:r w:rsidRPr="00580C0D">
        <w:t>utkvitterte</w:t>
      </w:r>
      <w:proofErr w:type="spellEnd"/>
      <w:r w:rsidRPr="00580C0D">
        <w:t>.</w:t>
      </w:r>
    </w:p>
    <w:p w14:paraId="5B111570" w14:textId="6AC6AA68" w:rsidR="00F7113A" w:rsidRDefault="00142E5B" w:rsidP="00580C0D">
      <w:r w:rsidRPr="00580C0D">
        <w:t xml:space="preserve">I tabellen </w:t>
      </w:r>
      <w:proofErr w:type="spellStart"/>
      <w:r w:rsidRPr="00580C0D">
        <w:t>nedanfor</w:t>
      </w:r>
      <w:proofErr w:type="spellEnd"/>
      <w:r w:rsidRPr="00580C0D">
        <w:t xml:space="preserve"> står det om departementet </w:t>
      </w:r>
      <w:proofErr w:type="spellStart"/>
      <w:r w:rsidRPr="00580C0D">
        <w:t>reknar</w:t>
      </w:r>
      <w:proofErr w:type="spellEnd"/>
      <w:r w:rsidRPr="00580C0D">
        <w:t xml:space="preserve"> rapporteringa om oppmodingsvedtaket som avslutta, eller om departementet òg vil rapportere konkret om vedtaket i budsjettforslaget neste år.</w:t>
      </w:r>
    </w:p>
    <w:p w14:paraId="62843C43" w14:textId="0608B713" w:rsidR="00580C0D" w:rsidRPr="00580C0D" w:rsidRDefault="00580C0D" w:rsidP="00580C0D">
      <w:pPr>
        <w:pStyle w:val="tabell-tittel"/>
      </w:pPr>
      <w:r w:rsidRPr="00580C0D">
        <w:t>Oversikt over oppmodingsvedtak, ordna etter sesjon og nummer</w:t>
      </w:r>
    </w:p>
    <w:p w14:paraId="397062C6" w14:textId="77777777" w:rsidR="00F7113A" w:rsidRPr="00580C0D" w:rsidRDefault="00142E5B" w:rsidP="00580C0D">
      <w:pPr>
        <w:pStyle w:val="Tabellnavn"/>
      </w:pPr>
      <w:r w:rsidRPr="00580C0D">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375"/>
        <w:gridCol w:w="1134"/>
        <w:gridCol w:w="5571"/>
        <w:gridCol w:w="1480"/>
      </w:tblGrid>
      <w:tr w:rsidR="00F7113A" w:rsidRPr="00580C0D" w14:paraId="5F515D9E" w14:textId="77777777" w:rsidTr="00580C0D">
        <w:trPr>
          <w:trHeight w:val="600"/>
        </w:trPr>
        <w:tc>
          <w:tcPr>
            <w:tcW w:w="13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B3A9CB" w14:textId="77777777" w:rsidR="00F7113A" w:rsidRPr="00580C0D" w:rsidRDefault="00142E5B" w:rsidP="00580C0D">
            <w:r w:rsidRPr="00580C0D">
              <w:t>Sesjon</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8591DC" w14:textId="77777777" w:rsidR="00F7113A" w:rsidRPr="00580C0D" w:rsidRDefault="00142E5B" w:rsidP="00580C0D">
            <w:r w:rsidRPr="00580C0D">
              <w:t>Vedtak nr.</w:t>
            </w:r>
          </w:p>
        </w:tc>
        <w:tc>
          <w:tcPr>
            <w:tcW w:w="557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3978D8" w14:textId="77777777" w:rsidR="00F7113A" w:rsidRPr="00580C0D" w:rsidRDefault="00142E5B" w:rsidP="00580C0D">
            <w:r w:rsidRPr="00580C0D">
              <w:t>Stikkord</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DDBABB" w14:textId="77777777" w:rsidR="00F7113A" w:rsidRPr="00580C0D" w:rsidRDefault="00142E5B" w:rsidP="00580C0D">
            <w:pPr>
              <w:jc w:val="right"/>
            </w:pPr>
            <w:r w:rsidRPr="00580C0D">
              <w:t xml:space="preserve">Rapportering </w:t>
            </w:r>
            <w:r w:rsidRPr="00580C0D">
              <w:br/>
              <w:t>avslutta (ja/nei)</w:t>
            </w:r>
          </w:p>
        </w:tc>
      </w:tr>
      <w:tr w:rsidR="00F7113A" w:rsidRPr="00580C0D" w14:paraId="726F6379" w14:textId="77777777" w:rsidTr="00580C0D">
        <w:trPr>
          <w:trHeight w:val="380"/>
        </w:trPr>
        <w:tc>
          <w:tcPr>
            <w:tcW w:w="1375" w:type="dxa"/>
            <w:tcBorders>
              <w:top w:val="single" w:sz="4" w:space="0" w:color="000000"/>
              <w:left w:val="nil"/>
              <w:bottom w:val="nil"/>
              <w:right w:val="nil"/>
            </w:tcBorders>
            <w:tcMar>
              <w:top w:w="128" w:type="dxa"/>
              <w:left w:w="43" w:type="dxa"/>
              <w:bottom w:w="43" w:type="dxa"/>
              <w:right w:w="43" w:type="dxa"/>
            </w:tcMar>
          </w:tcPr>
          <w:p w14:paraId="4F814D64" w14:textId="77777777" w:rsidR="00F7113A" w:rsidRPr="00580C0D" w:rsidRDefault="00142E5B" w:rsidP="00580C0D">
            <w:r w:rsidRPr="00580C0D">
              <w:t>2022–2023</w:t>
            </w:r>
          </w:p>
        </w:tc>
        <w:tc>
          <w:tcPr>
            <w:tcW w:w="1134" w:type="dxa"/>
            <w:tcBorders>
              <w:top w:val="single" w:sz="4" w:space="0" w:color="000000"/>
              <w:left w:val="nil"/>
              <w:bottom w:val="nil"/>
              <w:right w:val="nil"/>
            </w:tcBorders>
            <w:tcMar>
              <w:top w:w="128" w:type="dxa"/>
              <w:left w:w="43" w:type="dxa"/>
              <w:bottom w:w="43" w:type="dxa"/>
              <w:right w:w="43" w:type="dxa"/>
            </w:tcMar>
          </w:tcPr>
          <w:p w14:paraId="2E82CABF" w14:textId="77777777" w:rsidR="00F7113A" w:rsidRPr="00580C0D" w:rsidRDefault="00142E5B" w:rsidP="00580C0D">
            <w:pPr>
              <w:ind w:right="284"/>
              <w:jc w:val="right"/>
            </w:pPr>
            <w:r w:rsidRPr="00580C0D">
              <w:t>80</w:t>
            </w:r>
          </w:p>
        </w:tc>
        <w:tc>
          <w:tcPr>
            <w:tcW w:w="5571" w:type="dxa"/>
            <w:tcBorders>
              <w:top w:val="single" w:sz="4" w:space="0" w:color="000000"/>
              <w:left w:val="nil"/>
              <w:bottom w:val="nil"/>
              <w:right w:val="nil"/>
            </w:tcBorders>
            <w:tcMar>
              <w:top w:w="128" w:type="dxa"/>
              <w:left w:w="43" w:type="dxa"/>
              <w:bottom w:w="43" w:type="dxa"/>
              <w:right w:w="43" w:type="dxa"/>
            </w:tcMar>
          </w:tcPr>
          <w:p w14:paraId="6AA8DDEC" w14:textId="77777777" w:rsidR="00F7113A" w:rsidRPr="00580C0D" w:rsidRDefault="00142E5B" w:rsidP="00580C0D">
            <w:r w:rsidRPr="00580C0D">
              <w:t xml:space="preserve">langsiktige </w:t>
            </w:r>
            <w:proofErr w:type="spellStart"/>
            <w:r w:rsidRPr="00580C0D">
              <w:t>avtalar</w:t>
            </w:r>
            <w:proofErr w:type="spellEnd"/>
            <w:r w:rsidRPr="00580C0D">
              <w:t xml:space="preserve"> med ideelle </w:t>
            </w:r>
            <w:proofErr w:type="spellStart"/>
            <w:r w:rsidRPr="00580C0D">
              <w:t>aktørar</w:t>
            </w:r>
            <w:proofErr w:type="spellEnd"/>
            <w:r w:rsidRPr="00580C0D">
              <w:t xml:space="preserve"> i barnevernet</w:t>
            </w:r>
          </w:p>
        </w:tc>
        <w:tc>
          <w:tcPr>
            <w:tcW w:w="1480" w:type="dxa"/>
            <w:tcBorders>
              <w:top w:val="single" w:sz="4" w:space="0" w:color="000000"/>
              <w:left w:val="nil"/>
              <w:bottom w:val="nil"/>
              <w:right w:val="nil"/>
            </w:tcBorders>
            <w:tcMar>
              <w:top w:w="128" w:type="dxa"/>
              <w:left w:w="43" w:type="dxa"/>
              <w:bottom w:w="43" w:type="dxa"/>
              <w:right w:w="43" w:type="dxa"/>
            </w:tcMar>
          </w:tcPr>
          <w:p w14:paraId="6B568D16" w14:textId="77777777" w:rsidR="00F7113A" w:rsidRPr="00580C0D" w:rsidRDefault="00142E5B" w:rsidP="00580C0D">
            <w:pPr>
              <w:jc w:val="right"/>
            </w:pPr>
            <w:r w:rsidRPr="00580C0D">
              <w:t>Ja</w:t>
            </w:r>
          </w:p>
        </w:tc>
      </w:tr>
      <w:tr w:rsidR="00F7113A" w:rsidRPr="00580C0D" w14:paraId="3492880B"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36481B1C" w14:textId="77777777" w:rsidR="00F7113A" w:rsidRPr="00580C0D" w:rsidRDefault="00142E5B" w:rsidP="00580C0D">
            <w:r w:rsidRPr="00580C0D">
              <w:t>2022–2023</w:t>
            </w:r>
          </w:p>
        </w:tc>
        <w:tc>
          <w:tcPr>
            <w:tcW w:w="1134" w:type="dxa"/>
            <w:tcBorders>
              <w:top w:val="nil"/>
              <w:left w:val="nil"/>
              <w:bottom w:val="nil"/>
              <w:right w:val="nil"/>
            </w:tcBorders>
            <w:tcMar>
              <w:top w:w="128" w:type="dxa"/>
              <w:left w:w="43" w:type="dxa"/>
              <w:bottom w:w="43" w:type="dxa"/>
              <w:right w:w="43" w:type="dxa"/>
            </w:tcMar>
          </w:tcPr>
          <w:p w14:paraId="0744C848" w14:textId="77777777" w:rsidR="00F7113A" w:rsidRPr="00580C0D" w:rsidRDefault="00142E5B" w:rsidP="00580C0D">
            <w:pPr>
              <w:ind w:right="284"/>
              <w:jc w:val="right"/>
            </w:pPr>
            <w:r w:rsidRPr="00580C0D">
              <w:t>89</w:t>
            </w:r>
          </w:p>
        </w:tc>
        <w:tc>
          <w:tcPr>
            <w:tcW w:w="5571" w:type="dxa"/>
            <w:tcBorders>
              <w:top w:val="nil"/>
              <w:left w:val="nil"/>
              <w:bottom w:val="nil"/>
              <w:right w:val="nil"/>
            </w:tcBorders>
            <w:tcMar>
              <w:top w:w="128" w:type="dxa"/>
              <w:left w:w="43" w:type="dxa"/>
              <w:bottom w:w="43" w:type="dxa"/>
              <w:right w:w="43" w:type="dxa"/>
            </w:tcMar>
          </w:tcPr>
          <w:p w14:paraId="74C43417" w14:textId="77777777" w:rsidR="00F7113A" w:rsidRPr="00580C0D" w:rsidRDefault="00142E5B" w:rsidP="00580C0D">
            <w:proofErr w:type="spellStart"/>
            <w:r w:rsidRPr="00580C0D">
              <w:t>kompensasjonsgradar</w:t>
            </w:r>
            <w:proofErr w:type="spellEnd"/>
            <w:r w:rsidRPr="00580C0D">
              <w:t xml:space="preserve"> i foreldrepengeordninga</w:t>
            </w:r>
          </w:p>
        </w:tc>
        <w:tc>
          <w:tcPr>
            <w:tcW w:w="1480" w:type="dxa"/>
            <w:tcBorders>
              <w:top w:val="nil"/>
              <w:left w:val="nil"/>
              <w:bottom w:val="nil"/>
              <w:right w:val="nil"/>
            </w:tcBorders>
            <w:tcMar>
              <w:top w:w="128" w:type="dxa"/>
              <w:left w:w="43" w:type="dxa"/>
              <w:bottom w:w="43" w:type="dxa"/>
              <w:right w:w="43" w:type="dxa"/>
            </w:tcMar>
          </w:tcPr>
          <w:p w14:paraId="260F5091" w14:textId="77777777" w:rsidR="00F7113A" w:rsidRPr="00580C0D" w:rsidRDefault="00142E5B" w:rsidP="00580C0D">
            <w:pPr>
              <w:jc w:val="right"/>
            </w:pPr>
            <w:r w:rsidRPr="00580C0D">
              <w:t>Ja</w:t>
            </w:r>
          </w:p>
        </w:tc>
      </w:tr>
      <w:tr w:rsidR="00F7113A" w:rsidRPr="00580C0D" w14:paraId="062263A8"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7479DEC4" w14:textId="77777777" w:rsidR="00F7113A" w:rsidRPr="00580C0D" w:rsidRDefault="00142E5B" w:rsidP="00580C0D">
            <w:r w:rsidRPr="00580C0D">
              <w:t>2022–2023</w:t>
            </w:r>
          </w:p>
        </w:tc>
        <w:tc>
          <w:tcPr>
            <w:tcW w:w="1134" w:type="dxa"/>
            <w:tcBorders>
              <w:top w:val="nil"/>
              <w:left w:val="nil"/>
              <w:bottom w:val="nil"/>
              <w:right w:val="nil"/>
            </w:tcBorders>
            <w:tcMar>
              <w:top w:w="128" w:type="dxa"/>
              <w:left w:w="43" w:type="dxa"/>
              <w:bottom w:w="43" w:type="dxa"/>
              <w:right w:w="43" w:type="dxa"/>
            </w:tcMar>
          </w:tcPr>
          <w:p w14:paraId="0263FE11" w14:textId="77777777" w:rsidR="00F7113A" w:rsidRPr="00580C0D" w:rsidRDefault="00142E5B" w:rsidP="00580C0D">
            <w:pPr>
              <w:ind w:right="284"/>
              <w:jc w:val="right"/>
            </w:pPr>
            <w:r w:rsidRPr="00580C0D">
              <w:t>138</w:t>
            </w:r>
          </w:p>
        </w:tc>
        <w:tc>
          <w:tcPr>
            <w:tcW w:w="5571" w:type="dxa"/>
            <w:tcBorders>
              <w:top w:val="nil"/>
              <w:left w:val="nil"/>
              <w:bottom w:val="nil"/>
              <w:right w:val="nil"/>
            </w:tcBorders>
            <w:tcMar>
              <w:top w:w="128" w:type="dxa"/>
              <w:left w:w="43" w:type="dxa"/>
              <w:bottom w:w="43" w:type="dxa"/>
              <w:right w:w="43" w:type="dxa"/>
            </w:tcMar>
          </w:tcPr>
          <w:p w14:paraId="51168534" w14:textId="77777777" w:rsidR="00F7113A" w:rsidRPr="00580C0D" w:rsidRDefault="00142E5B" w:rsidP="00580C0D">
            <w:r w:rsidRPr="00580C0D">
              <w:t>meldeplikt til barnevernstenesta</w:t>
            </w:r>
          </w:p>
        </w:tc>
        <w:tc>
          <w:tcPr>
            <w:tcW w:w="1480" w:type="dxa"/>
            <w:tcBorders>
              <w:top w:val="nil"/>
              <w:left w:val="nil"/>
              <w:bottom w:val="nil"/>
              <w:right w:val="nil"/>
            </w:tcBorders>
            <w:tcMar>
              <w:top w:w="128" w:type="dxa"/>
              <w:left w:w="43" w:type="dxa"/>
              <w:bottom w:w="43" w:type="dxa"/>
              <w:right w:w="43" w:type="dxa"/>
            </w:tcMar>
          </w:tcPr>
          <w:p w14:paraId="6800EA1E" w14:textId="77777777" w:rsidR="00F7113A" w:rsidRPr="00580C0D" w:rsidRDefault="00142E5B" w:rsidP="00580C0D">
            <w:pPr>
              <w:jc w:val="right"/>
            </w:pPr>
            <w:r w:rsidRPr="00580C0D">
              <w:t>Nei</w:t>
            </w:r>
          </w:p>
        </w:tc>
      </w:tr>
      <w:tr w:rsidR="00F7113A" w:rsidRPr="00580C0D" w14:paraId="16CBDBFF"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7055E6F1" w14:textId="77777777" w:rsidR="00F7113A" w:rsidRPr="00580C0D" w:rsidRDefault="00142E5B" w:rsidP="00580C0D">
            <w:r w:rsidRPr="00580C0D">
              <w:t>2022–2023</w:t>
            </w:r>
          </w:p>
        </w:tc>
        <w:tc>
          <w:tcPr>
            <w:tcW w:w="1134" w:type="dxa"/>
            <w:tcBorders>
              <w:top w:val="nil"/>
              <w:left w:val="nil"/>
              <w:bottom w:val="nil"/>
              <w:right w:val="nil"/>
            </w:tcBorders>
            <w:tcMar>
              <w:top w:w="128" w:type="dxa"/>
              <w:left w:w="43" w:type="dxa"/>
              <w:bottom w:w="43" w:type="dxa"/>
              <w:right w:w="43" w:type="dxa"/>
            </w:tcMar>
          </w:tcPr>
          <w:p w14:paraId="2A898D42" w14:textId="77777777" w:rsidR="00F7113A" w:rsidRPr="00580C0D" w:rsidRDefault="00142E5B" w:rsidP="00580C0D">
            <w:pPr>
              <w:ind w:right="284"/>
              <w:jc w:val="right"/>
            </w:pPr>
            <w:r w:rsidRPr="00580C0D">
              <w:t>562</w:t>
            </w:r>
          </w:p>
        </w:tc>
        <w:tc>
          <w:tcPr>
            <w:tcW w:w="5571" w:type="dxa"/>
            <w:tcBorders>
              <w:top w:val="nil"/>
              <w:left w:val="nil"/>
              <w:bottom w:val="nil"/>
              <w:right w:val="nil"/>
            </w:tcBorders>
            <w:tcMar>
              <w:top w:w="128" w:type="dxa"/>
              <w:left w:w="43" w:type="dxa"/>
              <w:bottom w:w="43" w:type="dxa"/>
              <w:right w:w="43" w:type="dxa"/>
            </w:tcMar>
          </w:tcPr>
          <w:p w14:paraId="79FCF16B" w14:textId="77777777" w:rsidR="00F7113A" w:rsidRPr="00580C0D" w:rsidRDefault="00142E5B" w:rsidP="00580C0D">
            <w:r w:rsidRPr="00580C0D">
              <w:t>nasjonalt høve til å klage for barn</w:t>
            </w:r>
          </w:p>
        </w:tc>
        <w:tc>
          <w:tcPr>
            <w:tcW w:w="1480" w:type="dxa"/>
            <w:tcBorders>
              <w:top w:val="nil"/>
              <w:left w:val="nil"/>
              <w:bottom w:val="nil"/>
              <w:right w:val="nil"/>
            </w:tcBorders>
            <w:tcMar>
              <w:top w:w="128" w:type="dxa"/>
              <w:left w:w="43" w:type="dxa"/>
              <w:bottom w:w="43" w:type="dxa"/>
              <w:right w:w="43" w:type="dxa"/>
            </w:tcMar>
          </w:tcPr>
          <w:p w14:paraId="77C68AE8" w14:textId="77777777" w:rsidR="00F7113A" w:rsidRPr="00580C0D" w:rsidRDefault="00142E5B" w:rsidP="00580C0D">
            <w:pPr>
              <w:jc w:val="right"/>
            </w:pPr>
            <w:r w:rsidRPr="00580C0D">
              <w:t>Nei</w:t>
            </w:r>
          </w:p>
        </w:tc>
      </w:tr>
      <w:tr w:rsidR="00F7113A" w:rsidRPr="00580C0D" w14:paraId="485FA645"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25C386E7" w14:textId="77777777" w:rsidR="00F7113A" w:rsidRPr="00580C0D" w:rsidRDefault="00142E5B" w:rsidP="00580C0D">
            <w:r w:rsidRPr="00580C0D">
              <w:t>2022–2023</w:t>
            </w:r>
          </w:p>
        </w:tc>
        <w:tc>
          <w:tcPr>
            <w:tcW w:w="1134" w:type="dxa"/>
            <w:tcBorders>
              <w:top w:val="nil"/>
              <w:left w:val="nil"/>
              <w:bottom w:val="nil"/>
              <w:right w:val="nil"/>
            </w:tcBorders>
            <w:tcMar>
              <w:top w:w="128" w:type="dxa"/>
              <w:left w:w="43" w:type="dxa"/>
              <w:bottom w:w="43" w:type="dxa"/>
              <w:right w:w="43" w:type="dxa"/>
            </w:tcMar>
          </w:tcPr>
          <w:p w14:paraId="591B0769" w14:textId="77777777" w:rsidR="00F7113A" w:rsidRPr="00580C0D" w:rsidRDefault="00142E5B" w:rsidP="00580C0D">
            <w:pPr>
              <w:ind w:right="284"/>
              <w:jc w:val="right"/>
            </w:pPr>
            <w:r w:rsidRPr="00580C0D">
              <w:t>563</w:t>
            </w:r>
          </w:p>
        </w:tc>
        <w:tc>
          <w:tcPr>
            <w:tcW w:w="5571" w:type="dxa"/>
            <w:tcBorders>
              <w:top w:val="nil"/>
              <w:left w:val="nil"/>
              <w:bottom w:val="nil"/>
              <w:right w:val="nil"/>
            </w:tcBorders>
            <w:tcMar>
              <w:top w:w="128" w:type="dxa"/>
              <w:left w:w="43" w:type="dxa"/>
              <w:bottom w:w="43" w:type="dxa"/>
              <w:right w:w="43" w:type="dxa"/>
            </w:tcMar>
          </w:tcPr>
          <w:p w14:paraId="7CF82986" w14:textId="77777777" w:rsidR="00F7113A" w:rsidRPr="00580C0D" w:rsidRDefault="00142E5B" w:rsidP="00580C0D">
            <w:r w:rsidRPr="00580C0D">
              <w:t>delkostnadsnøkkel for barnevern</w:t>
            </w:r>
          </w:p>
        </w:tc>
        <w:tc>
          <w:tcPr>
            <w:tcW w:w="1480" w:type="dxa"/>
            <w:tcBorders>
              <w:top w:val="nil"/>
              <w:left w:val="nil"/>
              <w:bottom w:val="nil"/>
              <w:right w:val="nil"/>
            </w:tcBorders>
            <w:tcMar>
              <w:top w:w="128" w:type="dxa"/>
              <w:left w:w="43" w:type="dxa"/>
              <w:bottom w:w="43" w:type="dxa"/>
              <w:right w:w="43" w:type="dxa"/>
            </w:tcMar>
          </w:tcPr>
          <w:p w14:paraId="575DE679" w14:textId="77777777" w:rsidR="00F7113A" w:rsidRPr="00580C0D" w:rsidRDefault="00142E5B" w:rsidP="00580C0D">
            <w:pPr>
              <w:jc w:val="right"/>
            </w:pPr>
            <w:r w:rsidRPr="00580C0D">
              <w:t>Nei</w:t>
            </w:r>
          </w:p>
        </w:tc>
      </w:tr>
      <w:tr w:rsidR="00F7113A" w:rsidRPr="00580C0D" w14:paraId="7373A762"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187A77A4" w14:textId="77777777" w:rsidR="00F7113A" w:rsidRPr="00580C0D" w:rsidRDefault="00142E5B" w:rsidP="00580C0D">
            <w:r w:rsidRPr="00580C0D">
              <w:t>2022–2023</w:t>
            </w:r>
          </w:p>
        </w:tc>
        <w:tc>
          <w:tcPr>
            <w:tcW w:w="1134" w:type="dxa"/>
            <w:tcBorders>
              <w:top w:val="nil"/>
              <w:left w:val="nil"/>
              <w:bottom w:val="nil"/>
              <w:right w:val="nil"/>
            </w:tcBorders>
            <w:tcMar>
              <w:top w:w="128" w:type="dxa"/>
              <w:left w:w="43" w:type="dxa"/>
              <w:bottom w:w="43" w:type="dxa"/>
              <w:right w:w="43" w:type="dxa"/>
            </w:tcMar>
          </w:tcPr>
          <w:p w14:paraId="2D4C8880" w14:textId="77777777" w:rsidR="00F7113A" w:rsidRPr="00580C0D" w:rsidRDefault="00142E5B" w:rsidP="00580C0D">
            <w:pPr>
              <w:ind w:right="284"/>
              <w:jc w:val="right"/>
            </w:pPr>
            <w:r w:rsidRPr="00580C0D">
              <w:t>782</w:t>
            </w:r>
          </w:p>
        </w:tc>
        <w:tc>
          <w:tcPr>
            <w:tcW w:w="5571" w:type="dxa"/>
            <w:tcBorders>
              <w:top w:val="nil"/>
              <w:left w:val="nil"/>
              <w:bottom w:val="nil"/>
              <w:right w:val="nil"/>
            </w:tcBorders>
            <w:tcMar>
              <w:top w:w="128" w:type="dxa"/>
              <w:left w:w="43" w:type="dxa"/>
              <w:bottom w:w="43" w:type="dxa"/>
              <w:right w:w="43" w:type="dxa"/>
            </w:tcMar>
          </w:tcPr>
          <w:p w14:paraId="6C1D59A2" w14:textId="77777777" w:rsidR="00F7113A" w:rsidRPr="00580C0D" w:rsidRDefault="00142E5B" w:rsidP="00580C0D">
            <w:proofErr w:type="spellStart"/>
            <w:r w:rsidRPr="00580C0D">
              <w:t>krisesentertilbodet</w:t>
            </w:r>
            <w:proofErr w:type="spellEnd"/>
            <w:r w:rsidRPr="00580C0D">
              <w:t xml:space="preserve"> til </w:t>
            </w:r>
            <w:proofErr w:type="gramStart"/>
            <w:r w:rsidRPr="00580C0D">
              <w:t>utsette</w:t>
            </w:r>
            <w:proofErr w:type="gramEnd"/>
            <w:r w:rsidRPr="00580C0D">
              <w:t xml:space="preserve"> grupper</w:t>
            </w:r>
          </w:p>
        </w:tc>
        <w:tc>
          <w:tcPr>
            <w:tcW w:w="1480" w:type="dxa"/>
            <w:tcBorders>
              <w:top w:val="nil"/>
              <w:left w:val="nil"/>
              <w:bottom w:val="nil"/>
              <w:right w:val="nil"/>
            </w:tcBorders>
            <w:tcMar>
              <w:top w:w="128" w:type="dxa"/>
              <w:left w:w="43" w:type="dxa"/>
              <w:bottom w:w="43" w:type="dxa"/>
              <w:right w:w="43" w:type="dxa"/>
            </w:tcMar>
          </w:tcPr>
          <w:p w14:paraId="3D049277" w14:textId="77777777" w:rsidR="00F7113A" w:rsidRPr="00580C0D" w:rsidRDefault="00142E5B" w:rsidP="00580C0D">
            <w:pPr>
              <w:jc w:val="right"/>
            </w:pPr>
            <w:r w:rsidRPr="00580C0D">
              <w:t>Nei</w:t>
            </w:r>
          </w:p>
        </w:tc>
      </w:tr>
      <w:tr w:rsidR="00F7113A" w:rsidRPr="00580C0D" w14:paraId="5FF67527"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36E957BC" w14:textId="77777777" w:rsidR="00F7113A" w:rsidRPr="00580C0D" w:rsidRDefault="00142E5B" w:rsidP="00580C0D">
            <w:r w:rsidRPr="00580C0D">
              <w:t>2022–2023</w:t>
            </w:r>
          </w:p>
        </w:tc>
        <w:tc>
          <w:tcPr>
            <w:tcW w:w="1134" w:type="dxa"/>
            <w:tcBorders>
              <w:top w:val="nil"/>
              <w:left w:val="nil"/>
              <w:bottom w:val="nil"/>
              <w:right w:val="nil"/>
            </w:tcBorders>
            <w:tcMar>
              <w:top w:w="128" w:type="dxa"/>
              <w:left w:w="43" w:type="dxa"/>
              <w:bottom w:w="43" w:type="dxa"/>
              <w:right w:w="43" w:type="dxa"/>
            </w:tcMar>
          </w:tcPr>
          <w:p w14:paraId="30D787F6" w14:textId="77777777" w:rsidR="00F7113A" w:rsidRPr="00580C0D" w:rsidRDefault="00142E5B" w:rsidP="00580C0D">
            <w:pPr>
              <w:ind w:right="284"/>
              <w:jc w:val="right"/>
            </w:pPr>
            <w:r w:rsidRPr="00580C0D">
              <w:t>783</w:t>
            </w:r>
          </w:p>
        </w:tc>
        <w:tc>
          <w:tcPr>
            <w:tcW w:w="5571" w:type="dxa"/>
            <w:tcBorders>
              <w:top w:val="nil"/>
              <w:left w:val="nil"/>
              <w:bottom w:val="nil"/>
              <w:right w:val="nil"/>
            </w:tcBorders>
            <w:tcMar>
              <w:top w:w="128" w:type="dxa"/>
              <w:left w:w="43" w:type="dxa"/>
              <w:bottom w:w="43" w:type="dxa"/>
              <w:right w:w="43" w:type="dxa"/>
            </w:tcMar>
          </w:tcPr>
          <w:p w14:paraId="5787B8D7" w14:textId="77777777" w:rsidR="00F7113A" w:rsidRPr="00580C0D" w:rsidRDefault="00142E5B" w:rsidP="00580C0D">
            <w:proofErr w:type="spellStart"/>
            <w:r w:rsidRPr="00580C0D">
              <w:t>rettleiingar</w:t>
            </w:r>
            <w:proofErr w:type="spellEnd"/>
            <w:r w:rsidRPr="00580C0D">
              <w:t xml:space="preserve"> om </w:t>
            </w:r>
            <w:proofErr w:type="spellStart"/>
            <w:r w:rsidRPr="00580C0D">
              <w:t>krisesentertilbod</w:t>
            </w:r>
            <w:proofErr w:type="spellEnd"/>
          </w:p>
        </w:tc>
        <w:tc>
          <w:tcPr>
            <w:tcW w:w="1480" w:type="dxa"/>
            <w:tcBorders>
              <w:top w:val="nil"/>
              <w:left w:val="nil"/>
              <w:bottom w:val="nil"/>
              <w:right w:val="nil"/>
            </w:tcBorders>
            <w:tcMar>
              <w:top w:w="128" w:type="dxa"/>
              <w:left w:w="43" w:type="dxa"/>
              <w:bottom w:w="43" w:type="dxa"/>
              <w:right w:w="43" w:type="dxa"/>
            </w:tcMar>
          </w:tcPr>
          <w:p w14:paraId="0CCAED18" w14:textId="77777777" w:rsidR="00F7113A" w:rsidRPr="00580C0D" w:rsidRDefault="00142E5B" w:rsidP="00580C0D">
            <w:pPr>
              <w:jc w:val="right"/>
            </w:pPr>
            <w:r w:rsidRPr="00580C0D">
              <w:t>Nei</w:t>
            </w:r>
          </w:p>
        </w:tc>
      </w:tr>
      <w:tr w:rsidR="00F7113A" w:rsidRPr="00580C0D" w14:paraId="5DDA075D"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0CF9454B" w14:textId="77777777" w:rsidR="00F7113A" w:rsidRPr="00580C0D" w:rsidRDefault="00142E5B" w:rsidP="00580C0D">
            <w:r w:rsidRPr="00580C0D">
              <w:t>2022–2023</w:t>
            </w:r>
          </w:p>
        </w:tc>
        <w:tc>
          <w:tcPr>
            <w:tcW w:w="1134" w:type="dxa"/>
            <w:tcBorders>
              <w:top w:val="nil"/>
              <w:left w:val="nil"/>
              <w:bottom w:val="nil"/>
              <w:right w:val="nil"/>
            </w:tcBorders>
            <w:tcMar>
              <w:top w:w="128" w:type="dxa"/>
              <w:left w:w="43" w:type="dxa"/>
              <w:bottom w:w="43" w:type="dxa"/>
              <w:right w:w="43" w:type="dxa"/>
            </w:tcMar>
          </w:tcPr>
          <w:p w14:paraId="51E405D8" w14:textId="77777777" w:rsidR="00F7113A" w:rsidRPr="00580C0D" w:rsidRDefault="00142E5B" w:rsidP="00580C0D">
            <w:pPr>
              <w:ind w:right="284"/>
              <w:jc w:val="right"/>
            </w:pPr>
            <w:r w:rsidRPr="00580C0D">
              <w:t>936</w:t>
            </w:r>
          </w:p>
        </w:tc>
        <w:tc>
          <w:tcPr>
            <w:tcW w:w="5571" w:type="dxa"/>
            <w:tcBorders>
              <w:top w:val="nil"/>
              <w:left w:val="nil"/>
              <w:bottom w:val="nil"/>
              <w:right w:val="nil"/>
            </w:tcBorders>
            <w:tcMar>
              <w:top w:w="128" w:type="dxa"/>
              <w:left w:w="43" w:type="dxa"/>
              <w:bottom w:w="43" w:type="dxa"/>
              <w:right w:w="43" w:type="dxa"/>
            </w:tcMar>
          </w:tcPr>
          <w:p w14:paraId="33C100C4" w14:textId="77777777" w:rsidR="00F7113A" w:rsidRPr="00580C0D" w:rsidRDefault="00142E5B" w:rsidP="00580C0D">
            <w:r w:rsidRPr="00580C0D">
              <w:t>oppgradere krisesenterbygg</w:t>
            </w:r>
          </w:p>
        </w:tc>
        <w:tc>
          <w:tcPr>
            <w:tcW w:w="1480" w:type="dxa"/>
            <w:tcBorders>
              <w:top w:val="nil"/>
              <w:left w:val="nil"/>
              <w:bottom w:val="nil"/>
              <w:right w:val="nil"/>
            </w:tcBorders>
            <w:tcMar>
              <w:top w:w="128" w:type="dxa"/>
              <w:left w:w="43" w:type="dxa"/>
              <w:bottom w:w="43" w:type="dxa"/>
              <w:right w:w="43" w:type="dxa"/>
            </w:tcMar>
          </w:tcPr>
          <w:p w14:paraId="0E473C1E" w14:textId="77777777" w:rsidR="00F7113A" w:rsidRPr="00580C0D" w:rsidRDefault="00142E5B" w:rsidP="00580C0D">
            <w:pPr>
              <w:jc w:val="right"/>
            </w:pPr>
            <w:r w:rsidRPr="00580C0D">
              <w:t>Nei</w:t>
            </w:r>
          </w:p>
        </w:tc>
      </w:tr>
      <w:tr w:rsidR="00F7113A" w:rsidRPr="00580C0D" w14:paraId="0C2A50A8"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10596B08" w14:textId="77777777" w:rsidR="00F7113A" w:rsidRPr="00580C0D" w:rsidRDefault="00142E5B" w:rsidP="00580C0D">
            <w:r w:rsidRPr="00580C0D">
              <w:t>2021–2022</w:t>
            </w:r>
          </w:p>
        </w:tc>
        <w:tc>
          <w:tcPr>
            <w:tcW w:w="1134" w:type="dxa"/>
            <w:tcBorders>
              <w:top w:val="nil"/>
              <w:left w:val="nil"/>
              <w:bottom w:val="nil"/>
              <w:right w:val="nil"/>
            </w:tcBorders>
            <w:tcMar>
              <w:top w:w="128" w:type="dxa"/>
              <w:left w:w="43" w:type="dxa"/>
              <w:bottom w:w="43" w:type="dxa"/>
              <w:right w:w="43" w:type="dxa"/>
            </w:tcMar>
          </w:tcPr>
          <w:p w14:paraId="516BC921" w14:textId="77777777" w:rsidR="00F7113A" w:rsidRPr="00580C0D" w:rsidRDefault="00142E5B" w:rsidP="00580C0D">
            <w:pPr>
              <w:ind w:right="284"/>
              <w:jc w:val="right"/>
            </w:pPr>
            <w:r w:rsidRPr="00580C0D">
              <w:t>404</w:t>
            </w:r>
          </w:p>
        </w:tc>
        <w:tc>
          <w:tcPr>
            <w:tcW w:w="5571" w:type="dxa"/>
            <w:tcBorders>
              <w:top w:val="nil"/>
              <w:left w:val="nil"/>
              <w:bottom w:val="nil"/>
              <w:right w:val="nil"/>
            </w:tcBorders>
            <w:tcMar>
              <w:top w:w="128" w:type="dxa"/>
              <w:left w:w="43" w:type="dxa"/>
              <w:bottom w:w="43" w:type="dxa"/>
              <w:right w:w="43" w:type="dxa"/>
            </w:tcMar>
          </w:tcPr>
          <w:p w14:paraId="2F0FCBCF" w14:textId="77777777" w:rsidR="00F7113A" w:rsidRPr="00580C0D" w:rsidRDefault="00142E5B" w:rsidP="00580C0D">
            <w:proofErr w:type="spellStart"/>
            <w:r w:rsidRPr="00580C0D">
              <w:t>offentleg</w:t>
            </w:r>
            <w:proofErr w:type="spellEnd"/>
            <w:r w:rsidRPr="00580C0D">
              <w:t xml:space="preserve"> plikt til å tilby </w:t>
            </w:r>
            <w:proofErr w:type="spellStart"/>
            <w:r w:rsidRPr="00580C0D">
              <w:t>tverrfagleg</w:t>
            </w:r>
            <w:proofErr w:type="spellEnd"/>
            <w:r w:rsidRPr="00580C0D">
              <w:t xml:space="preserve"> helsekartlegging </w:t>
            </w:r>
          </w:p>
        </w:tc>
        <w:tc>
          <w:tcPr>
            <w:tcW w:w="1480" w:type="dxa"/>
            <w:tcBorders>
              <w:top w:val="nil"/>
              <w:left w:val="nil"/>
              <w:bottom w:val="nil"/>
              <w:right w:val="nil"/>
            </w:tcBorders>
            <w:tcMar>
              <w:top w:w="128" w:type="dxa"/>
              <w:left w:w="43" w:type="dxa"/>
              <w:bottom w:w="43" w:type="dxa"/>
              <w:right w:w="43" w:type="dxa"/>
            </w:tcMar>
          </w:tcPr>
          <w:p w14:paraId="0C0A8F5B" w14:textId="77777777" w:rsidR="00F7113A" w:rsidRPr="00580C0D" w:rsidRDefault="00142E5B" w:rsidP="00580C0D">
            <w:pPr>
              <w:jc w:val="right"/>
            </w:pPr>
            <w:r w:rsidRPr="00580C0D">
              <w:t>Nei</w:t>
            </w:r>
          </w:p>
        </w:tc>
      </w:tr>
      <w:tr w:rsidR="00F7113A" w:rsidRPr="00580C0D" w14:paraId="509378F3"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4E64F228" w14:textId="77777777" w:rsidR="00F7113A" w:rsidRPr="00580C0D" w:rsidRDefault="00142E5B" w:rsidP="00580C0D">
            <w:r w:rsidRPr="00580C0D">
              <w:t>2021–2022</w:t>
            </w:r>
          </w:p>
        </w:tc>
        <w:tc>
          <w:tcPr>
            <w:tcW w:w="1134" w:type="dxa"/>
            <w:tcBorders>
              <w:top w:val="nil"/>
              <w:left w:val="nil"/>
              <w:bottom w:val="nil"/>
              <w:right w:val="nil"/>
            </w:tcBorders>
            <w:tcMar>
              <w:top w:w="128" w:type="dxa"/>
              <w:left w:w="43" w:type="dxa"/>
              <w:bottom w:w="43" w:type="dxa"/>
              <w:right w:w="43" w:type="dxa"/>
            </w:tcMar>
          </w:tcPr>
          <w:p w14:paraId="11AABA0E" w14:textId="77777777" w:rsidR="00F7113A" w:rsidRPr="00580C0D" w:rsidRDefault="00142E5B" w:rsidP="00580C0D">
            <w:pPr>
              <w:ind w:right="284"/>
              <w:jc w:val="right"/>
            </w:pPr>
            <w:r w:rsidRPr="00580C0D">
              <w:t>592</w:t>
            </w:r>
          </w:p>
        </w:tc>
        <w:tc>
          <w:tcPr>
            <w:tcW w:w="5571" w:type="dxa"/>
            <w:tcBorders>
              <w:top w:val="nil"/>
              <w:left w:val="nil"/>
              <w:bottom w:val="nil"/>
              <w:right w:val="nil"/>
            </w:tcBorders>
            <w:tcMar>
              <w:top w:w="128" w:type="dxa"/>
              <w:left w:w="43" w:type="dxa"/>
              <w:bottom w:w="43" w:type="dxa"/>
              <w:right w:w="43" w:type="dxa"/>
            </w:tcMar>
          </w:tcPr>
          <w:p w14:paraId="5DB0768A" w14:textId="77777777" w:rsidR="00F7113A" w:rsidRPr="00580C0D" w:rsidRDefault="00142E5B" w:rsidP="00580C0D">
            <w:proofErr w:type="spellStart"/>
            <w:r w:rsidRPr="00580C0D">
              <w:t>krisesentertilbod</w:t>
            </w:r>
            <w:proofErr w:type="spellEnd"/>
            <w:r w:rsidRPr="00580C0D">
              <w:t xml:space="preserve"> til den samiske urbefolkninga</w:t>
            </w:r>
          </w:p>
        </w:tc>
        <w:tc>
          <w:tcPr>
            <w:tcW w:w="1480" w:type="dxa"/>
            <w:tcBorders>
              <w:top w:val="nil"/>
              <w:left w:val="nil"/>
              <w:bottom w:val="nil"/>
              <w:right w:val="nil"/>
            </w:tcBorders>
            <w:tcMar>
              <w:top w:w="128" w:type="dxa"/>
              <w:left w:w="43" w:type="dxa"/>
              <w:bottom w:w="43" w:type="dxa"/>
              <w:right w:w="43" w:type="dxa"/>
            </w:tcMar>
          </w:tcPr>
          <w:p w14:paraId="55C06299" w14:textId="77777777" w:rsidR="00F7113A" w:rsidRPr="00580C0D" w:rsidRDefault="00142E5B" w:rsidP="00580C0D">
            <w:pPr>
              <w:jc w:val="right"/>
            </w:pPr>
            <w:r w:rsidRPr="00580C0D">
              <w:t>Nei</w:t>
            </w:r>
          </w:p>
        </w:tc>
      </w:tr>
      <w:tr w:rsidR="00F7113A" w:rsidRPr="00580C0D" w14:paraId="2234466E"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4493D54C" w14:textId="77777777" w:rsidR="00F7113A" w:rsidRPr="00580C0D" w:rsidRDefault="00142E5B" w:rsidP="00580C0D">
            <w:r w:rsidRPr="00580C0D">
              <w:t>2021–2022</w:t>
            </w:r>
          </w:p>
        </w:tc>
        <w:tc>
          <w:tcPr>
            <w:tcW w:w="1134" w:type="dxa"/>
            <w:tcBorders>
              <w:top w:val="nil"/>
              <w:left w:val="nil"/>
              <w:bottom w:val="nil"/>
              <w:right w:val="nil"/>
            </w:tcBorders>
            <w:tcMar>
              <w:top w:w="128" w:type="dxa"/>
              <w:left w:w="43" w:type="dxa"/>
              <w:bottom w:w="43" w:type="dxa"/>
              <w:right w:w="43" w:type="dxa"/>
            </w:tcMar>
          </w:tcPr>
          <w:p w14:paraId="766AA856" w14:textId="77777777" w:rsidR="00F7113A" w:rsidRPr="00580C0D" w:rsidRDefault="00142E5B" w:rsidP="00580C0D">
            <w:pPr>
              <w:ind w:right="284"/>
              <w:jc w:val="right"/>
            </w:pPr>
            <w:r w:rsidRPr="00580C0D">
              <w:t>620</w:t>
            </w:r>
          </w:p>
        </w:tc>
        <w:tc>
          <w:tcPr>
            <w:tcW w:w="5571" w:type="dxa"/>
            <w:tcBorders>
              <w:top w:val="nil"/>
              <w:left w:val="nil"/>
              <w:bottom w:val="nil"/>
              <w:right w:val="nil"/>
            </w:tcBorders>
            <w:tcMar>
              <w:top w:w="128" w:type="dxa"/>
              <w:left w:w="43" w:type="dxa"/>
              <w:bottom w:w="43" w:type="dxa"/>
              <w:right w:w="43" w:type="dxa"/>
            </w:tcMar>
          </w:tcPr>
          <w:p w14:paraId="74C8E260" w14:textId="77777777" w:rsidR="00F7113A" w:rsidRPr="00580C0D" w:rsidRDefault="00142E5B" w:rsidP="00580C0D">
            <w:r w:rsidRPr="00580C0D">
              <w:t>utvide ordninga for gjeldsinformasjon («gjeldsregister»)</w:t>
            </w:r>
          </w:p>
        </w:tc>
        <w:tc>
          <w:tcPr>
            <w:tcW w:w="1480" w:type="dxa"/>
            <w:tcBorders>
              <w:top w:val="nil"/>
              <w:left w:val="nil"/>
              <w:bottom w:val="nil"/>
              <w:right w:val="nil"/>
            </w:tcBorders>
            <w:tcMar>
              <w:top w:w="128" w:type="dxa"/>
              <w:left w:w="43" w:type="dxa"/>
              <w:bottom w:w="43" w:type="dxa"/>
              <w:right w:w="43" w:type="dxa"/>
            </w:tcMar>
          </w:tcPr>
          <w:p w14:paraId="59A175E2" w14:textId="77777777" w:rsidR="00F7113A" w:rsidRPr="00580C0D" w:rsidRDefault="00142E5B" w:rsidP="00580C0D">
            <w:pPr>
              <w:jc w:val="right"/>
            </w:pPr>
            <w:r w:rsidRPr="00580C0D">
              <w:t xml:space="preserve">Nei </w:t>
            </w:r>
          </w:p>
        </w:tc>
      </w:tr>
      <w:tr w:rsidR="00F7113A" w:rsidRPr="00580C0D" w14:paraId="2E3AB347"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4A7EAFF2"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7930A36A" w14:textId="77777777" w:rsidR="00F7113A" w:rsidRPr="00580C0D" w:rsidRDefault="00142E5B" w:rsidP="00580C0D">
            <w:pPr>
              <w:ind w:right="284"/>
              <w:jc w:val="right"/>
            </w:pPr>
            <w:r w:rsidRPr="00580C0D">
              <w:t>48</w:t>
            </w:r>
          </w:p>
        </w:tc>
        <w:tc>
          <w:tcPr>
            <w:tcW w:w="5571" w:type="dxa"/>
            <w:tcBorders>
              <w:top w:val="nil"/>
              <w:left w:val="nil"/>
              <w:bottom w:val="nil"/>
              <w:right w:val="nil"/>
            </w:tcBorders>
            <w:tcMar>
              <w:top w:w="128" w:type="dxa"/>
              <w:left w:w="43" w:type="dxa"/>
              <w:bottom w:w="43" w:type="dxa"/>
              <w:right w:w="43" w:type="dxa"/>
            </w:tcMar>
          </w:tcPr>
          <w:p w14:paraId="59FA04CE" w14:textId="77777777" w:rsidR="00F7113A" w:rsidRPr="00580C0D" w:rsidRDefault="00142E5B" w:rsidP="00580C0D">
            <w:proofErr w:type="spellStart"/>
            <w:r w:rsidRPr="00580C0D">
              <w:t>forbod</w:t>
            </w:r>
            <w:proofErr w:type="spellEnd"/>
            <w:r w:rsidRPr="00580C0D">
              <w:t xml:space="preserve"> mot </w:t>
            </w:r>
            <w:proofErr w:type="spellStart"/>
            <w:r w:rsidRPr="00580C0D">
              <w:t>søskenbarnekteskap</w:t>
            </w:r>
            <w:proofErr w:type="spellEnd"/>
          </w:p>
        </w:tc>
        <w:tc>
          <w:tcPr>
            <w:tcW w:w="1480" w:type="dxa"/>
            <w:tcBorders>
              <w:top w:val="nil"/>
              <w:left w:val="nil"/>
              <w:bottom w:val="nil"/>
              <w:right w:val="nil"/>
            </w:tcBorders>
            <w:tcMar>
              <w:top w:w="128" w:type="dxa"/>
              <w:left w:w="43" w:type="dxa"/>
              <w:bottom w:w="43" w:type="dxa"/>
              <w:right w:w="43" w:type="dxa"/>
            </w:tcMar>
          </w:tcPr>
          <w:p w14:paraId="679730DE" w14:textId="77777777" w:rsidR="00F7113A" w:rsidRPr="00580C0D" w:rsidRDefault="00142E5B" w:rsidP="00580C0D">
            <w:pPr>
              <w:jc w:val="right"/>
            </w:pPr>
            <w:r w:rsidRPr="00580C0D">
              <w:t>Nei</w:t>
            </w:r>
          </w:p>
        </w:tc>
      </w:tr>
      <w:tr w:rsidR="00F7113A" w:rsidRPr="00580C0D" w14:paraId="1C4DFDCB"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1CFC8396"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1E50CE56" w14:textId="77777777" w:rsidR="00F7113A" w:rsidRPr="00580C0D" w:rsidRDefault="00142E5B" w:rsidP="00580C0D">
            <w:pPr>
              <w:ind w:right="284"/>
              <w:jc w:val="right"/>
            </w:pPr>
            <w:r w:rsidRPr="00580C0D">
              <w:t>445</w:t>
            </w:r>
          </w:p>
        </w:tc>
        <w:tc>
          <w:tcPr>
            <w:tcW w:w="5571" w:type="dxa"/>
            <w:tcBorders>
              <w:top w:val="nil"/>
              <w:left w:val="nil"/>
              <w:bottom w:val="nil"/>
              <w:right w:val="nil"/>
            </w:tcBorders>
            <w:tcMar>
              <w:top w:w="128" w:type="dxa"/>
              <w:left w:w="43" w:type="dxa"/>
              <w:bottom w:w="43" w:type="dxa"/>
              <w:right w:w="43" w:type="dxa"/>
            </w:tcMar>
          </w:tcPr>
          <w:p w14:paraId="1D087F9A" w14:textId="77777777" w:rsidR="00F7113A" w:rsidRPr="00580C0D" w:rsidRDefault="00142E5B" w:rsidP="00580C0D">
            <w:r w:rsidRPr="00580C0D">
              <w:t xml:space="preserve">involvere foreldre når barn </w:t>
            </w:r>
            <w:proofErr w:type="spellStart"/>
            <w:r w:rsidRPr="00580C0D">
              <w:t>gjer</w:t>
            </w:r>
            <w:proofErr w:type="spellEnd"/>
            <w:r w:rsidRPr="00580C0D">
              <w:t xml:space="preserve"> </w:t>
            </w:r>
            <w:proofErr w:type="spellStart"/>
            <w:r w:rsidRPr="00580C0D">
              <w:t>lovbrot</w:t>
            </w:r>
            <w:proofErr w:type="spellEnd"/>
          </w:p>
        </w:tc>
        <w:tc>
          <w:tcPr>
            <w:tcW w:w="1480" w:type="dxa"/>
            <w:tcBorders>
              <w:top w:val="nil"/>
              <w:left w:val="nil"/>
              <w:bottom w:val="nil"/>
              <w:right w:val="nil"/>
            </w:tcBorders>
            <w:tcMar>
              <w:top w:w="128" w:type="dxa"/>
              <w:left w:w="43" w:type="dxa"/>
              <w:bottom w:w="43" w:type="dxa"/>
              <w:right w:w="43" w:type="dxa"/>
            </w:tcMar>
          </w:tcPr>
          <w:p w14:paraId="6A13FFEC" w14:textId="77777777" w:rsidR="00F7113A" w:rsidRPr="00580C0D" w:rsidRDefault="00142E5B" w:rsidP="00580C0D">
            <w:pPr>
              <w:jc w:val="right"/>
            </w:pPr>
            <w:r w:rsidRPr="00580C0D">
              <w:t>Nei</w:t>
            </w:r>
          </w:p>
        </w:tc>
      </w:tr>
      <w:tr w:rsidR="00F7113A" w:rsidRPr="00580C0D" w14:paraId="7AE562E1"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770E0E4A"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714719E7" w14:textId="77777777" w:rsidR="00F7113A" w:rsidRPr="00580C0D" w:rsidRDefault="00142E5B" w:rsidP="00580C0D">
            <w:pPr>
              <w:ind w:right="284"/>
              <w:jc w:val="right"/>
            </w:pPr>
            <w:r w:rsidRPr="00580C0D">
              <w:t>714</w:t>
            </w:r>
          </w:p>
        </w:tc>
        <w:tc>
          <w:tcPr>
            <w:tcW w:w="5571" w:type="dxa"/>
            <w:tcBorders>
              <w:top w:val="nil"/>
              <w:left w:val="nil"/>
              <w:bottom w:val="nil"/>
              <w:right w:val="nil"/>
            </w:tcBorders>
            <w:tcMar>
              <w:top w:w="128" w:type="dxa"/>
              <w:left w:w="43" w:type="dxa"/>
              <w:bottom w:w="43" w:type="dxa"/>
              <w:right w:w="43" w:type="dxa"/>
            </w:tcMar>
          </w:tcPr>
          <w:p w14:paraId="4FB997D9" w14:textId="77777777" w:rsidR="00F7113A" w:rsidRPr="00580C0D" w:rsidRDefault="00142E5B" w:rsidP="00580C0D">
            <w:proofErr w:type="spellStart"/>
            <w:r w:rsidRPr="00580C0D">
              <w:t>strengare</w:t>
            </w:r>
            <w:proofErr w:type="spellEnd"/>
            <w:r w:rsidRPr="00580C0D">
              <w:t xml:space="preserve"> </w:t>
            </w:r>
            <w:proofErr w:type="spellStart"/>
            <w:r w:rsidRPr="00580C0D">
              <w:t>reaksjonar</w:t>
            </w:r>
            <w:proofErr w:type="spellEnd"/>
            <w:r w:rsidRPr="00580C0D">
              <w:t xml:space="preserve"> mot samværshindring</w:t>
            </w:r>
          </w:p>
        </w:tc>
        <w:tc>
          <w:tcPr>
            <w:tcW w:w="1480" w:type="dxa"/>
            <w:tcBorders>
              <w:top w:val="nil"/>
              <w:left w:val="nil"/>
              <w:bottom w:val="nil"/>
              <w:right w:val="nil"/>
            </w:tcBorders>
            <w:tcMar>
              <w:top w:w="128" w:type="dxa"/>
              <w:left w:w="43" w:type="dxa"/>
              <w:bottom w:w="43" w:type="dxa"/>
              <w:right w:w="43" w:type="dxa"/>
            </w:tcMar>
          </w:tcPr>
          <w:p w14:paraId="1E032D16" w14:textId="77777777" w:rsidR="00F7113A" w:rsidRPr="00580C0D" w:rsidRDefault="00142E5B" w:rsidP="00580C0D">
            <w:pPr>
              <w:jc w:val="right"/>
            </w:pPr>
            <w:r w:rsidRPr="00580C0D">
              <w:t>Nei</w:t>
            </w:r>
          </w:p>
        </w:tc>
      </w:tr>
      <w:tr w:rsidR="00F7113A" w:rsidRPr="00580C0D" w14:paraId="7D09A04B"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4D0F534A"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5FFB19F8" w14:textId="77777777" w:rsidR="00F7113A" w:rsidRPr="00580C0D" w:rsidRDefault="00142E5B" w:rsidP="00580C0D">
            <w:pPr>
              <w:ind w:right="284"/>
              <w:jc w:val="right"/>
            </w:pPr>
            <w:r w:rsidRPr="00580C0D">
              <w:t>715</w:t>
            </w:r>
          </w:p>
        </w:tc>
        <w:tc>
          <w:tcPr>
            <w:tcW w:w="5571" w:type="dxa"/>
            <w:tcBorders>
              <w:top w:val="nil"/>
              <w:left w:val="nil"/>
              <w:bottom w:val="nil"/>
              <w:right w:val="nil"/>
            </w:tcBorders>
            <w:tcMar>
              <w:top w:w="128" w:type="dxa"/>
              <w:left w:w="43" w:type="dxa"/>
              <w:bottom w:w="43" w:type="dxa"/>
              <w:right w:w="43" w:type="dxa"/>
            </w:tcMar>
          </w:tcPr>
          <w:p w14:paraId="3F202200" w14:textId="77777777" w:rsidR="00F7113A" w:rsidRPr="00580C0D" w:rsidRDefault="00142E5B" w:rsidP="00580C0D">
            <w:r w:rsidRPr="00580C0D">
              <w:t xml:space="preserve">justering av </w:t>
            </w:r>
            <w:proofErr w:type="spellStart"/>
            <w:r w:rsidRPr="00580C0D">
              <w:t>barnebidragsreglane</w:t>
            </w:r>
            <w:proofErr w:type="spellEnd"/>
            <w:r w:rsidRPr="00580C0D">
              <w:t xml:space="preserve"> for å hindre samværshindring</w:t>
            </w:r>
          </w:p>
        </w:tc>
        <w:tc>
          <w:tcPr>
            <w:tcW w:w="1480" w:type="dxa"/>
            <w:tcBorders>
              <w:top w:val="nil"/>
              <w:left w:val="nil"/>
              <w:bottom w:val="nil"/>
              <w:right w:val="nil"/>
            </w:tcBorders>
            <w:tcMar>
              <w:top w:w="128" w:type="dxa"/>
              <w:left w:w="43" w:type="dxa"/>
              <w:bottom w:w="43" w:type="dxa"/>
              <w:right w:w="43" w:type="dxa"/>
            </w:tcMar>
          </w:tcPr>
          <w:p w14:paraId="4EC52AD9" w14:textId="77777777" w:rsidR="00F7113A" w:rsidRPr="00580C0D" w:rsidRDefault="00142E5B" w:rsidP="00580C0D">
            <w:pPr>
              <w:jc w:val="right"/>
            </w:pPr>
            <w:r w:rsidRPr="00580C0D">
              <w:t>Nei</w:t>
            </w:r>
          </w:p>
        </w:tc>
      </w:tr>
      <w:tr w:rsidR="00F7113A" w:rsidRPr="00580C0D" w14:paraId="19BF6FCE"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755758CD"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32F69E8B" w14:textId="77777777" w:rsidR="00F7113A" w:rsidRPr="00580C0D" w:rsidRDefault="00142E5B" w:rsidP="00580C0D">
            <w:pPr>
              <w:ind w:right="284"/>
              <w:jc w:val="right"/>
            </w:pPr>
            <w:r w:rsidRPr="00580C0D">
              <w:t>918</w:t>
            </w:r>
          </w:p>
        </w:tc>
        <w:tc>
          <w:tcPr>
            <w:tcW w:w="5571" w:type="dxa"/>
            <w:tcBorders>
              <w:top w:val="nil"/>
              <w:left w:val="nil"/>
              <w:bottom w:val="nil"/>
              <w:right w:val="nil"/>
            </w:tcBorders>
            <w:tcMar>
              <w:top w:w="128" w:type="dxa"/>
              <w:left w:w="43" w:type="dxa"/>
              <w:bottom w:w="43" w:type="dxa"/>
              <w:right w:w="43" w:type="dxa"/>
            </w:tcMar>
          </w:tcPr>
          <w:p w14:paraId="3A2D0DE4" w14:textId="77777777" w:rsidR="00F7113A" w:rsidRPr="00580C0D" w:rsidRDefault="00142E5B" w:rsidP="00580C0D">
            <w:r w:rsidRPr="00580C0D">
              <w:t xml:space="preserve">obligatorisk prisinformasjon på </w:t>
            </w:r>
            <w:proofErr w:type="spellStart"/>
            <w:r w:rsidRPr="00580C0D">
              <w:t>straum</w:t>
            </w:r>
            <w:proofErr w:type="spellEnd"/>
          </w:p>
        </w:tc>
        <w:tc>
          <w:tcPr>
            <w:tcW w:w="1480" w:type="dxa"/>
            <w:tcBorders>
              <w:top w:val="nil"/>
              <w:left w:val="nil"/>
              <w:bottom w:val="nil"/>
              <w:right w:val="nil"/>
            </w:tcBorders>
            <w:tcMar>
              <w:top w:w="128" w:type="dxa"/>
              <w:left w:w="43" w:type="dxa"/>
              <w:bottom w:w="43" w:type="dxa"/>
              <w:right w:w="43" w:type="dxa"/>
            </w:tcMar>
          </w:tcPr>
          <w:p w14:paraId="6D7AC409" w14:textId="77777777" w:rsidR="00F7113A" w:rsidRPr="00580C0D" w:rsidRDefault="00142E5B" w:rsidP="00580C0D">
            <w:pPr>
              <w:jc w:val="right"/>
            </w:pPr>
            <w:r w:rsidRPr="00580C0D">
              <w:t>Ja</w:t>
            </w:r>
          </w:p>
        </w:tc>
      </w:tr>
      <w:tr w:rsidR="00F7113A" w:rsidRPr="00580C0D" w14:paraId="49462271" w14:textId="77777777" w:rsidTr="00580C0D">
        <w:trPr>
          <w:trHeight w:val="640"/>
        </w:trPr>
        <w:tc>
          <w:tcPr>
            <w:tcW w:w="1375" w:type="dxa"/>
            <w:tcBorders>
              <w:top w:val="nil"/>
              <w:left w:val="nil"/>
              <w:bottom w:val="nil"/>
              <w:right w:val="nil"/>
            </w:tcBorders>
            <w:tcMar>
              <w:top w:w="128" w:type="dxa"/>
              <w:left w:w="43" w:type="dxa"/>
              <w:bottom w:w="43" w:type="dxa"/>
              <w:right w:w="43" w:type="dxa"/>
            </w:tcMar>
          </w:tcPr>
          <w:p w14:paraId="6030DFEA"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4E0B090C" w14:textId="77777777" w:rsidR="00F7113A" w:rsidRPr="00580C0D" w:rsidRDefault="00142E5B" w:rsidP="00580C0D">
            <w:pPr>
              <w:ind w:right="284"/>
              <w:jc w:val="right"/>
            </w:pPr>
            <w:r w:rsidRPr="00580C0D">
              <w:t>954</w:t>
            </w:r>
          </w:p>
        </w:tc>
        <w:tc>
          <w:tcPr>
            <w:tcW w:w="5571" w:type="dxa"/>
            <w:tcBorders>
              <w:top w:val="nil"/>
              <w:left w:val="nil"/>
              <w:bottom w:val="nil"/>
              <w:right w:val="nil"/>
            </w:tcBorders>
            <w:tcMar>
              <w:top w:w="128" w:type="dxa"/>
              <w:left w:w="43" w:type="dxa"/>
              <w:bottom w:w="43" w:type="dxa"/>
              <w:right w:w="43" w:type="dxa"/>
            </w:tcMar>
          </w:tcPr>
          <w:p w14:paraId="1866E090" w14:textId="77777777" w:rsidR="00F7113A" w:rsidRPr="00580C0D" w:rsidRDefault="00142E5B" w:rsidP="00580C0D">
            <w:r w:rsidRPr="00580C0D">
              <w:t xml:space="preserve">hindre </w:t>
            </w:r>
            <w:proofErr w:type="spellStart"/>
            <w:r w:rsidRPr="00580C0D">
              <w:t>fritidsaktivitetar</w:t>
            </w:r>
            <w:proofErr w:type="spellEnd"/>
            <w:r w:rsidRPr="00580C0D">
              <w:t xml:space="preserve"> for barn og unge som kan bidra til </w:t>
            </w:r>
            <w:r w:rsidRPr="00580C0D">
              <w:br/>
              <w:t>radikalisering</w:t>
            </w:r>
          </w:p>
        </w:tc>
        <w:tc>
          <w:tcPr>
            <w:tcW w:w="1480" w:type="dxa"/>
            <w:tcBorders>
              <w:top w:val="nil"/>
              <w:left w:val="nil"/>
              <w:bottom w:val="nil"/>
              <w:right w:val="nil"/>
            </w:tcBorders>
            <w:tcMar>
              <w:top w:w="128" w:type="dxa"/>
              <w:left w:w="43" w:type="dxa"/>
              <w:bottom w:w="43" w:type="dxa"/>
              <w:right w:w="43" w:type="dxa"/>
            </w:tcMar>
          </w:tcPr>
          <w:p w14:paraId="3DC1A790" w14:textId="77777777" w:rsidR="00F7113A" w:rsidRPr="00580C0D" w:rsidRDefault="00142E5B" w:rsidP="00580C0D">
            <w:pPr>
              <w:jc w:val="right"/>
            </w:pPr>
            <w:r w:rsidRPr="00580C0D">
              <w:t>Nei</w:t>
            </w:r>
          </w:p>
        </w:tc>
      </w:tr>
      <w:tr w:rsidR="00F7113A" w:rsidRPr="00580C0D" w14:paraId="3EC44A82"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22A42ECE"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0FA461F1" w14:textId="77777777" w:rsidR="00F7113A" w:rsidRPr="00580C0D" w:rsidRDefault="00142E5B" w:rsidP="00580C0D">
            <w:pPr>
              <w:ind w:right="284"/>
              <w:jc w:val="right"/>
            </w:pPr>
            <w:r w:rsidRPr="00580C0D">
              <w:t>972</w:t>
            </w:r>
          </w:p>
        </w:tc>
        <w:tc>
          <w:tcPr>
            <w:tcW w:w="5571" w:type="dxa"/>
            <w:tcBorders>
              <w:top w:val="nil"/>
              <w:left w:val="nil"/>
              <w:bottom w:val="nil"/>
              <w:right w:val="nil"/>
            </w:tcBorders>
            <w:tcMar>
              <w:top w:w="128" w:type="dxa"/>
              <w:left w:w="43" w:type="dxa"/>
              <w:bottom w:w="43" w:type="dxa"/>
              <w:right w:w="43" w:type="dxa"/>
            </w:tcMar>
          </w:tcPr>
          <w:p w14:paraId="304E0A82" w14:textId="77777777" w:rsidR="00F7113A" w:rsidRPr="00580C0D" w:rsidRDefault="00142E5B" w:rsidP="00580C0D">
            <w:proofErr w:type="spellStart"/>
            <w:r w:rsidRPr="00580C0D">
              <w:t>eigendel</w:t>
            </w:r>
            <w:proofErr w:type="spellEnd"/>
            <w:r w:rsidRPr="00580C0D">
              <w:t xml:space="preserve"> for mat i </w:t>
            </w:r>
            <w:proofErr w:type="spellStart"/>
            <w:r w:rsidRPr="00580C0D">
              <w:t>krisesentera</w:t>
            </w:r>
            <w:proofErr w:type="spellEnd"/>
          </w:p>
        </w:tc>
        <w:tc>
          <w:tcPr>
            <w:tcW w:w="1480" w:type="dxa"/>
            <w:tcBorders>
              <w:top w:val="nil"/>
              <w:left w:val="nil"/>
              <w:bottom w:val="nil"/>
              <w:right w:val="nil"/>
            </w:tcBorders>
            <w:tcMar>
              <w:top w:w="128" w:type="dxa"/>
              <w:left w:w="43" w:type="dxa"/>
              <w:bottom w:w="43" w:type="dxa"/>
              <w:right w:w="43" w:type="dxa"/>
            </w:tcMar>
          </w:tcPr>
          <w:p w14:paraId="3CF5DA4B" w14:textId="77777777" w:rsidR="00F7113A" w:rsidRPr="00580C0D" w:rsidRDefault="00142E5B" w:rsidP="00580C0D">
            <w:pPr>
              <w:jc w:val="right"/>
            </w:pPr>
            <w:r w:rsidRPr="00580C0D">
              <w:t>Nei</w:t>
            </w:r>
          </w:p>
        </w:tc>
      </w:tr>
      <w:tr w:rsidR="00F7113A" w:rsidRPr="00580C0D" w14:paraId="414ABDBF"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0B6B4036"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2C8B0912" w14:textId="77777777" w:rsidR="00F7113A" w:rsidRPr="00580C0D" w:rsidRDefault="00142E5B" w:rsidP="00580C0D">
            <w:pPr>
              <w:ind w:right="284"/>
              <w:jc w:val="right"/>
            </w:pPr>
            <w:r w:rsidRPr="00580C0D">
              <w:t>1124</w:t>
            </w:r>
          </w:p>
        </w:tc>
        <w:tc>
          <w:tcPr>
            <w:tcW w:w="5571" w:type="dxa"/>
            <w:tcBorders>
              <w:top w:val="nil"/>
              <w:left w:val="nil"/>
              <w:bottom w:val="nil"/>
              <w:right w:val="nil"/>
            </w:tcBorders>
            <w:tcMar>
              <w:top w:w="128" w:type="dxa"/>
              <w:left w:w="43" w:type="dxa"/>
              <w:bottom w:w="43" w:type="dxa"/>
              <w:right w:w="43" w:type="dxa"/>
            </w:tcMar>
          </w:tcPr>
          <w:p w14:paraId="6CE7CCE1" w14:textId="77777777" w:rsidR="00F7113A" w:rsidRPr="00580C0D" w:rsidRDefault="00142E5B" w:rsidP="00580C0D">
            <w:proofErr w:type="spellStart"/>
            <w:r w:rsidRPr="00580C0D">
              <w:t>tverrfagleg</w:t>
            </w:r>
            <w:proofErr w:type="spellEnd"/>
            <w:r w:rsidRPr="00580C0D">
              <w:t xml:space="preserve"> kompetanse på rus og vald i </w:t>
            </w:r>
            <w:proofErr w:type="spellStart"/>
            <w:r w:rsidRPr="00580C0D">
              <w:t>krisesentera</w:t>
            </w:r>
            <w:proofErr w:type="spellEnd"/>
            <w:r w:rsidRPr="00580C0D">
              <w:t xml:space="preserve"> </w:t>
            </w:r>
          </w:p>
        </w:tc>
        <w:tc>
          <w:tcPr>
            <w:tcW w:w="1480" w:type="dxa"/>
            <w:tcBorders>
              <w:top w:val="nil"/>
              <w:left w:val="nil"/>
              <w:bottom w:val="nil"/>
              <w:right w:val="nil"/>
            </w:tcBorders>
            <w:tcMar>
              <w:top w:w="128" w:type="dxa"/>
              <w:left w:w="43" w:type="dxa"/>
              <w:bottom w:w="43" w:type="dxa"/>
              <w:right w:w="43" w:type="dxa"/>
            </w:tcMar>
          </w:tcPr>
          <w:p w14:paraId="13ABCFAC" w14:textId="77777777" w:rsidR="00F7113A" w:rsidRPr="00580C0D" w:rsidRDefault="00142E5B" w:rsidP="00580C0D">
            <w:pPr>
              <w:jc w:val="right"/>
            </w:pPr>
            <w:r w:rsidRPr="00580C0D">
              <w:t>Nei</w:t>
            </w:r>
          </w:p>
        </w:tc>
      </w:tr>
      <w:tr w:rsidR="00F7113A" w:rsidRPr="00580C0D" w14:paraId="7377B1AD" w14:textId="77777777" w:rsidTr="00580C0D">
        <w:trPr>
          <w:trHeight w:val="640"/>
        </w:trPr>
        <w:tc>
          <w:tcPr>
            <w:tcW w:w="1375" w:type="dxa"/>
            <w:tcBorders>
              <w:top w:val="nil"/>
              <w:left w:val="nil"/>
              <w:bottom w:val="nil"/>
              <w:right w:val="nil"/>
            </w:tcBorders>
            <w:tcMar>
              <w:top w:w="128" w:type="dxa"/>
              <w:left w:w="43" w:type="dxa"/>
              <w:bottom w:w="43" w:type="dxa"/>
              <w:right w:w="43" w:type="dxa"/>
            </w:tcMar>
          </w:tcPr>
          <w:p w14:paraId="6B5E0E11"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124E9F89" w14:textId="77777777" w:rsidR="00F7113A" w:rsidRPr="00580C0D" w:rsidRDefault="00142E5B" w:rsidP="00580C0D">
            <w:pPr>
              <w:ind w:right="284"/>
              <w:jc w:val="right"/>
            </w:pPr>
            <w:r w:rsidRPr="00580C0D">
              <w:t>1195</w:t>
            </w:r>
          </w:p>
        </w:tc>
        <w:tc>
          <w:tcPr>
            <w:tcW w:w="5571" w:type="dxa"/>
            <w:tcBorders>
              <w:top w:val="nil"/>
              <w:left w:val="nil"/>
              <w:bottom w:val="nil"/>
              <w:right w:val="nil"/>
            </w:tcBorders>
            <w:tcMar>
              <w:top w:w="128" w:type="dxa"/>
              <w:left w:w="43" w:type="dxa"/>
              <w:bottom w:w="43" w:type="dxa"/>
              <w:right w:w="43" w:type="dxa"/>
            </w:tcMar>
          </w:tcPr>
          <w:p w14:paraId="6D4AF9E6" w14:textId="77777777" w:rsidR="00F7113A" w:rsidRPr="00580C0D" w:rsidRDefault="00142E5B" w:rsidP="00580C0D">
            <w:r w:rsidRPr="00580C0D">
              <w:t xml:space="preserve">krav om autorisasjon for </w:t>
            </w:r>
            <w:proofErr w:type="gramStart"/>
            <w:r w:rsidRPr="00580C0D">
              <w:t>tilsette</w:t>
            </w:r>
            <w:proofErr w:type="gramEnd"/>
            <w:r w:rsidRPr="00580C0D">
              <w:t xml:space="preserve"> som skal jobbe med </w:t>
            </w:r>
            <w:proofErr w:type="spellStart"/>
            <w:r w:rsidRPr="00580C0D">
              <w:t>omsorgsovertakingar</w:t>
            </w:r>
            <w:proofErr w:type="spellEnd"/>
          </w:p>
        </w:tc>
        <w:tc>
          <w:tcPr>
            <w:tcW w:w="1480" w:type="dxa"/>
            <w:tcBorders>
              <w:top w:val="nil"/>
              <w:left w:val="nil"/>
              <w:bottom w:val="nil"/>
              <w:right w:val="nil"/>
            </w:tcBorders>
            <w:tcMar>
              <w:top w:w="128" w:type="dxa"/>
              <w:left w:w="43" w:type="dxa"/>
              <w:bottom w:w="43" w:type="dxa"/>
              <w:right w:w="43" w:type="dxa"/>
            </w:tcMar>
          </w:tcPr>
          <w:p w14:paraId="7061D00F" w14:textId="77777777" w:rsidR="00F7113A" w:rsidRPr="00580C0D" w:rsidRDefault="00142E5B" w:rsidP="00580C0D">
            <w:pPr>
              <w:jc w:val="right"/>
            </w:pPr>
            <w:r w:rsidRPr="00580C0D">
              <w:t>Nei</w:t>
            </w:r>
          </w:p>
        </w:tc>
      </w:tr>
      <w:tr w:rsidR="00F7113A" w:rsidRPr="00580C0D" w14:paraId="346C73AE"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51E83F25"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55CB4DAD" w14:textId="77777777" w:rsidR="00F7113A" w:rsidRPr="00580C0D" w:rsidRDefault="00142E5B" w:rsidP="00580C0D">
            <w:pPr>
              <w:ind w:right="284"/>
              <w:jc w:val="right"/>
            </w:pPr>
            <w:r w:rsidRPr="00580C0D">
              <w:t>1197</w:t>
            </w:r>
          </w:p>
        </w:tc>
        <w:tc>
          <w:tcPr>
            <w:tcW w:w="5571" w:type="dxa"/>
            <w:tcBorders>
              <w:top w:val="nil"/>
              <w:left w:val="nil"/>
              <w:bottom w:val="nil"/>
              <w:right w:val="nil"/>
            </w:tcBorders>
            <w:tcMar>
              <w:top w:w="128" w:type="dxa"/>
              <w:left w:w="43" w:type="dxa"/>
              <w:bottom w:w="43" w:type="dxa"/>
              <w:right w:w="43" w:type="dxa"/>
            </w:tcMar>
          </w:tcPr>
          <w:p w14:paraId="736FBA84" w14:textId="77777777" w:rsidR="00F7113A" w:rsidRPr="00580C0D" w:rsidRDefault="00142E5B" w:rsidP="00580C0D">
            <w:r w:rsidRPr="00580C0D">
              <w:t>ordning med andrehandsvurdering av akuttvedtak</w:t>
            </w:r>
          </w:p>
        </w:tc>
        <w:tc>
          <w:tcPr>
            <w:tcW w:w="1480" w:type="dxa"/>
            <w:tcBorders>
              <w:top w:val="nil"/>
              <w:left w:val="nil"/>
              <w:bottom w:val="nil"/>
              <w:right w:val="nil"/>
            </w:tcBorders>
            <w:tcMar>
              <w:top w:w="128" w:type="dxa"/>
              <w:left w:w="43" w:type="dxa"/>
              <w:bottom w:w="43" w:type="dxa"/>
              <w:right w:w="43" w:type="dxa"/>
            </w:tcMar>
          </w:tcPr>
          <w:p w14:paraId="20533D89" w14:textId="77777777" w:rsidR="00F7113A" w:rsidRPr="00580C0D" w:rsidRDefault="00142E5B" w:rsidP="00580C0D">
            <w:pPr>
              <w:jc w:val="right"/>
            </w:pPr>
            <w:r w:rsidRPr="00580C0D">
              <w:t>Nei</w:t>
            </w:r>
          </w:p>
        </w:tc>
      </w:tr>
      <w:tr w:rsidR="00F7113A" w:rsidRPr="00580C0D" w14:paraId="636EDE0E"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3F9EBBEB"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479BFAD1" w14:textId="77777777" w:rsidR="00F7113A" w:rsidRPr="00580C0D" w:rsidRDefault="00142E5B" w:rsidP="00580C0D">
            <w:pPr>
              <w:ind w:right="284"/>
              <w:jc w:val="right"/>
            </w:pPr>
            <w:r w:rsidRPr="00580C0D">
              <w:t>1198</w:t>
            </w:r>
          </w:p>
        </w:tc>
        <w:tc>
          <w:tcPr>
            <w:tcW w:w="5571" w:type="dxa"/>
            <w:tcBorders>
              <w:top w:val="nil"/>
              <w:left w:val="nil"/>
              <w:bottom w:val="nil"/>
              <w:right w:val="nil"/>
            </w:tcBorders>
            <w:tcMar>
              <w:top w:w="128" w:type="dxa"/>
              <w:left w:w="43" w:type="dxa"/>
              <w:bottom w:w="43" w:type="dxa"/>
              <w:right w:w="43" w:type="dxa"/>
            </w:tcMar>
          </w:tcPr>
          <w:p w14:paraId="45F1F29A" w14:textId="77777777" w:rsidR="00F7113A" w:rsidRPr="00580C0D" w:rsidRDefault="00142E5B" w:rsidP="00580C0D">
            <w:r w:rsidRPr="00580C0D">
              <w:t>alternativt omgrep til «</w:t>
            </w:r>
            <w:proofErr w:type="spellStart"/>
            <w:r w:rsidRPr="00580C0D">
              <w:t>åtferd</w:t>
            </w:r>
            <w:proofErr w:type="spellEnd"/>
            <w:r w:rsidRPr="00580C0D">
              <w:t>» i barnevernslova</w:t>
            </w:r>
          </w:p>
        </w:tc>
        <w:tc>
          <w:tcPr>
            <w:tcW w:w="1480" w:type="dxa"/>
            <w:tcBorders>
              <w:top w:val="nil"/>
              <w:left w:val="nil"/>
              <w:bottom w:val="nil"/>
              <w:right w:val="nil"/>
            </w:tcBorders>
            <w:tcMar>
              <w:top w:w="128" w:type="dxa"/>
              <w:left w:w="43" w:type="dxa"/>
              <w:bottom w:w="43" w:type="dxa"/>
              <w:right w:w="43" w:type="dxa"/>
            </w:tcMar>
          </w:tcPr>
          <w:p w14:paraId="6DF4CD24" w14:textId="77777777" w:rsidR="00F7113A" w:rsidRPr="00580C0D" w:rsidRDefault="00142E5B" w:rsidP="00580C0D">
            <w:pPr>
              <w:jc w:val="right"/>
            </w:pPr>
            <w:r w:rsidRPr="00580C0D">
              <w:t>Nei</w:t>
            </w:r>
          </w:p>
        </w:tc>
      </w:tr>
      <w:tr w:rsidR="00F7113A" w:rsidRPr="00580C0D" w14:paraId="59F9D4F1" w14:textId="77777777" w:rsidTr="00580C0D">
        <w:trPr>
          <w:trHeight w:val="640"/>
        </w:trPr>
        <w:tc>
          <w:tcPr>
            <w:tcW w:w="1375" w:type="dxa"/>
            <w:tcBorders>
              <w:top w:val="nil"/>
              <w:left w:val="nil"/>
              <w:bottom w:val="nil"/>
              <w:right w:val="nil"/>
            </w:tcBorders>
            <w:tcMar>
              <w:top w:w="128" w:type="dxa"/>
              <w:left w:w="43" w:type="dxa"/>
              <w:bottom w:w="43" w:type="dxa"/>
              <w:right w:w="43" w:type="dxa"/>
            </w:tcMar>
          </w:tcPr>
          <w:p w14:paraId="2F49A238" w14:textId="77777777" w:rsidR="00F7113A" w:rsidRPr="00580C0D" w:rsidRDefault="00142E5B" w:rsidP="00580C0D">
            <w:r w:rsidRPr="00580C0D">
              <w:t>2020–2021</w:t>
            </w:r>
          </w:p>
        </w:tc>
        <w:tc>
          <w:tcPr>
            <w:tcW w:w="1134" w:type="dxa"/>
            <w:tcBorders>
              <w:top w:val="nil"/>
              <w:left w:val="nil"/>
              <w:bottom w:val="nil"/>
              <w:right w:val="nil"/>
            </w:tcBorders>
            <w:tcMar>
              <w:top w:w="128" w:type="dxa"/>
              <w:left w:w="43" w:type="dxa"/>
              <w:bottom w:w="43" w:type="dxa"/>
              <w:right w:w="43" w:type="dxa"/>
            </w:tcMar>
          </w:tcPr>
          <w:p w14:paraId="36E0FDBC" w14:textId="77777777" w:rsidR="00F7113A" w:rsidRPr="00580C0D" w:rsidRDefault="00142E5B" w:rsidP="00580C0D">
            <w:pPr>
              <w:ind w:right="284"/>
              <w:jc w:val="right"/>
            </w:pPr>
            <w:r w:rsidRPr="00580C0D">
              <w:t>1201</w:t>
            </w:r>
          </w:p>
        </w:tc>
        <w:tc>
          <w:tcPr>
            <w:tcW w:w="5571" w:type="dxa"/>
            <w:tcBorders>
              <w:top w:val="nil"/>
              <w:left w:val="nil"/>
              <w:bottom w:val="nil"/>
              <w:right w:val="nil"/>
            </w:tcBorders>
            <w:tcMar>
              <w:top w:w="128" w:type="dxa"/>
              <w:left w:w="43" w:type="dxa"/>
              <w:bottom w:w="43" w:type="dxa"/>
              <w:right w:w="43" w:type="dxa"/>
            </w:tcMar>
          </w:tcPr>
          <w:p w14:paraId="7072E265" w14:textId="77777777" w:rsidR="00F7113A" w:rsidRPr="00580C0D" w:rsidRDefault="00142E5B" w:rsidP="00580C0D">
            <w:r w:rsidRPr="00580C0D">
              <w:t xml:space="preserve">oppfølging av </w:t>
            </w:r>
            <w:proofErr w:type="spellStart"/>
            <w:r w:rsidRPr="00580C0D">
              <w:t>tilrådingane</w:t>
            </w:r>
            <w:proofErr w:type="spellEnd"/>
            <w:r w:rsidRPr="00580C0D">
              <w:t xml:space="preserve"> </w:t>
            </w:r>
            <w:proofErr w:type="spellStart"/>
            <w:r w:rsidRPr="00580C0D">
              <w:t>frå</w:t>
            </w:r>
            <w:proofErr w:type="spellEnd"/>
            <w:r w:rsidRPr="00580C0D">
              <w:t xml:space="preserve"> </w:t>
            </w:r>
            <w:proofErr w:type="spellStart"/>
            <w:r w:rsidRPr="00580C0D">
              <w:t>rettstryggleiksutvalet</w:t>
            </w:r>
            <w:proofErr w:type="spellEnd"/>
            <w:r w:rsidRPr="00580C0D">
              <w:t xml:space="preserve"> på barnevernsområdet</w:t>
            </w:r>
          </w:p>
        </w:tc>
        <w:tc>
          <w:tcPr>
            <w:tcW w:w="1480" w:type="dxa"/>
            <w:tcBorders>
              <w:top w:val="nil"/>
              <w:left w:val="nil"/>
              <w:bottom w:val="nil"/>
              <w:right w:val="nil"/>
            </w:tcBorders>
            <w:tcMar>
              <w:top w:w="128" w:type="dxa"/>
              <w:left w:w="43" w:type="dxa"/>
              <w:bottom w:w="43" w:type="dxa"/>
              <w:right w:w="43" w:type="dxa"/>
            </w:tcMar>
          </w:tcPr>
          <w:p w14:paraId="02643960" w14:textId="77777777" w:rsidR="00F7113A" w:rsidRPr="00580C0D" w:rsidRDefault="00142E5B" w:rsidP="00580C0D">
            <w:pPr>
              <w:jc w:val="right"/>
            </w:pPr>
            <w:r w:rsidRPr="00580C0D">
              <w:t>Nei</w:t>
            </w:r>
          </w:p>
        </w:tc>
      </w:tr>
      <w:tr w:rsidR="00F7113A" w:rsidRPr="00580C0D" w14:paraId="53C4F199"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606AFCD0" w14:textId="77777777" w:rsidR="00F7113A" w:rsidRPr="00580C0D" w:rsidRDefault="00142E5B" w:rsidP="00580C0D">
            <w:r w:rsidRPr="00580C0D">
              <w:t>2019–2020</w:t>
            </w:r>
          </w:p>
        </w:tc>
        <w:tc>
          <w:tcPr>
            <w:tcW w:w="1134" w:type="dxa"/>
            <w:tcBorders>
              <w:top w:val="nil"/>
              <w:left w:val="nil"/>
              <w:bottom w:val="nil"/>
              <w:right w:val="nil"/>
            </w:tcBorders>
            <w:tcMar>
              <w:top w:w="128" w:type="dxa"/>
              <w:left w:w="43" w:type="dxa"/>
              <w:bottom w:w="43" w:type="dxa"/>
              <w:right w:w="43" w:type="dxa"/>
            </w:tcMar>
          </w:tcPr>
          <w:p w14:paraId="0371B18D" w14:textId="77777777" w:rsidR="00F7113A" w:rsidRPr="00580C0D" w:rsidRDefault="00142E5B" w:rsidP="00580C0D">
            <w:pPr>
              <w:ind w:right="284"/>
              <w:jc w:val="right"/>
            </w:pPr>
            <w:r w:rsidRPr="00580C0D">
              <w:t>498</w:t>
            </w:r>
          </w:p>
        </w:tc>
        <w:tc>
          <w:tcPr>
            <w:tcW w:w="5571" w:type="dxa"/>
            <w:tcBorders>
              <w:top w:val="nil"/>
              <w:left w:val="nil"/>
              <w:bottom w:val="nil"/>
              <w:right w:val="nil"/>
            </w:tcBorders>
            <w:tcMar>
              <w:top w:w="128" w:type="dxa"/>
              <w:left w:w="43" w:type="dxa"/>
              <w:bottom w:w="43" w:type="dxa"/>
              <w:right w:w="43" w:type="dxa"/>
            </w:tcMar>
          </w:tcPr>
          <w:p w14:paraId="3BB5169C" w14:textId="77777777" w:rsidR="00F7113A" w:rsidRPr="00580C0D" w:rsidRDefault="00142E5B" w:rsidP="00580C0D">
            <w:proofErr w:type="spellStart"/>
            <w:r w:rsidRPr="00580C0D">
              <w:t>forbod</w:t>
            </w:r>
            <w:proofErr w:type="spellEnd"/>
            <w:r w:rsidRPr="00580C0D">
              <w:t xml:space="preserve"> mot etter-skule-</w:t>
            </w:r>
            <w:proofErr w:type="spellStart"/>
            <w:r w:rsidRPr="00580C0D">
              <w:t>tilbod</w:t>
            </w:r>
            <w:proofErr w:type="spellEnd"/>
            <w:r w:rsidRPr="00580C0D">
              <w:t xml:space="preserve"> for barn med overnatting</w:t>
            </w:r>
          </w:p>
        </w:tc>
        <w:tc>
          <w:tcPr>
            <w:tcW w:w="1480" w:type="dxa"/>
            <w:tcBorders>
              <w:top w:val="nil"/>
              <w:left w:val="nil"/>
              <w:bottom w:val="nil"/>
              <w:right w:val="nil"/>
            </w:tcBorders>
            <w:tcMar>
              <w:top w:w="128" w:type="dxa"/>
              <w:left w:w="43" w:type="dxa"/>
              <w:bottom w:w="43" w:type="dxa"/>
              <w:right w:w="43" w:type="dxa"/>
            </w:tcMar>
          </w:tcPr>
          <w:p w14:paraId="2D3134D7" w14:textId="77777777" w:rsidR="00F7113A" w:rsidRPr="00580C0D" w:rsidRDefault="00142E5B" w:rsidP="00580C0D">
            <w:pPr>
              <w:jc w:val="right"/>
            </w:pPr>
            <w:r w:rsidRPr="00580C0D">
              <w:t>Nei</w:t>
            </w:r>
          </w:p>
        </w:tc>
      </w:tr>
      <w:tr w:rsidR="00F7113A" w:rsidRPr="00580C0D" w14:paraId="44A23578"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45755E16" w14:textId="77777777" w:rsidR="00F7113A" w:rsidRPr="00580C0D" w:rsidRDefault="00142E5B" w:rsidP="00580C0D">
            <w:r w:rsidRPr="00580C0D">
              <w:t>2019–2020</w:t>
            </w:r>
          </w:p>
        </w:tc>
        <w:tc>
          <w:tcPr>
            <w:tcW w:w="1134" w:type="dxa"/>
            <w:tcBorders>
              <w:top w:val="nil"/>
              <w:left w:val="nil"/>
              <w:bottom w:val="nil"/>
              <w:right w:val="nil"/>
            </w:tcBorders>
            <w:tcMar>
              <w:top w:w="128" w:type="dxa"/>
              <w:left w:w="43" w:type="dxa"/>
              <w:bottom w:w="43" w:type="dxa"/>
              <w:right w:w="43" w:type="dxa"/>
            </w:tcMar>
          </w:tcPr>
          <w:p w14:paraId="42A75439" w14:textId="77777777" w:rsidR="00F7113A" w:rsidRPr="00580C0D" w:rsidRDefault="00142E5B" w:rsidP="00580C0D">
            <w:pPr>
              <w:ind w:right="284"/>
              <w:jc w:val="right"/>
            </w:pPr>
            <w:r w:rsidRPr="00580C0D">
              <w:t>500</w:t>
            </w:r>
          </w:p>
        </w:tc>
        <w:tc>
          <w:tcPr>
            <w:tcW w:w="5571" w:type="dxa"/>
            <w:tcBorders>
              <w:top w:val="nil"/>
              <w:left w:val="nil"/>
              <w:bottom w:val="nil"/>
              <w:right w:val="nil"/>
            </w:tcBorders>
            <w:tcMar>
              <w:top w:w="128" w:type="dxa"/>
              <w:left w:w="43" w:type="dxa"/>
              <w:bottom w:w="43" w:type="dxa"/>
              <w:right w:w="43" w:type="dxa"/>
            </w:tcMar>
          </w:tcPr>
          <w:p w14:paraId="2856ED91" w14:textId="77777777" w:rsidR="00F7113A" w:rsidRPr="00580C0D" w:rsidRDefault="00142E5B" w:rsidP="00580C0D">
            <w:r w:rsidRPr="00580C0D">
              <w:t xml:space="preserve">oppdeling av Opplysningsvesenets fond </w:t>
            </w:r>
          </w:p>
        </w:tc>
        <w:tc>
          <w:tcPr>
            <w:tcW w:w="1480" w:type="dxa"/>
            <w:tcBorders>
              <w:top w:val="nil"/>
              <w:left w:val="nil"/>
              <w:bottom w:val="nil"/>
              <w:right w:val="nil"/>
            </w:tcBorders>
            <w:tcMar>
              <w:top w:w="128" w:type="dxa"/>
              <w:left w:w="43" w:type="dxa"/>
              <w:bottom w:w="43" w:type="dxa"/>
              <w:right w:w="43" w:type="dxa"/>
            </w:tcMar>
          </w:tcPr>
          <w:p w14:paraId="29E4ABDE" w14:textId="77777777" w:rsidR="00F7113A" w:rsidRPr="00580C0D" w:rsidRDefault="00142E5B" w:rsidP="00580C0D">
            <w:pPr>
              <w:jc w:val="right"/>
            </w:pPr>
            <w:r w:rsidRPr="00580C0D">
              <w:t>Nei</w:t>
            </w:r>
          </w:p>
        </w:tc>
      </w:tr>
      <w:tr w:rsidR="00F7113A" w:rsidRPr="00580C0D" w14:paraId="51EEB6BD"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1DEA23EC" w14:textId="77777777" w:rsidR="00F7113A" w:rsidRPr="00580C0D" w:rsidRDefault="00142E5B" w:rsidP="00580C0D">
            <w:r w:rsidRPr="00580C0D">
              <w:t>2019–2020</w:t>
            </w:r>
          </w:p>
        </w:tc>
        <w:tc>
          <w:tcPr>
            <w:tcW w:w="1134" w:type="dxa"/>
            <w:tcBorders>
              <w:top w:val="nil"/>
              <w:left w:val="nil"/>
              <w:bottom w:val="nil"/>
              <w:right w:val="nil"/>
            </w:tcBorders>
            <w:tcMar>
              <w:top w:w="128" w:type="dxa"/>
              <w:left w:w="43" w:type="dxa"/>
              <w:bottom w:w="43" w:type="dxa"/>
              <w:right w:w="43" w:type="dxa"/>
            </w:tcMar>
          </w:tcPr>
          <w:p w14:paraId="3A70DAB8" w14:textId="77777777" w:rsidR="00F7113A" w:rsidRPr="00580C0D" w:rsidRDefault="00142E5B" w:rsidP="00580C0D">
            <w:pPr>
              <w:ind w:right="284"/>
              <w:jc w:val="right"/>
            </w:pPr>
            <w:r w:rsidRPr="00580C0D">
              <w:t>501</w:t>
            </w:r>
          </w:p>
        </w:tc>
        <w:tc>
          <w:tcPr>
            <w:tcW w:w="5571" w:type="dxa"/>
            <w:tcBorders>
              <w:top w:val="nil"/>
              <w:left w:val="nil"/>
              <w:bottom w:val="nil"/>
              <w:right w:val="nil"/>
            </w:tcBorders>
            <w:tcMar>
              <w:top w:w="128" w:type="dxa"/>
              <w:left w:w="43" w:type="dxa"/>
              <w:bottom w:w="43" w:type="dxa"/>
              <w:right w:w="43" w:type="dxa"/>
            </w:tcMar>
          </w:tcPr>
          <w:p w14:paraId="16839159" w14:textId="77777777" w:rsidR="00F7113A" w:rsidRPr="00580C0D" w:rsidRDefault="00142E5B" w:rsidP="00580C0D">
            <w:r w:rsidRPr="00580C0D">
              <w:t xml:space="preserve">Opplysningsvesenets fond – </w:t>
            </w:r>
            <w:proofErr w:type="spellStart"/>
            <w:r w:rsidRPr="00580C0D">
              <w:t>fondseigedommane</w:t>
            </w:r>
            <w:proofErr w:type="spellEnd"/>
            <w:r w:rsidRPr="00580C0D">
              <w:t xml:space="preserve"> staten </w:t>
            </w:r>
            <w:proofErr w:type="spellStart"/>
            <w:r w:rsidRPr="00580C0D">
              <w:t>tek</w:t>
            </w:r>
            <w:proofErr w:type="spellEnd"/>
            <w:r w:rsidRPr="00580C0D">
              <w:t> over</w:t>
            </w:r>
          </w:p>
        </w:tc>
        <w:tc>
          <w:tcPr>
            <w:tcW w:w="1480" w:type="dxa"/>
            <w:tcBorders>
              <w:top w:val="nil"/>
              <w:left w:val="nil"/>
              <w:bottom w:val="nil"/>
              <w:right w:val="nil"/>
            </w:tcBorders>
            <w:tcMar>
              <w:top w:w="128" w:type="dxa"/>
              <w:left w:w="43" w:type="dxa"/>
              <w:bottom w:w="43" w:type="dxa"/>
              <w:right w:w="43" w:type="dxa"/>
            </w:tcMar>
          </w:tcPr>
          <w:p w14:paraId="506BC844" w14:textId="77777777" w:rsidR="00F7113A" w:rsidRPr="00580C0D" w:rsidRDefault="00142E5B" w:rsidP="00580C0D">
            <w:pPr>
              <w:jc w:val="right"/>
            </w:pPr>
            <w:r w:rsidRPr="00580C0D">
              <w:t>Nei</w:t>
            </w:r>
          </w:p>
        </w:tc>
      </w:tr>
      <w:tr w:rsidR="00F7113A" w:rsidRPr="00580C0D" w14:paraId="7E4DF672"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4DE548ED" w14:textId="77777777" w:rsidR="00F7113A" w:rsidRPr="00580C0D" w:rsidRDefault="00142E5B" w:rsidP="00580C0D">
            <w:r w:rsidRPr="00580C0D">
              <w:t>2019–2020</w:t>
            </w:r>
          </w:p>
        </w:tc>
        <w:tc>
          <w:tcPr>
            <w:tcW w:w="1134" w:type="dxa"/>
            <w:tcBorders>
              <w:top w:val="nil"/>
              <w:left w:val="nil"/>
              <w:bottom w:val="nil"/>
              <w:right w:val="nil"/>
            </w:tcBorders>
            <w:tcMar>
              <w:top w:w="128" w:type="dxa"/>
              <w:left w:w="43" w:type="dxa"/>
              <w:bottom w:w="43" w:type="dxa"/>
              <w:right w:w="43" w:type="dxa"/>
            </w:tcMar>
          </w:tcPr>
          <w:p w14:paraId="702B84E3" w14:textId="77777777" w:rsidR="00F7113A" w:rsidRPr="00580C0D" w:rsidRDefault="00142E5B" w:rsidP="00580C0D">
            <w:pPr>
              <w:ind w:right="284"/>
              <w:jc w:val="right"/>
            </w:pPr>
            <w:r w:rsidRPr="00580C0D">
              <w:t>502</w:t>
            </w:r>
          </w:p>
        </w:tc>
        <w:tc>
          <w:tcPr>
            <w:tcW w:w="5571" w:type="dxa"/>
            <w:tcBorders>
              <w:top w:val="nil"/>
              <w:left w:val="nil"/>
              <w:bottom w:val="nil"/>
              <w:right w:val="nil"/>
            </w:tcBorders>
            <w:tcMar>
              <w:top w:w="128" w:type="dxa"/>
              <w:left w:w="43" w:type="dxa"/>
              <w:bottom w:w="43" w:type="dxa"/>
              <w:right w:w="43" w:type="dxa"/>
            </w:tcMar>
          </w:tcPr>
          <w:p w14:paraId="5095DBAB" w14:textId="77777777" w:rsidR="00F7113A" w:rsidRPr="00580C0D" w:rsidRDefault="00142E5B" w:rsidP="00580C0D">
            <w:proofErr w:type="spellStart"/>
            <w:r w:rsidRPr="00580C0D">
              <w:t>utbetring</w:t>
            </w:r>
            <w:proofErr w:type="spellEnd"/>
            <w:r w:rsidRPr="00580C0D">
              <w:t xml:space="preserve"> av verneverdige </w:t>
            </w:r>
            <w:proofErr w:type="spellStart"/>
            <w:r w:rsidRPr="00580C0D">
              <w:t>kyrkjebygg</w:t>
            </w:r>
            <w:proofErr w:type="spellEnd"/>
          </w:p>
        </w:tc>
        <w:tc>
          <w:tcPr>
            <w:tcW w:w="1480" w:type="dxa"/>
            <w:tcBorders>
              <w:top w:val="nil"/>
              <w:left w:val="nil"/>
              <w:bottom w:val="nil"/>
              <w:right w:val="nil"/>
            </w:tcBorders>
            <w:tcMar>
              <w:top w:w="128" w:type="dxa"/>
              <w:left w:w="43" w:type="dxa"/>
              <w:bottom w:w="43" w:type="dxa"/>
              <w:right w:w="43" w:type="dxa"/>
            </w:tcMar>
          </w:tcPr>
          <w:p w14:paraId="20191BD8" w14:textId="77777777" w:rsidR="00F7113A" w:rsidRPr="00580C0D" w:rsidRDefault="00142E5B" w:rsidP="00580C0D">
            <w:pPr>
              <w:jc w:val="right"/>
            </w:pPr>
            <w:r w:rsidRPr="00580C0D">
              <w:t>Nei</w:t>
            </w:r>
          </w:p>
        </w:tc>
      </w:tr>
      <w:tr w:rsidR="00F7113A" w:rsidRPr="00580C0D" w14:paraId="01143F66" w14:textId="77777777" w:rsidTr="00580C0D">
        <w:trPr>
          <w:trHeight w:val="640"/>
        </w:trPr>
        <w:tc>
          <w:tcPr>
            <w:tcW w:w="1375" w:type="dxa"/>
            <w:tcBorders>
              <w:top w:val="nil"/>
              <w:left w:val="nil"/>
              <w:bottom w:val="nil"/>
              <w:right w:val="nil"/>
            </w:tcBorders>
            <w:tcMar>
              <w:top w:w="128" w:type="dxa"/>
              <w:left w:w="43" w:type="dxa"/>
              <w:bottom w:w="43" w:type="dxa"/>
              <w:right w:w="43" w:type="dxa"/>
            </w:tcMar>
          </w:tcPr>
          <w:p w14:paraId="0FF47079" w14:textId="77777777" w:rsidR="00F7113A" w:rsidRPr="00580C0D" w:rsidRDefault="00142E5B" w:rsidP="00580C0D">
            <w:r w:rsidRPr="00580C0D">
              <w:t>2019–2020</w:t>
            </w:r>
          </w:p>
        </w:tc>
        <w:tc>
          <w:tcPr>
            <w:tcW w:w="1134" w:type="dxa"/>
            <w:tcBorders>
              <w:top w:val="nil"/>
              <w:left w:val="nil"/>
              <w:bottom w:val="nil"/>
              <w:right w:val="nil"/>
            </w:tcBorders>
            <w:tcMar>
              <w:top w:w="128" w:type="dxa"/>
              <w:left w:w="43" w:type="dxa"/>
              <w:bottom w:w="43" w:type="dxa"/>
              <w:right w:w="43" w:type="dxa"/>
            </w:tcMar>
          </w:tcPr>
          <w:p w14:paraId="2F8B8B94" w14:textId="77777777" w:rsidR="00F7113A" w:rsidRPr="00580C0D" w:rsidRDefault="00142E5B" w:rsidP="00580C0D">
            <w:pPr>
              <w:ind w:right="284"/>
              <w:jc w:val="right"/>
            </w:pPr>
            <w:r w:rsidRPr="00580C0D">
              <w:t>637</w:t>
            </w:r>
          </w:p>
        </w:tc>
        <w:tc>
          <w:tcPr>
            <w:tcW w:w="5571" w:type="dxa"/>
            <w:tcBorders>
              <w:top w:val="nil"/>
              <w:left w:val="nil"/>
              <w:bottom w:val="nil"/>
              <w:right w:val="nil"/>
            </w:tcBorders>
            <w:tcMar>
              <w:top w:w="128" w:type="dxa"/>
              <w:left w:w="43" w:type="dxa"/>
              <w:bottom w:w="43" w:type="dxa"/>
              <w:right w:w="43" w:type="dxa"/>
            </w:tcMar>
          </w:tcPr>
          <w:p w14:paraId="17767A65" w14:textId="77777777" w:rsidR="00F7113A" w:rsidRPr="00580C0D" w:rsidRDefault="00142E5B" w:rsidP="00580C0D">
            <w:r w:rsidRPr="00580C0D">
              <w:t xml:space="preserve">FN-konvensjonen om </w:t>
            </w:r>
            <w:proofErr w:type="spellStart"/>
            <w:r w:rsidRPr="00580C0D">
              <w:t>barnerettane</w:t>
            </w:r>
            <w:proofErr w:type="spellEnd"/>
            <w:r w:rsidRPr="00580C0D">
              <w:t xml:space="preserve"> – ny barnevernslov og ny barnelov </w:t>
            </w:r>
          </w:p>
        </w:tc>
        <w:tc>
          <w:tcPr>
            <w:tcW w:w="1480" w:type="dxa"/>
            <w:tcBorders>
              <w:top w:val="nil"/>
              <w:left w:val="nil"/>
              <w:bottom w:val="nil"/>
              <w:right w:val="nil"/>
            </w:tcBorders>
            <w:tcMar>
              <w:top w:w="128" w:type="dxa"/>
              <w:left w:w="43" w:type="dxa"/>
              <w:bottom w:w="43" w:type="dxa"/>
              <w:right w:w="43" w:type="dxa"/>
            </w:tcMar>
          </w:tcPr>
          <w:p w14:paraId="37422F10" w14:textId="77777777" w:rsidR="00F7113A" w:rsidRPr="00580C0D" w:rsidRDefault="00142E5B" w:rsidP="00580C0D">
            <w:pPr>
              <w:jc w:val="right"/>
            </w:pPr>
            <w:r w:rsidRPr="00580C0D">
              <w:t>Nei</w:t>
            </w:r>
          </w:p>
        </w:tc>
      </w:tr>
      <w:tr w:rsidR="00F7113A" w:rsidRPr="00580C0D" w14:paraId="4B7F6882" w14:textId="77777777" w:rsidTr="00580C0D">
        <w:trPr>
          <w:trHeight w:val="380"/>
        </w:trPr>
        <w:tc>
          <w:tcPr>
            <w:tcW w:w="1375" w:type="dxa"/>
            <w:tcBorders>
              <w:top w:val="nil"/>
              <w:left w:val="nil"/>
              <w:bottom w:val="nil"/>
              <w:right w:val="nil"/>
            </w:tcBorders>
            <w:tcMar>
              <w:top w:w="128" w:type="dxa"/>
              <w:left w:w="43" w:type="dxa"/>
              <w:bottom w:w="43" w:type="dxa"/>
              <w:right w:w="43" w:type="dxa"/>
            </w:tcMar>
          </w:tcPr>
          <w:p w14:paraId="00D0E395" w14:textId="77777777" w:rsidR="00F7113A" w:rsidRPr="00580C0D" w:rsidRDefault="00142E5B" w:rsidP="00580C0D">
            <w:r w:rsidRPr="00580C0D">
              <w:t>2016–2017</w:t>
            </w:r>
          </w:p>
        </w:tc>
        <w:tc>
          <w:tcPr>
            <w:tcW w:w="1134" w:type="dxa"/>
            <w:tcBorders>
              <w:top w:val="nil"/>
              <w:left w:val="nil"/>
              <w:bottom w:val="nil"/>
              <w:right w:val="nil"/>
            </w:tcBorders>
            <w:tcMar>
              <w:top w:w="128" w:type="dxa"/>
              <w:left w:w="43" w:type="dxa"/>
              <w:bottom w:w="43" w:type="dxa"/>
              <w:right w:w="43" w:type="dxa"/>
            </w:tcMar>
          </w:tcPr>
          <w:p w14:paraId="68B76F18" w14:textId="77777777" w:rsidR="00F7113A" w:rsidRPr="00580C0D" w:rsidRDefault="00142E5B" w:rsidP="00580C0D">
            <w:pPr>
              <w:ind w:right="284"/>
              <w:jc w:val="right"/>
            </w:pPr>
            <w:r w:rsidRPr="00580C0D">
              <w:t>491</w:t>
            </w:r>
          </w:p>
        </w:tc>
        <w:tc>
          <w:tcPr>
            <w:tcW w:w="5571" w:type="dxa"/>
            <w:tcBorders>
              <w:top w:val="nil"/>
              <w:left w:val="nil"/>
              <w:bottom w:val="nil"/>
              <w:right w:val="nil"/>
            </w:tcBorders>
            <w:tcMar>
              <w:top w:w="128" w:type="dxa"/>
              <w:left w:w="43" w:type="dxa"/>
              <w:bottom w:w="43" w:type="dxa"/>
              <w:right w:w="43" w:type="dxa"/>
            </w:tcMar>
          </w:tcPr>
          <w:p w14:paraId="602DD840" w14:textId="77777777" w:rsidR="00F7113A" w:rsidRPr="00580C0D" w:rsidRDefault="00142E5B" w:rsidP="00580C0D">
            <w:r w:rsidRPr="00580C0D">
              <w:t>evaluering av felles foreldreansvar</w:t>
            </w:r>
          </w:p>
        </w:tc>
        <w:tc>
          <w:tcPr>
            <w:tcW w:w="1480" w:type="dxa"/>
            <w:tcBorders>
              <w:top w:val="nil"/>
              <w:left w:val="nil"/>
              <w:bottom w:val="nil"/>
              <w:right w:val="nil"/>
            </w:tcBorders>
            <w:tcMar>
              <w:top w:w="128" w:type="dxa"/>
              <w:left w:w="43" w:type="dxa"/>
              <w:bottom w:w="43" w:type="dxa"/>
              <w:right w:w="43" w:type="dxa"/>
            </w:tcMar>
          </w:tcPr>
          <w:p w14:paraId="59CDE963" w14:textId="77777777" w:rsidR="00F7113A" w:rsidRPr="00580C0D" w:rsidRDefault="00142E5B" w:rsidP="00580C0D">
            <w:pPr>
              <w:jc w:val="right"/>
            </w:pPr>
            <w:r w:rsidRPr="00580C0D">
              <w:t>Nei</w:t>
            </w:r>
          </w:p>
        </w:tc>
      </w:tr>
      <w:tr w:rsidR="00F7113A" w:rsidRPr="00580C0D" w14:paraId="17977C1D" w14:textId="77777777" w:rsidTr="00580C0D">
        <w:trPr>
          <w:trHeight w:val="380"/>
        </w:trPr>
        <w:tc>
          <w:tcPr>
            <w:tcW w:w="1375" w:type="dxa"/>
            <w:tcBorders>
              <w:top w:val="nil"/>
              <w:left w:val="nil"/>
              <w:bottom w:val="single" w:sz="4" w:space="0" w:color="000000"/>
              <w:right w:val="nil"/>
            </w:tcBorders>
            <w:tcMar>
              <w:top w:w="128" w:type="dxa"/>
              <w:left w:w="43" w:type="dxa"/>
              <w:bottom w:w="43" w:type="dxa"/>
              <w:right w:w="43" w:type="dxa"/>
            </w:tcMar>
          </w:tcPr>
          <w:p w14:paraId="71D9327E" w14:textId="77777777" w:rsidR="00F7113A" w:rsidRPr="00580C0D" w:rsidRDefault="00142E5B" w:rsidP="00580C0D">
            <w:r w:rsidRPr="00580C0D">
              <w:t>2016–2017</w:t>
            </w:r>
          </w:p>
        </w:tc>
        <w:tc>
          <w:tcPr>
            <w:tcW w:w="1134" w:type="dxa"/>
            <w:tcBorders>
              <w:top w:val="nil"/>
              <w:left w:val="nil"/>
              <w:bottom w:val="single" w:sz="4" w:space="0" w:color="000000"/>
              <w:right w:val="nil"/>
            </w:tcBorders>
            <w:tcMar>
              <w:top w:w="128" w:type="dxa"/>
              <w:left w:w="43" w:type="dxa"/>
              <w:bottom w:w="43" w:type="dxa"/>
              <w:right w:w="43" w:type="dxa"/>
            </w:tcMar>
          </w:tcPr>
          <w:p w14:paraId="347301DD" w14:textId="77777777" w:rsidR="00F7113A" w:rsidRPr="00580C0D" w:rsidRDefault="00142E5B" w:rsidP="00580C0D">
            <w:pPr>
              <w:ind w:right="284"/>
              <w:jc w:val="right"/>
            </w:pPr>
            <w:r w:rsidRPr="00580C0D">
              <w:t>606</w:t>
            </w:r>
          </w:p>
        </w:tc>
        <w:tc>
          <w:tcPr>
            <w:tcW w:w="5571" w:type="dxa"/>
            <w:tcBorders>
              <w:top w:val="nil"/>
              <w:left w:val="nil"/>
              <w:bottom w:val="single" w:sz="4" w:space="0" w:color="000000"/>
              <w:right w:val="nil"/>
            </w:tcBorders>
            <w:tcMar>
              <w:top w:w="128" w:type="dxa"/>
              <w:left w:w="43" w:type="dxa"/>
              <w:bottom w:w="43" w:type="dxa"/>
              <w:right w:w="43" w:type="dxa"/>
            </w:tcMar>
          </w:tcPr>
          <w:p w14:paraId="3B1B38F4" w14:textId="77777777" w:rsidR="00F7113A" w:rsidRPr="00580C0D" w:rsidRDefault="00142E5B" w:rsidP="00580C0D">
            <w:r w:rsidRPr="00580C0D">
              <w:t>politiattest for yrkesgrupper som er i kontakt med barn</w:t>
            </w:r>
          </w:p>
        </w:tc>
        <w:tc>
          <w:tcPr>
            <w:tcW w:w="1480" w:type="dxa"/>
            <w:tcBorders>
              <w:top w:val="nil"/>
              <w:left w:val="nil"/>
              <w:bottom w:val="single" w:sz="4" w:space="0" w:color="000000"/>
              <w:right w:val="nil"/>
            </w:tcBorders>
            <w:tcMar>
              <w:top w:w="128" w:type="dxa"/>
              <w:left w:w="43" w:type="dxa"/>
              <w:bottom w:w="43" w:type="dxa"/>
              <w:right w:w="43" w:type="dxa"/>
            </w:tcMar>
          </w:tcPr>
          <w:p w14:paraId="1E64AEED" w14:textId="77777777" w:rsidR="00F7113A" w:rsidRPr="00580C0D" w:rsidRDefault="00142E5B" w:rsidP="00580C0D">
            <w:pPr>
              <w:jc w:val="right"/>
            </w:pPr>
            <w:r w:rsidRPr="00580C0D">
              <w:t>Ja</w:t>
            </w:r>
          </w:p>
        </w:tc>
      </w:tr>
    </w:tbl>
    <w:p w14:paraId="58A85B14" w14:textId="77777777" w:rsidR="00F7113A" w:rsidRPr="00580C0D" w:rsidRDefault="00142E5B" w:rsidP="001A1B0B">
      <w:pPr>
        <w:pStyle w:val="Overskrift2"/>
        <w:numPr>
          <w:ilvl w:val="1"/>
          <w:numId w:val="24"/>
        </w:numPr>
      </w:pPr>
      <w:r w:rsidRPr="00580C0D">
        <w:t>Stortingssesjon 2022–2023</w:t>
      </w:r>
    </w:p>
    <w:p w14:paraId="4DBAFECF" w14:textId="77777777" w:rsidR="00F7113A" w:rsidRPr="00580C0D" w:rsidRDefault="00142E5B" w:rsidP="00580C0D">
      <w:pPr>
        <w:pStyle w:val="avsnitt-tittel"/>
      </w:pPr>
      <w:r w:rsidRPr="00580C0D">
        <w:t xml:space="preserve">Langsiktige </w:t>
      </w:r>
      <w:proofErr w:type="spellStart"/>
      <w:r w:rsidRPr="00580C0D">
        <w:t>avtalar</w:t>
      </w:r>
      <w:proofErr w:type="spellEnd"/>
      <w:r w:rsidRPr="00580C0D">
        <w:t xml:space="preserve"> for ideelle </w:t>
      </w:r>
      <w:proofErr w:type="spellStart"/>
      <w:r w:rsidRPr="00580C0D">
        <w:t>verksemder</w:t>
      </w:r>
      <w:proofErr w:type="spellEnd"/>
      <w:r w:rsidRPr="00580C0D">
        <w:t xml:space="preserve"> og plan for å fase ut kommersielle </w:t>
      </w:r>
      <w:proofErr w:type="spellStart"/>
      <w:r w:rsidRPr="00580C0D">
        <w:t>aktørar</w:t>
      </w:r>
      <w:proofErr w:type="spellEnd"/>
      <w:r w:rsidRPr="00580C0D">
        <w:t xml:space="preserve"> i barnevernet</w:t>
      </w:r>
    </w:p>
    <w:p w14:paraId="19CE1E4C" w14:textId="77777777" w:rsidR="00F7113A" w:rsidRPr="00580C0D" w:rsidRDefault="00142E5B" w:rsidP="00580C0D">
      <w:pPr>
        <w:pStyle w:val="avsnitt-undertittel"/>
      </w:pPr>
      <w:r w:rsidRPr="00580C0D">
        <w:t>Vedtak 80, 1. desember 2022</w:t>
      </w:r>
    </w:p>
    <w:p w14:paraId="136D0DF2" w14:textId="77777777" w:rsidR="00F7113A" w:rsidRPr="00580C0D" w:rsidRDefault="00142E5B" w:rsidP="00580C0D">
      <w:pPr>
        <w:pStyle w:val="blokksit"/>
        <w:rPr>
          <w:rStyle w:val="kursiv"/>
        </w:rPr>
      </w:pPr>
      <w:r w:rsidRPr="00580C0D">
        <w:rPr>
          <w:rStyle w:val="kursiv"/>
        </w:rPr>
        <w:t>«Stortinget ber regjeringen om å sikre ideelle virksomheter i barnevernet langsiktige avtaler med det offentlige og senest i forbindelse med revidert nasjonalbudsjett 2023 legge fram en plan for å fase ut store kommersielle aktører fra barnevernet.»</w:t>
      </w:r>
    </w:p>
    <w:p w14:paraId="59BCC991" w14:textId="77777777" w:rsidR="00F7113A" w:rsidRPr="00580C0D" w:rsidRDefault="00142E5B" w:rsidP="00580C0D">
      <w:r w:rsidRPr="00580C0D">
        <w:t xml:space="preserve">Vedtaket blei gjort i samband med handsaminga av Meld. St. 1 (2022–2023) </w:t>
      </w:r>
      <w:r w:rsidRPr="00580C0D">
        <w:rPr>
          <w:rStyle w:val="kursiv"/>
        </w:rPr>
        <w:t>Nasjonalbudsjettet 2023</w:t>
      </w:r>
      <w:r w:rsidRPr="00580C0D">
        <w:t xml:space="preserve">, jf. </w:t>
      </w:r>
      <w:proofErr w:type="spellStart"/>
      <w:r w:rsidRPr="00580C0D">
        <w:t>Innst</w:t>
      </w:r>
      <w:proofErr w:type="spellEnd"/>
      <w:r w:rsidRPr="00580C0D">
        <w:t xml:space="preserve">. 2 S (2022–2023). Det er i 2022 inngått nye </w:t>
      </w:r>
      <w:proofErr w:type="spellStart"/>
      <w:r w:rsidRPr="00580C0D">
        <w:t>avtalar</w:t>
      </w:r>
      <w:proofErr w:type="spellEnd"/>
      <w:r w:rsidRPr="00580C0D">
        <w:t xml:space="preserve"> med </w:t>
      </w:r>
      <w:proofErr w:type="spellStart"/>
      <w:r w:rsidRPr="00580C0D">
        <w:t>dei</w:t>
      </w:r>
      <w:proofErr w:type="spellEnd"/>
      <w:r w:rsidRPr="00580C0D">
        <w:t xml:space="preserve"> ideelle </w:t>
      </w:r>
      <w:proofErr w:type="spellStart"/>
      <w:r w:rsidRPr="00580C0D">
        <w:t>leverandørane</w:t>
      </w:r>
      <w:proofErr w:type="spellEnd"/>
      <w:r w:rsidRPr="00580C0D">
        <w:t xml:space="preserve"> av </w:t>
      </w:r>
      <w:proofErr w:type="spellStart"/>
      <w:r w:rsidRPr="00580C0D">
        <w:t>institusjonsplassar</w:t>
      </w:r>
      <w:proofErr w:type="spellEnd"/>
      <w:r w:rsidRPr="00580C0D">
        <w:t xml:space="preserve"> i barnevernet. Resultatet er at </w:t>
      </w:r>
      <w:proofErr w:type="spellStart"/>
      <w:r w:rsidRPr="00580C0D">
        <w:t>talet</w:t>
      </w:r>
      <w:proofErr w:type="spellEnd"/>
      <w:r w:rsidRPr="00580C0D">
        <w:t xml:space="preserve"> på </w:t>
      </w:r>
      <w:proofErr w:type="spellStart"/>
      <w:r w:rsidRPr="00580C0D">
        <w:t>plassar</w:t>
      </w:r>
      <w:proofErr w:type="spellEnd"/>
      <w:r w:rsidRPr="00580C0D">
        <w:t xml:space="preserve"> har </w:t>
      </w:r>
      <w:proofErr w:type="spellStart"/>
      <w:r w:rsidRPr="00580C0D">
        <w:t>auka</w:t>
      </w:r>
      <w:proofErr w:type="spellEnd"/>
      <w:r w:rsidRPr="00580C0D">
        <w:t xml:space="preserve"> </w:t>
      </w:r>
      <w:proofErr w:type="spellStart"/>
      <w:r w:rsidRPr="00580C0D">
        <w:t>frå</w:t>
      </w:r>
      <w:proofErr w:type="spellEnd"/>
      <w:r w:rsidRPr="00580C0D">
        <w:t xml:space="preserve"> 193 til om lag 215. Delen med garanterte kjøp er </w:t>
      </w:r>
      <w:proofErr w:type="spellStart"/>
      <w:r w:rsidRPr="00580C0D">
        <w:t>auka</w:t>
      </w:r>
      <w:proofErr w:type="spellEnd"/>
      <w:r w:rsidRPr="00580C0D">
        <w:t xml:space="preserve"> </w:t>
      </w:r>
      <w:proofErr w:type="spellStart"/>
      <w:r w:rsidRPr="00580C0D">
        <w:t>frå</w:t>
      </w:r>
      <w:proofErr w:type="spellEnd"/>
      <w:r w:rsidRPr="00580C0D">
        <w:t xml:space="preserve"> om lag 60 prosent til 83 prosent. </w:t>
      </w:r>
      <w:proofErr w:type="spellStart"/>
      <w:r w:rsidRPr="00580C0D">
        <w:t>Avtalane</w:t>
      </w:r>
      <w:proofErr w:type="spellEnd"/>
      <w:r w:rsidRPr="00580C0D">
        <w:t xml:space="preserve"> er langsiktige, i den forstand at </w:t>
      </w:r>
      <w:proofErr w:type="spellStart"/>
      <w:r w:rsidRPr="00580C0D">
        <w:t>dei</w:t>
      </w:r>
      <w:proofErr w:type="spellEnd"/>
      <w:r w:rsidRPr="00580C0D">
        <w:t xml:space="preserve"> er </w:t>
      </w:r>
      <w:proofErr w:type="spellStart"/>
      <w:r w:rsidRPr="00580C0D">
        <w:t>utan</w:t>
      </w:r>
      <w:proofErr w:type="spellEnd"/>
      <w:r w:rsidRPr="00580C0D">
        <w:t xml:space="preserve"> </w:t>
      </w:r>
      <w:proofErr w:type="spellStart"/>
      <w:r w:rsidRPr="00580C0D">
        <w:t>tidsavgrensing</w:t>
      </w:r>
      <w:proofErr w:type="spellEnd"/>
      <w:r w:rsidRPr="00580C0D">
        <w:t xml:space="preserve"> og gjeld til </w:t>
      </w:r>
      <w:proofErr w:type="spellStart"/>
      <w:r w:rsidRPr="00580C0D">
        <w:t>dei</w:t>
      </w:r>
      <w:proofErr w:type="spellEnd"/>
      <w:r w:rsidRPr="00580C0D">
        <w:t xml:space="preserve"> blir oppsagde av </w:t>
      </w:r>
      <w:proofErr w:type="spellStart"/>
      <w:r w:rsidRPr="00580C0D">
        <w:t>ein</w:t>
      </w:r>
      <w:proofErr w:type="spellEnd"/>
      <w:r w:rsidRPr="00580C0D">
        <w:t xml:space="preserve"> av </w:t>
      </w:r>
      <w:proofErr w:type="spellStart"/>
      <w:r w:rsidRPr="00580C0D">
        <w:t>partane</w:t>
      </w:r>
      <w:proofErr w:type="spellEnd"/>
      <w:r w:rsidRPr="00580C0D">
        <w:t>.</w:t>
      </w:r>
    </w:p>
    <w:p w14:paraId="3A8D928C" w14:textId="77777777" w:rsidR="00F7113A" w:rsidRPr="00580C0D" w:rsidRDefault="00142E5B" w:rsidP="00580C0D">
      <w:r w:rsidRPr="00580C0D">
        <w:t xml:space="preserve">Det </w:t>
      </w:r>
      <w:proofErr w:type="spellStart"/>
      <w:r w:rsidRPr="00580C0D">
        <w:t>visast</w:t>
      </w:r>
      <w:proofErr w:type="spellEnd"/>
      <w:r w:rsidRPr="00580C0D">
        <w:t xml:space="preserve"> til «Plan for ideell vekst og utfasing av kommersielle aktører i institusjonsbarnevernet» i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xml:space="preserve"> Her omtalte regjeringa status for </w:t>
      </w:r>
      <w:proofErr w:type="spellStart"/>
      <w:r w:rsidRPr="00580C0D">
        <w:t>institusjonstilbodet</w:t>
      </w:r>
      <w:proofErr w:type="spellEnd"/>
      <w:r w:rsidRPr="00580C0D">
        <w:t xml:space="preserve"> i dag og kva som er målet til regjeringa i det </w:t>
      </w:r>
      <w:proofErr w:type="spellStart"/>
      <w:r w:rsidRPr="00580C0D">
        <w:t>vidare</w:t>
      </w:r>
      <w:proofErr w:type="spellEnd"/>
      <w:r w:rsidRPr="00580C0D">
        <w:t xml:space="preserve"> arbeidet. Det er </w:t>
      </w:r>
      <w:proofErr w:type="spellStart"/>
      <w:r w:rsidRPr="00580C0D">
        <w:t>ønskjeleg</w:t>
      </w:r>
      <w:proofErr w:type="spellEnd"/>
      <w:r w:rsidRPr="00580C0D">
        <w:t xml:space="preserve"> å </w:t>
      </w:r>
      <w:proofErr w:type="spellStart"/>
      <w:r w:rsidRPr="00580C0D">
        <w:t>styrkje</w:t>
      </w:r>
      <w:proofErr w:type="spellEnd"/>
      <w:r w:rsidRPr="00580C0D">
        <w:t xml:space="preserve"> og omstille </w:t>
      </w:r>
      <w:proofErr w:type="spellStart"/>
      <w:r w:rsidRPr="00580C0D">
        <w:t>dei</w:t>
      </w:r>
      <w:proofErr w:type="spellEnd"/>
      <w:r w:rsidRPr="00580C0D">
        <w:t xml:space="preserve"> </w:t>
      </w:r>
      <w:proofErr w:type="spellStart"/>
      <w:r w:rsidRPr="00580C0D">
        <w:t>statlege</w:t>
      </w:r>
      <w:proofErr w:type="spellEnd"/>
      <w:r w:rsidRPr="00580C0D">
        <w:t xml:space="preserve"> </w:t>
      </w:r>
      <w:proofErr w:type="spellStart"/>
      <w:r w:rsidRPr="00580C0D">
        <w:t>institusjonane</w:t>
      </w:r>
      <w:proofErr w:type="spellEnd"/>
      <w:r w:rsidRPr="00580C0D">
        <w:t xml:space="preserve"> slik at </w:t>
      </w:r>
      <w:proofErr w:type="spellStart"/>
      <w:r w:rsidRPr="00580C0D">
        <w:t>dei</w:t>
      </w:r>
      <w:proofErr w:type="spellEnd"/>
      <w:r w:rsidRPr="00580C0D">
        <w:t xml:space="preserve"> i større grad kan vareta barn med store og samansette </w:t>
      </w:r>
      <w:proofErr w:type="spellStart"/>
      <w:r w:rsidRPr="00580C0D">
        <w:t>utfordringar</w:t>
      </w:r>
      <w:proofErr w:type="spellEnd"/>
      <w:r w:rsidRPr="00580C0D">
        <w:t xml:space="preserve">, og med </w:t>
      </w:r>
      <w:proofErr w:type="spellStart"/>
      <w:r w:rsidRPr="00580C0D">
        <w:t>ein</w:t>
      </w:r>
      <w:proofErr w:type="spellEnd"/>
      <w:r w:rsidRPr="00580C0D">
        <w:t xml:space="preserve"> </w:t>
      </w:r>
      <w:proofErr w:type="spellStart"/>
      <w:r w:rsidRPr="00580C0D">
        <w:t>auke</w:t>
      </w:r>
      <w:proofErr w:type="spellEnd"/>
      <w:r w:rsidRPr="00580C0D">
        <w:t xml:space="preserve"> i bruken av ideelle </w:t>
      </w:r>
      <w:proofErr w:type="spellStart"/>
      <w:r w:rsidRPr="00580C0D">
        <w:t>leverandørar</w:t>
      </w:r>
      <w:proofErr w:type="spellEnd"/>
      <w:r w:rsidRPr="00580C0D">
        <w:t xml:space="preserve">. For at </w:t>
      </w:r>
      <w:proofErr w:type="spellStart"/>
      <w:r w:rsidRPr="00580C0D">
        <w:t>Bufetat</w:t>
      </w:r>
      <w:proofErr w:type="spellEnd"/>
      <w:r w:rsidRPr="00580C0D">
        <w:t xml:space="preserve"> kan vareta bistandsplikta, krev ei utfasing av kommersielle </w:t>
      </w:r>
      <w:proofErr w:type="spellStart"/>
      <w:r w:rsidRPr="00580C0D">
        <w:t>leverandørar</w:t>
      </w:r>
      <w:proofErr w:type="spellEnd"/>
      <w:r w:rsidRPr="00580C0D">
        <w:t xml:space="preserve"> at kapasiteten i </w:t>
      </w:r>
      <w:proofErr w:type="spellStart"/>
      <w:r w:rsidRPr="00580C0D">
        <w:t>dei</w:t>
      </w:r>
      <w:proofErr w:type="spellEnd"/>
      <w:r w:rsidRPr="00580C0D">
        <w:t xml:space="preserve"> </w:t>
      </w:r>
      <w:proofErr w:type="spellStart"/>
      <w:r w:rsidRPr="00580C0D">
        <w:t>statlege</w:t>
      </w:r>
      <w:proofErr w:type="spellEnd"/>
      <w:r w:rsidRPr="00580C0D">
        <w:t xml:space="preserve"> og ideelle </w:t>
      </w:r>
      <w:proofErr w:type="spellStart"/>
      <w:r w:rsidRPr="00580C0D">
        <w:t>institusjonane</w:t>
      </w:r>
      <w:proofErr w:type="spellEnd"/>
      <w:r w:rsidRPr="00580C0D">
        <w:t xml:space="preserve"> er </w:t>
      </w:r>
      <w:proofErr w:type="spellStart"/>
      <w:r w:rsidRPr="00580C0D">
        <w:t>tilstrekkeleg</w:t>
      </w:r>
      <w:proofErr w:type="spellEnd"/>
      <w:r w:rsidRPr="00580C0D">
        <w:t xml:space="preserve"> til å erstatte </w:t>
      </w:r>
      <w:proofErr w:type="spellStart"/>
      <w:r w:rsidRPr="00580C0D">
        <w:t>dei</w:t>
      </w:r>
      <w:proofErr w:type="spellEnd"/>
      <w:r w:rsidRPr="00580C0D">
        <w:t xml:space="preserve"> kommersielle </w:t>
      </w:r>
      <w:proofErr w:type="spellStart"/>
      <w:r w:rsidRPr="00580C0D">
        <w:t>plassane</w:t>
      </w:r>
      <w:proofErr w:type="spellEnd"/>
      <w:r w:rsidRPr="00580C0D">
        <w:t xml:space="preserve">. Planen omtalte ei </w:t>
      </w:r>
      <w:proofErr w:type="spellStart"/>
      <w:r w:rsidRPr="00580C0D">
        <w:t>rekkje</w:t>
      </w:r>
      <w:proofErr w:type="spellEnd"/>
      <w:r w:rsidRPr="00580C0D">
        <w:t xml:space="preserve"> </w:t>
      </w:r>
      <w:proofErr w:type="spellStart"/>
      <w:r w:rsidRPr="00580C0D">
        <w:t>aktivitetar</w:t>
      </w:r>
      <w:proofErr w:type="spellEnd"/>
      <w:r w:rsidRPr="00580C0D">
        <w:t xml:space="preserve"> og tiltak for å oppnå dette. Tiltaka vil ha økonomiske </w:t>
      </w:r>
      <w:proofErr w:type="spellStart"/>
      <w:r w:rsidRPr="00580C0D">
        <w:t>konsekvensar</w:t>
      </w:r>
      <w:proofErr w:type="spellEnd"/>
      <w:r w:rsidRPr="00580C0D">
        <w:t xml:space="preserve"> som vil bli handsama i samband med </w:t>
      </w:r>
      <w:proofErr w:type="spellStart"/>
      <w:r w:rsidRPr="00580C0D">
        <w:t>dei</w:t>
      </w:r>
      <w:proofErr w:type="spellEnd"/>
      <w:r w:rsidRPr="00580C0D">
        <w:t xml:space="preserve"> ordinære </w:t>
      </w:r>
      <w:proofErr w:type="spellStart"/>
      <w:r w:rsidRPr="00580C0D">
        <w:t>budsjettprosessane</w:t>
      </w:r>
      <w:proofErr w:type="spellEnd"/>
      <w:r w:rsidRPr="00580C0D">
        <w:t xml:space="preserve">. Det er viktig for regjeringa at omstillinga </w:t>
      </w:r>
      <w:proofErr w:type="spellStart"/>
      <w:r w:rsidRPr="00580C0D">
        <w:t>sikrar</w:t>
      </w:r>
      <w:proofErr w:type="spellEnd"/>
      <w:r w:rsidRPr="00580C0D">
        <w:t xml:space="preserve"> at </w:t>
      </w:r>
      <w:proofErr w:type="spellStart"/>
      <w:r w:rsidRPr="00580C0D">
        <w:t>tilbodet</w:t>
      </w:r>
      <w:proofErr w:type="spellEnd"/>
      <w:r w:rsidRPr="00580C0D">
        <w:t xml:space="preserve"> til barna til ei kvar tid vert varetatt. </w:t>
      </w:r>
      <w:proofErr w:type="spellStart"/>
      <w:r w:rsidRPr="00580C0D">
        <w:t>Difor</w:t>
      </w:r>
      <w:proofErr w:type="spellEnd"/>
      <w:r w:rsidRPr="00580C0D">
        <w:t xml:space="preserve"> vil det </w:t>
      </w:r>
      <w:proofErr w:type="spellStart"/>
      <w:r w:rsidRPr="00580C0D">
        <w:t>saman</w:t>
      </w:r>
      <w:proofErr w:type="spellEnd"/>
      <w:r w:rsidRPr="00580C0D">
        <w:t xml:space="preserve"> med oppbygging av </w:t>
      </w:r>
      <w:proofErr w:type="spellStart"/>
      <w:r w:rsidRPr="00580C0D">
        <w:t>tilbod</w:t>
      </w:r>
      <w:proofErr w:type="spellEnd"/>
      <w:r w:rsidRPr="00580C0D">
        <w:t xml:space="preserve"> i </w:t>
      </w:r>
      <w:proofErr w:type="spellStart"/>
      <w:r w:rsidRPr="00580C0D">
        <w:t>offentleg</w:t>
      </w:r>
      <w:proofErr w:type="spellEnd"/>
      <w:r w:rsidRPr="00580C0D">
        <w:t xml:space="preserve"> og ideell regi framleis kunne </w:t>
      </w:r>
      <w:proofErr w:type="spellStart"/>
      <w:r w:rsidRPr="00580C0D">
        <w:t>vere</w:t>
      </w:r>
      <w:proofErr w:type="spellEnd"/>
      <w:r w:rsidRPr="00580C0D">
        <w:t xml:space="preserve"> behov for andre private </w:t>
      </w:r>
      <w:proofErr w:type="spellStart"/>
      <w:r w:rsidRPr="00580C0D">
        <w:t>aktørar</w:t>
      </w:r>
      <w:proofErr w:type="spellEnd"/>
      <w:r w:rsidRPr="00580C0D">
        <w:t xml:space="preserve"> i tida framover.</w:t>
      </w:r>
    </w:p>
    <w:p w14:paraId="643BDAA6" w14:textId="77777777" w:rsidR="00F7113A" w:rsidRPr="00580C0D" w:rsidRDefault="00142E5B" w:rsidP="00580C0D">
      <w:r w:rsidRPr="00580C0D">
        <w:t xml:space="preserve">Departementet </w:t>
      </w:r>
      <w:proofErr w:type="spellStart"/>
      <w:r w:rsidRPr="00580C0D">
        <w:t>reknar</w:t>
      </w:r>
      <w:proofErr w:type="spellEnd"/>
      <w:r w:rsidRPr="00580C0D">
        <w:t xml:space="preserve"> vedtaket som </w:t>
      </w:r>
      <w:proofErr w:type="spellStart"/>
      <w:r w:rsidRPr="00580C0D">
        <w:t>følgt</w:t>
      </w:r>
      <w:proofErr w:type="spellEnd"/>
      <w:r w:rsidRPr="00580C0D">
        <w:t xml:space="preserve"> opp.</w:t>
      </w:r>
    </w:p>
    <w:p w14:paraId="674011AE" w14:textId="77777777" w:rsidR="00F7113A" w:rsidRPr="00580C0D" w:rsidRDefault="00142E5B" w:rsidP="00580C0D">
      <w:pPr>
        <w:pStyle w:val="avsnitt-tittel"/>
      </w:pPr>
      <w:r w:rsidRPr="00580C0D">
        <w:t xml:space="preserve">Alternativ til </w:t>
      </w:r>
      <w:proofErr w:type="spellStart"/>
      <w:r w:rsidRPr="00580C0D">
        <w:t>noverande</w:t>
      </w:r>
      <w:proofErr w:type="spellEnd"/>
      <w:r w:rsidRPr="00580C0D">
        <w:t xml:space="preserve"> </w:t>
      </w:r>
      <w:proofErr w:type="spellStart"/>
      <w:r w:rsidRPr="00580C0D">
        <w:t>kompensasjonsgradar</w:t>
      </w:r>
      <w:proofErr w:type="spellEnd"/>
      <w:r w:rsidRPr="00580C0D">
        <w:t xml:space="preserve"> i foreldrepengeordninga</w:t>
      </w:r>
    </w:p>
    <w:p w14:paraId="1FF33853" w14:textId="77777777" w:rsidR="00F7113A" w:rsidRPr="00580C0D" w:rsidRDefault="00142E5B" w:rsidP="00580C0D">
      <w:pPr>
        <w:pStyle w:val="avsnitt-undertittel"/>
      </w:pPr>
      <w:r w:rsidRPr="00580C0D">
        <w:t>Vedtak 89, 1. desember 2022</w:t>
      </w:r>
    </w:p>
    <w:p w14:paraId="50C48225" w14:textId="77777777" w:rsidR="00F7113A" w:rsidRPr="00580C0D" w:rsidRDefault="00142E5B" w:rsidP="00580C0D">
      <w:pPr>
        <w:pStyle w:val="blokksit"/>
        <w:rPr>
          <w:rStyle w:val="kursiv"/>
        </w:rPr>
      </w:pPr>
      <w:r w:rsidRPr="00580C0D">
        <w:rPr>
          <w:rStyle w:val="kursiv"/>
        </w:rPr>
        <w:t>«Stortinget ber regjeringen raskt utrede alternativer til dagens kompensasjonsgrader i foreldrepengeordningen. Utredningen skal inneholde en vurdering av å innføre 90 prosent kompensasjonsgrad og provenynøytral omlegging. Forslag til mulige alternativer legges fram i statsbudsjettet for 2024.»</w:t>
      </w:r>
    </w:p>
    <w:p w14:paraId="1DC1B5E9" w14:textId="77777777" w:rsidR="00F7113A" w:rsidRPr="00580C0D" w:rsidRDefault="00142E5B" w:rsidP="00580C0D">
      <w:r w:rsidRPr="00580C0D">
        <w:t xml:space="preserve">Vedtaket blei gjort i samband med handsaminga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2B6C77C6" w14:textId="77777777" w:rsidR="00F7113A" w:rsidRPr="00580C0D" w:rsidRDefault="00142E5B" w:rsidP="00580C0D">
      <w:r w:rsidRPr="00580C0D">
        <w:t xml:space="preserve">Etter </w:t>
      </w:r>
      <w:proofErr w:type="spellStart"/>
      <w:r w:rsidRPr="00580C0D">
        <w:t>gjeldande</w:t>
      </w:r>
      <w:proofErr w:type="spellEnd"/>
      <w:r w:rsidRPr="00580C0D">
        <w:t xml:space="preserve"> </w:t>
      </w:r>
      <w:proofErr w:type="spellStart"/>
      <w:r w:rsidRPr="00580C0D">
        <w:t>reglar</w:t>
      </w:r>
      <w:proofErr w:type="spellEnd"/>
      <w:r w:rsidRPr="00580C0D">
        <w:t xml:space="preserve"> er foreldrepengeperioden 49 veker (245 </w:t>
      </w:r>
      <w:proofErr w:type="spellStart"/>
      <w:r w:rsidRPr="00580C0D">
        <w:t>stønadsdagar</w:t>
      </w:r>
      <w:proofErr w:type="spellEnd"/>
      <w:r w:rsidRPr="00580C0D">
        <w:t xml:space="preserve">) med 100 prosent dekking eller 59 veker (295 </w:t>
      </w:r>
      <w:proofErr w:type="spellStart"/>
      <w:r w:rsidRPr="00580C0D">
        <w:t>stønadsdagar</w:t>
      </w:r>
      <w:proofErr w:type="spellEnd"/>
      <w:r w:rsidRPr="00580C0D">
        <w:t xml:space="preserve">) med 80 prosent dekking, jf. folketrygdlova § 14-9. Mor skal i begge tilfella kunne ta ut </w:t>
      </w:r>
      <w:proofErr w:type="spellStart"/>
      <w:r w:rsidRPr="00580C0D">
        <w:t>foreldrepengar</w:t>
      </w:r>
      <w:proofErr w:type="spellEnd"/>
      <w:r w:rsidRPr="00580C0D">
        <w:t xml:space="preserve"> </w:t>
      </w:r>
      <w:proofErr w:type="spellStart"/>
      <w:r w:rsidRPr="00580C0D">
        <w:t>frå</w:t>
      </w:r>
      <w:proofErr w:type="spellEnd"/>
      <w:r w:rsidRPr="00580C0D">
        <w:t xml:space="preserve"> og med tre veker før termin.</w:t>
      </w:r>
    </w:p>
    <w:p w14:paraId="7B3BAF62" w14:textId="77777777" w:rsidR="00F7113A" w:rsidRPr="00580C0D" w:rsidRDefault="00142E5B" w:rsidP="00580C0D">
      <w:r w:rsidRPr="00580C0D">
        <w:t xml:space="preserve">Med 100 prosent dekkingsgrad er foreldrepengeperioden etter termin på 46 veker og delt inn i </w:t>
      </w:r>
      <w:proofErr w:type="spellStart"/>
      <w:r w:rsidRPr="00580C0D">
        <w:t>ein</w:t>
      </w:r>
      <w:proofErr w:type="spellEnd"/>
      <w:r w:rsidRPr="00580C0D">
        <w:t xml:space="preserve"> mødre- og fedrekvote på 15 veker og </w:t>
      </w:r>
      <w:proofErr w:type="spellStart"/>
      <w:r w:rsidRPr="00580C0D">
        <w:t>ein</w:t>
      </w:r>
      <w:proofErr w:type="spellEnd"/>
      <w:r w:rsidRPr="00580C0D">
        <w:t xml:space="preserve"> fellesdel på 16 veker. Ved 80 prosent dekkingsgrad er perioden etter termin på 56 veker og delt inn i </w:t>
      </w:r>
      <w:proofErr w:type="spellStart"/>
      <w:r w:rsidRPr="00580C0D">
        <w:t>ein</w:t>
      </w:r>
      <w:proofErr w:type="spellEnd"/>
      <w:r w:rsidRPr="00580C0D">
        <w:t xml:space="preserve"> mødre- og fedrekvote på 19 veker og </w:t>
      </w:r>
      <w:proofErr w:type="spellStart"/>
      <w:r w:rsidRPr="00580C0D">
        <w:t>ein</w:t>
      </w:r>
      <w:proofErr w:type="spellEnd"/>
      <w:r w:rsidRPr="00580C0D">
        <w:t xml:space="preserve"> fellesdel på 18 veker. </w:t>
      </w:r>
      <w:proofErr w:type="spellStart"/>
      <w:r w:rsidRPr="00580C0D">
        <w:t>Foreldra</w:t>
      </w:r>
      <w:proofErr w:type="spellEnd"/>
      <w:r w:rsidRPr="00580C0D">
        <w:t xml:space="preserve"> vel dekkingsgraden ved starten av stønadsperioden. Den </w:t>
      </w:r>
      <w:proofErr w:type="spellStart"/>
      <w:r w:rsidRPr="00580C0D">
        <w:t>valde</w:t>
      </w:r>
      <w:proofErr w:type="spellEnd"/>
      <w:r w:rsidRPr="00580C0D">
        <w:t xml:space="preserve"> dekkingsgraden er </w:t>
      </w:r>
      <w:proofErr w:type="spellStart"/>
      <w:r w:rsidRPr="00580C0D">
        <w:t>bindande</w:t>
      </w:r>
      <w:proofErr w:type="spellEnd"/>
      <w:r w:rsidRPr="00580C0D">
        <w:t xml:space="preserve"> for uttaket av ytinga for begge </w:t>
      </w:r>
      <w:proofErr w:type="spellStart"/>
      <w:r w:rsidRPr="00580C0D">
        <w:t>foreldra</w:t>
      </w:r>
      <w:proofErr w:type="spellEnd"/>
      <w:r w:rsidRPr="00580C0D">
        <w:t xml:space="preserve"> og gjennom heile stønadsperioden.</w:t>
      </w:r>
    </w:p>
    <w:p w14:paraId="3BC4353E" w14:textId="77777777" w:rsidR="00F7113A" w:rsidRPr="00580C0D" w:rsidRDefault="00142E5B" w:rsidP="00580C0D">
      <w:r w:rsidRPr="00580C0D">
        <w:t xml:space="preserve">Tredelinga av </w:t>
      </w:r>
      <w:proofErr w:type="spellStart"/>
      <w:r w:rsidRPr="00580C0D">
        <w:t>foreldrepengane</w:t>
      </w:r>
      <w:proofErr w:type="spellEnd"/>
      <w:r w:rsidRPr="00580C0D">
        <w:t xml:space="preserve"> bør </w:t>
      </w:r>
      <w:proofErr w:type="spellStart"/>
      <w:r w:rsidRPr="00580C0D">
        <w:t>førast</w:t>
      </w:r>
      <w:proofErr w:type="spellEnd"/>
      <w:r w:rsidRPr="00580C0D">
        <w:t xml:space="preserve"> </w:t>
      </w:r>
      <w:proofErr w:type="spellStart"/>
      <w:r w:rsidRPr="00580C0D">
        <w:t>vidare</w:t>
      </w:r>
      <w:proofErr w:type="spellEnd"/>
      <w:r w:rsidRPr="00580C0D">
        <w:t xml:space="preserve"> fordi ho er viktig for likestillinga. Eventuelle </w:t>
      </w:r>
      <w:proofErr w:type="spellStart"/>
      <w:r w:rsidRPr="00580C0D">
        <w:t>endringar</w:t>
      </w:r>
      <w:proofErr w:type="spellEnd"/>
      <w:r w:rsidRPr="00580C0D">
        <w:t xml:space="preserve"> i </w:t>
      </w:r>
      <w:proofErr w:type="spellStart"/>
      <w:r w:rsidRPr="00580C0D">
        <w:t>kompensasjonsgradane</w:t>
      </w:r>
      <w:proofErr w:type="spellEnd"/>
      <w:r w:rsidRPr="00580C0D">
        <w:t xml:space="preserve"> bør derfor </w:t>
      </w:r>
      <w:proofErr w:type="spellStart"/>
      <w:r w:rsidRPr="00580C0D">
        <w:t>vere</w:t>
      </w:r>
      <w:proofErr w:type="spellEnd"/>
      <w:r w:rsidRPr="00580C0D">
        <w:t xml:space="preserve"> innretta slik at stønadsperioden følgjer tredelinga.</w:t>
      </w:r>
    </w:p>
    <w:p w14:paraId="713B6210" w14:textId="77777777" w:rsidR="00F7113A" w:rsidRPr="00580C0D" w:rsidRDefault="00142E5B" w:rsidP="00580C0D">
      <w:r w:rsidRPr="00580C0D">
        <w:t xml:space="preserve">Regjeringa </w:t>
      </w:r>
      <w:proofErr w:type="spellStart"/>
      <w:r w:rsidRPr="00580C0D">
        <w:t>føreslår</w:t>
      </w:r>
      <w:proofErr w:type="spellEnd"/>
      <w:r w:rsidRPr="00580C0D">
        <w:t xml:space="preserve"> å utvide stønadsperioden med 80 prosent kompensasjonsgrad i 2024 og meiner det er ei løysing som </w:t>
      </w:r>
      <w:proofErr w:type="spellStart"/>
      <w:r w:rsidRPr="00580C0D">
        <w:t>bidreg</w:t>
      </w:r>
      <w:proofErr w:type="spellEnd"/>
      <w:r w:rsidRPr="00580C0D">
        <w:t xml:space="preserve"> til </w:t>
      </w:r>
      <w:proofErr w:type="spellStart"/>
      <w:r w:rsidRPr="00580C0D">
        <w:t>auka</w:t>
      </w:r>
      <w:proofErr w:type="spellEnd"/>
      <w:r w:rsidRPr="00580C0D">
        <w:t xml:space="preserve"> fleksibilitet i ordninga. Endringa </w:t>
      </w:r>
      <w:proofErr w:type="spellStart"/>
      <w:r w:rsidRPr="00580C0D">
        <w:t>utliknar</w:t>
      </w:r>
      <w:proofErr w:type="spellEnd"/>
      <w:r w:rsidRPr="00580C0D">
        <w:t xml:space="preserve"> skilnaden mellom 80 og 100 prosent dekkingsgrad som i dag </w:t>
      </w:r>
      <w:proofErr w:type="spellStart"/>
      <w:r w:rsidRPr="00580C0D">
        <w:t>inneber</w:t>
      </w:r>
      <w:proofErr w:type="spellEnd"/>
      <w:r w:rsidRPr="00580C0D">
        <w:t xml:space="preserve"> at </w:t>
      </w:r>
      <w:proofErr w:type="spellStart"/>
      <w:r w:rsidRPr="00580C0D">
        <w:t>ein</w:t>
      </w:r>
      <w:proofErr w:type="spellEnd"/>
      <w:r w:rsidRPr="00580C0D">
        <w:t xml:space="preserve"> forelder ved å </w:t>
      </w:r>
      <w:proofErr w:type="spellStart"/>
      <w:r w:rsidRPr="00580C0D">
        <w:t>velje</w:t>
      </w:r>
      <w:proofErr w:type="spellEnd"/>
      <w:r w:rsidRPr="00580C0D">
        <w:t xml:space="preserve"> 100 prosent dekkingsgrad og ulønt permisjon i 12,25 veker til </w:t>
      </w:r>
      <w:proofErr w:type="spellStart"/>
      <w:r w:rsidRPr="00580C0D">
        <w:t>saman</w:t>
      </w:r>
      <w:proofErr w:type="spellEnd"/>
      <w:r w:rsidRPr="00580C0D">
        <w:t xml:space="preserve"> får </w:t>
      </w:r>
      <w:proofErr w:type="spellStart"/>
      <w:r w:rsidRPr="00580C0D">
        <w:t>meir</w:t>
      </w:r>
      <w:proofErr w:type="spellEnd"/>
      <w:r w:rsidRPr="00580C0D">
        <w:t xml:space="preserve"> i </w:t>
      </w:r>
      <w:proofErr w:type="spellStart"/>
      <w:r w:rsidRPr="00580C0D">
        <w:t>foreldrepengar</w:t>
      </w:r>
      <w:proofErr w:type="spellEnd"/>
      <w:r w:rsidRPr="00580C0D">
        <w:t xml:space="preserve"> fordi permisjonen då blir både lengre og samla utbetaling om lag er lik 100 prosent dekkingsgrad.</w:t>
      </w:r>
    </w:p>
    <w:p w14:paraId="0E2DF827" w14:textId="77777777" w:rsidR="00F7113A" w:rsidRPr="00580C0D" w:rsidRDefault="00142E5B" w:rsidP="00580C0D">
      <w:r w:rsidRPr="00580C0D">
        <w:t xml:space="preserve">Det har det siste tiåret </w:t>
      </w:r>
      <w:proofErr w:type="spellStart"/>
      <w:r w:rsidRPr="00580C0D">
        <w:t>vore</w:t>
      </w:r>
      <w:proofErr w:type="spellEnd"/>
      <w:r w:rsidRPr="00580C0D">
        <w:t xml:space="preserve"> </w:t>
      </w:r>
      <w:proofErr w:type="spellStart"/>
      <w:r w:rsidRPr="00580C0D">
        <w:t>ein</w:t>
      </w:r>
      <w:proofErr w:type="spellEnd"/>
      <w:r w:rsidRPr="00580C0D">
        <w:t xml:space="preserve"> nedgang i foreldre som vel 80 prosent dekkingsgrad. Foreldre som </w:t>
      </w:r>
      <w:proofErr w:type="spellStart"/>
      <w:r w:rsidRPr="00580C0D">
        <w:t>ønskjer</w:t>
      </w:r>
      <w:proofErr w:type="spellEnd"/>
      <w:r w:rsidRPr="00580C0D">
        <w:t xml:space="preserve"> lengre tid heime, </w:t>
      </w:r>
      <w:proofErr w:type="spellStart"/>
      <w:r w:rsidRPr="00580C0D">
        <w:t>tek</w:t>
      </w:r>
      <w:proofErr w:type="spellEnd"/>
      <w:r w:rsidRPr="00580C0D">
        <w:t xml:space="preserve"> ofte ulønt permisjon kombinert med 100 prosent kompensasjonsgrad. Ei forlenging av 80 prosent vil derfor kunne bidra til å </w:t>
      </w:r>
      <w:proofErr w:type="spellStart"/>
      <w:r w:rsidRPr="00580C0D">
        <w:t>gjere</w:t>
      </w:r>
      <w:proofErr w:type="spellEnd"/>
      <w:r w:rsidRPr="00580C0D">
        <w:t xml:space="preserve"> dette til </w:t>
      </w:r>
      <w:proofErr w:type="spellStart"/>
      <w:r w:rsidRPr="00580C0D">
        <w:t>eit</w:t>
      </w:r>
      <w:proofErr w:type="spellEnd"/>
      <w:r w:rsidRPr="00580C0D">
        <w:t xml:space="preserve"> betre alternativ for </w:t>
      </w:r>
      <w:proofErr w:type="spellStart"/>
      <w:r w:rsidRPr="00580C0D">
        <w:t>foreldra</w:t>
      </w:r>
      <w:proofErr w:type="spellEnd"/>
      <w:r w:rsidRPr="00580C0D">
        <w:t xml:space="preserve">. Forslaget vil òg sikre at foreldre </w:t>
      </w:r>
      <w:proofErr w:type="spellStart"/>
      <w:r w:rsidRPr="00580C0D">
        <w:t>ikkje</w:t>
      </w:r>
      <w:proofErr w:type="spellEnd"/>
      <w:r w:rsidRPr="00580C0D">
        <w:t xml:space="preserve"> mistar andre </w:t>
      </w:r>
      <w:proofErr w:type="spellStart"/>
      <w:r w:rsidRPr="00580C0D">
        <w:t>rettar</w:t>
      </w:r>
      <w:proofErr w:type="spellEnd"/>
      <w:r w:rsidRPr="00580C0D">
        <w:t xml:space="preserve">, som </w:t>
      </w:r>
      <w:proofErr w:type="spellStart"/>
      <w:r w:rsidRPr="00580C0D">
        <w:t>pensjonsrettar</w:t>
      </w:r>
      <w:proofErr w:type="spellEnd"/>
      <w:r w:rsidRPr="00580C0D">
        <w:t xml:space="preserve"> og </w:t>
      </w:r>
      <w:proofErr w:type="spellStart"/>
      <w:r w:rsidRPr="00580C0D">
        <w:t>sjukepengar</w:t>
      </w:r>
      <w:proofErr w:type="spellEnd"/>
      <w:r w:rsidRPr="00580C0D">
        <w:t xml:space="preserve">, slik tilfellet er ved ulønt permisjon. Det er </w:t>
      </w:r>
      <w:proofErr w:type="spellStart"/>
      <w:r w:rsidRPr="00580C0D">
        <w:t>særleg</w:t>
      </w:r>
      <w:proofErr w:type="spellEnd"/>
      <w:r w:rsidRPr="00580C0D">
        <w:t xml:space="preserve"> kvinner som </w:t>
      </w:r>
      <w:proofErr w:type="spellStart"/>
      <w:r w:rsidRPr="00580C0D">
        <w:t>tek</w:t>
      </w:r>
      <w:proofErr w:type="spellEnd"/>
      <w:r w:rsidRPr="00580C0D">
        <w:t xml:space="preserve"> ulønt permisjon. </w:t>
      </w:r>
      <w:proofErr w:type="spellStart"/>
      <w:r w:rsidRPr="00580C0D">
        <w:t>Vidare</w:t>
      </w:r>
      <w:proofErr w:type="spellEnd"/>
      <w:r w:rsidRPr="00580C0D">
        <w:t xml:space="preserve"> vil endringa </w:t>
      </w:r>
      <w:proofErr w:type="spellStart"/>
      <w:r w:rsidRPr="00580C0D">
        <w:t>leggje</w:t>
      </w:r>
      <w:proofErr w:type="spellEnd"/>
      <w:r w:rsidRPr="00580C0D">
        <w:t xml:space="preserve"> til rette for amming i </w:t>
      </w:r>
      <w:proofErr w:type="spellStart"/>
      <w:r w:rsidRPr="00580C0D">
        <w:t>noko</w:t>
      </w:r>
      <w:proofErr w:type="spellEnd"/>
      <w:r w:rsidRPr="00580C0D">
        <w:t xml:space="preserve"> lengre tid.</w:t>
      </w:r>
    </w:p>
    <w:p w14:paraId="149598DB" w14:textId="77777777" w:rsidR="00F7113A" w:rsidRPr="00580C0D" w:rsidRDefault="00142E5B" w:rsidP="00580C0D">
      <w:proofErr w:type="spellStart"/>
      <w:r w:rsidRPr="00580C0D">
        <w:t>Ein</w:t>
      </w:r>
      <w:proofErr w:type="spellEnd"/>
      <w:r w:rsidRPr="00580C0D">
        <w:t xml:space="preserve"> kan innføre 90 prosent kompensasjonsgrad i foreldrepengeordninga. </w:t>
      </w:r>
      <w:proofErr w:type="spellStart"/>
      <w:r w:rsidRPr="00580C0D">
        <w:t>Fleire</w:t>
      </w:r>
      <w:proofErr w:type="spellEnd"/>
      <w:r w:rsidRPr="00580C0D">
        <w:t xml:space="preserve"> </w:t>
      </w:r>
      <w:proofErr w:type="spellStart"/>
      <w:r w:rsidRPr="00580C0D">
        <w:t>kompensasjonsgradar</w:t>
      </w:r>
      <w:proofErr w:type="spellEnd"/>
      <w:r w:rsidRPr="00580C0D">
        <w:t xml:space="preserve"> gir foreldre betre høve til å tilpasse foreldrepengeuttaket etter eigne ønske og behov. Samstundes vil nye </w:t>
      </w:r>
      <w:proofErr w:type="spellStart"/>
      <w:r w:rsidRPr="00580C0D">
        <w:t>kompensasjonsgradar</w:t>
      </w:r>
      <w:proofErr w:type="spellEnd"/>
      <w:r w:rsidRPr="00580C0D">
        <w:t xml:space="preserve"> gi større lovmessige og administrative </w:t>
      </w:r>
      <w:proofErr w:type="spellStart"/>
      <w:r w:rsidRPr="00580C0D">
        <w:t>endringar</w:t>
      </w:r>
      <w:proofErr w:type="spellEnd"/>
      <w:r w:rsidRPr="00580C0D">
        <w:t xml:space="preserve"> enn det å utlikne skilnaden mellom 80 og 100 prosent dekkingsgrad. Det er derfor behov for å greie ut dette </w:t>
      </w:r>
      <w:proofErr w:type="spellStart"/>
      <w:r w:rsidRPr="00580C0D">
        <w:t>nærare</w:t>
      </w:r>
      <w:proofErr w:type="spellEnd"/>
      <w:r w:rsidRPr="00580C0D">
        <w:t xml:space="preserve"> og kva verknader det vil ha, før dette eventuelt blir innført.</w:t>
      </w:r>
    </w:p>
    <w:p w14:paraId="4A15D53C" w14:textId="77777777" w:rsidR="00F7113A" w:rsidRPr="00580C0D" w:rsidRDefault="00142E5B" w:rsidP="00580C0D">
      <w:r w:rsidRPr="00580C0D">
        <w:t xml:space="preserve">Innføring av 90 prosent kompensasjonsgrad </w:t>
      </w:r>
      <w:proofErr w:type="spellStart"/>
      <w:r w:rsidRPr="00580C0D">
        <w:t>tilsvarande</w:t>
      </w:r>
      <w:proofErr w:type="spellEnd"/>
      <w:r w:rsidRPr="00580C0D">
        <w:t xml:space="preserve"> samla foreldrepengeutbetaling ved 100 prosent vil </w:t>
      </w:r>
      <w:proofErr w:type="spellStart"/>
      <w:r w:rsidRPr="00580C0D">
        <w:t>ikkje</w:t>
      </w:r>
      <w:proofErr w:type="spellEnd"/>
      <w:r w:rsidRPr="00580C0D">
        <w:t xml:space="preserve"> </w:t>
      </w:r>
      <w:proofErr w:type="spellStart"/>
      <w:r w:rsidRPr="00580C0D">
        <w:t>vere</w:t>
      </w:r>
      <w:proofErr w:type="spellEnd"/>
      <w:r w:rsidRPr="00580C0D">
        <w:t xml:space="preserve"> provenynøytralt med </w:t>
      </w:r>
      <w:proofErr w:type="spellStart"/>
      <w:r w:rsidRPr="00580C0D">
        <w:t>gjeldande</w:t>
      </w:r>
      <w:proofErr w:type="spellEnd"/>
      <w:r w:rsidRPr="00580C0D">
        <w:t xml:space="preserve"> regelverk fordi det er grunn til å tru at </w:t>
      </w:r>
      <w:proofErr w:type="spellStart"/>
      <w:r w:rsidRPr="00580C0D">
        <w:t>ein</w:t>
      </w:r>
      <w:proofErr w:type="spellEnd"/>
      <w:r w:rsidRPr="00580C0D">
        <w:t xml:space="preserve"> del </w:t>
      </w:r>
      <w:proofErr w:type="spellStart"/>
      <w:r w:rsidRPr="00580C0D">
        <w:t>mottakarar</w:t>
      </w:r>
      <w:proofErr w:type="spellEnd"/>
      <w:r w:rsidRPr="00580C0D">
        <w:t xml:space="preserve"> ville gått </w:t>
      </w:r>
      <w:proofErr w:type="spellStart"/>
      <w:r w:rsidRPr="00580C0D">
        <w:t>frå</w:t>
      </w:r>
      <w:proofErr w:type="spellEnd"/>
      <w:r w:rsidRPr="00580C0D">
        <w:t xml:space="preserve"> 80 prosent til 90 prosent kompensasjonsgrad. Dersom skilnaden mellom 80 og 100 prosent dekkingsgrad blir utlikna fyrst, kan det </w:t>
      </w:r>
      <w:proofErr w:type="spellStart"/>
      <w:r w:rsidRPr="00580C0D">
        <w:t>innførast</w:t>
      </w:r>
      <w:proofErr w:type="spellEnd"/>
      <w:r w:rsidRPr="00580C0D">
        <w:t xml:space="preserve"> 90 prosent dekkingsgrad med ei </w:t>
      </w:r>
      <w:proofErr w:type="spellStart"/>
      <w:r w:rsidRPr="00580C0D">
        <w:t>lengd</w:t>
      </w:r>
      <w:proofErr w:type="spellEnd"/>
      <w:r w:rsidRPr="00580C0D">
        <w:t xml:space="preserve"> på 54 veker </w:t>
      </w:r>
      <w:proofErr w:type="spellStart"/>
      <w:r w:rsidRPr="00580C0D">
        <w:t>utan</w:t>
      </w:r>
      <w:proofErr w:type="spellEnd"/>
      <w:r w:rsidRPr="00580C0D">
        <w:t xml:space="preserve"> ekstra </w:t>
      </w:r>
      <w:proofErr w:type="spellStart"/>
      <w:r w:rsidRPr="00580C0D">
        <w:t>meirutgifter</w:t>
      </w:r>
      <w:proofErr w:type="spellEnd"/>
      <w:r w:rsidRPr="00580C0D">
        <w:t xml:space="preserve"> og med lik samla stønadsutbetaling som ved </w:t>
      </w:r>
      <w:proofErr w:type="spellStart"/>
      <w:r w:rsidRPr="00580C0D">
        <w:t>dei</w:t>
      </w:r>
      <w:proofErr w:type="spellEnd"/>
      <w:r w:rsidRPr="00580C0D">
        <w:t xml:space="preserve"> andre alternativa.</w:t>
      </w:r>
    </w:p>
    <w:p w14:paraId="42A24A2B" w14:textId="77777777" w:rsidR="00F7113A" w:rsidRPr="00580C0D" w:rsidRDefault="00142E5B" w:rsidP="00580C0D">
      <w:r w:rsidRPr="00580C0D">
        <w:t xml:space="preserve">I dag kan </w:t>
      </w:r>
      <w:proofErr w:type="spellStart"/>
      <w:r w:rsidRPr="00580C0D">
        <w:t>ein</w:t>
      </w:r>
      <w:proofErr w:type="spellEnd"/>
      <w:r w:rsidRPr="00580C0D">
        <w:t xml:space="preserve"> gradere </w:t>
      </w:r>
      <w:proofErr w:type="spellStart"/>
      <w:r w:rsidRPr="00580C0D">
        <w:t>foreldrepengane</w:t>
      </w:r>
      <w:proofErr w:type="spellEnd"/>
      <w:r w:rsidRPr="00580C0D">
        <w:t xml:space="preserve"> mot arbeid. Ei alternativ løysing er å innføre </w:t>
      </w:r>
      <w:proofErr w:type="spellStart"/>
      <w:r w:rsidRPr="00580C0D">
        <w:t>såkalla</w:t>
      </w:r>
      <w:proofErr w:type="spellEnd"/>
      <w:r w:rsidRPr="00580C0D">
        <w:t xml:space="preserve"> fri gradering, det vil </w:t>
      </w:r>
      <w:proofErr w:type="spellStart"/>
      <w:r w:rsidRPr="00580C0D">
        <w:t>seie</w:t>
      </w:r>
      <w:proofErr w:type="spellEnd"/>
      <w:r w:rsidRPr="00580C0D">
        <w:t xml:space="preserve"> at </w:t>
      </w:r>
      <w:proofErr w:type="spellStart"/>
      <w:r w:rsidRPr="00580C0D">
        <w:t>foreldra</w:t>
      </w:r>
      <w:proofErr w:type="spellEnd"/>
      <w:r w:rsidRPr="00580C0D">
        <w:t xml:space="preserve"> sjølve vel uttaksgraden. Dette er ei stor omlegging av ordninga som må </w:t>
      </w:r>
      <w:proofErr w:type="spellStart"/>
      <w:r w:rsidRPr="00580C0D">
        <w:t>greiast</w:t>
      </w:r>
      <w:proofErr w:type="spellEnd"/>
      <w:r w:rsidRPr="00580C0D">
        <w:t xml:space="preserve"> ut </w:t>
      </w:r>
      <w:proofErr w:type="spellStart"/>
      <w:r w:rsidRPr="00580C0D">
        <w:t>nærare</w:t>
      </w:r>
      <w:proofErr w:type="spellEnd"/>
      <w:r w:rsidRPr="00580C0D">
        <w:t xml:space="preserve"> for å vurdere </w:t>
      </w:r>
      <w:proofErr w:type="spellStart"/>
      <w:r w:rsidRPr="00580C0D">
        <w:t>effektane</w:t>
      </w:r>
      <w:proofErr w:type="spellEnd"/>
      <w:r w:rsidRPr="00580C0D">
        <w:t xml:space="preserve"> på </w:t>
      </w:r>
      <w:proofErr w:type="spellStart"/>
      <w:r w:rsidRPr="00580C0D">
        <w:t>arbeidstilbod</w:t>
      </w:r>
      <w:proofErr w:type="spellEnd"/>
      <w:r w:rsidRPr="00580C0D">
        <w:t xml:space="preserve"> og andre </w:t>
      </w:r>
      <w:proofErr w:type="spellStart"/>
      <w:r w:rsidRPr="00580C0D">
        <w:t>velferdstilbod</w:t>
      </w:r>
      <w:proofErr w:type="spellEnd"/>
      <w:r w:rsidRPr="00580C0D">
        <w:t xml:space="preserve">. Ei slik endring må òg bli send på </w:t>
      </w:r>
      <w:proofErr w:type="spellStart"/>
      <w:r w:rsidRPr="00580C0D">
        <w:t>høyring</w:t>
      </w:r>
      <w:proofErr w:type="spellEnd"/>
      <w:r w:rsidRPr="00580C0D">
        <w:t>.</w:t>
      </w:r>
    </w:p>
    <w:p w14:paraId="6704389F" w14:textId="77777777" w:rsidR="00F7113A" w:rsidRPr="00580C0D" w:rsidRDefault="00142E5B" w:rsidP="00580C0D">
      <w:r w:rsidRPr="00580C0D">
        <w:t xml:space="preserve">BFD meiner den </w:t>
      </w:r>
      <w:proofErr w:type="spellStart"/>
      <w:r w:rsidRPr="00580C0D">
        <w:t>føreslåtte</w:t>
      </w:r>
      <w:proofErr w:type="spellEnd"/>
      <w:r w:rsidRPr="00580C0D">
        <w:t xml:space="preserve"> endringa i 80 prosent kompensasjonsgrad er ei løysing som </w:t>
      </w:r>
      <w:proofErr w:type="spellStart"/>
      <w:r w:rsidRPr="00580C0D">
        <w:t>bidreg</w:t>
      </w:r>
      <w:proofErr w:type="spellEnd"/>
      <w:r w:rsidRPr="00580C0D">
        <w:t xml:space="preserve"> til å </w:t>
      </w:r>
      <w:proofErr w:type="spellStart"/>
      <w:r w:rsidRPr="00580C0D">
        <w:t>auke</w:t>
      </w:r>
      <w:proofErr w:type="spellEnd"/>
      <w:r w:rsidRPr="00580C0D">
        <w:t xml:space="preserve"> fleksibiliteten i ordninga og </w:t>
      </w:r>
      <w:proofErr w:type="spellStart"/>
      <w:r w:rsidRPr="00580C0D">
        <w:t>gjer</w:t>
      </w:r>
      <w:proofErr w:type="spellEnd"/>
      <w:r w:rsidRPr="00580C0D">
        <w:t xml:space="preserve"> henne til </w:t>
      </w:r>
      <w:proofErr w:type="spellStart"/>
      <w:r w:rsidRPr="00580C0D">
        <w:t>eit</w:t>
      </w:r>
      <w:proofErr w:type="spellEnd"/>
      <w:r w:rsidRPr="00580C0D">
        <w:t xml:space="preserve"> </w:t>
      </w:r>
      <w:proofErr w:type="spellStart"/>
      <w:r w:rsidRPr="00580C0D">
        <w:t>meir</w:t>
      </w:r>
      <w:proofErr w:type="spellEnd"/>
      <w:r w:rsidRPr="00580C0D">
        <w:t xml:space="preserve"> reelt alternativ til 100 prosent kompensasjonsgrad. BFD meiner den </w:t>
      </w:r>
      <w:proofErr w:type="spellStart"/>
      <w:r w:rsidRPr="00580C0D">
        <w:t>føreslåtte</w:t>
      </w:r>
      <w:proofErr w:type="spellEnd"/>
      <w:r w:rsidRPr="00580C0D">
        <w:t xml:space="preserve"> endringa møter </w:t>
      </w:r>
      <w:proofErr w:type="spellStart"/>
      <w:r w:rsidRPr="00580C0D">
        <w:t>eit</w:t>
      </w:r>
      <w:proofErr w:type="spellEnd"/>
      <w:r w:rsidRPr="00580C0D">
        <w:t xml:space="preserve"> behov </w:t>
      </w:r>
      <w:proofErr w:type="spellStart"/>
      <w:r w:rsidRPr="00580C0D">
        <w:t>fleire</w:t>
      </w:r>
      <w:proofErr w:type="spellEnd"/>
      <w:r w:rsidRPr="00580C0D">
        <w:t xml:space="preserve"> foreldre har, ho vil redusere bruken av ulønt permisjon og gir betre høve til å amme. BFD legg derfor </w:t>
      </w:r>
      <w:proofErr w:type="spellStart"/>
      <w:r w:rsidRPr="00580C0D">
        <w:t>ikkje</w:t>
      </w:r>
      <w:proofErr w:type="spellEnd"/>
      <w:r w:rsidRPr="00580C0D">
        <w:t xml:space="preserve"> opp til at det blir </w:t>
      </w:r>
      <w:proofErr w:type="spellStart"/>
      <w:r w:rsidRPr="00580C0D">
        <w:t>ein</w:t>
      </w:r>
      <w:proofErr w:type="spellEnd"/>
      <w:r w:rsidRPr="00580C0D">
        <w:t xml:space="preserve"> ny kompensasjonsgrad innført på 90 prosent eller fri gradering i foreldrepengeordninga no. Begge alternativa er </w:t>
      </w:r>
      <w:proofErr w:type="spellStart"/>
      <w:r w:rsidRPr="00580C0D">
        <w:t>meir</w:t>
      </w:r>
      <w:proofErr w:type="spellEnd"/>
      <w:r w:rsidRPr="00580C0D">
        <w:t xml:space="preserve"> </w:t>
      </w:r>
      <w:proofErr w:type="spellStart"/>
      <w:r w:rsidRPr="00580C0D">
        <w:t>omfattande</w:t>
      </w:r>
      <w:proofErr w:type="spellEnd"/>
      <w:r w:rsidRPr="00580C0D">
        <w:t xml:space="preserve"> endringsforslag som krev </w:t>
      </w:r>
      <w:proofErr w:type="spellStart"/>
      <w:r w:rsidRPr="00580C0D">
        <w:t>meir</w:t>
      </w:r>
      <w:proofErr w:type="spellEnd"/>
      <w:r w:rsidRPr="00580C0D">
        <w:t xml:space="preserve"> utgreiing, men som den </w:t>
      </w:r>
      <w:proofErr w:type="spellStart"/>
      <w:r w:rsidRPr="00580C0D">
        <w:t>føreslåtte</w:t>
      </w:r>
      <w:proofErr w:type="spellEnd"/>
      <w:r w:rsidRPr="00580C0D">
        <w:t xml:space="preserve"> endringa i 80 prosent dekkingsgrad kan </w:t>
      </w:r>
      <w:proofErr w:type="spellStart"/>
      <w:r w:rsidRPr="00580C0D">
        <w:t>gjere</w:t>
      </w:r>
      <w:proofErr w:type="spellEnd"/>
      <w:r w:rsidRPr="00580C0D">
        <w:t xml:space="preserve"> det </w:t>
      </w:r>
      <w:proofErr w:type="spellStart"/>
      <w:r w:rsidRPr="00580C0D">
        <w:t>enklare</w:t>
      </w:r>
      <w:proofErr w:type="spellEnd"/>
      <w:r w:rsidRPr="00580C0D">
        <w:t xml:space="preserve"> å innføre på </w:t>
      </w:r>
      <w:proofErr w:type="spellStart"/>
      <w:r w:rsidRPr="00580C0D">
        <w:t>eit</w:t>
      </w:r>
      <w:proofErr w:type="spellEnd"/>
      <w:r w:rsidRPr="00580C0D">
        <w:t xml:space="preserve"> </w:t>
      </w:r>
      <w:proofErr w:type="spellStart"/>
      <w:r w:rsidRPr="00580C0D">
        <w:t>seinare</w:t>
      </w:r>
      <w:proofErr w:type="spellEnd"/>
      <w:r w:rsidRPr="00580C0D">
        <w:t xml:space="preserve"> tidspunkt.</w:t>
      </w:r>
    </w:p>
    <w:p w14:paraId="27FD2645" w14:textId="77777777" w:rsidR="00F7113A" w:rsidRPr="00580C0D" w:rsidRDefault="00142E5B" w:rsidP="00580C0D">
      <w:r w:rsidRPr="00580C0D">
        <w:t xml:space="preserve">Basert på omtalen </w:t>
      </w:r>
      <w:proofErr w:type="spellStart"/>
      <w:r w:rsidRPr="00580C0D">
        <w:t>ovanfor</w:t>
      </w:r>
      <w:proofErr w:type="spellEnd"/>
      <w:r w:rsidRPr="00580C0D">
        <w:t xml:space="preserve"> </w:t>
      </w:r>
      <w:proofErr w:type="spellStart"/>
      <w:r w:rsidRPr="00580C0D">
        <w:t>reknar</w:t>
      </w:r>
      <w:proofErr w:type="spellEnd"/>
      <w:r w:rsidRPr="00580C0D">
        <w:t xml:space="preserve"> departementet vedtaket som </w:t>
      </w:r>
      <w:proofErr w:type="spellStart"/>
      <w:r w:rsidRPr="00580C0D">
        <w:t>følgt</w:t>
      </w:r>
      <w:proofErr w:type="spellEnd"/>
      <w:r w:rsidRPr="00580C0D">
        <w:t xml:space="preserve"> opp.</w:t>
      </w:r>
    </w:p>
    <w:p w14:paraId="35B1FE3B" w14:textId="77777777" w:rsidR="00F7113A" w:rsidRPr="00580C0D" w:rsidRDefault="00142E5B" w:rsidP="00580C0D">
      <w:pPr>
        <w:pStyle w:val="avsnitt-tittel"/>
      </w:pPr>
      <w:r w:rsidRPr="00580C0D">
        <w:t>Barnevernets meldeplikt til politiet om barn på skjult og sperra adresse</w:t>
      </w:r>
    </w:p>
    <w:p w14:paraId="0872FD1F" w14:textId="77777777" w:rsidR="00F7113A" w:rsidRPr="00580C0D" w:rsidRDefault="00142E5B" w:rsidP="00580C0D">
      <w:pPr>
        <w:pStyle w:val="avsnitt-undertittel"/>
      </w:pPr>
      <w:r w:rsidRPr="00580C0D">
        <w:t>Vedtak 138, 6. desember 2022</w:t>
      </w:r>
    </w:p>
    <w:p w14:paraId="3E654004" w14:textId="77777777" w:rsidR="00F7113A" w:rsidRPr="00580C0D" w:rsidRDefault="00142E5B" w:rsidP="00580C0D">
      <w:pPr>
        <w:pStyle w:val="blokksit"/>
        <w:rPr>
          <w:rStyle w:val="kursiv"/>
        </w:rPr>
      </w:pPr>
      <w:r w:rsidRPr="00580C0D">
        <w:rPr>
          <w:rStyle w:val="kursiv"/>
        </w:rPr>
        <w:t>«Stortinget ber regjeringen sørge for at regelverket om barnevernets meldeplikt til politiet om barn på skjult og sperret adresse klargjøres, og at det sikres nødvendige rutiner for informasjonsutveksling.»</w:t>
      </w:r>
    </w:p>
    <w:p w14:paraId="4D55A44E"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å betre </w:t>
      </w:r>
      <w:proofErr w:type="spellStart"/>
      <w:r w:rsidRPr="00580C0D">
        <w:t>førebyggje</w:t>
      </w:r>
      <w:proofErr w:type="spellEnd"/>
      <w:r w:rsidRPr="00580C0D">
        <w:t xml:space="preserve"> og få slutt på </w:t>
      </w:r>
      <w:proofErr w:type="spellStart"/>
      <w:r w:rsidRPr="00580C0D">
        <w:t>partnardrap</w:t>
      </w:r>
      <w:proofErr w:type="spellEnd"/>
      <w:r w:rsidRPr="00580C0D">
        <w:t xml:space="preserve">, jf. </w:t>
      </w:r>
      <w:proofErr w:type="spellStart"/>
      <w:r w:rsidRPr="00580C0D">
        <w:t>Dok</w:t>
      </w:r>
      <w:proofErr w:type="spellEnd"/>
      <w:r w:rsidRPr="00580C0D">
        <w:t xml:space="preserve">. 8:218 S (2021–2022) og </w:t>
      </w:r>
      <w:proofErr w:type="spellStart"/>
      <w:r w:rsidRPr="00580C0D">
        <w:t>Innst</w:t>
      </w:r>
      <w:proofErr w:type="spellEnd"/>
      <w:r w:rsidRPr="00580C0D">
        <w:t>. 64 S (2022–2023).</w:t>
      </w:r>
    </w:p>
    <w:p w14:paraId="698D2FC8" w14:textId="77777777" w:rsidR="00F7113A" w:rsidRPr="00580C0D" w:rsidRDefault="00142E5B" w:rsidP="00580C0D">
      <w:r w:rsidRPr="00580C0D">
        <w:t xml:space="preserve">Departementet vurderer korleis vedtaket kan </w:t>
      </w:r>
      <w:proofErr w:type="spellStart"/>
      <w:r w:rsidRPr="00580C0D">
        <w:t>følgjast</w:t>
      </w:r>
      <w:proofErr w:type="spellEnd"/>
      <w:r w:rsidRPr="00580C0D">
        <w:t xml:space="preserve"> opp, og vil orientere Stortinget om den </w:t>
      </w:r>
      <w:proofErr w:type="spellStart"/>
      <w:r w:rsidRPr="00580C0D">
        <w:t>vidare</w:t>
      </w:r>
      <w:proofErr w:type="spellEnd"/>
      <w:r w:rsidRPr="00580C0D">
        <w:t xml:space="preserve"> oppfølginga av vedtaket på eigna vis.</w:t>
      </w:r>
    </w:p>
    <w:p w14:paraId="686EF7A0" w14:textId="77777777" w:rsidR="00F7113A" w:rsidRPr="00580C0D" w:rsidRDefault="00142E5B" w:rsidP="00580C0D">
      <w:pPr>
        <w:pStyle w:val="avsnitt-tittel"/>
      </w:pPr>
      <w:r w:rsidRPr="00580C0D">
        <w:t>Nasjonalt høve til å klage for barn</w:t>
      </w:r>
    </w:p>
    <w:p w14:paraId="041EAB84" w14:textId="77777777" w:rsidR="00F7113A" w:rsidRPr="00580C0D" w:rsidRDefault="00142E5B" w:rsidP="00580C0D">
      <w:pPr>
        <w:pStyle w:val="avsnitt-undertittel"/>
      </w:pPr>
      <w:r w:rsidRPr="00580C0D">
        <w:t>Vedtak 562, 28. mars 2023</w:t>
      </w:r>
    </w:p>
    <w:p w14:paraId="27A69A22" w14:textId="77777777" w:rsidR="00F7113A" w:rsidRPr="00580C0D" w:rsidRDefault="00142E5B" w:rsidP="00580C0D">
      <w:pPr>
        <w:pStyle w:val="blokksit"/>
        <w:rPr>
          <w:rStyle w:val="kursiv"/>
        </w:rPr>
      </w:pPr>
      <w:r w:rsidRPr="00580C0D">
        <w:rPr>
          <w:rStyle w:val="kursiv"/>
        </w:rPr>
        <w:t>«Stortinget ber regjeringen iverksette et arbeid for å sikre barns nasjonale klagemuligheter samt bedre informasjonen til barn og unge om retten til å klage i enkeltsaker og de klagerettigheter som finnes.»</w:t>
      </w:r>
    </w:p>
    <w:p w14:paraId="3D73C027"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å sikre </w:t>
      </w:r>
      <w:proofErr w:type="spellStart"/>
      <w:r w:rsidRPr="00580C0D">
        <w:t>forsvarlege</w:t>
      </w:r>
      <w:proofErr w:type="spellEnd"/>
      <w:r w:rsidRPr="00580C0D">
        <w:t xml:space="preserve"> </w:t>
      </w:r>
      <w:proofErr w:type="spellStart"/>
      <w:r w:rsidRPr="00580C0D">
        <w:t>barnevernstenester</w:t>
      </w:r>
      <w:proofErr w:type="spellEnd"/>
      <w:r w:rsidRPr="00580C0D">
        <w:t xml:space="preserve">, jf. </w:t>
      </w:r>
      <w:proofErr w:type="spellStart"/>
      <w:r w:rsidRPr="00580C0D">
        <w:t>Dok</w:t>
      </w:r>
      <w:proofErr w:type="spellEnd"/>
      <w:r w:rsidRPr="00580C0D">
        <w:t xml:space="preserve">. 8:22 S (2022–2023) og </w:t>
      </w:r>
      <w:proofErr w:type="spellStart"/>
      <w:r w:rsidRPr="00580C0D">
        <w:t>Innst</w:t>
      </w:r>
      <w:proofErr w:type="spellEnd"/>
      <w:r w:rsidRPr="00580C0D">
        <w:t>. 207 S (2022–2023).</w:t>
      </w:r>
    </w:p>
    <w:p w14:paraId="1C9F5BAE" w14:textId="77777777" w:rsidR="00F7113A" w:rsidRPr="00580C0D" w:rsidRDefault="00142E5B" w:rsidP="00580C0D">
      <w:r w:rsidRPr="00580C0D">
        <w:t xml:space="preserve">Barne- og familiedepartementet har i samarbeid med aktuelle departement kartlagt høva barn har til å klage på felta sine. Ei interdepartemental arbeidsgruppe for styrkt ivaretaking av barn sine </w:t>
      </w:r>
      <w:proofErr w:type="spellStart"/>
      <w:r w:rsidRPr="00580C0D">
        <w:t>rettar</w:t>
      </w:r>
      <w:proofErr w:type="spellEnd"/>
      <w:r w:rsidRPr="00580C0D">
        <w:t xml:space="preserve">, leidd av Barne- og familiedepartementet, har òg </w:t>
      </w:r>
      <w:proofErr w:type="spellStart"/>
      <w:r w:rsidRPr="00580C0D">
        <w:t>vore</w:t>
      </w:r>
      <w:proofErr w:type="spellEnd"/>
      <w:r w:rsidRPr="00580C0D">
        <w:t xml:space="preserve"> involvert. </w:t>
      </w:r>
      <w:proofErr w:type="spellStart"/>
      <w:r w:rsidRPr="00580C0D">
        <w:t>Bufdir</w:t>
      </w:r>
      <w:proofErr w:type="spellEnd"/>
      <w:r w:rsidRPr="00580C0D">
        <w:t xml:space="preserve"> har i tildelingsbrev for 2023 fått i oppdrag å </w:t>
      </w:r>
      <w:proofErr w:type="spellStart"/>
      <w:r w:rsidRPr="00580C0D">
        <w:t>forbetre</w:t>
      </w:r>
      <w:proofErr w:type="spellEnd"/>
      <w:r w:rsidRPr="00580C0D">
        <w:t xml:space="preserve"> informasjonen til barn og unge om retten til å klage i </w:t>
      </w:r>
      <w:proofErr w:type="spellStart"/>
      <w:r w:rsidRPr="00580C0D">
        <w:t>einskildsaker</w:t>
      </w:r>
      <w:proofErr w:type="spellEnd"/>
      <w:r w:rsidRPr="00580C0D">
        <w:t xml:space="preserve"> og å nytte </w:t>
      </w:r>
      <w:proofErr w:type="spellStart"/>
      <w:r w:rsidRPr="00580C0D">
        <w:t>DigiUng</w:t>
      </w:r>
      <w:proofErr w:type="spellEnd"/>
      <w:r w:rsidRPr="00580C0D">
        <w:t xml:space="preserve">-samarbeidet til å samle informasjon om barn og unge sine </w:t>
      </w:r>
      <w:proofErr w:type="spellStart"/>
      <w:r w:rsidRPr="00580C0D">
        <w:t>klageordningar</w:t>
      </w:r>
      <w:proofErr w:type="spellEnd"/>
      <w:r w:rsidRPr="00580C0D">
        <w:t xml:space="preserve"> på ung.no.</w:t>
      </w:r>
    </w:p>
    <w:p w14:paraId="288CEEF0" w14:textId="77777777" w:rsidR="00F7113A" w:rsidRPr="00580C0D" w:rsidRDefault="00142E5B" w:rsidP="00580C0D">
      <w:r w:rsidRPr="00580C0D">
        <w:t xml:space="preserve">Arbeidet med høva barn har til å klage er i gang, og departementet vil orientere Stortinget om den </w:t>
      </w:r>
      <w:proofErr w:type="spellStart"/>
      <w:r w:rsidRPr="00580C0D">
        <w:t>vidare</w:t>
      </w:r>
      <w:proofErr w:type="spellEnd"/>
      <w:r w:rsidRPr="00580C0D">
        <w:t xml:space="preserve"> oppfølginga av vedtaket på eigna vis.</w:t>
      </w:r>
    </w:p>
    <w:p w14:paraId="41B74707" w14:textId="77777777" w:rsidR="00F7113A" w:rsidRPr="00580C0D" w:rsidRDefault="00142E5B" w:rsidP="00580C0D">
      <w:pPr>
        <w:pStyle w:val="avsnitt-tittel"/>
      </w:pPr>
      <w:proofErr w:type="spellStart"/>
      <w:r w:rsidRPr="00580C0D">
        <w:t>Forbetringar</w:t>
      </w:r>
      <w:proofErr w:type="spellEnd"/>
      <w:r w:rsidRPr="00580C0D">
        <w:t xml:space="preserve"> i delkostnadsnøkkelen for barnevern</w:t>
      </w:r>
    </w:p>
    <w:p w14:paraId="2F2CA937" w14:textId="77777777" w:rsidR="00F7113A" w:rsidRPr="00580C0D" w:rsidRDefault="00142E5B" w:rsidP="00580C0D">
      <w:pPr>
        <w:pStyle w:val="avsnitt-undertittel"/>
      </w:pPr>
      <w:r w:rsidRPr="00580C0D">
        <w:t>Vedtak 563, 28. mars 2023</w:t>
      </w:r>
    </w:p>
    <w:p w14:paraId="5F647C5E" w14:textId="77777777" w:rsidR="00F7113A" w:rsidRPr="00580C0D" w:rsidRDefault="00142E5B" w:rsidP="00580C0D">
      <w:pPr>
        <w:pStyle w:val="blokksit"/>
        <w:rPr>
          <w:rStyle w:val="kursiv"/>
        </w:rPr>
      </w:pPr>
      <w:r w:rsidRPr="00580C0D">
        <w:rPr>
          <w:rStyle w:val="kursiv"/>
        </w:rPr>
        <w:t>«Stortinget ber regjeringen komme tilbake til Stortinget med forslag om forbedringer i delkostnadsnøkkelen for barnevern, basert på anbefalingene i NOU 2022:10, med mål om å gjøre den mer treffsikker.»</w:t>
      </w:r>
    </w:p>
    <w:p w14:paraId="2D0416BD"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å sikre </w:t>
      </w:r>
      <w:proofErr w:type="spellStart"/>
      <w:r w:rsidRPr="00580C0D">
        <w:t>forsvarlege</w:t>
      </w:r>
      <w:proofErr w:type="spellEnd"/>
      <w:r w:rsidRPr="00580C0D">
        <w:t xml:space="preserve"> </w:t>
      </w:r>
      <w:proofErr w:type="spellStart"/>
      <w:r w:rsidRPr="00580C0D">
        <w:t>barnevernstenester</w:t>
      </w:r>
      <w:proofErr w:type="spellEnd"/>
      <w:r w:rsidRPr="00580C0D">
        <w:t xml:space="preserve">, jf. </w:t>
      </w:r>
      <w:proofErr w:type="spellStart"/>
      <w:r w:rsidRPr="00580C0D">
        <w:t>Dok</w:t>
      </w:r>
      <w:proofErr w:type="spellEnd"/>
      <w:r w:rsidRPr="00580C0D">
        <w:t xml:space="preserve">. 8:22 S (2022–2023) og </w:t>
      </w:r>
      <w:proofErr w:type="spellStart"/>
      <w:r w:rsidRPr="00580C0D">
        <w:t>Innst</w:t>
      </w:r>
      <w:proofErr w:type="spellEnd"/>
      <w:r w:rsidRPr="00580C0D">
        <w:t>. 207 S (2022–2023).</w:t>
      </w:r>
    </w:p>
    <w:p w14:paraId="10E91C6A" w14:textId="77777777" w:rsidR="00F7113A" w:rsidRPr="00580C0D" w:rsidRDefault="00142E5B" w:rsidP="00580C0D">
      <w:r w:rsidRPr="00580C0D">
        <w:t xml:space="preserve">Utgreiinga </w:t>
      </w:r>
      <w:proofErr w:type="spellStart"/>
      <w:r w:rsidRPr="00580C0D">
        <w:t>frå</w:t>
      </w:r>
      <w:proofErr w:type="spellEnd"/>
      <w:r w:rsidRPr="00580C0D">
        <w:t xml:space="preserve"> </w:t>
      </w:r>
      <w:proofErr w:type="spellStart"/>
      <w:r w:rsidRPr="00580C0D">
        <w:t>utvalet</w:t>
      </w:r>
      <w:proofErr w:type="spellEnd"/>
      <w:r w:rsidRPr="00580C0D">
        <w:t xml:space="preserve"> som har sett på inntektssystemet for </w:t>
      </w:r>
      <w:proofErr w:type="spellStart"/>
      <w:r w:rsidRPr="00580C0D">
        <w:t>kommunane</w:t>
      </w:r>
      <w:proofErr w:type="spellEnd"/>
      <w:r w:rsidRPr="00580C0D">
        <w:t xml:space="preserve">, blei levert til regjeringa i august 2022 og sendt på </w:t>
      </w:r>
      <w:proofErr w:type="spellStart"/>
      <w:r w:rsidRPr="00580C0D">
        <w:t>offentleg</w:t>
      </w:r>
      <w:proofErr w:type="spellEnd"/>
      <w:r w:rsidRPr="00580C0D">
        <w:t xml:space="preserve"> </w:t>
      </w:r>
      <w:proofErr w:type="spellStart"/>
      <w:r w:rsidRPr="00580C0D">
        <w:t>høyring</w:t>
      </w:r>
      <w:proofErr w:type="spellEnd"/>
      <w:r w:rsidRPr="00580C0D">
        <w:t xml:space="preserve">. </w:t>
      </w:r>
      <w:proofErr w:type="spellStart"/>
      <w:r w:rsidRPr="00580C0D">
        <w:t>Utvalet</w:t>
      </w:r>
      <w:proofErr w:type="spellEnd"/>
      <w:r w:rsidRPr="00580C0D">
        <w:t xml:space="preserve"> har komme med forslag til mindre </w:t>
      </w:r>
      <w:proofErr w:type="spellStart"/>
      <w:r w:rsidRPr="00580C0D">
        <w:t>endringar</w:t>
      </w:r>
      <w:proofErr w:type="spellEnd"/>
      <w:r w:rsidRPr="00580C0D">
        <w:t xml:space="preserve"> i delkostnadsnøkkelen for barnevernet. </w:t>
      </w:r>
      <w:proofErr w:type="spellStart"/>
      <w:r w:rsidRPr="00580C0D">
        <w:t>Utvalet</w:t>
      </w:r>
      <w:proofErr w:type="spellEnd"/>
      <w:r w:rsidRPr="00580C0D">
        <w:t xml:space="preserve"> tilrår òg at delkostnadsnøkkelen for barnevernet blir analysert på nytt når verknadene av </w:t>
      </w:r>
      <w:proofErr w:type="spellStart"/>
      <w:r w:rsidRPr="00580C0D">
        <w:t>barnevernsreforma</w:t>
      </w:r>
      <w:proofErr w:type="spellEnd"/>
      <w:r w:rsidRPr="00580C0D">
        <w:t xml:space="preserve"> er komne inn i datagrunnlaget for delkostnadsnøkkelen. Kommunal- og </w:t>
      </w:r>
      <w:proofErr w:type="spellStart"/>
      <w:r w:rsidRPr="00580C0D">
        <w:t>distriktsdepartementet</w:t>
      </w:r>
      <w:proofErr w:type="spellEnd"/>
      <w:r w:rsidRPr="00580C0D">
        <w:t xml:space="preserve"> og Barne- og familiedepartementet vil vurdere korleis </w:t>
      </w:r>
      <w:proofErr w:type="spellStart"/>
      <w:r w:rsidRPr="00580C0D">
        <w:t>tilrådingane</w:t>
      </w:r>
      <w:proofErr w:type="spellEnd"/>
      <w:r w:rsidRPr="00580C0D">
        <w:t xml:space="preserve"> </w:t>
      </w:r>
      <w:proofErr w:type="spellStart"/>
      <w:r w:rsidRPr="00580C0D">
        <w:t>frå</w:t>
      </w:r>
      <w:proofErr w:type="spellEnd"/>
      <w:r w:rsidRPr="00580C0D">
        <w:t xml:space="preserve"> </w:t>
      </w:r>
      <w:proofErr w:type="spellStart"/>
      <w:r w:rsidRPr="00580C0D">
        <w:t>utvalet</w:t>
      </w:r>
      <w:proofErr w:type="spellEnd"/>
      <w:r w:rsidRPr="00580C0D">
        <w:t xml:space="preserve"> og </w:t>
      </w:r>
      <w:proofErr w:type="spellStart"/>
      <w:r w:rsidRPr="00580C0D">
        <w:t>innspel</w:t>
      </w:r>
      <w:proofErr w:type="spellEnd"/>
      <w:r w:rsidRPr="00580C0D">
        <w:t xml:space="preserve"> </w:t>
      </w:r>
      <w:proofErr w:type="spellStart"/>
      <w:r w:rsidRPr="00580C0D">
        <w:t>frå</w:t>
      </w:r>
      <w:proofErr w:type="spellEnd"/>
      <w:r w:rsidRPr="00580C0D">
        <w:t xml:space="preserve"> </w:t>
      </w:r>
      <w:proofErr w:type="spellStart"/>
      <w:r w:rsidRPr="00580C0D">
        <w:t>høyringsfråsegnene</w:t>
      </w:r>
      <w:proofErr w:type="spellEnd"/>
      <w:r w:rsidRPr="00580C0D">
        <w:t xml:space="preserve"> på dette området kan bli </w:t>
      </w:r>
      <w:proofErr w:type="spellStart"/>
      <w:r w:rsidRPr="00580C0D">
        <w:t>følgde</w:t>
      </w:r>
      <w:proofErr w:type="spellEnd"/>
      <w:r w:rsidRPr="00580C0D">
        <w:t xml:space="preserve"> opp, og </w:t>
      </w:r>
      <w:proofErr w:type="spellStart"/>
      <w:r w:rsidRPr="00580C0D">
        <w:t>legg</w:t>
      </w:r>
      <w:proofErr w:type="spellEnd"/>
      <w:r w:rsidRPr="00580C0D">
        <w:t xml:space="preserve"> opp til å omtale dette i Kommunal- og </w:t>
      </w:r>
      <w:proofErr w:type="spellStart"/>
      <w:r w:rsidRPr="00580C0D">
        <w:t>distriktsdepartementet</w:t>
      </w:r>
      <w:proofErr w:type="spellEnd"/>
      <w:r w:rsidRPr="00580C0D">
        <w:t xml:space="preserve"> si melding til Stortinget om inntektssystemet våren 2024.</w:t>
      </w:r>
    </w:p>
    <w:p w14:paraId="59F3DA7C" w14:textId="77777777" w:rsidR="00F7113A" w:rsidRPr="00580C0D" w:rsidRDefault="00142E5B" w:rsidP="00580C0D">
      <w:pPr>
        <w:pStyle w:val="avsnitt-tittel"/>
      </w:pPr>
      <w:proofErr w:type="spellStart"/>
      <w:r w:rsidRPr="00580C0D">
        <w:t>Tydeleggjere</w:t>
      </w:r>
      <w:proofErr w:type="spellEnd"/>
      <w:r w:rsidRPr="00580C0D">
        <w:t xml:space="preserve"> ansvaret </w:t>
      </w:r>
      <w:proofErr w:type="spellStart"/>
      <w:r w:rsidRPr="00580C0D">
        <w:t>kommunane</w:t>
      </w:r>
      <w:proofErr w:type="spellEnd"/>
      <w:r w:rsidRPr="00580C0D">
        <w:t xml:space="preserve"> har for </w:t>
      </w:r>
      <w:proofErr w:type="spellStart"/>
      <w:r w:rsidRPr="00580C0D">
        <w:t>krisesentertilbodet</w:t>
      </w:r>
      <w:proofErr w:type="spellEnd"/>
      <w:r w:rsidRPr="00580C0D">
        <w:t xml:space="preserve"> til </w:t>
      </w:r>
      <w:proofErr w:type="gramStart"/>
      <w:r w:rsidRPr="00580C0D">
        <w:t>utsette</w:t>
      </w:r>
      <w:proofErr w:type="gramEnd"/>
      <w:r w:rsidRPr="00580C0D">
        <w:t xml:space="preserve"> grupper</w:t>
      </w:r>
    </w:p>
    <w:p w14:paraId="7B11A7ED" w14:textId="77777777" w:rsidR="00F7113A" w:rsidRPr="00580C0D" w:rsidRDefault="00142E5B" w:rsidP="00580C0D">
      <w:pPr>
        <w:pStyle w:val="avsnitt-undertittel"/>
      </w:pPr>
      <w:r w:rsidRPr="00580C0D">
        <w:t>Vedtak 782, 7. juni 2023</w:t>
      </w:r>
    </w:p>
    <w:p w14:paraId="6F6429FA" w14:textId="77777777" w:rsidR="00F7113A" w:rsidRPr="00580C0D" w:rsidRDefault="00142E5B" w:rsidP="00580C0D">
      <w:pPr>
        <w:pStyle w:val="blokksit"/>
        <w:rPr>
          <w:rStyle w:val="kursiv"/>
        </w:rPr>
      </w:pPr>
      <w:r w:rsidRPr="00580C0D">
        <w:rPr>
          <w:rStyle w:val="kursiv"/>
        </w:rPr>
        <w:t>«Stortinget ber regjeringen fremme forslag om endringer i krisesenterlova, der kommunens ansvar for krisesentertilbudet til utsatte grupper tydeliggjøres.»</w:t>
      </w:r>
    </w:p>
    <w:p w14:paraId="70AB57D3"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w:t>
      </w:r>
      <w:proofErr w:type="spellStart"/>
      <w:r w:rsidRPr="00580C0D">
        <w:t>krisesentertilbodet</w:t>
      </w:r>
      <w:proofErr w:type="spellEnd"/>
      <w:r w:rsidRPr="00580C0D">
        <w:t xml:space="preserve"> for kvinner i aktiv rus, jf. </w:t>
      </w:r>
      <w:proofErr w:type="spellStart"/>
      <w:r w:rsidRPr="00580C0D">
        <w:t>Dok</w:t>
      </w:r>
      <w:proofErr w:type="spellEnd"/>
      <w:r w:rsidRPr="00580C0D">
        <w:t xml:space="preserve">. 8:168 S (2022–2023) og </w:t>
      </w:r>
      <w:proofErr w:type="spellStart"/>
      <w:r w:rsidRPr="00580C0D">
        <w:t>Innst</w:t>
      </w:r>
      <w:proofErr w:type="spellEnd"/>
      <w:r w:rsidRPr="00580C0D">
        <w:t>. 474 S (2022–2023).</w:t>
      </w:r>
    </w:p>
    <w:p w14:paraId="78552B2A" w14:textId="77777777" w:rsidR="00F7113A" w:rsidRPr="00580C0D" w:rsidRDefault="00142E5B" w:rsidP="00580C0D">
      <w:r w:rsidRPr="00580C0D">
        <w:t xml:space="preserve">Krisesenterlova gir </w:t>
      </w:r>
      <w:proofErr w:type="spellStart"/>
      <w:r w:rsidRPr="00580C0D">
        <w:t>kommunane</w:t>
      </w:r>
      <w:proofErr w:type="spellEnd"/>
      <w:r w:rsidRPr="00580C0D">
        <w:t xml:space="preserve"> plikt til å sikre </w:t>
      </w:r>
      <w:proofErr w:type="spellStart"/>
      <w:r w:rsidRPr="00580C0D">
        <w:t>eit</w:t>
      </w:r>
      <w:proofErr w:type="spellEnd"/>
      <w:r w:rsidRPr="00580C0D">
        <w:t xml:space="preserve"> </w:t>
      </w:r>
      <w:proofErr w:type="spellStart"/>
      <w:r w:rsidRPr="00580C0D">
        <w:t>krisesentertilbod</w:t>
      </w:r>
      <w:proofErr w:type="spellEnd"/>
      <w:r w:rsidRPr="00580C0D">
        <w:t xml:space="preserve"> til alle som er i målgruppa for lova, også utsette grupper. Det kjem fram av </w:t>
      </w:r>
      <w:proofErr w:type="spellStart"/>
      <w:r w:rsidRPr="00580C0D">
        <w:t>førearbeida</w:t>
      </w:r>
      <w:proofErr w:type="spellEnd"/>
      <w:r w:rsidRPr="00580C0D">
        <w:t xml:space="preserve"> til krisesenterlova at </w:t>
      </w:r>
      <w:proofErr w:type="gramStart"/>
      <w:r w:rsidRPr="00580C0D">
        <w:t>kvar brukar</w:t>
      </w:r>
      <w:proofErr w:type="gramEnd"/>
      <w:r w:rsidRPr="00580C0D">
        <w:t xml:space="preserve"> skal få ei individuell vurdering av behova sine. Dei som av ulike årsaker </w:t>
      </w:r>
      <w:proofErr w:type="spellStart"/>
      <w:r w:rsidRPr="00580C0D">
        <w:t>ikkje</w:t>
      </w:r>
      <w:proofErr w:type="spellEnd"/>
      <w:r w:rsidRPr="00580C0D">
        <w:t xml:space="preserve"> kan </w:t>
      </w:r>
      <w:proofErr w:type="spellStart"/>
      <w:r w:rsidRPr="00580C0D">
        <w:t>opphalde</w:t>
      </w:r>
      <w:proofErr w:type="spellEnd"/>
      <w:r w:rsidRPr="00580C0D">
        <w:t xml:space="preserve"> seg på krisesenter, skal få </w:t>
      </w:r>
      <w:proofErr w:type="spellStart"/>
      <w:r w:rsidRPr="00580C0D">
        <w:t>eit</w:t>
      </w:r>
      <w:proofErr w:type="spellEnd"/>
      <w:r w:rsidRPr="00580C0D">
        <w:t xml:space="preserve"> anna </w:t>
      </w:r>
      <w:proofErr w:type="spellStart"/>
      <w:r w:rsidRPr="00580C0D">
        <w:t>tilbod</w:t>
      </w:r>
      <w:proofErr w:type="spellEnd"/>
      <w:r w:rsidRPr="00580C0D">
        <w:t xml:space="preserve">. Departementet utarbeider </w:t>
      </w:r>
      <w:proofErr w:type="spellStart"/>
      <w:r w:rsidRPr="00580C0D">
        <w:t>eit</w:t>
      </w:r>
      <w:proofErr w:type="spellEnd"/>
      <w:r w:rsidRPr="00580C0D">
        <w:t xml:space="preserve"> </w:t>
      </w:r>
      <w:proofErr w:type="spellStart"/>
      <w:r w:rsidRPr="00580C0D">
        <w:t>høyringsnotat</w:t>
      </w:r>
      <w:proofErr w:type="spellEnd"/>
      <w:r w:rsidRPr="00580C0D">
        <w:t xml:space="preserve"> om </w:t>
      </w:r>
      <w:proofErr w:type="spellStart"/>
      <w:r w:rsidRPr="00580C0D">
        <w:t>endringar</w:t>
      </w:r>
      <w:proofErr w:type="spellEnd"/>
      <w:r w:rsidRPr="00580C0D">
        <w:t xml:space="preserve"> i krisesenterlova og utvikling av </w:t>
      </w:r>
      <w:proofErr w:type="spellStart"/>
      <w:r w:rsidRPr="00580C0D">
        <w:t>krisesentertilbodet</w:t>
      </w:r>
      <w:proofErr w:type="spellEnd"/>
      <w:r w:rsidRPr="00580C0D">
        <w:t xml:space="preserve"> som etter planen skal </w:t>
      </w:r>
      <w:proofErr w:type="spellStart"/>
      <w:r w:rsidRPr="00580C0D">
        <w:t>sendast</w:t>
      </w:r>
      <w:proofErr w:type="spellEnd"/>
      <w:r w:rsidRPr="00580C0D">
        <w:t xml:space="preserve"> på </w:t>
      </w:r>
      <w:proofErr w:type="spellStart"/>
      <w:r w:rsidRPr="00580C0D">
        <w:t>høyring</w:t>
      </w:r>
      <w:proofErr w:type="spellEnd"/>
      <w:r w:rsidRPr="00580C0D">
        <w:t xml:space="preserve"> i løpet av 2023. Sjå omtale under programkategori 11.10 Familie og oppvekst. I dette arbeidet skal departementet mellom anna drøfte </w:t>
      </w:r>
      <w:proofErr w:type="spellStart"/>
      <w:r w:rsidRPr="00580C0D">
        <w:t>endringar</w:t>
      </w:r>
      <w:proofErr w:type="spellEnd"/>
      <w:r w:rsidRPr="00580C0D">
        <w:t xml:space="preserve"> i lova for å sjå på korleis vi kan </w:t>
      </w:r>
      <w:proofErr w:type="spellStart"/>
      <w:r w:rsidRPr="00580C0D">
        <w:t>auke</w:t>
      </w:r>
      <w:proofErr w:type="spellEnd"/>
      <w:r w:rsidRPr="00580C0D">
        <w:t xml:space="preserve"> kvaliteten i </w:t>
      </w:r>
      <w:proofErr w:type="spellStart"/>
      <w:r w:rsidRPr="00580C0D">
        <w:t>tilbodet</w:t>
      </w:r>
      <w:proofErr w:type="spellEnd"/>
      <w:r w:rsidRPr="00580C0D">
        <w:t xml:space="preserve">, også til </w:t>
      </w:r>
      <w:proofErr w:type="gramStart"/>
      <w:r w:rsidRPr="00580C0D">
        <w:t>utsette</w:t>
      </w:r>
      <w:proofErr w:type="gramEnd"/>
      <w:r w:rsidRPr="00580C0D">
        <w:t xml:space="preserve"> grupper. Departementet vil orientere Stortinget om den </w:t>
      </w:r>
      <w:proofErr w:type="spellStart"/>
      <w:r w:rsidRPr="00580C0D">
        <w:t>vidare</w:t>
      </w:r>
      <w:proofErr w:type="spellEnd"/>
      <w:r w:rsidRPr="00580C0D">
        <w:t xml:space="preserve"> oppfølginga av vedtaket på eigna vis.</w:t>
      </w:r>
    </w:p>
    <w:p w14:paraId="7665F1A6" w14:textId="77777777" w:rsidR="00F7113A" w:rsidRPr="00580C0D" w:rsidRDefault="00142E5B" w:rsidP="00580C0D">
      <w:pPr>
        <w:pStyle w:val="avsnitt-tittel"/>
      </w:pPr>
      <w:proofErr w:type="spellStart"/>
      <w:r w:rsidRPr="00580C0D">
        <w:t>Krisesentertilbodet</w:t>
      </w:r>
      <w:proofErr w:type="spellEnd"/>
      <w:r w:rsidRPr="00580C0D">
        <w:t xml:space="preserve"> til </w:t>
      </w:r>
      <w:proofErr w:type="gramStart"/>
      <w:r w:rsidRPr="00580C0D">
        <w:t>utsette</w:t>
      </w:r>
      <w:proofErr w:type="gramEnd"/>
      <w:r w:rsidRPr="00580C0D">
        <w:t xml:space="preserve"> grupper – oppdatere </w:t>
      </w:r>
      <w:proofErr w:type="spellStart"/>
      <w:r w:rsidRPr="00580C0D">
        <w:t>rettleiingar</w:t>
      </w:r>
      <w:proofErr w:type="spellEnd"/>
    </w:p>
    <w:p w14:paraId="3FF47633" w14:textId="77777777" w:rsidR="00F7113A" w:rsidRPr="00580C0D" w:rsidRDefault="00142E5B" w:rsidP="00580C0D">
      <w:pPr>
        <w:pStyle w:val="avsnitt-undertittel"/>
      </w:pPr>
      <w:r w:rsidRPr="00580C0D">
        <w:t>Vedtak 783, 7. juni 2023</w:t>
      </w:r>
    </w:p>
    <w:p w14:paraId="206756F9" w14:textId="77777777" w:rsidR="00F7113A" w:rsidRPr="00580C0D" w:rsidRDefault="00142E5B" w:rsidP="00580C0D">
      <w:pPr>
        <w:pStyle w:val="blokksit"/>
        <w:rPr>
          <w:rStyle w:val="kursiv"/>
        </w:rPr>
      </w:pPr>
      <w:r w:rsidRPr="00580C0D">
        <w:rPr>
          <w:rStyle w:val="kursiv"/>
        </w:rPr>
        <w:t>«Stortinget ber regjeringen oppdatere veilederen til krisesenterlova slik at den tydeligere omhandler krisesentertilbudet til utsatte grupper. Dette arbeidet forutsettes igangsatt straks endringer i krisesenterlova er vedtatt.»</w:t>
      </w:r>
    </w:p>
    <w:p w14:paraId="37805D22"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w:t>
      </w:r>
      <w:proofErr w:type="spellStart"/>
      <w:r w:rsidRPr="00580C0D">
        <w:t>krisesentertilbodet</w:t>
      </w:r>
      <w:proofErr w:type="spellEnd"/>
      <w:r w:rsidRPr="00580C0D">
        <w:t xml:space="preserve"> for kvinner i aktiv rus, jf. </w:t>
      </w:r>
      <w:proofErr w:type="spellStart"/>
      <w:r w:rsidRPr="00580C0D">
        <w:t>Dok</w:t>
      </w:r>
      <w:proofErr w:type="spellEnd"/>
      <w:r w:rsidRPr="00580C0D">
        <w:t xml:space="preserve">. 8:168 S (2022–2023) og </w:t>
      </w:r>
      <w:proofErr w:type="spellStart"/>
      <w:r w:rsidRPr="00580C0D">
        <w:t>Innst</w:t>
      </w:r>
      <w:proofErr w:type="spellEnd"/>
      <w:r w:rsidRPr="00580C0D">
        <w:t>. 474 S (2022–2023).</w:t>
      </w:r>
    </w:p>
    <w:p w14:paraId="5281B08D" w14:textId="77777777" w:rsidR="00F7113A" w:rsidRPr="00580C0D" w:rsidRDefault="00142E5B" w:rsidP="00580C0D">
      <w:r w:rsidRPr="00580C0D">
        <w:t xml:space="preserve">Departementet utarbeider </w:t>
      </w:r>
      <w:proofErr w:type="spellStart"/>
      <w:r w:rsidRPr="00580C0D">
        <w:t>eit</w:t>
      </w:r>
      <w:proofErr w:type="spellEnd"/>
      <w:r w:rsidRPr="00580C0D">
        <w:t xml:space="preserve"> </w:t>
      </w:r>
      <w:proofErr w:type="spellStart"/>
      <w:r w:rsidRPr="00580C0D">
        <w:t>høyringsnotat</w:t>
      </w:r>
      <w:proofErr w:type="spellEnd"/>
      <w:r w:rsidRPr="00580C0D">
        <w:t xml:space="preserve"> om </w:t>
      </w:r>
      <w:proofErr w:type="spellStart"/>
      <w:r w:rsidRPr="00580C0D">
        <w:t>endringar</w:t>
      </w:r>
      <w:proofErr w:type="spellEnd"/>
      <w:r w:rsidRPr="00580C0D">
        <w:t xml:space="preserve"> i krisesenterlova og utvikling av </w:t>
      </w:r>
      <w:proofErr w:type="spellStart"/>
      <w:r w:rsidRPr="00580C0D">
        <w:t>krisesentertilbodet</w:t>
      </w:r>
      <w:proofErr w:type="spellEnd"/>
      <w:r w:rsidRPr="00580C0D">
        <w:t xml:space="preserve"> som etter planen skal </w:t>
      </w:r>
      <w:proofErr w:type="spellStart"/>
      <w:r w:rsidRPr="00580C0D">
        <w:t>sendast</w:t>
      </w:r>
      <w:proofErr w:type="spellEnd"/>
      <w:r w:rsidRPr="00580C0D">
        <w:t xml:space="preserve"> på </w:t>
      </w:r>
      <w:proofErr w:type="spellStart"/>
      <w:r w:rsidRPr="00580C0D">
        <w:t>høyring</w:t>
      </w:r>
      <w:proofErr w:type="spellEnd"/>
      <w:r w:rsidRPr="00580C0D">
        <w:t xml:space="preserve"> i løpet av 2023. Sjå omtale under programkategori 11.10 Familie og oppvekst. Når </w:t>
      </w:r>
      <w:proofErr w:type="spellStart"/>
      <w:r w:rsidRPr="00580C0D">
        <w:t>endringane</w:t>
      </w:r>
      <w:proofErr w:type="spellEnd"/>
      <w:r w:rsidRPr="00580C0D">
        <w:t xml:space="preserve"> i lova er </w:t>
      </w:r>
      <w:proofErr w:type="spellStart"/>
      <w:r w:rsidRPr="00580C0D">
        <w:t>vedtekne</w:t>
      </w:r>
      <w:proofErr w:type="spellEnd"/>
      <w:r w:rsidRPr="00580C0D">
        <w:t xml:space="preserve">, vil det </w:t>
      </w:r>
      <w:proofErr w:type="spellStart"/>
      <w:r w:rsidRPr="00580C0D">
        <w:t>vere</w:t>
      </w:r>
      <w:proofErr w:type="spellEnd"/>
      <w:r w:rsidRPr="00580C0D">
        <w:t xml:space="preserve"> behov for å oppdatere </w:t>
      </w:r>
      <w:proofErr w:type="spellStart"/>
      <w:r w:rsidRPr="00580C0D">
        <w:t>eksisterande</w:t>
      </w:r>
      <w:proofErr w:type="spellEnd"/>
      <w:r w:rsidRPr="00580C0D">
        <w:t xml:space="preserve"> </w:t>
      </w:r>
      <w:proofErr w:type="spellStart"/>
      <w:r w:rsidRPr="00580C0D">
        <w:t>rettleiingar</w:t>
      </w:r>
      <w:proofErr w:type="spellEnd"/>
      <w:r w:rsidRPr="00580C0D">
        <w:t xml:space="preserve"> for å støtte </w:t>
      </w:r>
      <w:proofErr w:type="spellStart"/>
      <w:r w:rsidRPr="00580C0D">
        <w:t>dei</w:t>
      </w:r>
      <w:proofErr w:type="spellEnd"/>
      <w:r w:rsidRPr="00580C0D">
        <w:t xml:space="preserve"> som skal ta i bruk lova. Departementet vil orientere Stortinget om den </w:t>
      </w:r>
      <w:proofErr w:type="spellStart"/>
      <w:r w:rsidRPr="00580C0D">
        <w:t>vidare</w:t>
      </w:r>
      <w:proofErr w:type="spellEnd"/>
      <w:r w:rsidRPr="00580C0D">
        <w:t xml:space="preserve"> oppfølginga av vedtaket på eigna vis.</w:t>
      </w:r>
    </w:p>
    <w:p w14:paraId="545EEAD6" w14:textId="77777777" w:rsidR="00F7113A" w:rsidRPr="00580C0D" w:rsidRDefault="00142E5B" w:rsidP="00580C0D">
      <w:pPr>
        <w:pStyle w:val="avsnitt-tittel"/>
      </w:pPr>
      <w:r w:rsidRPr="00580C0D">
        <w:t>Oppgradering av krisesenter</w:t>
      </w:r>
    </w:p>
    <w:p w14:paraId="5863F6DF" w14:textId="77777777" w:rsidR="00F7113A" w:rsidRPr="00580C0D" w:rsidRDefault="00142E5B" w:rsidP="00580C0D">
      <w:pPr>
        <w:pStyle w:val="avsnitt-undertittel"/>
      </w:pPr>
      <w:r w:rsidRPr="00580C0D">
        <w:t>Vedtak 936, 16. juni 2023</w:t>
      </w:r>
    </w:p>
    <w:p w14:paraId="0E02AEC5" w14:textId="77777777" w:rsidR="00F7113A" w:rsidRPr="00580C0D" w:rsidRDefault="00142E5B" w:rsidP="00580C0D">
      <w:pPr>
        <w:pStyle w:val="blokksit"/>
        <w:rPr>
          <w:rStyle w:val="kursiv"/>
        </w:rPr>
      </w:pPr>
      <w:r w:rsidRPr="00580C0D">
        <w:rPr>
          <w:rStyle w:val="kursiv"/>
        </w:rPr>
        <w:t>«Stortinget ber regjeringen senest i statsbudsjettet for 2025 foreslå en ordning som støtter utbygging og bygningsmessig oppgradering av krisesentre etter modell av Husbankens ordning med investeringstilskudd til omsorgsboliger og sykehjemsplasser.»</w:t>
      </w:r>
    </w:p>
    <w:p w14:paraId="17F7624F" w14:textId="77777777" w:rsidR="00F7113A" w:rsidRPr="00580C0D" w:rsidRDefault="00142E5B" w:rsidP="00580C0D">
      <w:r w:rsidRPr="00580C0D">
        <w:t xml:space="preserve">Vedtaket blei gjort i samband med handsaminga av Revidert nasjonalbudsjett 2023, jf. Meld. St. 2 (2022–2023) og </w:t>
      </w:r>
      <w:proofErr w:type="spellStart"/>
      <w:r w:rsidRPr="00580C0D">
        <w:t>Innst</w:t>
      </w:r>
      <w:proofErr w:type="spellEnd"/>
      <w:r w:rsidRPr="00580C0D">
        <w:t>. 490 S (2022–2023).</w:t>
      </w:r>
    </w:p>
    <w:p w14:paraId="088320A8" w14:textId="77777777" w:rsidR="00F7113A" w:rsidRPr="00580C0D" w:rsidRDefault="00142E5B" w:rsidP="00580C0D">
      <w:r w:rsidRPr="00580C0D">
        <w:t xml:space="preserve">Departementet vil greie ut ei ordning for å støtte utbygging og oppgradering av krisesenterbygg og komme tilbake til Stortinget om den </w:t>
      </w:r>
      <w:proofErr w:type="spellStart"/>
      <w:r w:rsidRPr="00580C0D">
        <w:t>vidare</w:t>
      </w:r>
      <w:proofErr w:type="spellEnd"/>
      <w:r w:rsidRPr="00580C0D">
        <w:t xml:space="preserve"> oppfølginga av vedtaket i samband med statsbudsjettet for 2025.</w:t>
      </w:r>
    </w:p>
    <w:p w14:paraId="29888A19" w14:textId="77777777" w:rsidR="00F7113A" w:rsidRPr="00580C0D" w:rsidRDefault="00142E5B" w:rsidP="00580C0D">
      <w:pPr>
        <w:pStyle w:val="Overskrift2"/>
      </w:pPr>
      <w:r w:rsidRPr="00580C0D">
        <w:t>Stortingssesjon 2021–2022</w:t>
      </w:r>
    </w:p>
    <w:p w14:paraId="7626BC57" w14:textId="77777777" w:rsidR="00F7113A" w:rsidRPr="00580C0D" w:rsidRDefault="00142E5B" w:rsidP="00580C0D">
      <w:pPr>
        <w:pStyle w:val="avsnitt-tittel"/>
      </w:pPr>
      <w:proofErr w:type="spellStart"/>
      <w:r w:rsidRPr="00580C0D">
        <w:t>Offentleg</w:t>
      </w:r>
      <w:proofErr w:type="spellEnd"/>
      <w:r w:rsidRPr="00580C0D">
        <w:t xml:space="preserve"> plikt til å tilby </w:t>
      </w:r>
      <w:proofErr w:type="spellStart"/>
      <w:r w:rsidRPr="00580C0D">
        <w:t>tverrfagleg</w:t>
      </w:r>
      <w:proofErr w:type="spellEnd"/>
      <w:r w:rsidRPr="00580C0D">
        <w:t xml:space="preserve"> helsekartlegging</w:t>
      </w:r>
    </w:p>
    <w:p w14:paraId="47145EF3" w14:textId="77777777" w:rsidR="00F7113A" w:rsidRPr="00580C0D" w:rsidRDefault="00142E5B" w:rsidP="00580C0D">
      <w:pPr>
        <w:pStyle w:val="avsnitt-undertittel"/>
      </w:pPr>
      <w:r w:rsidRPr="00580C0D">
        <w:t>Vedtak 404, 3. mars 2022</w:t>
      </w:r>
    </w:p>
    <w:p w14:paraId="738B682A" w14:textId="77777777" w:rsidR="00F7113A" w:rsidRPr="00580C0D" w:rsidRDefault="00142E5B" w:rsidP="00580C0D">
      <w:pPr>
        <w:pStyle w:val="blokksit"/>
        <w:rPr>
          <w:rStyle w:val="kursiv"/>
        </w:rPr>
      </w:pPr>
      <w:r w:rsidRPr="00580C0D">
        <w:rPr>
          <w:rStyle w:val="kursiv"/>
        </w:rPr>
        <w:t>«Stortinget ber regjeringen utrede at det offentlige skal ha en plikt til å tilby tverrfaglig helsekartlegging når kommunen ber om dette, og raskt komme tilbake til Stortinget på egnet vis.»</w:t>
      </w:r>
    </w:p>
    <w:p w14:paraId="462815EF"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222 L (2020–2021) </w:t>
      </w:r>
      <w:r w:rsidRPr="00580C0D">
        <w:rPr>
          <w:rStyle w:val="kursiv"/>
        </w:rPr>
        <w:t>Endringer i barnevernloven mv. (tverrfaglig helsekartlegging)</w:t>
      </w:r>
      <w:r w:rsidRPr="00580C0D">
        <w:t xml:space="preserve">, jf. </w:t>
      </w:r>
      <w:proofErr w:type="spellStart"/>
      <w:r w:rsidRPr="00580C0D">
        <w:t>Innst</w:t>
      </w:r>
      <w:proofErr w:type="spellEnd"/>
      <w:r w:rsidRPr="00580C0D">
        <w:t>. 166 L (2021–2022).</w:t>
      </w:r>
    </w:p>
    <w:p w14:paraId="0ADE4346" w14:textId="77777777" w:rsidR="00F7113A" w:rsidRPr="00580C0D" w:rsidRDefault="00142E5B" w:rsidP="00580C0D">
      <w:proofErr w:type="spellStart"/>
      <w:r w:rsidRPr="00580C0D">
        <w:t>Bufdir</w:t>
      </w:r>
      <w:proofErr w:type="spellEnd"/>
      <w:r w:rsidRPr="00580C0D">
        <w:t xml:space="preserve"> og Helsedirektoratet har gjennomført </w:t>
      </w:r>
      <w:proofErr w:type="spellStart"/>
      <w:r w:rsidRPr="00580C0D">
        <w:t>eit</w:t>
      </w:r>
      <w:proofErr w:type="spellEnd"/>
      <w:r w:rsidRPr="00580C0D">
        <w:t xml:space="preserve"> prosjekt med utprøving av </w:t>
      </w:r>
      <w:proofErr w:type="spellStart"/>
      <w:r w:rsidRPr="00580C0D">
        <w:t>tverrfagleg</w:t>
      </w:r>
      <w:proofErr w:type="spellEnd"/>
      <w:r w:rsidRPr="00580C0D">
        <w:t xml:space="preserve"> helsekartlegging. Utprøvingsprosjektet blei ferdig i september 2022. Direktorata har i 2023 fått </w:t>
      </w:r>
      <w:proofErr w:type="spellStart"/>
      <w:r w:rsidRPr="00580C0D">
        <w:t>likelydande</w:t>
      </w:r>
      <w:proofErr w:type="spellEnd"/>
      <w:r w:rsidRPr="00580C0D">
        <w:t xml:space="preserve"> oppdrag om i samarbeid å greie ut ei lovfesta </w:t>
      </w:r>
      <w:proofErr w:type="spellStart"/>
      <w:r w:rsidRPr="00580C0D">
        <w:t>statleg</w:t>
      </w:r>
      <w:proofErr w:type="spellEnd"/>
      <w:r w:rsidRPr="00580C0D">
        <w:t xml:space="preserve"> plikt til å tilby </w:t>
      </w:r>
      <w:proofErr w:type="spellStart"/>
      <w:r w:rsidRPr="00580C0D">
        <w:t>tverrfagleg</w:t>
      </w:r>
      <w:proofErr w:type="spellEnd"/>
      <w:r w:rsidRPr="00580C0D">
        <w:t xml:space="preserve">, spesialisert helsekartlegging når </w:t>
      </w:r>
      <w:proofErr w:type="spellStart"/>
      <w:r w:rsidRPr="00580C0D">
        <w:t>kommunane</w:t>
      </w:r>
      <w:proofErr w:type="spellEnd"/>
      <w:r w:rsidRPr="00580C0D">
        <w:t xml:space="preserve"> ber om det. Fyrste delleveranse blei levert 15. september 2023, </w:t>
      </w:r>
      <w:proofErr w:type="spellStart"/>
      <w:r w:rsidRPr="00580C0D">
        <w:t>medan</w:t>
      </w:r>
      <w:proofErr w:type="spellEnd"/>
      <w:r w:rsidRPr="00580C0D">
        <w:t xml:space="preserve"> fristen for fullstendig leveranse er 31. desember 2023. Ei </w:t>
      </w:r>
      <w:proofErr w:type="spellStart"/>
      <w:r w:rsidRPr="00580C0D">
        <w:t>offentleg</w:t>
      </w:r>
      <w:proofErr w:type="spellEnd"/>
      <w:r w:rsidRPr="00580C0D">
        <w:t xml:space="preserve"> plikt </w:t>
      </w:r>
      <w:proofErr w:type="spellStart"/>
      <w:r w:rsidRPr="00580C0D">
        <w:t>føreset</w:t>
      </w:r>
      <w:proofErr w:type="spellEnd"/>
      <w:r w:rsidRPr="00580C0D">
        <w:t xml:space="preserve"> at </w:t>
      </w:r>
      <w:proofErr w:type="spellStart"/>
      <w:r w:rsidRPr="00580C0D">
        <w:t>tilbodet</w:t>
      </w:r>
      <w:proofErr w:type="spellEnd"/>
      <w:r w:rsidRPr="00580C0D">
        <w:t xml:space="preserve"> om helsekartlegging er dimensjonert for målgruppa, som på årsbasis er på om lag 1 500 til 2 000 barn. </w:t>
      </w:r>
      <w:proofErr w:type="spellStart"/>
      <w:r w:rsidRPr="00580C0D">
        <w:t>Ein</w:t>
      </w:r>
      <w:proofErr w:type="spellEnd"/>
      <w:r w:rsidRPr="00580C0D">
        <w:t xml:space="preserve"> slik </w:t>
      </w:r>
      <w:proofErr w:type="spellStart"/>
      <w:r w:rsidRPr="00580C0D">
        <w:t>auke</w:t>
      </w:r>
      <w:proofErr w:type="spellEnd"/>
      <w:r w:rsidRPr="00580C0D">
        <w:t xml:space="preserve"> i kapasiteten vil ta tid å </w:t>
      </w:r>
      <w:proofErr w:type="spellStart"/>
      <w:r w:rsidRPr="00580C0D">
        <w:t>byggje</w:t>
      </w:r>
      <w:proofErr w:type="spellEnd"/>
      <w:r w:rsidRPr="00580C0D">
        <w:t xml:space="preserve"> opp og vil </w:t>
      </w:r>
      <w:proofErr w:type="spellStart"/>
      <w:r w:rsidRPr="00580C0D">
        <w:t>vere</w:t>
      </w:r>
      <w:proofErr w:type="spellEnd"/>
      <w:r w:rsidRPr="00580C0D">
        <w:t xml:space="preserve"> avhengig av både budsjetta i åra som kjem, og tilgangen på kvalifiserte fagfolk til teama. Departementet vil orientere Stortinget om den </w:t>
      </w:r>
      <w:proofErr w:type="spellStart"/>
      <w:r w:rsidRPr="00580C0D">
        <w:t>vidare</w:t>
      </w:r>
      <w:proofErr w:type="spellEnd"/>
      <w:r w:rsidRPr="00580C0D">
        <w:t xml:space="preserve"> oppfølginga av vedtaket på eigna vis.</w:t>
      </w:r>
    </w:p>
    <w:p w14:paraId="0BC798EB" w14:textId="77777777" w:rsidR="00F7113A" w:rsidRPr="00580C0D" w:rsidRDefault="00142E5B" w:rsidP="00580C0D">
      <w:pPr>
        <w:pStyle w:val="avsnitt-tittel"/>
      </w:pPr>
      <w:proofErr w:type="spellStart"/>
      <w:r w:rsidRPr="00580C0D">
        <w:t>Krisesentertilbod</w:t>
      </w:r>
      <w:proofErr w:type="spellEnd"/>
      <w:r w:rsidRPr="00580C0D">
        <w:t xml:space="preserve"> til den samiske urbefolkninga</w:t>
      </w:r>
    </w:p>
    <w:p w14:paraId="0342239A" w14:textId="77777777" w:rsidR="00F7113A" w:rsidRPr="00580C0D" w:rsidRDefault="00142E5B" w:rsidP="00580C0D">
      <w:pPr>
        <w:pStyle w:val="avsnitt-undertittel"/>
      </w:pPr>
      <w:r w:rsidRPr="00580C0D">
        <w:t>Vedtak 592, 30. mai 2022</w:t>
      </w:r>
    </w:p>
    <w:p w14:paraId="1B5C6F37" w14:textId="77777777" w:rsidR="00F7113A" w:rsidRPr="00580C0D" w:rsidRDefault="00142E5B" w:rsidP="00580C0D">
      <w:pPr>
        <w:pStyle w:val="blokksit"/>
        <w:rPr>
          <w:rStyle w:val="kursiv"/>
        </w:rPr>
      </w:pPr>
      <w:r w:rsidRPr="00580C0D">
        <w:rPr>
          <w:rStyle w:val="kursiv"/>
        </w:rPr>
        <w:t>«Stortinget ber regjeringen se til at krisesentertilbudet til den samiske urbefolkningen bedres, og orientere Stortinget på egnet vis.»</w:t>
      </w:r>
    </w:p>
    <w:p w14:paraId="44234129"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w:t>
      </w:r>
      <w:proofErr w:type="spellStart"/>
      <w:r w:rsidRPr="00580C0D">
        <w:t>eit</w:t>
      </w:r>
      <w:proofErr w:type="spellEnd"/>
      <w:r w:rsidRPr="00580C0D">
        <w:t xml:space="preserve"> styrkt, likeverdig, </w:t>
      </w:r>
      <w:proofErr w:type="spellStart"/>
      <w:r w:rsidRPr="00580C0D">
        <w:t>heilårsope</w:t>
      </w:r>
      <w:proofErr w:type="spellEnd"/>
      <w:r w:rsidRPr="00580C0D">
        <w:t xml:space="preserve"> og døgnbemanna </w:t>
      </w:r>
      <w:proofErr w:type="spellStart"/>
      <w:r w:rsidRPr="00580C0D">
        <w:t>krisesentertilbod</w:t>
      </w:r>
      <w:proofErr w:type="spellEnd"/>
      <w:r w:rsidRPr="00580C0D">
        <w:t xml:space="preserve"> over heile landet, jf. </w:t>
      </w:r>
      <w:proofErr w:type="spellStart"/>
      <w:r w:rsidRPr="00580C0D">
        <w:t>Dok</w:t>
      </w:r>
      <w:proofErr w:type="spellEnd"/>
      <w:r w:rsidRPr="00580C0D">
        <w:t xml:space="preserve">. 8: 135 S (2021–2022) og </w:t>
      </w:r>
      <w:proofErr w:type="spellStart"/>
      <w:r w:rsidRPr="00580C0D">
        <w:t>Innst</w:t>
      </w:r>
      <w:proofErr w:type="spellEnd"/>
      <w:r w:rsidRPr="00580C0D">
        <w:t>. 339 S (2021–2022).</w:t>
      </w:r>
    </w:p>
    <w:p w14:paraId="1787AADF" w14:textId="77777777" w:rsidR="00F7113A" w:rsidRPr="00580C0D" w:rsidRDefault="00142E5B" w:rsidP="00580C0D">
      <w:r w:rsidRPr="00580C0D">
        <w:t xml:space="preserve">Barne-, ungdoms- og familiedirektoratet har </w:t>
      </w:r>
      <w:proofErr w:type="spellStart"/>
      <w:r w:rsidRPr="00580C0D">
        <w:t>sidan</w:t>
      </w:r>
      <w:proofErr w:type="spellEnd"/>
      <w:r w:rsidRPr="00580C0D">
        <w:t xml:space="preserve"> nedlegginga av </w:t>
      </w:r>
      <w:proofErr w:type="spellStart"/>
      <w:r w:rsidRPr="00580C0D">
        <w:t>krisesentertilbodet</w:t>
      </w:r>
      <w:proofErr w:type="spellEnd"/>
      <w:r w:rsidRPr="00580C0D">
        <w:t xml:space="preserve"> i Karasjok </w:t>
      </w:r>
      <w:proofErr w:type="spellStart"/>
      <w:r w:rsidRPr="00580C0D">
        <w:t>vore</w:t>
      </w:r>
      <w:proofErr w:type="spellEnd"/>
      <w:r w:rsidRPr="00580C0D">
        <w:t xml:space="preserve"> i tett dialog med Karasjok kommune for å få oppretta </w:t>
      </w:r>
      <w:proofErr w:type="spellStart"/>
      <w:r w:rsidRPr="00580C0D">
        <w:t>tilbodet</w:t>
      </w:r>
      <w:proofErr w:type="spellEnd"/>
      <w:r w:rsidRPr="00580C0D">
        <w:t xml:space="preserve"> på ny. Kommunen har fått </w:t>
      </w:r>
      <w:proofErr w:type="spellStart"/>
      <w:r w:rsidRPr="00580C0D">
        <w:t>prosjektmidlar</w:t>
      </w:r>
      <w:proofErr w:type="spellEnd"/>
      <w:r w:rsidRPr="00580C0D">
        <w:t xml:space="preserve"> i 2019, 2021 og 2023, til </w:t>
      </w:r>
      <w:proofErr w:type="spellStart"/>
      <w:r w:rsidRPr="00580C0D">
        <w:t>saman</w:t>
      </w:r>
      <w:proofErr w:type="spellEnd"/>
      <w:r w:rsidRPr="00580C0D">
        <w:t xml:space="preserve"> om lag 2,1 mill. kroner, </w:t>
      </w:r>
      <w:proofErr w:type="spellStart"/>
      <w:r w:rsidRPr="00580C0D">
        <w:t>frå</w:t>
      </w:r>
      <w:proofErr w:type="spellEnd"/>
      <w:r w:rsidRPr="00580C0D">
        <w:t xml:space="preserve"> direktoratet for å greie ut og etablere ei løysing for </w:t>
      </w:r>
      <w:proofErr w:type="spellStart"/>
      <w:r w:rsidRPr="00580C0D">
        <w:t>eit</w:t>
      </w:r>
      <w:proofErr w:type="spellEnd"/>
      <w:r w:rsidRPr="00580C0D">
        <w:t xml:space="preserve"> varig krise- og </w:t>
      </w:r>
      <w:proofErr w:type="spellStart"/>
      <w:r w:rsidRPr="00580C0D">
        <w:t>incestsentertilbod</w:t>
      </w:r>
      <w:proofErr w:type="spellEnd"/>
      <w:r w:rsidRPr="00580C0D">
        <w:t xml:space="preserve"> tilpassa den samiske befolkninga. Det har òg </w:t>
      </w:r>
      <w:proofErr w:type="spellStart"/>
      <w:r w:rsidRPr="00580C0D">
        <w:t>vore</w:t>
      </w:r>
      <w:proofErr w:type="spellEnd"/>
      <w:r w:rsidRPr="00580C0D">
        <w:t xml:space="preserve"> møte mellom Barne- og familiedepartementet og Kommunal- og </w:t>
      </w:r>
      <w:proofErr w:type="spellStart"/>
      <w:r w:rsidRPr="00580C0D">
        <w:t>distriktsdepartementet</w:t>
      </w:r>
      <w:proofErr w:type="spellEnd"/>
      <w:r w:rsidRPr="00580C0D">
        <w:t xml:space="preserve"> og </w:t>
      </w:r>
      <w:proofErr w:type="spellStart"/>
      <w:r w:rsidRPr="00580C0D">
        <w:t>kommunane</w:t>
      </w:r>
      <w:proofErr w:type="spellEnd"/>
      <w:r w:rsidRPr="00580C0D">
        <w:t xml:space="preserve"> i det samiske </w:t>
      </w:r>
      <w:proofErr w:type="spellStart"/>
      <w:r w:rsidRPr="00580C0D">
        <w:t>forvaltingsområdet</w:t>
      </w:r>
      <w:proofErr w:type="spellEnd"/>
      <w:r w:rsidRPr="00580C0D">
        <w:t xml:space="preserve">, </w:t>
      </w:r>
      <w:proofErr w:type="spellStart"/>
      <w:r w:rsidRPr="00580C0D">
        <w:t>Statsforvaltaren</w:t>
      </w:r>
      <w:proofErr w:type="spellEnd"/>
      <w:r w:rsidRPr="00580C0D">
        <w:t xml:space="preserve"> i Troms og Finnmark, Nasjonalt samisk kompetansesenter for kommunalt og </w:t>
      </w:r>
      <w:proofErr w:type="spellStart"/>
      <w:r w:rsidRPr="00580C0D">
        <w:t>statleg</w:t>
      </w:r>
      <w:proofErr w:type="spellEnd"/>
      <w:r w:rsidRPr="00580C0D">
        <w:t xml:space="preserve"> barnevern, familievern og </w:t>
      </w:r>
      <w:proofErr w:type="spellStart"/>
      <w:r w:rsidRPr="00580C0D">
        <w:t>krisesentertilbod</w:t>
      </w:r>
      <w:proofErr w:type="spellEnd"/>
      <w:r w:rsidRPr="00580C0D">
        <w:t xml:space="preserve"> og Sametinget i 2022 for å </w:t>
      </w:r>
      <w:proofErr w:type="spellStart"/>
      <w:r w:rsidRPr="00580C0D">
        <w:t>kartleggje</w:t>
      </w:r>
      <w:proofErr w:type="spellEnd"/>
      <w:r w:rsidRPr="00580C0D">
        <w:t xml:space="preserve"> </w:t>
      </w:r>
      <w:proofErr w:type="spellStart"/>
      <w:r w:rsidRPr="00580C0D">
        <w:t>utfordringar</w:t>
      </w:r>
      <w:proofErr w:type="spellEnd"/>
      <w:r w:rsidRPr="00580C0D">
        <w:t xml:space="preserve"> og drøfte </w:t>
      </w:r>
      <w:proofErr w:type="spellStart"/>
      <w:r w:rsidRPr="00580C0D">
        <w:t>løysingar</w:t>
      </w:r>
      <w:proofErr w:type="spellEnd"/>
      <w:r w:rsidRPr="00580C0D">
        <w:t>.</w:t>
      </w:r>
    </w:p>
    <w:p w14:paraId="4AB2F2D8" w14:textId="77777777" w:rsidR="00F7113A" w:rsidRPr="00580C0D" w:rsidRDefault="00142E5B" w:rsidP="00580C0D">
      <w:r w:rsidRPr="00580C0D">
        <w:t xml:space="preserve">Karasjok kommune har gitt KPMG i oppdrag å greie ut ei løysing. KPMG leverte </w:t>
      </w:r>
      <w:proofErr w:type="spellStart"/>
      <w:r w:rsidRPr="00580C0D">
        <w:t>ein</w:t>
      </w:r>
      <w:proofErr w:type="spellEnd"/>
      <w:r w:rsidRPr="00580C0D">
        <w:t xml:space="preserve"> rapport </w:t>
      </w:r>
      <w:proofErr w:type="spellStart"/>
      <w:r w:rsidRPr="00580C0D">
        <w:t>hausten</w:t>
      </w:r>
      <w:proofErr w:type="spellEnd"/>
      <w:r w:rsidRPr="00580C0D">
        <w:t xml:space="preserve"> 2022 der </w:t>
      </w:r>
      <w:proofErr w:type="spellStart"/>
      <w:r w:rsidRPr="00580C0D">
        <w:t>dei</w:t>
      </w:r>
      <w:proofErr w:type="spellEnd"/>
      <w:r w:rsidRPr="00580C0D">
        <w:t xml:space="preserve"> </w:t>
      </w:r>
      <w:proofErr w:type="spellStart"/>
      <w:r w:rsidRPr="00580C0D">
        <w:t>føreslår</w:t>
      </w:r>
      <w:proofErr w:type="spellEnd"/>
      <w:r w:rsidRPr="00580C0D">
        <w:t xml:space="preserve"> ei satellittløysing der </w:t>
      </w:r>
      <w:proofErr w:type="spellStart"/>
      <w:r w:rsidRPr="00580C0D">
        <w:t>ein</w:t>
      </w:r>
      <w:proofErr w:type="spellEnd"/>
      <w:r w:rsidRPr="00580C0D">
        <w:t xml:space="preserve"> samarbeider med </w:t>
      </w:r>
      <w:proofErr w:type="spellStart"/>
      <w:r w:rsidRPr="00580C0D">
        <w:t>eit</w:t>
      </w:r>
      <w:proofErr w:type="spellEnd"/>
      <w:r w:rsidRPr="00580C0D">
        <w:t xml:space="preserve"> av </w:t>
      </w:r>
      <w:proofErr w:type="spellStart"/>
      <w:r w:rsidRPr="00580C0D">
        <w:t>dei</w:t>
      </w:r>
      <w:proofErr w:type="spellEnd"/>
      <w:r w:rsidRPr="00580C0D">
        <w:t xml:space="preserve"> </w:t>
      </w:r>
      <w:proofErr w:type="spellStart"/>
      <w:r w:rsidRPr="00580C0D">
        <w:t>eksisterande</w:t>
      </w:r>
      <w:proofErr w:type="spellEnd"/>
      <w:r w:rsidRPr="00580C0D">
        <w:t xml:space="preserve"> </w:t>
      </w:r>
      <w:proofErr w:type="spellStart"/>
      <w:r w:rsidRPr="00580C0D">
        <w:t>krisesentera</w:t>
      </w:r>
      <w:proofErr w:type="spellEnd"/>
      <w:r w:rsidRPr="00580C0D">
        <w:t xml:space="preserve"> og har </w:t>
      </w:r>
      <w:proofErr w:type="spellStart"/>
      <w:r w:rsidRPr="00580C0D">
        <w:t>samiskspråklege</w:t>
      </w:r>
      <w:proofErr w:type="spellEnd"/>
      <w:r w:rsidRPr="00580C0D">
        <w:t xml:space="preserve"> </w:t>
      </w:r>
      <w:proofErr w:type="spellStart"/>
      <w:r w:rsidRPr="00580C0D">
        <w:t>stillingsressursar</w:t>
      </w:r>
      <w:proofErr w:type="spellEnd"/>
      <w:r w:rsidRPr="00580C0D">
        <w:t xml:space="preserve"> i Karasjok. </w:t>
      </w:r>
      <w:proofErr w:type="spellStart"/>
      <w:r w:rsidRPr="00580C0D">
        <w:t>Tilskotet</w:t>
      </w:r>
      <w:proofErr w:type="spellEnd"/>
      <w:r w:rsidRPr="00580C0D">
        <w:t xml:space="preserve"> som </w:t>
      </w:r>
      <w:proofErr w:type="spellStart"/>
      <w:r w:rsidRPr="00580C0D">
        <w:t>Bufdir</w:t>
      </w:r>
      <w:proofErr w:type="spellEnd"/>
      <w:r w:rsidRPr="00580C0D">
        <w:t xml:space="preserve"> gav i 2023, skal </w:t>
      </w:r>
      <w:proofErr w:type="spellStart"/>
      <w:r w:rsidRPr="00580C0D">
        <w:t>nyttast</w:t>
      </w:r>
      <w:proofErr w:type="spellEnd"/>
      <w:r w:rsidRPr="00580C0D">
        <w:t xml:space="preserve"> til å etablere ei slik løysing.</w:t>
      </w:r>
    </w:p>
    <w:p w14:paraId="4E1B2D66" w14:textId="77777777" w:rsidR="00F7113A" w:rsidRPr="00580C0D" w:rsidRDefault="00142E5B" w:rsidP="00580C0D">
      <w:r w:rsidRPr="00580C0D">
        <w:t xml:space="preserve">Departementet utarbeider </w:t>
      </w:r>
      <w:proofErr w:type="spellStart"/>
      <w:r w:rsidRPr="00580C0D">
        <w:t>eit</w:t>
      </w:r>
      <w:proofErr w:type="spellEnd"/>
      <w:r w:rsidRPr="00580C0D">
        <w:t xml:space="preserve"> </w:t>
      </w:r>
      <w:proofErr w:type="spellStart"/>
      <w:r w:rsidRPr="00580C0D">
        <w:t>høyringsnotat</w:t>
      </w:r>
      <w:proofErr w:type="spellEnd"/>
      <w:r w:rsidRPr="00580C0D">
        <w:t xml:space="preserve"> om </w:t>
      </w:r>
      <w:proofErr w:type="spellStart"/>
      <w:r w:rsidRPr="00580C0D">
        <w:t>endringar</w:t>
      </w:r>
      <w:proofErr w:type="spellEnd"/>
      <w:r w:rsidRPr="00580C0D">
        <w:t xml:space="preserve"> i krisesenterlova og utvikling av </w:t>
      </w:r>
      <w:proofErr w:type="spellStart"/>
      <w:r w:rsidRPr="00580C0D">
        <w:t>krisesentertilbodet</w:t>
      </w:r>
      <w:proofErr w:type="spellEnd"/>
      <w:r w:rsidRPr="00580C0D">
        <w:t xml:space="preserve"> som etter planen skal </w:t>
      </w:r>
      <w:proofErr w:type="spellStart"/>
      <w:r w:rsidRPr="00580C0D">
        <w:t>sendast</w:t>
      </w:r>
      <w:proofErr w:type="spellEnd"/>
      <w:r w:rsidRPr="00580C0D">
        <w:t xml:space="preserve"> på </w:t>
      </w:r>
      <w:proofErr w:type="spellStart"/>
      <w:r w:rsidRPr="00580C0D">
        <w:t>høyring</w:t>
      </w:r>
      <w:proofErr w:type="spellEnd"/>
      <w:r w:rsidRPr="00580C0D">
        <w:t xml:space="preserve"> i løpet av 2023. Sjå omtale under programkategori 11.10 Familie og oppvekst. I dette arbeidet skal </w:t>
      </w:r>
      <w:proofErr w:type="spellStart"/>
      <w:r w:rsidRPr="00580C0D">
        <w:t>krisesentertilbodet</w:t>
      </w:r>
      <w:proofErr w:type="spellEnd"/>
      <w:r w:rsidRPr="00580C0D">
        <w:t xml:space="preserve"> til den samiske befolkninga bli greidd ut. Departementet vil orientere Stortinget om den </w:t>
      </w:r>
      <w:proofErr w:type="spellStart"/>
      <w:r w:rsidRPr="00580C0D">
        <w:t>vidare</w:t>
      </w:r>
      <w:proofErr w:type="spellEnd"/>
      <w:r w:rsidRPr="00580C0D">
        <w:t xml:space="preserve"> oppfølginga av vedtaket på eigna vis.</w:t>
      </w:r>
    </w:p>
    <w:p w14:paraId="03A96F3C" w14:textId="77777777" w:rsidR="00F7113A" w:rsidRPr="00580C0D" w:rsidRDefault="00142E5B" w:rsidP="00580C0D">
      <w:pPr>
        <w:pStyle w:val="avsnitt-tittel"/>
      </w:pPr>
      <w:r w:rsidRPr="00580C0D">
        <w:t>Utvide ordninga for gjeldsinformasjon («gjeldsregister»)</w:t>
      </w:r>
    </w:p>
    <w:p w14:paraId="161D07B9" w14:textId="77777777" w:rsidR="00F7113A" w:rsidRPr="00580C0D" w:rsidRDefault="00142E5B" w:rsidP="00580C0D">
      <w:pPr>
        <w:pStyle w:val="avsnitt-undertittel"/>
      </w:pPr>
      <w:r w:rsidRPr="00580C0D">
        <w:t>Vedtak 620, 31. mai 2022</w:t>
      </w:r>
    </w:p>
    <w:p w14:paraId="72BDFD26" w14:textId="77777777" w:rsidR="00F7113A" w:rsidRPr="00580C0D" w:rsidRDefault="00142E5B" w:rsidP="00580C0D">
      <w:pPr>
        <w:pStyle w:val="blokksit"/>
        <w:rPr>
          <w:rStyle w:val="kursiv"/>
        </w:rPr>
      </w:pPr>
      <w:r w:rsidRPr="00580C0D">
        <w:rPr>
          <w:rStyle w:val="kursiv"/>
        </w:rPr>
        <w:t>«Stortinget ber regjeringen utvide Gjeldsregisteret slik at det inneholder alle typer gjeld, både med og uten sikkerhet. Regjeringen må samtidig gjøre grundige utredninger som sikrer personvernet, og vurdere om enkelte typer gjeld av den grunn ikke skal innlemmes.»</w:t>
      </w:r>
    </w:p>
    <w:p w14:paraId="7DA59CCD"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å ta sosialt ansvar og hjelpe folk med gjeldsproblem gjennom å </w:t>
      </w:r>
      <w:proofErr w:type="spellStart"/>
      <w:r w:rsidRPr="00580C0D">
        <w:t>styrkje</w:t>
      </w:r>
      <w:proofErr w:type="spellEnd"/>
      <w:r w:rsidRPr="00580C0D">
        <w:t xml:space="preserve"> og utvide gjeldsregisteret, jf. </w:t>
      </w:r>
      <w:proofErr w:type="spellStart"/>
      <w:r w:rsidRPr="00580C0D">
        <w:t>Dok</w:t>
      </w:r>
      <w:proofErr w:type="spellEnd"/>
      <w:r w:rsidRPr="00580C0D">
        <w:t xml:space="preserve">. 8:203 S (2021–2022), jf. </w:t>
      </w:r>
      <w:proofErr w:type="spellStart"/>
      <w:r w:rsidRPr="00580C0D">
        <w:t>Innst</w:t>
      </w:r>
      <w:proofErr w:type="spellEnd"/>
      <w:r w:rsidRPr="00580C0D">
        <w:t>. 361 S (2021–2022).</w:t>
      </w:r>
    </w:p>
    <w:p w14:paraId="557D6A5E" w14:textId="77777777" w:rsidR="00F7113A" w:rsidRPr="00580C0D" w:rsidRDefault="00142E5B" w:rsidP="00580C0D">
      <w:r w:rsidRPr="00580C0D">
        <w:t xml:space="preserve">Departementet sende ei sak om å utvide ordninga for gjeldsinformasjon med ulike former for pantesikra gjeld (mellom anna bustad- og bilgjeld) på </w:t>
      </w:r>
      <w:proofErr w:type="spellStart"/>
      <w:r w:rsidRPr="00580C0D">
        <w:t>høyring</w:t>
      </w:r>
      <w:proofErr w:type="spellEnd"/>
      <w:r w:rsidRPr="00580C0D">
        <w:t xml:space="preserve"> </w:t>
      </w:r>
      <w:proofErr w:type="spellStart"/>
      <w:r w:rsidRPr="00580C0D">
        <w:t>sommaren</w:t>
      </w:r>
      <w:proofErr w:type="spellEnd"/>
      <w:r w:rsidRPr="00580C0D">
        <w:t xml:space="preserve"> 2022. Ei slik endring kan </w:t>
      </w:r>
      <w:proofErr w:type="spellStart"/>
      <w:r w:rsidRPr="00580C0D">
        <w:t>gjerast</w:t>
      </w:r>
      <w:proofErr w:type="spellEnd"/>
      <w:r w:rsidRPr="00580C0D">
        <w:t xml:space="preserve"> i forskrift. BFD arbeider </w:t>
      </w:r>
      <w:proofErr w:type="spellStart"/>
      <w:r w:rsidRPr="00580C0D">
        <w:t>vidare</w:t>
      </w:r>
      <w:proofErr w:type="spellEnd"/>
      <w:r w:rsidRPr="00580C0D">
        <w:t xml:space="preserve"> med saka. Ei utviding kan </w:t>
      </w:r>
      <w:proofErr w:type="spellStart"/>
      <w:r w:rsidRPr="00580C0D">
        <w:t>berre</w:t>
      </w:r>
      <w:proofErr w:type="spellEnd"/>
      <w:r w:rsidRPr="00580C0D">
        <w:t xml:space="preserve"> </w:t>
      </w:r>
      <w:proofErr w:type="spellStart"/>
      <w:r w:rsidRPr="00580C0D">
        <w:t>gjerast</w:t>
      </w:r>
      <w:proofErr w:type="spellEnd"/>
      <w:r w:rsidRPr="00580C0D">
        <w:t xml:space="preserve"> dersom </w:t>
      </w:r>
      <w:proofErr w:type="spellStart"/>
      <w:r w:rsidRPr="00580C0D">
        <w:t>ho</w:t>
      </w:r>
      <w:proofErr w:type="spellEnd"/>
      <w:r w:rsidRPr="00580C0D">
        <w:t xml:space="preserve"> er </w:t>
      </w:r>
      <w:proofErr w:type="spellStart"/>
      <w:r w:rsidRPr="00580C0D">
        <w:t>forsvarleg</w:t>
      </w:r>
      <w:proofErr w:type="spellEnd"/>
      <w:r w:rsidRPr="00580C0D">
        <w:t xml:space="preserve"> med omsyn til personvernet, </w:t>
      </w:r>
      <w:proofErr w:type="spellStart"/>
      <w:r w:rsidRPr="00580C0D">
        <w:t>noko</w:t>
      </w:r>
      <w:proofErr w:type="spellEnd"/>
      <w:r w:rsidRPr="00580C0D">
        <w:t xml:space="preserve"> som må </w:t>
      </w:r>
      <w:proofErr w:type="spellStart"/>
      <w:r w:rsidRPr="00580C0D">
        <w:t>vurderast</w:t>
      </w:r>
      <w:proofErr w:type="spellEnd"/>
      <w:r w:rsidRPr="00580C0D">
        <w:t xml:space="preserve"> nøye. Departementet vil orientere Stortinget om den </w:t>
      </w:r>
      <w:proofErr w:type="spellStart"/>
      <w:r w:rsidRPr="00580C0D">
        <w:t>vidare</w:t>
      </w:r>
      <w:proofErr w:type="spellEnd"/>
      <w:r w:rsidRPr="00580C0D">
        <w:t xml:space="preserve"> oppfølginga av vedtaket på eigna vis.</w:t>
      </w:r>
    </w:p>
    <w:p w14:paraId="476688C4" w14:textId="77777777" w:rsidR="00F7113A" w:rsidRPr="00580C0D" w:rsidRDefault="00142E5B" w:rsidP="00580C0D">
      <w:pPr>
        <w:pStyle w:val="Overskrift2"/>
      </w:pPr>
      <w:r w:rsidRPr="00580C0D">
        <w:t>Stortingssesjon 2020–2021</w:t>
      </w:r>
    </w:p>
    <w:p w14:paraId="4399A144" w14:textId="77777777" w:rsidR="00F7113A" w:rsidRPr="00580C0D" w:rsidRDefault="00142E5B" w:rsidP="00580C0D">
      <w:pPr>
        <w:pStyle w:val="avsnitt-tittel"/>
      </w:pPr>
      <w:proofErr w:type="spellStart"/>
      <w:r w:rsidRPr="00580C0D">
        <w:t>Forbod</w:t>
      </w:r>
      <w:proofErr w:type="spellEnd"/>
      <w:r w:rsidRPr="00580C0D">
        <w:t xml:space="preserve"> mot </w:t>
      </w:r>
      <w:proofErr w:type="spellStart"/>
      <w:r w:rsidRPr="00580C0D">
        <w:t>søskenbarnekteskap</w:t>
      </w:r>
      <w:proofErr w:type="spellEnd"/>
    </w:p>
    <w:p w14:paraId="77CC9447" w14:textId="77777777" w:rsidR="00F7113A" w:rsidRPr="00580C0D" w:rsidRDefault="00142E5B" w:rsidP="00580C0D">
      <w:pPr>
        <w:pStyle w:val="avsnitt-undertittel"/>
      </w:pPr>
      <w:r w:rsidRPr="00580C0D">
        <w:t>Vedtak 48, 3. november 2020</w:t>
      </w:r>
    </w:p>
    <w:p w14:paraId="7E615B2E" w14:textId="77777777" w:rsidR="00F7113A" w:rsidRPr="00580C0D" w:rsidRDefault="00142E5B" w:rsidP="00580C0D">
      <w:pPr>
        <w:pStyle w:val="blokksit"/>
        <w:rPr>
          <w:rStyle w:val="kursiv"/>
        </w:rPr>
      </w:pPr>
      <w:r w:rsidRPr="00580C0D">
        <w:rPr>
          <w:rStyle w:val="kursiv"/>
        </w:rPr>
        <w:t xml:space="preserve">«Stortinget ber regjeringen legge frem et lovforslag om å forby </w:t>
      </w:r>
      <w:proofErr w:type="spellStart"/>
      <w:r w:rsidRPr="00580C0D">
        <w:rPr>
          <w:rStyle w:val="kursiv"/>
        </w:rPr>
        <w:t>søskenbarnekteskap</w:t>
      </w:r>
      <w:proofErr w:type="spellEnd"/>
      <w:r w:rsidRPr="00580C0D">
        <w:rPr>
          <w:rStyle w:val="kursiv"/>
        </w:rPr>
        <w:t>.»</w:t>
      </w:r>
    </w:p>
    <w:p w14:paraId="77F3E96C"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66 L (2019–2020) </w:t>
      </w:r>
      <w:r w:rsidRPr="00580C0D">
        <w:rPr>
          <w:rStyle w:val="kursiv"/>
        </w:rPr>
        <w:t>Endringer i straffeloven mv. (avvergingsplikt, utenomrettslig tvangsekteskap, diskrimineringsvern, skyting mot politiet mv.)</w:t>
      </w:r>
      <w:r w:rsidRPr="00580C0D">
        <w:t xml:space="preserve">, jf. </w:t>
      </w:r>
      <w:proofErr w:type="spellStart"/>
      <w:r w:rsidRPr="00580C0D">
        <w:t>Innst</w:t>
      </w:r>
      <w:proofErr w:type="spellEnd"/>
      <w:r w:rsidRPr="00580C0D">
        <w:t>. 41 L (2020–2021).</w:t>
      </w:r>
    </w:p>
    <w:p w14:paraId="634EBBDC" w14:textId="77777777" w:rsidR="00F7113A" w:rsidRPr="00580C0D" w:rsidRDefault="00142E5B" w:rsidP="00580C0D">
      <w:r w:rsidRPr="00580C0D">
        <w:t xml:space="preserve">Retten til å inngå ekteskap og retten til familieliv er sentrale </w:t>
      </w:r>
      <w:proofErr w:type="spellStart"/>
      <w:r w:rsidRPr="00580C0D">
        <w:t>menneskerettar</w:t>
      </w:r>
      <w:proofErr w:type="spellEnd"/>
      <w:r w:rsidRPr="00580C0D">
        <w:t xml:space="preserve">. Det har derfor </w:t>
      </w:r>
      <w:proofErr w:type="spellStart"/>
      <w:r w:rsidRPr="00580C0D">
        <w:t>vore</w:t>
      </w:r>
      <w:proofErr w:type="spellEnd"/>
      <w:r w:rsidRPr="00580C0D">
        <w:t xml:space="preserve"> </w:t>
      </w:r>
      <w:proofErr w:type="spellStart"/>
      <w:r w:rsidRPr="00580C0D">
        <w:t>naudsynt</w:t>
      </w:r>
      <w:proofErr w:type="spellEnd"/>
      <w:r w:rsidRPr="00580C0D">
        <w:t xml:space="preserve"> å </w:t>
      </w:r>
      <w:proofErr w:type="spellStart"/>
      <w:r w:rsidRPr="00580C0D">
        <w:t>gjere</w:t>
      </w:r>
      <w:proofErr w:type="spellEnd"/>
      <w:r w:rsidRPr="00580C0D">
        <w:t xml:space="preserve"> grundige </w:t>
      </w:r>
      <w:proofErr w:type="spellStart"/>
      <w:r w:rsidRPr="00580C0D">
        <w:t>vurderingar</w:t>
      </w:r>
      <w:proofErr w:type="spellEnd"/>
      <w:r w:rsidRPr="00580C0D">
        <w:t xml:space="preserve"> av </w:t>
      </w:r>
      <w:proofErr w:type="spellStart"/>
      <w:r w:rsidRPr="00580C0D">
        <w:t>eit</w:t>
      </w:r>
      <w:proofErr w:type="spellEnd"/>
      <w:r w:rsidRPr="00580C0D">
        <w:t xml:space="preserve"> </w:t>
      </w:r>
      <w:proofErr w:type="spellStart"/>
      <w:r w:rsidRPr="00580C0D">
        <w:t>lovforbod</w:t>
      </w:r>
      <w:proofErr w:type="spellEnd"/>
      <w:r w:rsidRPr="00580C0D">
        <w:t xml:space="preserve">. Under dette arbeidet har departementet mellom anna bede </w:t>
      </w:r>
      <w:proofErr w:type="spellStart"/>
      <w:r w:rsidRPr="00580C0D">
        <w:t>Noregs</w:t>
      </w:r>
      <w:proofErr w:type="spellEnd"/>
      <w:r w:rsidRPr="00580C0D">
        <w:t xml:space="preserve"> nasjonale institusjon for </w:t>
      </w:r>
      <w:proofErr w:type="spellStart"/>
      <w:r w:rsidRPr="00580C0D">
        <w:t>menneskerettar</w:t>
      </w:r>
      <w:proofErr w:type="spellEnd"/>
      <w:r w:rsidRPr="00580C0D">
        <w:t xml:space="preserve"> om å greie ut det menneskerettslege handlingsrommet som </w:t>
      </w:r>
      <w:proofErr w:type="spellStart"/>
      <w:r w:rsidRPr="00580C0D">
        <w:t>gjeld</w:t>
      </w:r>
      <w:proofErr w:type="spellEnd"/>
      <w:r w:rsidRPr="00580C0D">
        <w:t xml:space="preserve"> for arbeidet med å </w:t>
      </w:r>
      <w:proofErr w:type="spellStart"/>
      <w:r w:rsidRPr="00580C0D">
        <w:t>følgje</w:t>
      </w:r>
      <w:proofErr w:type="spellEnd"/>
      <w:r w:rsidRPr="00580C0D">
        <w:t xml:space="preserve"> opp vedtaket. Prosjektet til Folkehelseinstituttet om </w:t>
      </w:r>
      <w:proofErr w:type="spellStart"/>
      <w:r w:rsidRPr="00580C0D">
        <w:t>helsekonsekvensar</w:t>
      </w:r>
      <w:proofErr w:type="spellEnd"/>
      <w:r w:rsidRPr="00580C0D">
        <w:t xml:space="preserve"> for barn der </w:t>
      </w:r>
      <w:proofErr w:type="spellStart"/>
      <w:r w:rsidRPr="00580C0D">
        <w:t>foreldra</w:t>
      </w:r>
      <w:proofErr w:type="spellEnd"/>
      <w:r w:rsidRPr="00580C0D">
        <w:t xml:space="preserve"> er søskenbarn, er òg </w:t>
      </w:r>
      <w:proofErr w:type="spellStart"/>
      <w:r w:rsidRPr="00580C0D">
        <w:t>eit</w:t>
      </w:r>
      <w:proofErr w:type="spellEnd"/>
      <w:r w:rsidRPr="00580C0D">
        <w:t xml:space="preserve"> viktig kunnskapsgrunnlag.</w:t>
      </w:r>
    </w:p>
    <w:p w14:paraId="5E89C8DA" w14:textId="77777777" w:rsidR="00F7113A" w:rsidRPr="00580C0D" w:rsidRDefault="00142E5B" w:rsidP="00580C0D">
      <w:r w:rsidRPr="00580C0D">
        <w:t xml:space="preserve">Departementet har hatt på </w:t>
      </w:r>
      <w:proofErr w:type="spellStart"/>
      <w:r w:rsidRPr="00580C0D">
        <w:t>høyring</w:t>
      </w:r>
      <w:proofErr w:type="spellEnd"/>
      <w:r w:rsidRPr="00580C0D">
        <w:t xml:space="preserve"> </w:t>
      </w:r>
      <w:proofErr w:type="spellStart"/>
      <w:r w:rsidRPr="00580C0D">
        <w:t>eit</w:t>
      </w:r>
      <w:proofErr w:type="spellEnd"/>
      <w:r w:rsidRPr="00580C0D">
        <w:t xml:space="preserve"> forslag til endring i ekteskapslova om </w:t>
      </w:r>
      <w:proofErr w:type="spellStart"/>
      <w:r w:rsidRPr="00580C0D">
        <w:t>lovforbod</w:t>
      </w:r>
      <w:proofErr w:type="spellEnd"/>
      <w:r w:rsidRPr="00580C0D">
        <w:t xml:space="preserve"> mot </w:t>
      </w:r>
      <w:proofErr w:type="spellStart"/>
      <w:r w:rsidRPr="00580C0D">
        <w:t>søskenbarnekteskap</w:t>
      </w:r>
      <w:proofErr w:type="spellEnd"/>
      <w:r w:rsidRPr="00580C0D">
        <w:t xml:space="preserve"> og </w:t>
      </w:r>
      <w:proofErr w:type="spellStart"/>
      <w:r w:rsidRPr="00580C0D">
        <w:t>tek</w:t>
      </w:r>
      <w:proofErr w:type="spellEnd"/>
      <w:r w:rsidRPr="00580C0D">
        <w:t xml:space="preserve"> sikte på å </w:t>
      </w:r>
      <w:proofErr w:type="spellStart"/>
      <w:r w:rsidRPr="00580C0D">
        <w:t>leggje</w:t>
      </w:r>
      <w:proofErr w:type="spellEnd"/>
      <w:r w:rsidRPr="00580C0D">
        <w:t xml:space="preserve"> fram </w:t>
      </w:r>
      <w:proofErr w:type="spellStart"/>
      <w:r w:rsidRPr="00580C0D">
        <w:t>ein</w:t>
      </w:r>
      <w:proofErr w:type="spellEnd"/>
      <w:r w:rsidRPr="00580C0D">
        <w:t xml:space="preserve"> lovproposisjon for Stortinget </w:t>
      </w:r>
      <w:proofErr w:type="spellStart"/>
      <w:r w:rsidRPr="00580C0D">
        <w:t>innan</w:t>
      </w:r>
      <w:proofErr w:type="spellEnd"/>
      <w:r w:rsidRPr="00580C0D">
        <w:t xml:space="preserve"> utgangen av 2023.</w:t>
      </w:r>
    </w:p>
    <w:p w14:paraId="66EB3C8B" w14:textId="77777777" w:rsidR="00F7113A" w:rsidRPr="00580C0D" w:rsidRDefault="00142E5B" w:rsidP="00580C0D">
      <w:pPr>
        <w:pStyle w:val="avsnitt-tittel"/>
      </w:pPr>
      <w:r w:rsidRPr="00580C0D">
        <w:t xml:space="preserve">Involvere foreldre når barn </w:t>
      </w:r>
      <w:proofErr w:type="spellStart"/>
      <w:r w:rsidRPr="00580C0D">
        <w:t>gjer</w:t>
      </w:r>
      <w:proofErr w:type="spellEnd"/>
      <w:r w:rsidRPr="00580C0D">
        <w:t xml:space="preserve"> </w:t>
      </w:r>
      <w:proofErr w:type="spellStart"/>
      <w:r w:rsidRPr="00580C0D">
        <w:t>lovbrot</w:t>
      </w:r>
      <w:proofErr w:type="spellEnd"/>
    </w:p>
    <w:p w14:paraId="697E892B" w14:textId="77777777" w:rsidR="00F7113A" w:rsidRPr="00580C0D" w:rsidRDefault="00142E5B" w:rsidP="00580C0D">
      <w:pPr>
        <w:pStyle w:val="avsnitt-undertittel"/>
      </w:pPr>
      <w:r w:rsidRPr="00580C0D">
        <w:t>Vedtak 445, 18. desember 2020</w:t>
      </w:r>
    </w:p>
    <w:p w14:paraId="36612D4F" w14:textId="77777777" w:rsidR="00F7113A" w:rsidRPr="00580C0D" w:rsidRDefault="00142E5B" w:rsidP="00580C0D">
      <w:pPr>
        <w:pStyle w:val="blokksit"/>
        <w:rPr>
          <w:rStyle w:val="kursiv"/>
        </w:rPr>
      </w:pPr>
      <w:r w:rsidRPr="00580C0D">
        <w:rPr>
          <w:rStyle w:val="kursiv"/>
        </w:rPr>
        <w:t xml:space="preserve">«Stortinget ber regjeringen vurdere hvordan foreldre i større grad kan involveres og </w:t>
      </w:r>
      <w:proofErr w:type="spellStart"/>
      <w:r w:rsidRPr="00580C0D">
        <w:rPr>
          <w:rStyle w:val="kursiv"/>
        </w:rPr>
        <w:t>ansvarliggjøres</w:t>
      </w:r>
      <w:proofErr w:type="spellEnd"/>
      <w:r w:rsidRPr="00580C0D">
        <w:rPr>
          <w:rStyle w:val="kursiv"/>
        </w:rPr>
        <w:t xml:space="preserve"> for gjentatte lovbrudd som er begått av deres barn som er under den kriminelle lavalder, og fremme forslag om dette.»</w:t>
      </w:r>
    </w:p>
    <w:p w14:paraId="4913FEC0"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tiltak mot ungdoms- og gjengkriminalitet, jf. </w:t>
      </w:r>
      <w:proofErr w:type="spellStart"/>
      <w:r w:rsidRPr="00580C0D">
        <w:t>Dok</w:t>
      </w:r>
      <w:proofErr w:type="spellEnd"/>
      <w:r w:rsidRPr="00580C0D">
        <w:t xml:space="preserve">. 8:115 S (2019–2020) og </w:t>
      </w:r>
      <w:proofErr w:type="spellStart"/>
      <w:r w:rsidRPr="00580C0D">
        <w:t>Innst</w:t>
      </w:r>
      <w:proofErr w:type="spellEnd"/>
      <w:r w:rsidRPr="00580C0D">
        <w:t>. 147 S (2020–2021).</w:t>
      </w:r>
    </w:p>
    <w:p w14:paraId="1F20D76E" w14:textId="77777777" w:rsidR="00F7113A" w:rsidRPr="00580C0D" w:rsidRDefault="00142E5B" w:rsidP="00580C0D">
      <w:r w:rsidRPr="00580C0D">
        <w:t xml:space="preserve">Barnevernet kan </w:t>
      </w:r>
      <w:proofErr w:type="spellStart"/>
      <w:r w:rsidRPr="00580C0D">
        <w:t>vere</w:t>
      </w:r>
      <w:proofErr w:type="spellEnd"/>
      <w:r w:rsidRPr="00580C0D">
        <w:t xml:space="preserve"> </w:t>
      </w:r>
      <w:proofErr w:type="spellStart"/>
      <w:r w:rsidRPr="00580C0D">
        <w:t>ein</w:t>
      </w:r>
      <w:proofErr w:type="spellEnd"/>
      <w:r w:rsidRPr="00580C0D">
        <w:t xml:space="preserve"> viktig </w:t>
      </w:r>
      <w:proofErr w:type="spellStart"/>
      <w:r w:rsidRPr="00580C0D">
        <w:t>bidragsytar</w:t>
      </w:r>
      <w:proofErr w:type="spellEnd"/>
      <w:r w:rsidRPr="00580C0D">
        <w:t xml:space="preserve"> for å involvere og hjelpe foreldre til barn som </w:t>
      </w:r>
      <w:proofErr w:type="spellStart"/>
      <w:r w:rsidRPr="00580C0D">
        <w:t>gjentekne</w:t>
      </w:r>
      <w:proofErr w:type="spellEnd"/>
      <w:r w:rsidRPr="00580C0D">
        <w:t xml:space="preserve"> gonger bryt lova. Oppfølging av vedtaket krev </w:t>
      </w:r>
      <w:proofErr w:type="spellStart"/>
      <w:r w:rsidRPr="00580C0D">
        <w:t>vurderingar</w:t>
      </w:r>
      <w:proofErr w:type="spellEnd"/>
      <w:r w:rsidRPr="00580C0D">
        <w:t xml:space="preserve"> med utgangspunkt i både justissektoren og barnevernet. </w:t>
      </w:r>
      <w:proofErr w:type="spellStart"/>
      <w:r w:rsidRPr="00580C0D">
        <w:t>Bufdir</w:t>
      </w:r>
      <w:proofErr w:type="spellEnd"/>
      <w:r w:rsidRPr="00580C0D">
        <w:t xml:space="preserve"> blei bede om å greie ut korleis vedtaket kan </w:t>
      </w:r>
      <w:proofErr w:type="spellStart"/>
      <w:r w:rsidRPr="00580C0D">
        <w:t>følgjast</w:t>
      </w:r>
      <w:proofErr w:type="spellEnd"/>
      <w:r w:rsidRPr="00580C0D">
        <w:t xml:space="preserve"> best </w:t>
      </w:r>
      <w:proofErr w:type="spellStart"/>
      <w:r w:rsidRPr="00580C0D">
        <w:t>mogleg</w:t>
      </w:r>
      <w:proofErr w:type="spellEnd"/>
      <w:r w:rsidRPr="00580C0D">
        <w:t xml:space="preserve"> opp. Rapporten blei levert i desember 2022. </w:t>
      </w:r>
      <w:proofErr w:type="spellStart"/>
      <w:r w:rsidRPr="00580C0D">
        <w:t>Bufdir</w:t>
      </w:r>
      <w:proofErr w:type="spellEnd"/>
      <w:r w:rsidRPr="00580C0D">
        <w:t xml:space="preserve"> </w:t>
      </w:r>
      <w:proofErr w:type="spellStart"/>
      <w:r w:rsidRPr="00580C0D">
        <w:t>føreslår</w:t>
      </w:r>
      <w:proofErr w:type="spellEnd"/>
      <w:r w:rsidRPr="00580C0D">
        <w:t xml:space="preserve"> </w:t>
      </w:r>
      <w:proofErr w:type="spellStart"/>
      <w:r w:rsidRPr="00580C0D">
        <w:t>fleire</w:t>
      </w:r>
      <w:proofErr w:type="spellEnd"/>
      <w:r w:rsidRPr="00580C0D">
        <w:t xml:space="preserve"> tiltak med det overordna målet om at barn og unge som </w:t>
      </w:r>
      <w:proofErr w:type="spellStart"/>
      <w:r w:rsidRPr="00580C0D">
        <w:t>gjer</w:t>
      </w:r>
      <w:proofErr w:type="spellEnd"/>
      <w:r w:rsidRPr="00580C0D">
        <w:t xml:space="preserve">, eller står i fare for å </w:t>
      </w:r>
      <w:proofErr w:type="spellStart"/>
      <w:r w:rsidRPr="00580C0D">
        <w:t>gjere</w:t>
      </w:r>
      <w:proofErr w:type="spellEnd"/>
      <w:r w:rsidRPr="00580C0D">
        <w:t xml:space="preserve">, </w:t>
      </w:r>
      <w:proofErr w:type="spellStart"/>
      <w:r w:rsidRPr="00580C0D">
        <w:t>handlingar</w:t>
      </w:r>
      <w:proofErr w:type="spellEnd"/>
      <w:r w:rsidRPr="00580C0D">
        <w:t xml:space="preserve"> som i utgangspunktet er straffbare, kjem ut av denne risikosona. Tiltaka har som mål at foreldre til barn i risikosona får god og tilpassa støtte og rettleiing. Departementet vil med utgangspunkt i utgreiinga til </w:t>
      </w:r>
      <w:proofErr w:type="spellStart"/>
      <w:r w:rsidRPr="00580C0D">
        <w:t>Bufdir</w:t>
      </w:r>
      <w:proofErr w:type="spellEnd"/>
      <w:r w:rsidRPr="00580C0D">
        <w:t xml:space="preserve"> på eigna vis komme tilbake til Stortinget om oppfølginga av vedtaket.</w:t>
      </w:r>
    </w:p>
    <w:p w14:paraId="49F55BF8" w14:textId="77777777" w:rsidR="00F7113A" w:rsidRPr="00580C0D" w:rsidRDefault="00142E5B" w:rsidP="00580C0D">
      <w:pPr>
        <w:pStyle w:val="avsnitt-tittel"/>
      </w:pPr>
      <w:proofErr w:type="spellStart"/>
      <w:r w:rsidRPr="00580C0D">
        <w:t>Strengare</w:t>
      </w:r>
      <w:proofErr w:type="spellEnd"/>
      <w:r w:rsidRPr="00580C0D">
        <w:t xml:space="preserve"> </w:t>
      </w:r>
      <w:proofErr w:type="spellStart"/>
      <w:r w:rsidRPr="00580C0D">
        <w:t>reaksjonar</w:t>
      </w:r>
      <w:proofErr w:type="spellEnd"/>
      <w:r w:rsidRPr="00580C0D">
        <w:t xml:space="preserve"> mot samværshindring</w:t>
      </w:r>
    </w:p>
    <w:p w14:paraId="64D61E18" w14:textId="77777777" w:rsidR="00F7113A" w:rsidRPr="00580C0D" w:rsidRDefault="00142E5B" w:rsidP="00580C0D">
      <w:pPr>
        <w:pStyle w:val="avsnitt-undertittel"/>
      </w:pPr>
      <w:r w:rsidRPr="00580C0D">
        <w:t>Vedtak 714, 9. mars 2021</w:t>
      </w:r>
    </w:p>
    <w:p w14:paraId="054D793B" w14:textId="77777777" w:rsidR="00F7113A" w:rsidRPr="00580C0D" w:rsidRDefault="00142E5B" w:rsidP="00580C0D">
      <w:pPr>
        <w:pStyle w:val="blokksit"/>
        <w:rPr>
          <w:rStyle w:val="kursiv"/>
        </w:rPr>
      </w:pPr>
      <w:r w:rsidRPr="00580C0D">
        <w:rPr>
          <w:rStyle w:val="kursiv"/>
        </w:rPr>
        <w:t>«Stortinget ber regjeringen ved oppfølgingen av NOU 2020: 14 Ny barnelov – Til barnets beste, utrede strengere reaksjoner som kan motvirke samværshindring.»</w:t>
      </w:r>
    </w:p>
    <w:p w14:paraId="08307F3D"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samværshindring, jf. </w:t>
      </w:r>
      <w:proofErr w:type="spellStart"/>
      <w:r w:rsidRPr="00580C0D">
        <w:t>Dok</w:t>
      </w:r>
      <w:proofErr w:type="spellEnd"/>
      <w:r w:rsidRPr="00580C0D">
        <w:t xml:space="preserve">. 8:40 S (2020–2021) og </w:t>
      </w:r>
      <w:proofErr w:type="spellStart"/>
      <w:r w:rsidRPr="00580C0D">
        <w:t>Innst</w:t>
      </w:r>
      <w:proofErr w:type="spellEnd"/>
      <w:r w:rsidRPr="00580C0D">
        <w:t>. 264 S (2020–2021).</w:t>
      </w:r>
    </w:p>
    <w:p w14:paraId="478E007B" w14:textId="77777777" w:rsidR="00F7113A" w:rsidRPr="00580C0D" w:rsidRDefault="00142E5B" w:rsidP="00580C0D">
      <w:r w:rsidRPr="00580C0D">
        <w:t xml:space="preserve">Departementet har i denne </w:t>
      </w:r>
      <w:proofErr w:type="spellStart"/>
      <w:r w:rsidRPr="00580C0D">
        <w:t>samanheng</w:t>
      </w:r>
      <w:proofErr w:type="spellEnd"/>
      <w:r w:rsidRPr="00580C0D">
        <w:t xml:space="preserve"> sett </w:t>
      </w:r>
      <w:proofErr w:type="spellStart"/>
      <w:r w:rsidRPr="00580C0D">
        <w:t>nærare</w:t>
      </w:r>
      <w:proofErr w:type="spellEnd"/>
      <w:r w:rsidRPr="00580C0D">
        <w:t xml:space="preserve"> på </w:t>
      </w:r>
      <w:proofErr w:type="spellStart"/>
      <w:r w:rsidRPr="00580C0D">
        <w:t>fleire</w:t>
      </w:r>
      <w:proofErr w:type="spellEnd"/>
      <w:r w:rsidRPr="00580C0D">
        <w:t xml:space="preserve"> spørsmål knytte til samværshindring, også korleis økonomi speler inn i saker om samvær og samværshindring. Departementet arbeider </w:t>
      </w:r>
      <w:proofErr w:type="spellStart"/>
      <w:r w:rsidRPr="00580C0D">
        <w:t>vidare</w:t>
      </w:r>
      <w:proofErr w:type="spellEnd"/>
      <w:r w:rsidRPr="00580C0D">
        <w:t xml:space="preserve"> med dette i samband med oppfølginga av NOU 2020: 14 </w:t>
      </w:r>
      <w:r w:rsidRPr="00580C0D">
        <w:rPr>
          <w:rStyle w:val="kursiv"/>
        </w:rPr>
        <w:t>Ny barnelov</w:t>
      </w:r>
      <w:r w:rsidRPr="00580C0D">
        <w:t xml:space="preserve">. </w:t>
      </w:r>
      <w:proofErr w:type="spellStart"/>
      <w:r w:rsidRPr="00580C0D">
        <w:t>Bufdir</w:t>
      </w:r>
      <w:proofErr w:type="spellEnd"/>
      <w:r w:rsidRPr="00580C0D">
        <w:t xml:space="preserve"> har i 2023 fått i oppdrag å vurdere behov for å </w:t>
      </w:r>
      <w:proofErr w:type="spellStart"/>
      <w:r w:rsidRPr="00580C0D">
        <w:t>følgje</w:t>
      </w:r>
      <w:proofErr w:type="spellEnd"/>
      <w:r w:rsidRPr="00580C0D">
        <w:t xml:space="preserve"> opp rapporten </w:t>
      </w:r>
      <w:proofErr w:type="spellStart"/>
      <w:r w:rsidRPr="00580C0D">
        <w:t>deira</w:t>
      </w:r>
      <w:proofErr w:type="spellEnd"/>
      <w:r w:rsidRPr="00580C0D">
        <w:t xml:space="preserve"> om stans i samvær og å </w:t>
      </w:r>
      <w:proofErr w:type="spellStart"/>
      <w:r w:rsidRPr="00580C0D">
        <w:t>setje</w:t>
      </w:r>
      <w:proofErr w:type="spellEnd"/>
      <w:r w:rsidRPr="00580C0D">
        <w:t xml:space="preserve"> i verk tiltak ved behov.</w:t>
      </w:r>
    </w:p>
    <w:p w14:paraId="2DB546CD" w14:textId="77777777" w:rsidR="00F7113A" w:rsidRPr="00580C0D" w:rsidRDefault="00142E5B" w:rsidP="00580C0D">
      <w:r w:rsidRPr="00580C0D">
        <w:t xml:space="preserve">Departementet vil orientere Stortinget om den </w:t>
      </w:r>
      <w:proofErr w:type="spellStart"/>
      <w:r w:rsidRPr="00580C0D">
        <w:t>vidare</w:t>
      </w:r>
      <w:proofErr w:type="spellEnd"/>
      <w:r w:rsidRPr="00580C0D">
        <w:t xml:space="preserve"> oppfølginga av vedtaket på eigna vis.</w:t>
      </w:r>
    </w:p>
    <w:p w14:paraId="1E69F154" w14:textId="77777777" w:rsidR="00F7113A" w:rsidRPr="00580C0D" w:rsidRDefault="00142E5B" w:rsidP="00580C0D">
      <w:pPr>
        <w:pStyle w:val="avsnitt-tittel"/>
      </w:pPr>
      <w:r w:rsidRPr="00580C0D">
        <w:t xml:space="preserve">Justering av </w:t>
      </w:r>
      <w:proofErr w:type="spellStart"/>
      <w:r w:rsidRPr="00580C0D">
        <w:t>barnebidragsreglane</w:t>
      </w:r>
      <w:proofErr w:type="spellEnd"/>
      <w:r w:rsidRPr="00580C0D">
        <w:t xml:space="preserve"> for å hindre samværshindring</w:t>
      </w:r>
    </w:p>
    <w:p w14:paraId="615BE899" w14:textId="77777777" w:rsidR="00F7113A" w:rsidRPr="00580C0D" w:rsidRDefault="00142E5B" w:rsidP="00580C0D">
      <w:pPr>
        <w:pStyle w:val="avsnitt-undertittel"/>
      </w:pPr>
      <w:r w:rsidRPr="00580C0D">
        <w:t>Vedtak 715, 9. mars 2021</w:t>
      </w:r>
    </w:p>
    <w:p w14:paraId="1DF7218E" w14:textId="77777777" w:rsidR="00F7113A" w:rsidRPr="00580C0D" w:rsidRDefault="00142E5B" w:rsidP="00580C0D">
      <w:pPr>
        <w:pStyle w:val="blokksit"/>
        <w:rPr>
          <w:rStyle w:val="kursiv"/>
        </w:rPr>
      </w:pPr>
      <w:r w:rsidRPr="00580C0D">
        <w:rPr>
          <w:rStyle w:val="kursiv"/>
        </w:rPr>
        <w:t>«Stortinget ber regjeringen ved oppfølgingen av NOU 2020: 14 Ny barnelov – Til barnets beste, utrede om det er behov for å gjøre justeringer i barnebidragsreglene for å sikre at økonomi ikke blir en drivende faktor for samværshindring.»</w:t>
      </w:r>
    </w:p>
    <w:p w14:paraId="2CCF149C"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samværshindring, jf. </w:t>
      </w:r>
      <w:proofErr w:type="spellStart"/>
      <w:r w:rsidRPr="00580C0D">
        <w:t>Dok</w:t>
      </w:r>
      <w:proofErr w:type="spellEnd"/>
      <w:r w:rsidRPr="00580C0D">
        <w:t xml:space="preserve">. 8:40 S (2020–2021) og </w:t>
      </w:r>
      <w:proofErr w:type="spellStart"/>
      <w:r w:rsidRPr="00580C0D">
        <w:t>Innst</w:t>
      </w:r>
      <w:proofErr w:type="spellEnd"/>
      <w:r w:rsidRPr="00580C0D">
        <w:t>. 264 S (2020–2021).</w:t>
      </w:r>
    </w:p>
    <w:p w14:paraId="1F567E37" w14:textId="77777777" w:rsidR="00F7113A" w:rsidRPr="00580C0D" w:rsidRDefault="00142E5B" w:rsidP="00580C0D">
      <w:r w:rsidRPr="00580C0D">
        <w:t xml:space="preserve">Departementet ser oppfølginga av dette vedtaket i </w:t>
      </w:r>
      <w:proofErr w:type="spellStart"/>
      <w:r w:rsidRPr="00580C0D">
        <w:t>samanheng</w:t>
      </w:r>
      <w:proofErr w:type="spellEnd"/>
      <w:r w:rsidRPr="00580C0D">
        <w:t xml:space="preserve"> med oppfølginga av vedtak nr. 714 av 9. mars 2021, sjå omtale under dette vedtaket. Departementet vil orientere Stortinget om den </w:t>
      </w:r>
      <w:proofErr w:type="spellStart"/>
      <w:r w:rsidRPr="00580C0D">
        <w:t>vidare</w:t>
      </w:r>
      <w:proofErr w:type="spellEnd"/>
      <w:r w:rsidRPr="00580C0D">
        <w:t xml:space="preserve"> oppfølginga av vedtaket på eigna vis.</w:t>
      </w:r>
    </w:p>
    <w:p w14:paraId="5434B9C7" w14:textId="77777777" w:rsidR="00F7113A" w:rsidRPr="00580C0D" w:rsidRDefault="00142E5B" w:rsidP="00580C0D">
      <w:pPr>
        <w:pStyle w:val="avsnitt-tittel"/>
      </w:pPr>
      <w:r w:rsidRPr="00580C0D">
        <w:t xml:space="preserve">Obligatorisk prisinformasjon på </w:t>
      </w:r>
      <w:proofErr w:type="spellStart"/>
      <w:r w:rsidRPr="00580C0D">
        <w:t>straum</w:t>
      </w:r>
      <w:proofErr w:type="spellEnd"/>
    </w:p>
    <w:p w14:paraId="05C7F12C" w14:textId="77777777" w:rsidR="00F7113A" w:rsidRPr="00580C0D" w:rsidRDefault="00142E5B" w:rsidP="00580C0D">
      <w:pPr>
        <w:pStyle w:val="avsnitt-undertittel"/>
      </w:pPr>
      <w:r w:rsidRPr="00580C0D">
        <w:t>Vedtak nr. 918, 11. mai 2021</w:t>
      </w:r>
    </w:p>
    <w:p w14:paraId="627BCB59" w14:textId="77777777" w:rsidR="00F7113A" w:rsidRPr="00580C0D" w:rsidRDefault="00142E5B" w:rsidP="00580C0D">
      <w:pPr>
        <w:pStyle w:val="blokksit"/>
        <w:rPr>
          <w:rStyle w:val="kursiv"/>
        </w:rPr>
      </w:pPr>
      <w:r w:rsidRPr="00580C0D">
        <w:rPr>
          <w:rStyle w:val="kursiv"/>
        </w:rPr>
        <w:t>«Stortinget ber regjeringen innføre en ny obligatorisk prisinformasjon/enhetspris på strøm, slik at forbruker enkelt kan sammenligne priser på tvers av alle avtaletyper, og dermed sikre at forbrukerne kan ta informerte valg.»</w:t>
      </w:r>
    </w:p>
    <w:p w14:paraId="4234EF2C"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forenkling av </w:t>
      </w:r>
      <w:proofErr w:type="spellStart"/>
      <w:r w:rsidRPr="00580C0D">
        <w:t>straummarknaden</w:t>
      </w:r>
      <w:proofErr w:type="spellEnd"/>
      <w:r w:rsidRPr="00580C0D">
        <w:t xml:space="preserve">, jf. </w:t>
      </w:r>
      <w:proofErr w:type="spellStart"/>
      <w:r w:rsidRPr="00580C0D">
        <w:t>Dok</w:t>
      </w:r>
      <w:proofErr w:type="spellEnd"/>
      <w:r w:rsidRPr="00580C0D">
        <w:t xml:space="preserve">. 8:126 S (2020–2021) og </w:t>
      </w:r>
      <w:proofErr w:type="spellStart"/>
      <w:r w:rsidRPr="00580C0D">
        <w:t>Innst</w:t>
      </w:r>
      <w:proofErr w:type="spellEnd"/>
      <w:r w:rsidRPr="00580C0D">
        <w:t>. 394 S (2020–2021).</w:t>
      </w:r>
    </w:p>
    <w:p w14:paraId="03C83CA9" w14:textId="77777777" w:rsidR="00F7113A" w:rsidRPr="00580C0D" w:rsidRDefault="00142E5B" w:rsidP="00580C0D">
      <w:r w:rsidRPr="00580C0D">
        <w:t xml:space="preserve">I samråd med Olje- og energidepartementet har Barne- og familiedepartementet innhenta ei vurdering </w:t>
      </w:r>
      <w:proofErr w:type="spellStart"/>
      <w:r w:rsidRPr="00580C0D">
        <w:t>frå</w:t>
      </w:r>
      <w:proofErr w:type="spellEnd"/>
      <w:r w:rsidRPr="00580C0D">
        <w:t xml:space="preserve"> </w:t>
      </w:r>
      <w:proofErr w:type="spellStart"/>
      <w:r w:rsidRPr="00580C0D">
        <w:t>Reguleringsmyndigheita</w:t>
      </w:r>
      <w:proofErr w:type="spellEnd"/>
      <w:r w:rsidRPr="00580C0D">
        <w:t xml:space="preserve"> for energi (RME) av korleis </w:t>
      </w:r>
      <w:proofErr w:type="spellStart"/>
      <w:r w:rsidRPr="00580C0D">
        <w:t>ein</w:t>
      </w:r>
      <w:proofErr w:type="spellEnd"/>
      <w:r w:rsidRPr="00580C0D">
        <w:t xml:space="preserve"> einingspris kan </w:t>
      </w:r>
      <w:proofErr w:type="spellStart"/>
      <w:r w:rsidRPr="00580C0D">
        <w:t>innrettast</w:t>
      </w:r>
      <w:proofErr w:type="spellEnd"/>
      <w:r w:rsidRPr="00580C0D">
        <w:t>.</w:t>
      </w:r>
    </w:p>
    <w:p w14:paraId="33CBD26C" w14:textId="77777777" w:rsidR="00F7113A" w:rsidRPr="00580C0D" w:rsidRDefault="00142E5B" w:rsidP="00580C0D">
      <w:r w:rsidRPr="00580C0D">
        <w:t xml:space="preserve">Målet med </w:t>
      </w:r>
      <w:proofErr w:type="spellStart"/>
      <w:r w:rsidRPr="00580C0D">
        <w:t>ein</w:t>
      </w:r>
      <w:proofErr w:type="spellEnd"/>
      <w:r w:rsidRPr="00580C0D">
        <w:t xml:space="preserve"> einingspris på </w:t>
      </w:r>
      <w:proofErr w:type="spellStart"/>
      <w:r w:rsidRPr="00580C0D">
        <w:t>straum</w:t>
      </w:r>
      <w:proofErr w:type="spellEnd"/>
      <w:r w:rsidRPr="00580C0D">
        <w:t xml:space="preserve"> må </w:t>
      </w:r>
      <w:proofErr w:type="spellStart"/>
      <w:r w:rsidRPr="00580C0D">
        <w:t>vere</w:t>
      </w:r>
      <w:proofErr w:type="spellEnd"/>
      <w:r w:rsidRPr="00580C0D">
        <w:t xml:space="preserve"> at </w:t>
      </w:r>
      <w:proofErr w:type="spellStart"/>
      <w:r w:rsidRPr="00580C0D">
        <w:t>forbrukarane</w:t>
      </w:r>
      <w:proofErr w:type="spellEnd"/>
      <w:r w:rsidRPr="00580C0D">
        <w:t xml:space="preserve"> </w:t>
      </w:r>
      <w:proofErr w:type="spellStart"/>
      <w:r w:rsidRPr="00580C0D">
        <w:t>enklare</w:t>
      </w:r>
      <w:proofErr w:type="spellEnd"/>
      <w:r w:rsidRPr="00580C0D">
        <w:t xml:space="preserve"> skal kunne </w:t>
      </w:r>
      <w:proofErr w:type="spellStart"/>
      <w:r w:rsidRPr="00580C0D">
        <w:t>samanlikne</w:t>
      </w:r>
      <w:proofErr w:type="spellEnd"/>
      <w:r w:rsidRPr="00580C0D">
        <w:t xml:space="preserve"> prisen på ulike </w:t>
      </w:r>
      <w:proofErr w:type="spellStart"/>
      <w:r w:rsidRPr="00580C0D">
        <w:t>avtalar</w:t>
      </w:r>
      <w:proofErr w:type="spellEnd"/>
      <w:r w:rsidRPr="00580C0D">
        <w:t xml:space="preserve"> og </w:t>
      </w:r>
      <w:proofErr w:type="spellStart"/>
      <w:r w:rsidRPr="00580C0D">
        <w:t>avtaletypar</w:t>
      </w:r>
      <w:proofErr w:type="spellEnd"/>
      <w:r w:rsidRPr="00580C0D">
        <w:t xml:space="preserve">. Departementet og RME har vurdert tre ulike </w:t>
      </w:r>
      <w:proofErr w:type="spellStart"/>
      <w:r w:rsidRPr="00580C0D">
        <w:t>modellar</w:t>
      </w:r>
      <w:proofErr w:type="spellEnd"/>
      <w:r w:rsidRPr="00580C0D">
        <w:t xml:space="preserve"> for å </w:t>
      </w:r>
      <w:proofErr w:type="spellStart"/>
      <w:r w:rsidRPr="00580C0D">
        <w:t>berekne</w:t>
      </w:r>
      <w:proofErr w:type="spellEnd"/>
      <w:r w:rsidRPr="00580C0D">
        <w:t xml:space="preserve"> </w:t>
      </w:r>
      <w:proofErr w:type="spellStart"/>
      <w:r w:rsidRPr="00580C0D">
        <w:t>ein</w:t>
      </w:r>
      <w:proofErr w:type="spellEnd"/>
      <w:r w:rsidRPr="00580C0D">
        <w:t xml:space="preserve"> einingspris for </w:t>
      </w:r>
      <w:proofErr w:type="spellStart"/>
      <w:r w:rsidRPr="00580C0D">
        <w:t>straum</w:t>
      </w:r>
      <w:proofErr w:type="spellEnd"/>
      <w:r w:rsidRPr="00580C0D">
        <w:t xml:space="preserve">. </w:t>
      </w:r>
      <w:proofErr w:type="spellStart"/>
      <w:r w:rsidRPr="00580C0D">
        <w:t>Berekningane</w:t>
      </w:r>
      <w:proofErr w:type="spellEnd"/>
      <w:r w:rsidRPr="00580C0D">
        <w:t xml:space="preserve"> viser at det er teknisk </w:t>
      </w:r>
      <w:proofErr w:type="spellStart"/>
      <w:r w:rsidRPr="00580C0D">
        <w:t>mogleg</w:t>
      </w:r>
      <w:proofErr w:type="spellEnd"/>
      <w:r w:rsidRPr="00580C0D">
        <w:t xml:space="preserve"> å lage </w:t>
      </w:r>
      <w:proofErr w:type="spellStart"/>
      <w:r w:rsidRPr="00580C0D">
        <w:t>ein</w:t>
      </w:r>
      <w:proofErr w:type="spellEnd"/>
      <w:r w:rsidRPr="00580C0D">
        <w:t xml:space="preserve"> slik einingspris, som både kan brukast til å </w:t>
      </w:r>
      <w:proofErr w:type="spellStart"/>
      <w:r w:rsidRPr="00580C0D">
        <w:t>samanlikne</w:t>
      </w:r>
      <w:proofErr w:type="spellEnd"/>
      <w:r w:rsidRPr="00580C0D">
        <w:t xml:space="preserve"> </w:t>
      </w:r>
      <w:proofErr w:type="spellStart"/>
      <w:r w:rsidRPr="00580C0D">
        <w:t>dei</w:t>
      </w:r>
      <w:proofErr w:type="spellEnd"/>
      <w:r w:rsidRPr="00580C0D">
        <w:t xml:space="preserve"> same </w:t>
      </w:r>
      <w:proofErr w:type="spellStart"/>
      <w:r w:rsidRPr="00580C0D">
        <w:t>typane</w:t>
      </w:r>
      <w:proofErr w:type="spellEnd"/>
      <w:r w:rsidRPr="00580C0D">
        <w:t xml:space="preserve"> </w:t>
      </w:r>
      <w:proofErr w:type="spellStart"/>
      <w:r w:rsidRPr="00580C0D">
        <w:t>avtalar</w:t>
      </w:r>
      <w:proofErr w:type="spellEnd"/>
      <w:r w:rsidRPr="00580C0D">
        <w:t xml:space="preserve"> (til dømes </w:t>
      </w:r>
      <w:proofErr w:type="spellStart"/>
      <w:r w:rsidRPr="00580C0D">
        <w:t>ein</w:t>
      </w:r>
      <w:proofErr w:type="spellEnd"/>
      <w:r w:rsidRPr="00580C0D">
        <w:t xml:space="preserve"> spotprisavtale med </w:t>
      </w:r>
      <w:proofErr w:type="spellStart"/>
      <w:r w:rsidRPr="00580C0D">
        <w:t>ein</w:t>
      </w:r>
      <w:proofErr w:type="spellEnd"/>
      <w:r w:rsidRPr="00580C0D">
        <w:t xml:space="preserve"> </w:t>
      </w:r>
      <w:proofErr w:type="spellStart"/>
      <w:r w:rsidRPr="00580C0D">
        <w:t>annan</w:t>
      </w:r>
      <w:proofErr w:type="spellEnd"/>
      <w:r w:rsidRPr="00580C0D">
        <w:t xml:space="preserve"> spotprisavtale) og ulike </w:t>
      </w:r>
      <w:proofErr w:type="spellStart"/>
      <w:r w:rsidRPr="00580C0D">
        <w:t>avtalar</w:t>
      </w:r>
      <w:proofErr w:type="spellEnd"/>
      <w:r w:rsidRPr="00580C0D">
        <w:t xml:space="preserve"> (</w:t>
      </w:r>
      <w:proofErr w:type="spellStart"/>
      <w:r w:rsidRPr="00580C0D">
        <w:t>fastprisavtalar</w:t>
      </w:r>
      <w:proofErr w:type="spellEnd"/>
      <w:r w:rsidRPr="00580C0D">
        <w:t xml:space="preserve"> og </w:t>
      </w:r>
      <w:proofErr w:type="spellStart"/>
      <w:r w:rsidRPr="00580C0D">
        <w:t>spotprisavtalar</w:t>
      </w:r>
      <w:proofErr w:type="spellEnd"/>
      <w:r w:rsidRPr="00580C0D">
        <w:t xml:space="preserve">). </w:t>
      </w:r>
      <w:proofErr w:type="spellStart"/>
      <w:r w:rsidRPr="00580C0D">
        <w:t>Modellane</w:t>
      </w:r>
      <w:proofErr w:type="spellEnd"/>
      <w:r w:rsidRPr="00580C0D">
        <w:t xml:space="preserve"> vil måtte basere seg på </w:t>
      </w:r>
      <w:proofErr w:type="spellStart"/>
      <w:r w:rsidRPr="00580C0D">
        <w:t>ein</w:t>
      </w:r>
      <w:proofErr w:type="spellEnd"/>
      <w:r w:rsidRPr="00580C0D">
        <w:t xml:space="preserve"> kombinasjon av </w:t>
      </w:r>
      <w:proofErr w:type="spellStart"/>
      <w:r w:rsidRPr="00580C0D">
        <w:t>kjende</w:t>
      </w:r>
      <w:proofErr w:type="spellEnd"/>
      <w:r w:rsidRPr="00580C0D">
        <w:t xml:space="preserve"> og usikre priselement, som estimert forbruk eller referanseforbruk og estimert framtidig områdepris eller historisk områdepris. Dei tre ulike </w:t>
      </w:r>
      <w:proofErr w:type="spellStart"/>
      <w:r w:rsidRPr="00580C0D">
        <w:t>modellane</w:t>
      </w:r>
      <w:proofErr w:type="spellEnd"/>
      <w:r w:rsidRPr="00580C0D">
        <w:t xml:space="preserve"> blir konkretiserte </w:t>
      </w:r>
      <w:proofErr w:type="spellStart"/>
      <w:r w:rsidRPr="00580C0D">
        <w:t>nedanfor</w:t>
      </w:r>
      <w:proofErr w:type="spellEnd"/>
      <w:r w:rsidRPr="00580C0D">
        <w:t xml:space="preserve">. Departementet </w:t>
      </w:r>
      <w:proofErr w:type="spellStart"/>
      <w:r w:rsidRPr="00580C0D">
        <w:t>gjer</w:t>
      </w:r>
      <w:proofErr w:type="spellEnd"/>
      <w:r w:rsidRPr="00580C0D">
        <w:t xml:space="preserve"> fyrst greie for </w:t>
      </w:r>
      <w:proofErr w:type="spellStart"/>
      <w:r w:rsidRPr="00580C0D">
        <w:t>modellane</w:t>
      </w:r>
      <w:proofErr w:type="spellEnd"/>
      <w:r w:rsidRPr="00580C0D">
        <w:t xml:space="preserve"> for deretter å komme med </w:t>
      </w:r>
      <w:proofErr w:type="spellStart"/>
      <w:r w:rsidRPr="00580C0D">
        <w:t>si</w:t>
      </w:r>
      <w:proofErr w:type="spellEnd"/>
      <w:r w:rsidRPr="00580C0D">
        <w:t xml:space="preserve"> vurdering.</w:t>
      </w:r>
    </w:p>
    <w:p w14:paraId="2D544776" w14:textId="77777777" w:rsidR="00F7113A" w:rsidRPr="00580C0D" w:rsidRDefault="00142E5B" w:rsidP="00580C0D">
      <w:pPr>
        <w:pStyle w:val="avsnitt-under-undertittel"/>
      </w:pPr>
      <w:r w:rsidRPr="00580C0D">
        <w:t>Modell 1: Effektivt påslag oppgitt i øre/kWt</w:t>
      </w:r>
    </w:p>
    <w:p w14:paraId="1546459F" w14:textId="77777777" w:rsidR="00F7113A" w:rsidRPr="00580C0D" w:rsidRDefault="00142E5B" w:rsidP="00580C0D">
      <w:proofErr w:type="spellStart"/>
      <w:r w:rsidRPr="00580C0D">
        <w:t>Ein</w:t>
      </w:r>
      <w:proofErr w:type="spellEnd"/>
      <w:r w:rsidRPr="00580C0D">
        <w:t xml:space="preserve"> einingspris basert på </w:t>
      </w:r>
      <w:proofErr w:type="spellStart"/>
      <w:r w:rsidRPr="00580C0D">
        <w:t>eit</w:t>
      </w:r>
      <w:proofErr w:type="spellEnd"/>
      <w:r w:rsidRPr="00580C0D">
        <w:t xml:space="preserve"> effektivt påslag </w:t>
      </w:r>
      <w:proofErr w:type="spellStart"/>
      <w:r w:rsidRPr="00580C0D">
        <w:t>inneber</w:t>
      </w:r>
      <w:proofErr w:type="spellEnd"/>
      <w:r w:rsidRPr="00580C0D">
        <w:t xml:space="preserve"> at alle påslag </w:t>
      </w:r>
      <w:proofErr w:type="spellStart"/>
      <w:r w:rsidRPr="00580C0D">
        <w:t>straumleverandørar</w:t>
      </w:r>
      <w:proofErr w:type="spellEnd"/>
      <w:r w:rsidRPr="00580C0D">
        <w:t xml:space="preserve"> </w:t>
      </w:r>
      <w:proofErr w:type="spellStart"/>
      <w:r w:rsidRPr="00580C0D">
        <w:t>tek</w:t>
      </w:r>
      <w:proofErr w:type="spellEnd"/>
      <w:r w:rsidRPr="00580C0D">
        <w:t xml:space="preserve"> i tillegg til områdeprisen for det området avtalen gjeld, blir </w:t>
      </w:r>
      <w:proofErr w:type="spellStart"/>
      <w:r w:rsidRPr="00580C0D">
        <w:t>rekna</w:t>
      </w:r>
      <w:proofErr w:type="spellEnd"/>
      <w:r w:rsidRPr="00580C0D">
        <w:t xml:space="preserve"> inn i prisen.</w:t>
      </w:r>
    </w:p>
    <w:p w14:paraId="43E9B0BD" w14:textId="77777777" w:rsidR="00F7113A" w:rsidRPr="00580C0D" w:rsidRDefault="00142E5B" w:rsidP="00580C0D">
      <w:r w:rsidRPr="00580C0D">
        <w:t xml:space="preserve">For </w:t>
      </w:r>
      <w:proofErr w:type="spellStart"/>
      <w:r w:rsidRPr="00580C0D">
        <w:t>spotprisavtalar</w:t>
      </w:r>
      <w:proofErr w:type="spellEnd"/>
      <w:r w:rsidRPr="00580C0D">
        <w:t xml:space="preserve"> kan straumleverandøren enkelt identifisere kva priselement i avtalen </w:t>
      </w:r>
      <w:proofErr w:type="spellStart"/>
      <w:r w:rsidRPr="00580C0D">
        <w:t>dei</w:t>
      </w:r>
      <w:proofErr w:type="spellEnd"/>
      <w:r w:rsidRPr="00580C0D">
        <w:t xml:space="preserve"> krev i tillegg til områdeprisen. For andre </w:t>
      </w:r>
      <w:proofErr w:type="spellStart"/>
      <w:r w:rsidRPr="00580C0D">
        <w:t>typar</w:t>
      </w:r>
      <w:proofErr w:type="spellEnd"/>
      <w:r w:rsidRPr="00580C0D">
        <w:t xml:space="preserve"> </w:t>
      </w:r>
      <w:proofErr w:type="spellStart"/>
      <w:r w:rsidRPr="00580C0D">
        <w:t>avtalar</w:t>
      </w:r>
      <w:proofErr w:type="spellEnd"/>
      <w:r w:rsidRPr="00580C0D">
        <w:t xml:space="preserve">, til dømes </w:t>
      </w:r>
      <w:proofErr w:type="spellStart"/>
      <w:r w:rsidRPr="00580C0D">
        <w:t>fastprisavtalar</w:t>
      </w:r>
      <w:proofErr w:type="spellEnd"/>
      <w:r w:rsidRPr="00580C0D">
        <w:t xml:space="preserve">, må straumleverandøren </w:t>
      </w:r>
      <w:proofErr w:type="spellStart"/>
      <w:r w:rsidRPr="00580C0D">
        <w:t>søkje</w:t>
      </w:r>
      <w:proofErr w:type="spellEnd"/>
      <w:r w:rsidRPr="00580C0D">
        <w:t xml:space="preserve"> å identifisere differansen mellom områdeprisen og fastprisen i avtalen. </w:t>
      </w:r>
      <w:proofErr w:type="spellStart"/>
      <w:r w:rsidRPr="00580C0D">
        <w:t>Sidan</w:t>
      </w:r>
      <w:proofErr w:type="spellEnd"/>
      <w:r w:rsidRPr="00580C0D">
        <w:t xml:space="preserve"> </w:t>
      </w:r>
      <w:proofErr w:type="spellStart"/>
      <w:r w:rsidRPr="00580C0D">
        <w:t>områdeprisane</w:t>
      </w:r>
      <w:proofErr w:type="spellEnd"/>
      <w:r w:rsidRPr="00580C0D">
        <w:t xml:space="preserve"> </w:t>
      </w:r>
      <w:proofErr w:type="spellStart"/>
      <w:r w:rsidRPr="00580C0D">
        <w:t>ikkje</w:t>
      </w:r>
      <w:proofErr w:type="spellEnd"/>
      <w:r w:rsidRPr="00580C0D">
        <w:t xml:space="preserve"> er </w:t>
      </w:r>
      <w:proofErr w:type="spellStart"/>
      <w:r w:rsidRPr="00580C0D">
        <w:t>kjende</w:t>
      </w:r>
      <w:proofErr w:type="spellEnd"/>
      <w:r w:rsidRPr="00580C0D">
        <w:t xml:space="preserve">, må påslaget </w:t>
      </w:r>
      <w:proofErr w:type="spellStart"/>
      <w:r w:rsidRPr="00580C0D">
        <w:t>reknast</w:t>
      </w:r>
      <w:proofErr w:type="spellEnd"/>
      <w:r w:rsidRPr="00580C0D">
        <w:t xml:space="preserve"> ut basert på </w:t>
      </w:r>
      <w:proofErr w:type="spellStart"/>
      <w:r w:rsidRPr="00580C0D">
        <w:t>prognosar</w:t>
      </w:r>
      <w:proofErr w:type="spellEnd"/>
      <w:r w:rsidRPr="00580C0D">
        <w:t xml:space="preserve"> av den framtidige straumprisen eller ved å nytte historiske </w:t>
      </w:r>
      <w:proofErr w:type="spellStart"/>
      <w:r w:rsidRPr="00580C0D">
        <w:t>prisar</w:t>
      </w:r>
      <w:proofErr w:type="spellEnd"/>
      <w:r w:rsidRPr="00580C0D">
        <w:t xml:space="preserve"> for området. Eventuelle faste beløp per </w:t>
      </w:r>
      <w:proofErr w:type="spellStart"/>
      <w:r w:rsidRPr="00580C0D">
        <w:t>månad</w:t>
      </w:r>
      <w:proofErr w:type="spellEnd"/>
      <w:r w:rsidRPr="00580C0D">
        <w:t xml:space="preserve"> må </w:t>
      </w:r>
      <w:proofErr w:type="spellStart"/>
      <w:r w:rsidRPr="00580C0D">
        <w:t>reknast</w:t>
      </w:r>
      <w:proofErr w:type="spellEnd"/>
      <w:r w:rsidRPr="00580C0D">
        <w:t xml:space="preserve"> inn og </w:t>
      </w:r>
      <w:proofErr w:type="spellStart"/>
      <w:r w:rsidRPr="00580C0D">
        <w:t>justerast</w:t>
      </w:r>
      <w:proofErr w:type="spellEnd"/>
      <w:r w:rsidRPr="00580C0D">
        <w:t xml:space="preserve"> etter estimert forbruk for kvar avtale.</w:t>
      </w:r>
    </w:p>
    <w:p w14:paraId="772E238A" w14:textId="77777777" w:rsidR="00F7113A" w:rsidRPr="00580C0D" w:rsidRDefault="00142E5B" w:rsidP="00580C0D">
      <w:pPr>
        <w:pStyle w:val="avsnitt-under-undertittel"/>
      </w:pPr>
      <w:r w:rsidRPr="00580C0D">
        <w:t>Modell 2: Totalpris oppgitt i øre/kWt</w:t>
      </w:r>
    </w:p>
    <w:p w14:paraId="40166004" w14:textId="77777777" w:rsidR="00F7113A" w:rsidRPr="00580C0D" w:rsidRDefault="00142E5B" w:rsidP="00580C0D">
      <w:r w:rsidRPr="00580C0D">
        <w:t xml:space="preserve">Å framstille einingsprisen på </w:t>
      </w:r>
      <w:proofErr w:type="spellStart"/>
      <w:r w:rsidRPr="00580C0D">
        <w:t>straum</w:t>
      </w:r>
      <w:proofErr w:type="spellEnd"/>
      <w:r w:rsidRPr="00580C0D">
        <w:t xml:space="preserve"> som totalprisen i øre/kWt </w:t>
      </w:r>
      <w:proofErr w:type="spellStart"/>
      <w:r w:rsidRPr="00580C0D">
        <w:t>inneber</w:t>
      </w:r>
      <w:proofErr w:type="spellEnd"/>
      <w:r w:rsidRPr="00580C0D">
        <w:t xml:space="preserve"> at alle priselementa i </w:t>
      </w:r>
      <w:proofErr w:type="spellStart"/>
      <w:r w:rsidRPr="00580C0D">
        <w:t>ein</w:t>
      </w:r>
      <w:proofErr w:type="spellEnd"/>
      <w:r w:rsidRPr="00580C0D">
        <w:t xml:space="preserve"> avtale blir summerte og </w:t>
      </w:r>
      <w:proofErr w:type="spellStart"/>
      <w:r w:rsidRPr="00580C0D">
        <w:t>utgjer</w:t>
      </w:r>
      <w:proofErr w:type="spellEnd"/>
      <w:r w:rsidRPr="00580C0D">
        <w:t xml:space="preserve"> kva </w:t>
      </w:r>
      <w:proofErr w:type="spellStart"/>
      <w:r w:rsidRPr="00580C0D">
        <w:t>ein</w:t>
      </w:r>
      <w:proofErr w:type="spellEnd"/>
      <w:r w:rsidRPr="00580C0D">
        <w:t xml:space="preserve"> </w:t>
      </w:r>
      <w:proofErr w:type="spellStart"/>
      <w:r w:rsidRPr="00580C0D">
        <w:t>forbrukar</w:t>
      </w:r>
      <w:proofErr w:type="spellEnd"/>
      <w:r w:rsidRPr="00580C0D">
        <w:t xml:space="preserve"> totalt kan forvente å betale for </w:t>
      </w:r>
      <w:proofErr w:type="spellStart"/>
      <w:r w:rsidRPr="00580C0D">
        <w:t>éin</w:t>
      </w:r>
      <w:proofErr w:type="spellEnd"/>
      <w:r w:rsidRPr="00580C0D">
        <w:t xml:space="preserve"> kWt.</w:t>
      </w:r>
    </w:p>
    <w:p w14:paraId="356E4F19" w14:textId="77777777" w:rsidR="00F7113A" w:rsidRPr="00580C0D" w:rsidRDefault="00142E5B" w:rsidP="00580C0D">
      <w:r w:rsidRPr="00580C0D">
        <w:t xml:space="preserve">For </w:t>
      </w:r>
      <w:proofErr w:type="spellStart"/>
      <w:r w:rsidRPr="00580C0D">
        <w:t>fastprisavtalar</w:t>
      </w:r>
      <w:proofErr w:type="spellEnd"/>
      <w:r w:rsidRPr="00580C0D">
        <w:t xml:space="preserve"> vil dette </w:t>
      </w:r>
      <w:proofErr w:type="spellStart"/>
      <w:r w:rsidRPr="00580C0D">
        <w:t>truleg</w:t>
      </w:r>
      <w:proofErr w:type="spellEnd"/>
      <w:r w:rsidRPr="00580C0D">
        <w:t xml:space="preserve"> </w:t>
      </w:r>
      <w:proofErr w:type="spellStart"/>
      <w:r w:rsidRPr="00580C0D">
        <w:t>ikkje</w:t>
      </w:r>
      <w:proofErr w:type="spellEnd"/>
      <w:r w:rsidRPr="00580C0D">
        <w:t xml:space="preserve"> </w:t>
      </w:r>
      <w:proofErr w:type="spellStart"/>
      <w:r w:rsidRPr="00580C0D">
        <w:t>krevje</w:t>
      </w:r>
      <w:proofErr w:type="spellEnd"/>
      <w:r w:rsidRPr="00580C0D">
        <w:t xml:space="preserve"> </w:t>
      </w:r>
      <w:proofErr w:type="spellStart"/>
      <w:r w:rsidRPr="00580C0D">
        <w:t>omfattande</w:t>
      </w:r>
      <w:proofErr w:type="spellEnd"/>
      <w:r w:rsidRPr="00580C0D">
        <w:t xml:space="preserve"> og usikre </w:t>
      </w:r>
      <w:proofErr w:type="spellStart"/>
      <w:r w:rsidRPr="00580C0D">
        <w:t>berekningar</w:t>
      </w:r>
      <w:proofErr w:type="spellEnd"/>
      <w:r w:rsidRPr="00580C0D">
        <w:t xml:space="preserve"> fordi </w:t>
      </w:r>
      <w:proofErr w:type="spellStart"/>
      <w:r w:rsidRPr="00580C0D">
        <w:t>desse</w:t>
      </w:r>
      <w:proofErr w:type="spellEnd"/>
      <w:r w:rsidRPr="00580C0D">
        <w:t xml:space="preserve"> </w:t>
      </w:r>
      <w:proofErr w:type="spellStart"/>
      <w:r w:rsidRPr="00580C0D">
        <w:t>avtalane</w:t>
      </w:r>
      <w:proofErr w:type="spellEnd"/>
      <w:r w:rsidRPr="00580C0D">
        <w:t xml:space="preserve"> har </w:t>
      </w:r>
      <w:proofErr w:type="spellStart"/>
      <w:r w:rsidRPr="00580C0D">
        <w:t>ein</w:t>
      </w:r>
      <w:proofErr w:type="spellEnd"/>
      <w:r w:rsidRPr="00580C0D">
        <w:t xml:space="preserve"> prismodell der prisen per kWt er </w:t>
      </w:r>
      <w:proofErr w:type="spellStart"/>
      <w:r w:rsidRPr="00580C0D">
        <w:t>kjend</w:t>
      </w:r>
      <w:proofErr w:type="spellEnd"/>
      <w:r w:rsidRPr="00580C0D">
        <w:t xml:space="preserve"> på </w:t>
      </w:r>
      <w:proofErr w:type="spellStart"/>
      <w:r w:rsidRPr="00580C0D">
        <w:t>marknadsføringstidspunktet</w:t>
      </w:r>
      <w:proofErr w:type="spellEnd"/>
      <w:r w:rsidRPr="00580C0D">
        <w:t xml:space="preserve">. For </w:t>
      </w:r>
      <w:proofErr w:type="spellStart"/>
      <w:r w:rsidRPr="00580C0D">
        <w:t>spotprisavtalar</w:t>
      </w:r>
      <w:proofErr w:type="spellEnd"/>
      <w:r w:rsidRPr="00580C0D">
        <w:t xml:space="preserve"> er </w:t>
      </w:r>
      <w:proofErr w:type="spellStart"/>
      <w:r w:rsidRPr="00580C0D">
        <w:t>ikkje</w:t>
      </w:r>
      <w:proofErr w:type="spellEnd"/>
      <w:r w:rsidRPr="00580C0D">
        <w:t xml:space="preserve"> </w:t>
      </w:r>
      <w:proofErr w:type="spellStart"/>
      <w:r w:rsidRPr="00580C0D">
        <w:t>områdeprisane</w:t>
      </w:r>
      <w:proofErr w:type="spellEnd"/>
      <w:r w:rsidRPr="00580C0D">
        <w:t xml:space="preserve"> fram i tid </w:t>
      </w:r>
      <w:proofErr w:type="spellStart"/>
      <w:r w:rsidRPr="00580C0D">
        <w:t>kjende</w:t>
      </w:r>
      <w:proofErr w:type="spellEnd"/>
      <w:r w:rsidRPr="00580C0D">
        <w:t xml:space="preserve">, og </w:t>
      </w:r>
      <w:proofErr w:type="spellStart"/>
      <w:r w:rsidRPr="00580C0D">
        <w:t>ein</w:t>
      </w:r>
      <w:proofErr w:type="spellEnd"/>
      <w:r w:rsidRPr="00580C0D">
        <w:t xml:space="preserve"> einingspris som viser totalprisen per kWt, må </w:t>
      </w:r>
      <w:proofErr w:type="spellStart"/>
      <w:r w:rsidRPr="00580C0D">
        <w:t>reknast</w:t>
      </w:r>
      <w:proofErr w:type="spellEnd"/>
      <w:r w:rsidRPr="00580C0D">
        <w:t xml:space="preserve"> ut basert på </w:t>
      </w:r>
      <w:proofErr w:type="spellStart"/>
      <w:r w:rsidRPr="00580C0D">
        <w:t>prognosar</w:t>
      </w:r>
      <w:proofErr w:type="spellEnd"/>
      <w:r w:rsidRPr="00580C0D">
        <w:t xml:space="preserve"> av den framtidige straumprisen eller ved å nytte historiske </w:t>
      </w:r>
      <w:proofErr w:type="spellStart"/>
      <w:r w:rsidRPr="00580C0D">
        <w:t>prisar</w:t>
      </w:r>
      <w:proofErr w:type="spellEnd"/>
      <w:r w:rsidRPr="00580C0D">
        <w:t xml:space="preserve">. Eventuelle faste beløp per </w:t>
      </w:r>
      <w:proofErr w:type="spellStart"/>
      <w:r w:rsidRPr="00580C0D">
        <w:t>månad</w:t>
      </w:r>
      <w:proofErr w:type="spellEnd"/>
      <w:r w:rsidRPr="00580C0D">
        <w:t xml:space="preserve"> må </w:t>
      </w:r>
      <w:proofErr w:type="spellStart"/>
      <w:r w:rsidRPr="00580C0D">
        <w:t>reknast</w:t>
      </w:r>
      <w:proofErr w:type="spellEnd"/>
      <w:r w:rsidRPr="00580C0D">
        <w:t xml:space="preserve"> om basert på estimert forbruk.</w:t>
      </w:r>
    </w:p>
    <w:p w14:paraId="63DD3D29" w14:textId="77777777" w:rsidR="00F7113A" w:rsidRPr="00580C0D" w:rsidRDefault="00142E5B" w:rsidP="00580C0D">
      <w:pPr>
        <w:pStyle w:val="avsnitt-under-undertittel"/>
      </w:pPr>
      <w:r w:rsidRPr="00580C0D">
        <w:t xml:space="preserve">Modell 3: Totalpris oppgitt i kroner per </w:t>
      </w:r>
      <w:proofErr w:type="spellStart"/>
      <w:r w:rsidRPr="00580C0D">
        <w:t>månad</w:t>
      </w:r>
      <w:proofErr w:type="spellEnd"/>
    </w:p>
    <w:p w14:paraId="398027E2" w14:textId="77777777" w:rsidR="00F7113A" w:rsidRPr="00580C0D" w:rsidRDefault="00142E5B" w:rsidP="00580C0D">
      <w:r w:rsidRPr="00580C0D">
        <w:t xml:space="preserve">Totalpris oppgitt i kroner per </w:t>
      </w:r>
      <w:proofErr w:type="spellStart"/>
      <w:r w:rsidRPr="00580C0D">
        <w:t>månad</w:t>
      </w:r>
      <w:proofErr w:type="spellEnd"/>
      <w:r w:rsidRPr="00580C0D">
        <w:t xml:space="preserve"> kan </w:t>
      </w:r>
      <w:proofErr w:type="spellStart"/>
      <w:r w:rsidRPr="00580C0D">
        <w:t>vere</w:t>
      </w:r>
      <w:proofErr w:type="spellEnd"/>
      <w:r w:rsidRPr="00580C0D">
        <w:t xml:space="preserve"> </w:t>
      </w:r>
      <w:proofErr w:type="spellStart"/>
      <w:r w:rsidRPr="00580C0D">
        <w:t>enklare</w:t>
      </w:r>
      <w:proofErr w:type="spellEnd"/>
      <w:r w:rsidRPr="00580C0D">
        <w:t xml:space="preserve"> for </w:t>
      </w:r>
      <w:proofErr w:type="spellStart"/>
      <w:r w:rsidRPr="00580C0D">
        <w:t>forbrukarar</w:t>
      </w:r>
      <w:proofErr w:type="spellEnd"/>
      <w:r w:rsidRPr="00580C0D">
        <w:t xml:space="preserve"> å forstå enn øre/kWt og vil derfor kunne </w:t>
      </w:r>
      <w:proofErr w:type="spellStart"/>
      <w:r w:rsidRPr="00580C0D">
        <w:t>medverke</w:t>
      </w:r>
      <w:proofErr w:type="spellEnd"/>
      <w:r w:rsidRPr="00580C0D">
        <w:t xml:space="preserve"> til å forenkle </w:t>
      </w:r>
      <w:proofErr w:type="spellStart"/>
      <w:r w:rsidRPr="00580C0D">
        <w:t>straummarknaden</w:t>
      </w:r>
      <w:proofErr w:type="spellEnd"/>
      <w:r w:rsidRPr="00580C0D">
        <w:t xml:space="preserve"> for </w:t>
      </w:r>
      <w:proofErr w:type="spellStart"/>
      <w:r w:rsidRPr="00580C0D">
        <w:t>forbrukarane</w:t>
      </w:r>
      <w:proofErr w:type="spellEnd"/>
      <w:r w:rsidRPr="00580C0D">
        <w:t xml:space="preserve">. For å lage </w:t>
      </w:r>
      <w:proofErr w:type="spellStart"/>
      <w:r w:rsidRPr="00580C0D">
        <w:t>ein</w:t>
      </w:r>
      <w:proofErr w:type="spellEnd"/>
      <w:r w:rsidRPr="00580C0D">
        <w:t xml:space="preserve"> einingspris som kroner per </w:t>
      </w:r>
      <w:proofErr w:type="spellStart"/>
      <w:r w:rsidRPr="00580C0D">
        <w:t>månad</w:t>
      </w:r>
      <w:proofErr w:type="spellEnd"/>
      <w:r w:rsidRPr="00580C0D">
        <w:t xml:space="preserve"> bør </w:t>
      </w:r>
      <w:proofErr w:type="spellStart"/>
      <w:r w:rsidRPr="00580C0D">
        <w:t>ein</w:t>
      </w:r>
      <w:proofErr w:type="spellEnd"/>
      <w:r w:rsidRPr="00580C0D">
        <w:t xml:space="preserve"> ta utgangspunkt i totalprisen for øre/kWt, som omtalt under modell 2. Deretter må dette </w:t>
      </w:r>
      <w:proofErr w:type="spellStart"/>
      <w:r w:rsidRPr="00580C0D">
        <w:t>multipliserast</w:t>
      </w:r>
      <w:proofErr w:type="spellEnd"/>
      <w:r w:rsidRPr="00580C0D">
        <w:t xml:space="preserve"> med det </w:t>
      </w:r>
      <w:proofErr w:type="spellStart"/>
      <w:r w:rsidRPr="00580C0D">
        <w:t>månadlege</w:t>
      </w:r>
      <w:proofErr w:type="spellEnd"/>
      <w:r w:rsidRPr="00580C0D">
        <w:t xml:space="preserve"> forbruket </w:t>
      </w:r>
      <w:proofErr w:type="spellStart"/>
      <w:r w:rsidRPr="00580C0D">
        <w:t>ein</w:t>
      </w:r>
      <w:proofErr w:type="spellEnd"/>
      <w:r w:rsidRPr="00580C0D">
        <w:t xml:space="preserve"> </w:t>
      </w:r>
      <w:proofErr w:type="spellStart"/>
      <w:r w:rsidRPr="00580C0D">
        <w:t>legg</w:t>
      </w:r>
      <w:proofErr w:type="spellEnd"/>
      <w:r w:rsidRPr="00580C0D">
        <w:t xml:space="preserve"> til grunn. Dette </w:t>
      </w:r>
      <w:proofErr w:type="spellStart"/>
      <w:r w:rsidRPr="00580C0D">
        <w:t>inneber</w:t>
      </w:r>
      <w:proofErr w:type="spellEnd"/>
      <w:r w:rsidRPr="00580C0D">
        <w:t xml:space="preserve"> å bruke </w:t>
      </w:r>
      <w:proofErr w:type="spellStart"/>
      <w:r w:rsidRPr="00580C0D">
        <w:t>dei</w:t>
      </w:r>
      <w:proofErr w:type="spellEnd"/>
      <w:r w:rsidRPr="00580C0D">
        <w:t xml:space="preserve"> same usikre </w:t>
      </w:r>
      <w:proofErr w:type="spellStart"/>
      <w:r w:rsidRPr="00580C0D">
        <w:t>prisprognosane</w:t>
      </w:r>
      <w:proofErr w:type="spellEnd"/>
      <w:r w:rsidRPr="00580C0D">
        <w:t xml:space="preserve"> som i modell 1.</w:t>
      </w:r>
    </w:p>
    <w:p w14:paraId="0486E8B7" w14:textId="77777777" w:rsidR="00F7113A" w:rsidRPr="00580C0D" w:rsidRDefault="00142E5B" w:rsidP="00580C0D">
      <w:pPr>
        <w:pStyle w:val="avsnitt-under-undertittel"/>
      </w:pPr>
      <w:r w:rsidRPr="00580C0D">
        <w:t>Vurderinga til departementet</w:t>
      </w:r>
    </w:p>
    <w:p w14:paraId="469A5F44" w14:textId="77777777" w:rsidR="00F7113A" w:rsidRPr="00580C0D" w:rsidRDefault="00142E5B" w:rsidP="00580C0D">
      <w:r w:rsidRPr="00580C0D">
        <w:t xml:space="preserve">Departementet meiner at det primære </w:t>
      </w:r>
      <w:proofErr w:type="spellStart"/>
      <w:r w:rsidRPr="00580C0D">
        <w:t>føremålet</w:t>
      </w:r>
      <w:proofErr w:type="spellEnd"/>
      <w:r w:rsidRPr="00580C0D">
        <w:t xml:space="preserve"> med å innføre </w:t>
      </w:r>
      <w:proofErr w:type="spellStart"/>
      <w:r w:rsidRPr="00580C0D">
        <w:t>ein</w:t>
      </w:r>
      <w:proofErr w:type="spellEnd"/>
      <w:r w:rsidRPr="00580C0D">
        <w:t xml:space="preserve"> einingspris for </w:t>
      </w:r>
      <w:proofErr w:type="spellStart"/>
      <w:r w:rsidRPr="00580C0D">
        <w:t>straum</w:t>
      </w:r>
      <w:proofErr w:type="spellEnd"/>
      <w:r w:rsidRPr="00580C0D">
        <w:t xml:space="preserve"> må </w:t>
      </w:r>
      <w:proofErr w:type="spellStart"/>
      <w:r w:rsidRPr="00580C0D">
        <w:t>vere</w:t>
      </w:r>
      <w:proofErr w:type="spellEnd"/>
      <w:r w:rsidRPr="00580C0D">
        <w:t xml:space="preserve"> at </w:t>
      </w:r>
      <w:proofErr w:type="spellStart"/>
      <w:r w:rsidRPr="00580C0D">
        <w:t>forbrukarane</w:t>
      </w:r>
      <w:proofErr w:type="spellEnd"/>
      <w:r w:rsidRPr="00580C0D">
        <w:t xml:space="preserve"> skal få betre høve til både å </w:t>
      </w:r>
      <w:proofErr w:type="spellStart"/>
      <w:r w:rsidRPr="00580C0D">
        <w:t>samanlikne</w:t>
      </w:r>
      <w:proofErr w:type="spellEnd"/>
      <w:r w:rsidRPr="00580C0D">
        <w:t xml:space="preserve"> </w:t>
      </w:r>
      <w:proofErr w:type="spellStart"/>
      <w:r w:rsidRPr="00580C0D">
        <w:t>avtalar</w:t>
      </w:r>
      <w:proofErr w:type="spellEnd"/>
      <w:r w:rsidRPr="00580C0D">
        <w:t xml:space="preserve"> av same typen (spotpris med spotpris) og ulike </w:t>
      </w:r>
      <w:proofErr w:type="spellStart"/>
      <w:r w:rsidRPr="00580C0D">
        <w:t>avtalar</w:t>
      </w:r>
      <w:proofErr w:type="spellEnd"/>
      <w:r w:rsidRPr="00580C0D">
        <w:t xml:space="preserve"> (</w:t>
      </w:r>
      <w:proofErr w:type="spellStart"/>
      <w:r w:rsidRPr="00580C0D">
        <w:t>spotprisavtalar</w:t>
      </w:r>
      <w:proofErr w:type="spellEnd"/>
      <w:r w:rsidRPr="00580C0D">
        <w:t xml:space="preserve"> med </w:t>
      </w:r>
      <w:proofErr w:type="spellStart"/>
      <w:r w:rsidRPr="00580C0D">
        <w:t>fastprisavtalar</w:t>
      </w:r>
      <w:proofErr w:type="spellEnd"/>
      <w:r w:rsidRPr="00580C0D">
        <w:t xml:space="preserve">) i </w:t>
      </w:r>
      <w:proofErr w:type="spellStart"/>
      <w:r w:rsidRPr="00580C0D">
        <w:t>straummarknaden</w:t>
      </w:r>
      <w:proofErr w:type="spellEnd"/>
      <w:r w:rsidRPr="00580C0D">
        <w:t xml:space="preserve">. For at </w:t>
      </w:r>
      <w:proofErr w:type="spellStart"/>
      <w:r w:rsidRPr="00580C0D">
        <w:t>ein</w:t>
      </w:r>
      <w:proofErr w:type="spellEnd"/>
      <w:r w:rsidRPr="00580C0D">
        <w:t xml:space="preserve"> einingspris skal </w:t>
      </w:r>
      <w:proofErr w:type="spellStart"/>
      <w:r w:rsidRPr="00580C0D">
        <w:t>vere</w:t>
      </w:r>
      <w:proofErr w:type="spellEnd"/>
      <w:r w:rsidRPr="00580C0D">
        <w:t xml:space="preserve"> </w:t>
      </w:r>
      <w:proofErr w:type="spellStart"/>
      <w:r w:rsidRPr="00580C0D">
        <w:t>føremålstenleg</w:t>
      </w:r>
      <w:proofErr w:type="spellEnd"/>
      <w:r w:rsidRPr="00580C0D">
        <w:t xml:space="preserve">, må løysinga både </w:t>
      </w:r>
      <w:proofErr w:type="spellStart"/>
      <w:r w:rsidRPr="00580C0D">
        <w:t>vere</w:t>
      </w:r>
      <w:proofErr w:type="spellEnd"/>
      <w:r w:rsidRPr="00580C0D">
        <w:t xml:space="preserve"> eigna for slike </w:t>
      </w:r>
      <w:proofErr w:type="spellStart"/>
      <w:r w:rsidRPr="00580C0D">
        <w:t>samanlikningar</w:t>
      </w:r>
      <w:proofErr w:type="spellEnd"/>
      <w:r w:rsidRPr="00580C0D">
        <w:t xml:space="preserve"> og samstundes </w:t>
      </w:r>
      <w:proofErr w:type="spellStart"/>
      <w:r w:rsidRPr="00580C0D">
        <w:t>ikkje</w:t>
      </w:r>
      <w:proofErr w:type="spellEnd"/>
      <w:r w:rsidRPr="00580C0D">
        <w:t xml:space="preserve"> villeie </w:t>
      </w:r>
      <w:proofErr w:type="spellStart"/>
      <w:r w:rsidRPr="00580C0D">
        <w:t>forbrukarane</w:t>
      </w:r>
      <w:proofErr w:type="spellEnd"/>
      <w:r w:rsidRPr="00580C0D">
        <w:t>.</w:t>
      </w:r>
    </w:p>
    <w:p w14:paraId="2B4582AE" w14:textId="77777777" w:rsidR="00F7113A" w:rsidRPr="00580C0D" w:rsidRDefault="00142E5B" w:rsidP="00580C0D">
      <w:r w:rsidRPr="00580C0D">
        <w:t xml:space="preserve">Departementet vurderer nytten av </w:t>
      </w:r>
      <w:proofErr w:type="spellStart"/>
      <w:r w:rsidRPr="00580C0D">
        <w:t>ein</w:t>
      </w:r>
      <w:proofErr w:type="spellEnd"/>
      <w:r w:rsidRPr="00580C0D">
        <w:t xml:space="preserve"> einingspris basert på </w:t>
      </w:r>
      <w:proofErr w:type="spellStart"/>
      <w:r w:rsidRPr="00580C0D">
        <w:t>dei</w:t>
      </w:r>
      <w:proofErr w:type="spellEnd"/>
      <w:r w:rsidRPr="00580C0D">
        <w:t xml:space="preserve"> tre </w:t>
      </w:r>
      <w:proofErr w:type="spellStart"/>
      <w:r w:rsidRPr="00580C0D">
        <w:t>utrekningsmetodane</w:t>
      </w:r>
      <w:proofErr w:type="spellEnd"/>
      <w:r w:rsidRPr="00580C0D">
        <w:t xml:space="preserve"> som svært usikker og </w:t>
      </w:r>
      <w:proofErr w:type="spellStart"/>
      <w:r w:rsidRPr="00580C0D">
        <w:t>sannsynlegvis</w:t>
      </w:r>
      <w:proofErr w:type="spellEnd"/>
      <w:r w:rsidRPr="00580C0D">
        <w:t xml:space="preserve"> låg. Alle </w:t>
      </w:r>
      <w:proofErr w:type="spellStart"/>
      <w:r w:rsidRPr="00580C0D">
        <w:t>dei</w:t>
      </w:r>
      <w:proofErr w:type="spellEnd"/>
      <w:r w:rsidRPr="00580C0D">
        <w:t xml:space="preserve"> tre </w:t>
      </w:r>
      <w:proofErr w:type="spellStart"/>
      <w:r w:rsidRPr="00580C0D">
        <w:t>modellane</w:t>
      </w:r>
      <w:proofErr w:type="spellEnd"/>
      <w:r w:rsidRPr="00580C0D">
        <w:t xml:space="preserve"> krev at selskapa presenterer </w:t>
      </w:r>
      <w:proofErr w:type="spellStart"/>
      <w:r w:rsidRPr="00580C0D">
        <w:t>ein</w:t>
      </w:r>
      <w:proofErr w:type="spellEnd"/>
      <w:r w:rsidRPr="00580C0D">
        <w:t xml:space="preserve"> pris for den </w:t>
      </w:r>
      <w:proofErr w:type="spellStart"/>
      <w:r w:rsidRPr="00580C0D">
        <w:t>einskilde</w:t>
      </w:r>
      <w:proofErr w:type="spellEnd"/>
      <w:r w:rsidRPr="00580C0D">
        <w:t xml:space="preserve"> straumavtalen som baserer seg på svært usikre estimat om forbruket til kunden, </w:t>
      </w:r>
      <w:proofErr w:type="spellStart"/>
      <w:r w:rsidRPr="00580C0D">
        <w:t>referanseverdiar</w:t>
      </w:r>
      <w:proofErr w:type="spellEnd"/>
      <w:r w:rsidRPr="00580C0D">
        <w:t xml:space="preserve"> og forventa eller historisk straumpris. Departementet meiner dette </w:t>
      </w:r>
      <w:proofErr w:type="spellStart"/>
      <w:r w:rsidRPr="00580C0D">
        <w:t>gjer</w:t>
      </w:r>
      <w:proofErr w:type="spellEnd"/>
      <w:r w:rsidRPr="00580C0D">
        <w:t xml:space="preserve"> nytteverdien av å innføre ei plikt om einingspris til bruk i </w:t>
      </w:r>
      <w:proofErr w:type="spellStart"/>
      <w:r w:rsidRPr="00580C0D">
        <w:t>marknadsføring</w:t>
      </w:r>
      <w:proofErr w:type="spellEnd"/>
      <w:r w:rsidRPr="00580C0D">
        <w:t xml:space="preserve"> svært usikker. Det er stor risiko for at </w:t>
      </w:r>
      <w:proofErr w:type="spellStart"/>
      <w:r w:rsidRPr="00580C0D">
        <w:t>ein</w:t>
      </w:r>
      <w:proofErr w:type="spellEnd"/>
      <w:r w:rsidRPr="00580C0D">
        <w:t xml:space="preserve"> einingspris vil verke </w:t>
      </w:r>
      <w:proofErr w:type="spellStart"/>
      <w:r w:rsidRPr="00580C0D">
        <w:t>meir</w:t>
      </w:r>
      <w:proofErr w:type="spellEnd"/>
      <w:r w:rsidRPr="00580C0D">
        <w:t xml:space="preserve"> </w:t>
      </w:r>
      <w:proofErr w:type="spellStart"/>
      <w:r w:rsidRPr="00580C0D">
        <w:t>villeiande</w:t>
      </w:r>
      <w:proofErr w:type="spellEnd"/>
      <w:r w:rsidRPr="00580C0D">
        <w:t xml:space="preserve"> enn </w:t>
      </w:r>
      <w:proofErr w:type="spellStart"/>
      <w:r w:rsidRPr="00580C0D">
        <w:t>rettleiande</w:t>
      </w:r>
      <w:proofErr w:type="spellEnd"/>
      <w:r w:rsidRPr="00580C0D">
        <w:t>.</w:t>
      </w:r>
    </w:p>
    <w:p w14:paraId="24B311EC" w14:textId="77777777" w:rsidR="00F7113A" w:rsidRPr="00580C0D" w:rsidRDefault="00142E5B" w:rsidP="00580C0D">
      <w:r w:rsidRPr="00580C0D">
        <w:t xml:space="preserve">Departementet viser til at </w:t>
      </w:r>
      <w:proofErr w:type="spellStart"/>
      <w:r w:rsidRPr="00580C0D">
        <w:t>Forbrukarrådet</w:t>
      </w:r>
      <w:proofErr w:type="spellEnd"/>
      <w:r w:rsidRPr="00580C0D">
        <w:t xml:space="preserve"> har utvikla ei form for einingspris som alle som </w:t>
      </w:r>
      <w:proofErr w:type="spellStart"/>
      <w:r w:rsidRPr="00580C0D">
        <w:t>nyttar</w:t>
      </w:r>
      <w:proofErr w:type="spellEnd"/>
      <w:r w:rsidRPr="00580C0D">
        <w:t xml:space="preserve"> den </w:t>
      </w:r>
      <w:proofErr w:type="spellStart"/>
      <w:r w:rsidRPr="00580C0D">
        <w:t>offentlege</w:t>
      </w:r>
      <w:proofErr w:type="spellEnd"/>
      <w:r w:rsidRPr="00580C0D">
        <w:t xml:space="preserve"> straumprisportalen (strømpris.no), kan bruke. Funksjonen for </w:t>
      </w:r>
      <w:proofErr w:type="spellStart"/>
      <w:r w:rsidRPr="00580C0D">
        <w:t>samanlikning</w:t>
      </w:r>
      <w:proofErr w:type="spellEnd"/>
      <w:r w:rsidRPr="00580C0D">
        <w:t xml:space="preserve"> av </w:t>
      </w:r>
      <w:proofErr w:type="spellStart"/>
      <w:r w:rsidRPr="00580C0D">
        <w:t>straumavtalar</w:t>
      </w:r>
      <w:proofErr w:type="spellEnd"/>
      <w:r w:rsidRPr="00580C0D">
        <w:t xml:space="preserve"> er basert på at kvar </w:t>
      </w:r>
      <w:proofErr w:type="spellStart"/>
      <w:r w:rsidRPr="00580C0D">
        <w:t>einskilde</w:t>
      </w:r>
      <w:proofErr w:type="spellEnd"/>
      <w:r w:rsidRPr="00580C0D">
        <w:t xml:space="preserve"> </w:t>
      </w:r>
      <w:proofErr w:type="spellStart"/>
      <w:r w:rsidRPr="00580C0D">
        <w:t>forbrukar</w:t>
      </w:r>
      <w:proofErr w:type="spellEnd"/>
      <w:r w:rsidRPr="00580C0D">
        <w:t xml:space="preserve"> legg inn straumforbruket sitt. Funksjonen viser deretter den totale prisen </w:t>
      </w:r>
      <w:proofErr w:type="spellStart"/>
      <w:r w:rsidRPr="00580C0D">
        <w:t>omgjord</w:t>
      </w:r>
      <w:proofErr w:type="spellEnd"/>
      <w:r w:rsidRPr="00580C0D">
        <w:t xml:space="preserve"> til øre/kWt. Denne løysinga gir </w:t>
      </w:r>
      <w:proofErr w:type="spellStart"/>
      <w:r w:rsidRPr="00580C0D">
        <w:t>eit</w:t>
      </w:r>
      <w:proofErr w:type="spellEnd"/>
      <w:r w:rsidRPr="00580C0D">
        <w:t xml:space="preserve"> </w:t>
      </w:r>
      <w:proofErr w:type="spellStart"/>
      <w:r w:rsidRPr="00580C0D">
        <w:t>vesentleg</w:t>
      </w:r>
      <w:proofErr w:type="spellEnd"/>
      <w:r w:rsidRPr="00580C0D">
        <w:t xml:space="preserve"> betre </w:t>
      </w:r>
      <w:proofErr w:type="spellStart"/>
      <w:r w:rsidRPr="00580C0D">
        <w:t>samanlikningsgrunnlag</w:t>
      </w:r>
      <w:proofErr w:type="spellEnd"/>
      <w:r w:rsidRPr="00580C0D">
        <w:t xml:space="preserve"> enn </w:t>
      </w:r>
      <w:proofErr w:type="spellStart"/>
      <w:r w:rsidRPr="00580C0D">
        <w:t>dei</w:t>
      </w:r>
      <w:proofErr w:type="spellEnd"/>
      <w:r w:rsidRPr="00580C0D">
        <w:t xml:space="preserve"> tre </w:t>
      </w:r>
      <w:proofErr w:type="spellStart"/>
      <w:r w:rsidRPr="00580C0D">
        <w:t>modellane</w:t>
      </w:r>
      <w:proofErr w:type="spellEnd"/>
      <w:r w:rsidRPr="00580C0D">
        <w:t xml:space="preserve"> omtalte over fordi </w:t>
      </w:r>
      <w:proofErr w:type="spellStart"/>
      <w:r w:rsidRPr="00580C0D">
        <w:t>forbrukarane</w:t>
      </w:r>
      <w:proofErr w:type="spellEnd"/>
      <w:r w:rsidRPr="00580C0D">
        <w:t xml:space="preserve"> kan ta utgangspunkt i eige forbruk for å vurdere einingsprisen. Denne løysinga er òg mindre </w:t>
      </w:r>
      <w:proofErr w:type="spellStart"/>
      <w:r w:rsidRPr="00580C0D">
        <w:t>inngripande</w:t>
      </w:r>
      <w:proofErr w:type="spellEnd"/>
      <w:r w:rsidRPr="00580C0D">
        <w:t xml:space="preserve"> for </w:t>
      </w:r>
      <w:proofErr w:type="spellStart"/>
      <w:r w:rsidRPr="00580C0D">
        <w:t>straumleverandørane</w:t>
      </w:r>
      <w:proofErr w:type="spellEnd"/>
      <w:r w:rsidRPr="00580C0D">
        <w:t xml:space="preserve"> enn ei regelfesta innføring av </w:t>
      </w:r>
      <w:proofErr w:type="spellStart"/>
      <w:r w:rsidRPr="00580C0D">
        <w:t>ein</w:t>
      </w:r>
      <w:proofErr w:type="spellEnd"/>
      <w:r w:rsidRPr="00580C0D">
        <w:t xml:space="preserve"> einingspris i all </w:t>
      </w:r>
      <w:proofErr w:type="spellStart"/>
      <w:r w:rsidRPr="00580C0D">
        <w:t>marknadsføring</w:t>
      </w:r>
      <w:proofErr w:type="spellEnd"/>
      <w:r w:rsidRPr="00580C0D">
        <w:t xml:space="preserve"> med </w:t>
      </w:r>
      <w:proofErr w:type="spellStart"/>
      <w:r w:rsidRPr="00580C0D">
        <w:t>kjøpsoppmodingar</w:t>
      </w:r>
      <w:proofErr w:type="spellEnd"/>
      <w:r w:rsidRPr="00580C0D">
        <w:t xml:space="preserve">. Departementet viser til at </w:t>
      </w:r>
      <w:proofErr w:type="spellStart"/>
      <w:r w:rsidRPr="00580C0D">
        <w:t>endringar</w:t>
      </w:r>
      <w:proofErr w:type="spellEnd"/>
      <w:r w:rsidRPr="00580C0D">
        <w:t xml:space="preserve"> i </w:t>
      </w:r>
      <w:proofErr w:type="spellStart"/>
      <w:r w:rsidRPr="00580C0D">
        <w:t>prisopplysingsforskrifta</w:t>
      </w:r>
      <w:proofErr w:type="spellEnd"/>
      <w:r w:rsidRPr="00580C0D">
        <w:t xml:space="preserve"> og avrekningsforskrifta </w:t>
      </w:r>
      <w:proofErr w:type="spellStart"/>
      <w:r w:rsidRPr="00580C0D">
        <w:t>frå</w:t>
      </w:r>
      <w:proofErr w:type="spellEnd"/>
      <w:r w:rsidRPr="00580C0D">
        <w:t xml:space="preserve"> 1. november 2022 krev at alle straumselskap skal vise til strømpris.no ved </w:t>
      </w:r>
      <w:proofErr w:type="spellStart"/>
      <w:r w:rsidRPr="00580C0D">
        <w:t>oppmodingar</w:t>
      </w:r>
      <w:proofErr w:type="spellEnd"/>
      <w:r w:rsidRPr="00580C0D">
        <w:t xml:space="preserve"> om kjøp av </w:t>
      </w:r>
      <w:proofErr w:type="spellStart"/>
      <w:r w:rsidRPr="00580C0D">
        <w:t>straumavtalar</w:t>
      </w:r>
      <w:proofErr w:type="spellEnd"/>
      <w:r w:rsidRPr="00580C0D">
        <w:t>, i prislistene til selskapa (</w:t>
      </w:r>
      <w:proofErr w:type="spellStart"/>
      <w:r w:rsidRPr="00580C0D">
        <w:t>prisopplysingsforskrifta</w:t>
      </w:r>
      <w:proofErr w:type="spellEnd"/>
      <w:r w:rsidRPr="00580C0D">
        <w:t xml:space="preserve"> § 20 bokstav h og § 21) og på fakturaen (avrekningsforskrifta § 7-2 andre ledd bokstav c).</w:t>
      </w:r>
    </w:p>
    <w:p w14:paraId="04C353DE" w14:textId="77777777" w:rsidR="00F7113A" w:rsidRPr="00580C0D" w:rsidRDefault="00142E5B" w:rsidP="00580C0D">
      <w:r w:rsidRPr="00580C0D">
        <w:t xml:space="preserve">Departementet meiner den </w:t>
      </w:r>
      <w:proofErr w:type="spellStart"/>
      <w:r w:rsidRPr="00580C0D">
        <w:t>nyleg</w:t>
      </w:r>
      <w:proofErr w:type="spellEnd"/>
      <w:r w:rsidRPr="00580C0D">
        <w:t xml:space="preserve"> innførte plikta til å vise til strømpris.no i </w:t>
      </w:r>
      <w:proofErr w:type="spellStart"/>
      <w:r w:rsidRPr="00580C0D">
        <w:t>marknadsføringa</w:t>
      </w:r>
      <w:proofErr w:type="spellEnd"/>
      <w:r w:rsidRPr="00580C0D">
        <w:t xml:space="preserve"> og på fakturaen, og høvet i denne </w:t>
      </w:r>
      <w:proofErr w:type="spellStart"/>
      <w:r w:rsidRPr="00580C0D">
        <w:t>tenesta</w:t>
      </w:r>
      <w:proofErr w:type="spellEnd"/>
      <w:r w:rsidRPr="00580C0D">
        <w:t xml:space="preserve"> til å få tilgang til ei form for einingspris for kvar </w:t>
      </w:r>
      <w:proofErr w:type="spellStart"/>
      <w:r w:rsidRPr="00580C0D">
        <w:t>einskilde</w:t>
      </w:r>
      <w:proofErr w:type="spellEnd"/>
      <w:r w:rsidRPr="00580C0D">
        <w:t xml:space="preserve"> avtale, gir god rettleiing for </w:t>
      </w:r>
      <w:proofErr w:type="spellStart"/>
      <w:r w:rsidRPr="00580C0D">
        <w:t>forbrukarane</w:t>
      </w:r>
      <w:proofErr w:type="spellEnd"/>
      <w:r w:rsidRPr="00580C0D">
        <w:t xml:space="preserve"> i </w:t>
      </w:r>
      <w:proofErr w:type="spellStart"/>
      <w:r w:rsidRPr="00580C0D">
        <w:t>straummarknaden</w:t>
      </w:r>
      <w:proofErr w:type="spellEnd"/>
      <w:r w:rsidRPr="00580C0D">
        <w:t xml:space="preserve"> som </w:t>
      </w:r>
      <w:proofErr w:type="spellStart"/>
      <w:r w:rsidRPr="00580C0D">
        <w:t>ønskjer</w:t>
      </w:r>
      <w:proofErr w:type="spellEnd"/>
      <w:r w:rsidRPr="00580C0D">
        <w:t xml:space="preserve"> å sjå </w:t>
      </w:r>
      <w:proofErr w:type="spellStart"/>
      <w:r w:rsidRPr="00580C0D">
        <w:t>ein</w:t>
      </w:r>
      <w:proofErr w:type="spellEnd"/>
      <w:r w:rsidRPr="00580C0D">
        <w:t xml:space="preserve"> einingspris. Departementet </w:t>
      </w:r>
      <w:proofErr w:type="spellStart"/>
      <w:r w:rsidRPr="00580C0D">
        <w:t>legg</w:t>
      </w:r>
      <w:proofErr w:type="spellEnd"/>
      <w:r w:rsidRPr="00580C0D">
        <w:t xml:space="preserve"> til grunn at dette </w:t>
      </w:r>
      <w:proofErr w:type="spellStart"/>
      <w:r w:rsidRPr="00580C0D">
        <w:t>varetek</w:t>
      </w:r>
      <w:proofErr w:type="spellEnd"/>
      <w:r w:rsidRPr="00580C0D">
        <w:t xml:space="preserve"> intensjonen i vedtaket.</w:t>
      </w:r>
    </w:p>
    <w:p w14:paraId="547529EA" w14:textId="77777777" w:rsidR="00F7113A" w:rsidRPr="00580C0D" w:rsidRDefault="00142E5B" w:rsidP="00580C0D">
      <w:r w:rsidRPr="00580C0D">
        <w:t xml:space="preserve">Departementet </w:t>
      </w:r>
      <w:proofErr w:type="spellStart"/>
      <w:r w:rsidRPr="00580C0D">
        <w:t>reknar</w:t>
      </w:r>
      <w:proofErr w:type="spellEnd"/>
      <w:r w:rsidRPr="00580C0D">
        <w:t xml:space="preserve"> derfor vedtaket som </w:t>
      </w:r>
      <w:proofErr w:type="spellStart"/>
      <w:r w:rsidRPr="00580C0D">
        <w:t>følgt</w:t>
      </w:r>
      <w:proofErr w:type="spellEnd"/>
      <w:r w:rsidRPr="00580C0D">
        <w:t xml:space="preserve"> opp.</w:t>
      </w:r>
    </w:p>
    <w:p w14:paraId="2DD5CDAD" w14:textId="77777777" w:rsidR="00F7113A" w:rsidRPr="00580C0D" w:rsidRDefault="00142E5B" w:rsidP="00580C0D">
      <w:pPr>
        <w:pStyle w:val="avsnitt-tittel"/>
      </w:pPr>
      <w:r w:rsidRPr="00580C0D">
        <w:t xml:space="preserve">Hindre </w:t>
      </w:r>
      <w:proofErr w:type="spellStart"/>
      <w:r w:rsidRPr="00580C0D">
        <w:t>fritidsaktivitetar</w:t>
      </w:r>
      <w:proofErr w:type="spellEnd"/>
      <w:r w:rsidRPr="00580C0D">
        <w:t xml:space="preserve"> for barn og unge som kan bidra til radikalisering</w:t>
      </w:r>
    </w:p>
    <w:p w14:paraId="7E402D40" w14:textId="77777777" w:rsidR="00F7113A" w:rsidRPr="00580C0D" w:rsidRDefault="00142E5B" w:rsidP="00580C0D">
      <w:pPr>
        <w:pStyle w:val="avsnitt-undertittel"/>
      </w:pPr>
      <w:r w:rsidRPr="00580C0D">
        <w:t>Vedtak nr. 954, 20. mai 2021</w:t>
      </w:r>
    </w:p>
    <w:p w14:paraId="7F14F46C" w14:textId="77777777" w:rsidR="00F7113A" w:rsidRPr="00580C0D" w:rsidRDefault="00142E5B" w:rsidP="00580C0D">
      <w:pPr>
        <w:pStyle w:val="blokksit"/>
        <w:rPr>
          <w:rStyle w:val="kursiv"/>
        </w:rPr>
      </w:pPr>
      <w:r w:rsidRPr="00580C0D">
        <w:rPr>
          <w:rStyle w:val="kursiv"/>
        </w:rPr>
        <w:t>«Stortinget ber regjeringen komme tilbake med forslag som gir kommunene bedre virkemidler til å hindre fritidsaktiviteter for barn og unge som kan bidra til radikalisering eller være i strid med barns rettigheter eller likestillings- og diskrimineringsloven, herunder:</w:t>
      </w:r>
    </w:p>
    <w:p w14:paraId="61F1BCF5" w14:textId="77777777" w:rsidR="00F7113A" w:rsidRPr="00580C0D" w:rsidRDefault="00142E5B" w:rsidP="00580C0D">
      <w:pPr>
        <w:pStyle w:val="Liste2"/>
        <w:rPr>
          <w:rStyle w:val="kursiv"/>
        </w:rPr>
      </w:pPr>
      <w:r w:rsidRPr="00580C0D">
        <w:rPr>
          <w:rStyle w:val="kursiv"/>
        </w:rPr>
        <w:t>en forpliktende samfunnskontrakt for integrering i samarbeid med tros- og livssynssamfunnenes organisasjoner</w:t>
      </w:r>
    </w:p>
    <w:p w14:paraId="11EAE83C" w14:textId="77777777" w:rsidR="00F7113A" w:rsidRPr="00580C0D" w:rsidRDefault="00142E5B" w:rsidP="00580C0D">
      <w:pPr>
        <w:pStyle w:val="Liste2"/>
        <w:rPr>
          <w:rStyle w:val="kursiv"/>
        </w:rPr>
      </w:pPr>
      <w:r w:rsidRPr="00580C0D">
        <w:rPr>
          <w:rStyle w:val="kursiv"/>
        </w:rPr>
        <w:t>mulighet til å kartlegge og føre tilsyn med fritidsaktiviteter for barn og unge som omfatter religiøs undervisning.»</w:t>
      </w:r>
    </w:p>
    <w:p w14:paraId="7BDC087B"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å gi kommunen </w:t>
      </w:r>
      <w:proofErr w:type="spellStart"/>
      <w:r w:rsidRPr="00580C0D">
        <w:t>ein</w:t>
      </w:r>
      <w:proofErr w:type="spellEnd"/>
      <w:r w:rsidRPr="00580C0D">
        <w:t xml:space="preserve"> klar lovheimel til å hindre </w:t>
      </w:r>
      <w:proofErr w:type="spellStart"/>
      <w:r w:rsidRPr="00580C0D">
        <w:t>organisasjonar</w:t>
      </w:r>
      <w:proofErr w:type="spellEnd"/>
      <w:r w:rsidRPr="00580C0D">
        <w:t xml:space="preserve"> og trussamfunn i å drive klart </w:t>
      </w:r>
      <w:proofErr w:type="spellStart"/>
      <w:r w:rsidRPr="00580C0D">
        <w:t>integreringshemjande</w:t>
      </w:r>
      <w:proofErr w:type="spellEnd"/>
      <w:r w:rsidRPr="00580C0D">
        <w:t xml:space="preserve"> aktivitet, jf. </w:t>
      </w:r>
      <w:proofErr w:type="spellStart"/>
      <w:r w:rsidRPr="00580C0D">
        <w:t>Dok</w:t>
      </w:r>
      <w:proofErr w:type="spellEnd"/>
      <w:r w:rsidRPr="00580C0D">
        <w:t xml:space="preserve">. 8:135 S (2020–2021) og </w:t>
      </w:r>
      <w:proofErr w:type="spellStart"/>
      <w:r w:rsidRPr="00580C0D">
        <w:t>Innst</w:t>
      </w:r>
      <w:proofErr w:type="spellEnd"/>
      <w:r w:rsidRPr="00580C0D">
        <w:t>. 406 S (2020–2021).</w:t>
      </w:r>
    </w:p>
    <w:p w14:paraId="433E49D9" w14:textId="77777777" w:rsidR="00F7113A" w:rsidRPr="00580C0D" w:rsidRDefault="00142E5B" w:rsidP="00580C0D">
      <w:r w:rsidRPr="00580C0D">
        <w:t xml:space="preserve">Departementet greier ut </w:t>
      </w:r>
      <w:proofErr w:type="spellStart"/>
      <w:r w:rsidRPr="00580C0D">
        <w:t>moglege</w:t>
      </w:r>
      <w:proofErr w:type="spellEnd"/>
      <w:r w:rsidRPr="00580C0D">
        <w:t xml:space="preserve"> </w:t>
      </w:r>
      <w:proofErr w:type="spellStart"/>
      <w:r w:rsidRPr="00580C0D">
        <w:t>verkemiddel</w:t>
      </w:r>
      <w:proofErr w:type="spellEnd"/>
      <w:r w:rsidRPr="00580C0D">
        <w:t xml:space="preserve"> i </w:t>
      </w:r>
      <w:proofErr w:type="spellStart"/>
      <w:r w:rsidRPr="00580C0D">
        <w:t>eit</w:t>
      </w:r>
      <w:proofErr w:type="spellEnd"/>
      <w:r w:rsidRPr="00580C0D">
        <w:t xml:space="preserve"> samarbeid med </w:t>
      </w:r>
      <w:proofErr w:type="spellStart"/>
      <w:r w:rsidRPr="00580C0D">
        <w:t>fleire</w:t>
      </w:r>
      <w:proofErr w:type="spellEnd"/>
      <w:r w:rsidRPr="00580C0D">
        <w:t xml:space="preserve"> departement og ser oppfølginga av dette vedtaket i </w:t>
      </w:r>
      <w:proofErr w:type="spellStart"/>
      <w:r w:rsidRPr="00580C0D">
        <w:t>samanheng</w:t>
      </w:r>
      <w:proofErr w:type="spellEnd"/>
      <w:r w:rsidRPr="00580C0D">
        <w:t xml:space="preserve"> med oppfølginga av vedtak 498 av 14. april 2020. Departementet vil komme tilbake til Stortinget om oppfølginga av vedtaka på eigna vis.</w:t>
      </w:r>
    </w:p>
    <w:p w14:paraId="47A3EAB7" w14:textId="77777777" w:rsidR="00F7113A" w:rsidRPr="00580C0D" w:rsidRDefault="00142E5B" w:rsidP="00580C0D">
      <w:pPr>
        <w:pStyle w:val="avsnitt-tittel"/>
      </w:pPr>
      <w:proofErr w:type="spellStart"/>
      <w:r w:rsidRPr="00580C0D">
        <w:t>Eigendel</w:t>
      </w:r>
      <w:proofErr w:type="spellEnd"/>
      <w:r w:rsidRPr="00580C0D">
        <w:t xml:space="preserve"> for mat i </w:t>
      </w:r>
      <w:proofErr w:type="spellStart"/>
      <w:r w:rsidRPr="00580C0D">
        <w:t>krisesentera</w:t>
      </w:r>
      <w:proofErr w:type="spellEnd"/>
    </w:p>
    <w:p w14:paraId="767042FF" w14:textId="77777777" w:rsidR="00F7113A" w:rsidRPr="00580C0D" w:rsidRDefault="00142E5B" w:rsidP="00580C0D">
      <w:pPr>
        <w:pStyle w:val="avsnitt-undertittel"/>
      </w:pPr>
      <w:r w:rsidRPr="00580C0D">
        <w:t>Vedtak nr. 972, 25. mai 2021</w:t>
      </w:r>
    </w:p>
    <w:p w14:paraId="4BC72CA5" w14:textId="77777777" w:rsidR="00F7113A" w:rsidRPr="00580C0D" w:rsidRDefault="00142E5B" w:rsidP="00580C0D">
      <w:pPr>
        <w:pStyle w:val="blokksit"/>
        <w:rPr>
          <w:rStyle w:val="kursiv"/>
        </w:rPr>
      </w:pPr>
      <w:r w:rsidRPr="00580C0D">
        <w:rPr>
          <w:rStyle w:val="kursiv"/>
        </w:rPr>
        <w:t>«Stortinget ber regjeringen gå gjennom lov om kommunale krisesentertilbud og legge opp til at det ikke tas egenandel for mat fra den enkelte.»</w:t>
      </w:r>
    </w:p>
    <w:p w14:paraId="33088118"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w:t>
      </w:r>
      <w:proofErr w:type="spellStart"/>
      <w:r w:rsidRPr="00580C0D">
        <w:t>eit</w:t>
      </w:r>
      <w:proofErr w:type="spellEnd"/>
      <w:r w:rsidRPr="00580C0D">
        <w:t xml:space="preserve"> styrkt og gratis </w:t>
      </w:r>
      <w:proofErr w:type="spellStart"/>
      <w:r w:rsidRPr="00580C0D">
        <w:t>krisesentertilbod</w:t>
      </w:r>
      <w:proofErr w:type="spellEnd"/>
      <w:r w:rsidRPr="00580C0D">
        <w:t xml:space="preserve"> for </w:t>
      </w:r>
      <w:proofErr w:type="spellStart"/>
      <w:r w:rsidRPr="00580C0D">
        <w:t>valdsutsette</w:t>
      </w:r>
      <w:proofErr w:type="spellEnd"/>
      <w:r w:rsidRPr="00580C0D">
        <w:t xml:space="preserve">, jf. </w:t>
      </w:r>
      <w:proofErr w:type="spellStart"/>
      <w:r w:rsidRPr="00580C0D">
        <w:t>Dok</w:t>
      </w:r>
      <w:proofErr w:type="spellEnd"/>
      <w:r w:rsidRPr="00580C0D">
        <w:t xml:space="preserve">. 8:134 S (2020–2021) og </w:t>
      </w:r>
      <w:proofErr w:type="spellStart"/>
      <w:r w:rsidRPr="00580C0D">
        <w:t>Innst</w:t>
      </w:r>
      <w:proofErr w:type="spellEnd"/>
      <w:r w:rsidRPr="00580C0D">
        <w:t>. 427 S (2020–2021).</w:t>
      </w:r>
    </w:p>
    <w:p w14:paraId="684D56AC" w14:textId="77777777" w:rsidR="00F7113A" w:rsidRPr="00580C0D" w:rsidRDefault="00142E5B" w:rsidP="00580C0D">
      <w:r w:rsidRPr="00580C0D">
        <w:t xml:space="preserve">Krisesenterlova </w:t>
      </w:r>
      <w:proofErr w:type="spellStart"/>
      <w:r w:rsidRPr="00580C0D">
        <w:t>fastset</w:t>
      </w:r>
      <w:proofErr w:type="spellEnd"/>
      <w:r w:rsidRPr="00580C0D">
        <w:t xml:space="preserve"> at </w:t>
      </w:r>
      <w:proofErr w:type="spellStart"/>
      <w:r w:rsidRPr="00580C0D">
        <w:t>krisesentertilbodet</w:t>
      </w:r>
      <w:proofErr w:type="spellEnd"/>
      <w:r w:rsidRPr="00580C0D">
        <w:t xml:space="preserve"> skal </w:t>
      </w:r>
      <w:proofErr w:type="spellStart"/>
      <w:r w:rsidRPr="00580C0D">
        <w:t>vere</w:t>
      </w:r>
      <w:proofErr w:type="spellEnd"/>
      <w:r w:rsidRPr="00580C0D">
        <w:t xml:space="preserve"> gratis. I </w:t>
      </w:r>
      <w:proofErr w:type="spellStart"/>
      <w:r w:rsidRPr="00580C0D">
        <w:t>førearbeida</w:t>
      </w:r>
      <w:proofErr w:type="spellEnd"/>
      <w:r w:rsidRPr="00580C0D">
        <w:t xml:space="preserve"> til lova går det fram at det </w:t>
      </w:r>
      <w:proofErr w:type="spellStart"/>
      <w:r w:rsidRPr="00580C0D">
        <w:t>ikkje</w:t>
      </w:r>
      <w:proofErr w:type="spellEnd"/>
      <w:r w:rsidRPr="00580C0D">
        <w:t xml:space="preserve"> skal </w:t>
      </w:r>
      <w:proofErr w:type="spellStart"/>
      <w:r w:rsidRPr="00580C0D">
        <w:t>krevjast</w:t>
      </w:r>
      <w:proofErr w:type="spellEnd"/>
      <w:r w:rsidRPr="00580C0D">
        <w:t xml:space="preserve"> betaling for </w:t>
      </w:r>
      <w:proofErr w:type="spellStart"/>
      <w:r w:rsidRPr="00580C0D">
        <w:t>opphaldet</w:t>
      </w:r>
      <w:proofErr w:type="spellEnd"/>
      <w:r w:rsidRPr="00580C0D">
        <w:t xml:space="preserve">, med unntak av eventuelle utgifter til mat til kostpris. Det er ulik praksis for korleis </w:t>
      </w:r>
      <w:proofErr w:type="spellStart"/>
      <w:r w:rsidRPr="00580C0D">
        <w:t>krisesentera</w:t>
      </w:r>
      <w:proofErr w:type="spellEnd"/>
      <w:r w:rsidRPr="00580C0D">
        <w:t xml:space="preserve"> organiserer mat og måltid. Dei fleste </w:t>
      </w:r>
      <w:proofErr w:type="spellStart"/>
      <w:r w:rsidRPr="00580C0D">
        <w:t>sentera</w:t>
      </w:r>
      <w:proofErr w:type="spellEnd"/>
      <w:r w:rsidRPr="00580C0D">
        <w:t xml:space="preserve"> </w:t>
      </w:r>
      <w:proofErr w:type="spellStart"/>
      <w:r w:rsidRPr="00580C0D">
        <w:t>legg</w:t>
      </w:r>
      <w:proofErr w:type="spellEnd"/>
      <w:r w:rsidRPr="00580C0D">
        <w:t xml:space="preserve"> opp til at </w:t>
      </w:r>
      <w:proofErr w:type="spellStart"/>
      <w:r w:rsidRPr="00580C0D">
        <w:t>bebuarane</w:t>
      </w:r>
      <w:proofErr w:type="spellEnd"/>
      <w:r w:rsidRPr="00580C0D">
        <w:t xml:space="preserve"> kjøper og </w:t>
      </w:r>
      <w:proofErr w:type="spellStart"/>
      <w:r w:rsidRPr="00580C0D">
        <w:t>lagar</w:t>
      </w:r>
      <w:proofErr w:type="spellEnd"/>
      <w:r w:rsidRPr="00580C0D">
        <w:t xml:space="preserve"> mat sjølve. </w:t>
      </w:r>
      <w:proofErr w:type="spellStart"/>
      <w:r w:rsidRPr="00580C0D">
        <w:t>Nokre</w:t>
      </w:r>
      <w:proofErr w:type="spellEnd"/>
      <w:r w:rsidRPr="00580C0D">
        <w:t xml:space="preserve"> få krisesenter </w:t>
      </w:r>
      <w:proofErr w:type="spellStart"/>
      <w:r w:rsidRPr="00580C0D">
        <w:t>dekkjer</w:t>
      </w:r>
      <w:proofErr w:type="spellEnd"/>
      <w:r w:rsidRPr="00580C0D">
        <w:t xml:space="preserve"> maten, slik at </w:t>
      </w:r>
      <w:proofErr w:type="spellStart"/>
      <w:r w:rsidRPr="00580C0D">
        <w:t>bebuarane</w:t>
      </w:r>
      <w:proofErr w:type="spellEnd"/>
      <w:r w:rsidRPr="00580C0D">
        <w:t xml:space="preserve"> </w:t>
      </w:r>
      <w:proofErr w:type="spellStart"/>
      <w:r w:rsidRPr="00580C0D">
        <w:t>ikkje</w:t>
      </w:r>
      <w:proofErr w:type="spellEnd"/>
      <w:r w:rsidRPr="00580C0D">
        <w:t xml:space="preserve"> har </w:t>
      </w:r>
      <w:proofErr w:type="spellStart"/>
      <w:r w:rsidRPr="00580C0D">
        <w:t>nokon</w:t>
      </w:r>
      <w:proofErr w:type="spellEnd"/>
      <w:r w:rsidRPr="00580C0D">
        <w:t xml:space="preserve"> matutgifter under </w:t>
      </w:r>
      <w:proofErr w:type="spellStart"/>
      <w:r w:rsidRPr="00580C0D">
        <w:t>opphaldet</w:t>
      </w:r>
      <w:proofErr w:type="spellEnd"/>
      <w:r w:rsidRPr="00580C0D">
        <w:t xml:space="preserve">, eller </w:t>
      </w:r>
      <w:proofErr w:type="spellStart"/>
      <w:r w:rsidRPr="00580C0D">
        <w:t>dei</w:t>
      </w:r>
      <w:proofErr w:type="spellEnd"/>
      <w:r w:rsidRPr="00580C0D">
        <w:t xml:space="preserve"> opererer med </w:t>
      </w:r>
      <w:proofErr w:type="spellStart"/>
      <w:r w:rsidRPr="00580C0D">
        <w:t>ein</w:t>
      </w:r>
      <w:proofErr w:type="spellEnd"/>
      <w:r w:rsidRPr="00580C0D">
        <w:t xml:space="preserve"> </w:t>
      </w:r>
      <w:proofErr w:type="spellStart"/>
      <w:r w:rsidRPr="00580C0D">
        <w:t>eigendel</w:t>
      </w:r>
      <w:proofErr w:type="spellEnd"/>
      <w:r w:rsidRPr="00580C0D">
        <w:t xml:space="preserve"> for matutgifter. Departementet utarbeider </w:t>
      </w:r>
      <w:proofErr w:type="spellStart"/>
      <w:r w:rsidRPr="00580C0D">
        <w:t>eit</w:t>
      </w:r>
      <w:proofErr w:type="spellEnd"/>
      <w:r w:rsidRPr="00580C0D">
        <w:t xml:space="preserve"> </w:t>
      </w:r>
      <w:proofErr w:type="spellStart"/>
      <w:r w:rsidRPr="00580C0D">
        <w:t>høyringsnotat</w:t>
      </w:r>
      <w:proofErr w:type="spellEnd"/>
      <w:r w:rsidRPr="00580C0D">
        <w:t xml:space="preserve"> om </w:t>
      </w:r>
      <w:proofErr w:type="spellStart"/>
      <w:r w:rsidRPr="00580C0D">
        <w:t>endringar</w:t>
      </w:r>
      <w:proofErr w:type="spellEnd"/>
      <w:r w:rsidRPr="00580C0D">
        <w:t xml:space="preserve"> i krisesenterlova og utvikling av </w:t>
      </w:r>
      <w:proofErr w:type="spellStart"/>
      <w:r w:rsidRPr="00580C0D">
        <w:t>krisesentertilbodet</w:t>
      </w:r>
      <w:proofErr w:type="spellEnd"/>
      <w:r w:rsidRPr="00580C0D">
        <w:t xml:space="preserve"> som etter planen skal </w:t>
      </w:r>
      <w:proofErr w:type="spellStart"/>
      <w:r w:rsidRPr="00580C0D">
        <w:t>sendast</w:t>
      </w:r>
      <w:proofErr w:type="spellEnd"/>
      <w:r w:rsidRPr="00580C0D">
        <w:t xml:space="preserve"> på </w:t>
      </w:r>
      <w:proofErr w:type="spellStart"/>
      <w:r w:rsidRPr="00580C0D">
        <w:t>høyring</w:t>
      </w:r>
      <w:proofErr w:type="spellEnd"/>
      <w:r w:rsidRPr="00580C0D">
        <w:t xml:space="preserve"> i løpet av 2023. Sjå omtale under programkategori 11.10 Familie og oppvekst. I dette arbeidet skal bruken av </w:t>
      </w:r>
      <w:proofErr w:type="spellStart"/>
      <w:r w:rsidRPr="00580C0D">
        <w:t>eigendelar</w:t>
      </w:r>
      <w:proofErr w:type="spellEnd"/>
      <w:r w:rsidRPr="00580C0D">
        <w:t xml:space="preserve"> bli greidd ut. Departementet vil komme tilbake til Stortinget om oppfølginga av vedtaket på eigna vis.</w:t>
      </w:r>
    </w:p>
    <w:p w14:paraId="7A030655" w14:textId="77777777" w:rsidR="00F7113A" w:rsidRPr="00580C0D" w:rsidRDefault="00142E5B" w:rsidP="00580C0D">
      <w:pPr>
        <w:pStyle w:val="avsnitt-tittel"/>
      </w:pPr>
      <w:proofErr w:type="spellStart"/>
      <w:r w:rsidRPr="00580C0D">
        <w:t>Tverrfagleg</w:t>
      </w:r>
      <w:proofErr w:type="spellEnd"/>
      <w:r w:rsidRPr="00580C0D">
        <w:t xml:space="preserve"> kompetanse på rus og vald i </w:t>
      </w:r>
      <w:proofErr w:type="spellStart"/>
      <w:r w:rsidRPr="00580C0D">
        <w:t>krisesentera</w:t>
      </w:r>
      <w:proofErr w:type="spellEnd"/>
    </w:p>
    <w:p w14:paraId="6116E2C3" w14:textId="77777777" w:rsidR="00F7113A" w:rsidRPr="00580C0D" w:rsidRDefault="00142E5B" w:rsidP="00580C0D">
      <w:pPr>
        <w:pStyle w:val="avsnitt-undertittel"/>
      </w:pPr>
      <w:r w:rsidRPr="00580C0D">
        <w:t>Vedtak nr. 1124, 3. juni 2021</w:t>
      </w:r>
    </w:p>
    <w:p w14:paraId="460644A8" w14:textId="77777777" w:rsidR="00F7113A" w:rsidRPr="00580C0D" w:rsidRDefault="00142E5B" w:rsidP="00580C0D">
      <w:pPr>
        <w:pStyle w:val="blokksit"/>
        <w:rPr>
          <w:rStyle w:val="kursiv"/>
        </w:rPr>
      </w:pPr>
      <w:r w:rsidRPr="00580C0D">
        <w:rPr>
          <w:rStyle w:val="kursiv"/>
        </w:rPr>
        <w:t>«Stortinget ber regjeringen sikre at òg personer i aktiv rus har tilgang til et krisesentertilbud med ansatte som har tverrfaglig kompetanse på rus og vold, enten i tilknytning til eksisterende krisesentre eller som selvstendig tilbud.»</w:t>
      </w:r>
    </w:p>
    <w:p w14:paraId="7984B77F" w14:textId="77777777" w:rsidR="00F7113A" w:rsidRPr="00580C0D" w:rsidRDefault="00142E5B" w:rsidP="00580C0D">
      <w:r w:rsidRPr="00580C0D">
        <w:t xml:space="preserve">Vedtaket blei gjort i samband med handsaminga av </w:t>
      </w:r>
      <w:proofErr w:type="spellStart"/>
      <w:r w:rsidRPr="00580C0D">
        <w:t>eit</w:t>
      </w:r>
      <w:proofErr w:type="spellEnd"/>
      <w:r w:rsidRPr="00580C0D">
        <w:t xml:space="preserve"> representantforslag om </w:t>
      </w:r>
      <w:proofErr w:type="gramStart"/>
      <w:r w:rsidRPr="00580C0D">
        <w:t xml:space="preserve">ei </w:t>
      </w:r>
      <w:proofErr w:type="spellStart"/>
      <w:r w:rsidRPr="00580C0D">
        <w:t>førebyggings</w:t>
      </w:r>
      <w:proofErr w:type="spellEnd"/>
      <w:r w:rsidRPr="00580C0D">
        <w:t>- og behandlingsreform</w:t>
      </w:r>
      <w:proofErr w:type="gramEnd"/>
      <w:r w:rsidRPr="00580C0D">
        <w:t xml:space="preserve"> på rusfeltet, jf. </w:t>
      </w:r>
      <w:proofErr w:type="spellStart"/>
      <w:r w:rsidRPr="00580C0D">
        <w:t>Dok</w:t>
      </w:r>
      <w:proofErr w:type="spellEnd"/>
      <w:r w:rsidRPr="00580C0D">
        <w:t xml:space="preserve">. 8:119 S (2020–2021) og </w:t>
      </w:r>
      <w:proofErr w:type="spellStart"/>
      <w:r w:rsidRPr="00580C0D">
        <w:t>Innst</w:t>
      </w:r>
      <w:proofErr w:type="spellEnd"/>
      <w:r w:rsidRPr="00580C0D">
        <w:t>. 578 S (2020–2021).</w:t>
      </w:r>
    </w:p>
    <w:p w14:paraId="73807480" w14:textId="77777777" w:rsidR="00F7113A" w:rsidRPr="00580C0D" w:rsidRDefault="00142E5B" w:rsidP="00580C0D">
      <w:r w:rsidRPr="00580C0D">
        <w:t xml:space="preserve">Krisesenterstatistikken til </w:t>
      </w:r>
      <w:proofErr w:type="spellStart"/>
      <w:r w:rsidRPr="00580C0D">
        <w:t>Bufdir</w:t>
      </w:r>
      <w:proofErr w:type="spellEnd"/>
      <w:r w:rsidRPr="00580C0D">
        <w:t xml:space="preserve"> viser at sju krisesenter for kvinner og åtte senter for menn </w:t>
      </w:r>
      <w:proofErr w:type="spellStart"/>
      <w:r w:rsidRPr="00580C0D">
        <w:t>ikkje</w:t>
      </w:r>
      <w:proofErr w:type="spellEnd"/>
      <w:r w:rsidRPr="00580C0D">
        <w:t xml:space="preserve"> gir </w:t>
      </w:r>
      <w:proofErr w:type="spellStart"/>
      <w:r w:rsidRPr="00580C0D">
        <w:t>tilbod</w:t>
      </w:r>
      <w:proofErr w:type="spellEnd"/>
      <w:r w:rsidRPr="00580C0D">
        <w:t xml:space="preserve"> om </w:t>
      </w:r>
      <w:proofErr w:type="spellStart"/>
      <w:r w:rsidRPr="00580C0D">
        <w:t>opphald</w:t>
      </w:r>
      <w:proofErr w:type="spellEnd"/>
      <w:r w:rsidRPr="00580C0D">
        <w:t xml:space="preserve"> til </w:t>
      </w:r>
      <w:proofErr w:type="gramStart"/>
      <w:r w:rsidRPr="00580C0D">
        <w:t>utsette</w:t>
      </w:r>
      <w:proofErr w:type="gramEnd"/>
      <w:r w:rsidRPr="00580C0D">
        <w:t xml:space="preserve"> med </w:t>
      </w:r>
      <w:proofErr w:type="spellStart"/>
      <w:r w:rsidRPr="00580C0D">
        <w:t>ein</w:t>
      </w:r>
      <w:proofErr w:type="spellEnd"/>
      <w:r w:rsidRPr="00580C0D">
        <w:t xml:space="preserve"> </w:t>
      </w:r>
      <w:proofErr w:type="spellStart"/>
      <w:r w:rsidRPr="00580C0D">
        <w:t>kjend</w:t>
      </w:r>
      <w:proofErr w:type="spellEnd"/>
      <w:r w:rsidRPr="00580C0D">
        <w:t xml:space="preserve"> rusproblematikk. I tillegg er det </w:t>
      </w:r>
      <w:proofErr w:type="spellStart"/>
      <w:r w:rsidRPr="00580C0D">
        <w:t>personar</w:t>
      </w:r>
      <w:proofErr w:type="spellEnd"/>
      <w:r w:rsidRPr="00580C0D">
        <w:t xml:space="preserve"> i aktiv rus som </w:t>
      </w:r>
      <w:proofErr w:type="spellStart"/>
      <w:r w:rsidRPr="00580C0D">
        <w:t>ikkje</w:t>
      </w:r>
      <w:proofErr w:type="spellEnd"/>
      <w:r w:rsidRPr="00580C0D">
        <w:t xml:space="preserve"> </w:t>
      </w:r>
      <w:proofErr w:type="spellStart"/>
      <w:r w:rsidRPr="00580C0D">
        <w:t>oppsøkjer</w:t>
      </w:r>
      <w:proofErr w:type="spellEnd"/>
      <w:r w:rsidRPr="00580C0D">
        <w:t xml:space="preserve"> </w:t>
      </w:r>
      <w:proofErr w:type="spellStart"/>
      <w:r w:rsidRPr="00580C0D">
        <w:t>krisesentera</w:t>
      </w:r>
      <w:proofErr w:type="spellEnd"/>
      <w:r w:rsidRPr="00580C0D">
        <w:t xml:space="preserve">. Departementet utarbeider </w:t>
      </w:r>
      <w:proofErr w:type="spellStart"/>
      <w:r w:rsidRPr="00580C0D">
        <w:t>eit</w:t>
      </w:r>
      <w:proofErr w:type="spellEnd"/>
      <w:r w:rsidRPr="00580C0D">
        <w:t xml:space="preserve"> </w:t>
      </w:r>
      <w:proofErr w:type="spellStart"/>
      <w:r w:rsidRPr="00580C0D">
        <w:t>høyringsnotat</w:t>
      </w:r>
      <w:proofErr w:type="spellEnd"/>
      <w:r w:rsidRPr="00580C0D">
        <w:t xml:space="preserve"> om </w:t>
      </w:r>
      <w:proofErr w:type="spellStart"/>
      <w:r w:rsidRPr="00580C0D">
        <w:t>endringar</w:t>
      </w:r>
      <w:proofErr w:type="spellEnd"/>
      <w:r w:rsidRPr="00580C0D">
        <w:t xml:space="preserve"> i krisesenterlova og utvikling av </w:t>
      </w:r>
      <w:proofErr w:type="spellStart"/>
      <w:r w:rsidRPr="00580C0D">
        <w:t>krisesentertilbodet</w:t>
      </w:r>
      <w:proofErr w:type="spellEnd"/>
      <w:r w:rsidRPr="00580C0D">
        <w:t xml:space="preserve"> som etter planen skal </w:t>
      </w:r>
      <w:proofErr w:type="spellStart"/>
      <w:r w:rsidRPr="00580C0D">
        <w:t>sendast</w:t>
      </w:r>
      <w:proofErr w:type="spellEnd"/>
      <w:r w:rsidRPr="00580C0D">
        <w:t xml:space="preserve"> på </w:t>
      </w:r>
      <w:proofErr w:type="spellStart"/>
      <w:r w:rsidRPr="00580C0D">
        <w:t>høyring</w:t>
      </w:r>
      <w:proofErr w:type="spellEnd"/>
      <w:r w:rsidRPr="00580C0D">
        <w:t xml:space="preserve"> i løpet av 2023. Sjå omtale under programkategori 11.10 Familie og oppvekst. I dette arbeidet skal </w:t>
      </w:r>
      <w:proofErr w:type="spellStart"/>
      <w:r w:rsidRPr="00580C0D">
        <w:t>utfordringar</w:t>
      </w:r>
      <w:proofErr w:type="spellEnd"/>
      <w:r w:rsidRPr="00580C0D">
        <w:t xml:space="preserve"> med </w:t>
      </w:r>
      <w:proofErr w:type="spellStart"/>
      <w:r w:rsidRPr="00580C0D">
        <w:t>krisesentertilbodet</w:t>
      </w:r>
      <w:proofErr w:type="spellEnd"/>
      <w:r w:rsidRPr="00580C0D">
        <w:t xml:space="preserve"> til </w:t>
      </w:r>
      <w:proofErr w:type="spellStart"/>
      <w:r w:rsidRPr="00580C0D">
        <w:t>personar</w:t>
      </w:r>
      <w:proofErr w:type="spellEnd"/>
      <w:r w:rsidRPr="00580C0D">
        <w:t xml:space="preserve"> i aktiv rus </w:t>
      </w:r>
      <w:proofErr w:type="spellStart"/>
      <w:r w:rsidRPr="00580C0D">
        <w:t>drøftast</w:t>
      </w:r>
      <w:proofErr w:type="spellEnd"/>
      <w:r w:rsidRPr="00580C0D">
        <w:t>. Departementet vil komme tilbake til Stortinget om oppfølginga av vedtaket på eigna vis.</w:t>
      </w:r>
    </w:p>
    <w:p w14:paraId="22024BF6" w14:textId="77777777" w:rsidR="00F7113A" w:rsidRPr="00580C0D" w:rsidRDefault="00142E5B" w:rsidP="00580C0D">
      <w:pPr>
        <w:pStyle w:val="avsnitt-tittel"/>
      </w:pPr>
      <w:r w:rsidRPr="00580C0D">
        <w:t xml:space="preserve">Krav om autorisasjon for </w:t>
      </w:r>
      <w:proofErr w:type="gramStart"/>
      <w:r w:rsidRPr="00580C0D">
        <w:t>tilsette</w:t>
      </w:r>
      <w:proofErr w:type="gramEnd"/>
      <w:r w:rsidRPr="00580C0D">
        <w:t xml:space="preserve"> som skal jobbe med </w:t>
      </w:r>
      <w:proofErr w:type="spellStart"/>
      <w:r w:rsidRPr="00580C0D">
        <w:t>omsorgsovertakingar</w:t>
      </w:r>
      <w:proofErr w:type="spellEnd"/>
    </w:p>
    <w:p w14:paraId="4D28E0C7" w14:textId="77777777" w:rsidR="00F7113A" w:rsidRPr="00580C0D" w:rsidRDefault="00142E5B" w:rsidP="00580C0D">
      <w:pPr>
        <w:pStyle w:val="avsnitt-undertittel"/>
      </w:pPr>
      <w:r w:rsidRPr="00580C0D">
        <w:t>Vedtak nr. 1195, 10. juni 2021</w:t>
      </w:r>
    </w:p>
    <w:p w14:paraId="344405EA" w14:textId="77777777" w:rsidR="00F7113A" w:rsidRPr="00580C0D" w:rsidRDefault="00142E5B" w:rsidP="00580C0D">
      <w:pPr>
        <w:pStyle w:val="blokksit"/>
        <w:rPr>
          <w:rStyle w:val="kursiv"/>
        </w:rPr>
      </w:pPr>
      <w:r w:rsidRPr="00580C0D">
        <w:rPr>
          <w:rStyle w:val="kursiv"/>
        </w:rPr>
        <w:t>«Stortinget ber regjeringen utrede krav om autorisasjon for de som skal jobbe med omsorgsovertakelser.»</w:t>
      </w:r>
    </w:p>
    <w:p w14:paraId="30A3B0C2"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133 L (2020–2021) </w:t>
      </w:r>
      <w:r w:rsidRPr="00580C0D">
        <w:rPr>
          <w:rStyle w:val="kursiv"/>
        </w:rPr>
        <w:t>Lov om barnevern (barnevernsloven) og lov om endringer i barnevernloven</w:t>
      </w:r>
      <w:r w:rsidRPr="00580C0D">
        <w:t xml:space="preserve">, jf. </w:t>
      </w:r>
      <w:proofErr w:type="spellStart"/>
      <w:r w:rsidRPr="00580C0D">
        <w:t>Innst</w:t>
      </w:r>
      <w:proofErr w:type="spellEnd"/>
      <w:r w:rsidRPr="00580C0D">
        <w:t>. 625 L (2020–2021).</w:t>
      </w:r>
    </w:p>
    <w:p w14:paraId="12C0D8A6" w14:textId="77777777" w:rsidR="00F7113A" w:rsidRPr="00580C0D" w:rsidRDefault="00142E5B" w:rsidP="00580C0D">
      <w:r w:rsidRPr="00580C0D">
        <w:t xml:space="preserve">I arbeidet med </w:t>
      </w:r>
      <w:proofErr w:type="spellStart"/>
      <w:r w:rsidRPr="00580C0D">
        <w:t>Prop</w:t>
      </w:r>
      <w:proofErr w:type="spellEnd"/>
      <w:r w:rsidRPr="00580C0D">
        <w:t xml:space="preserve">. 133 L (2020–2021) om ny barnevernslov vurderte departementet innføring av ei autorisasjonsordning i barnevernet. Med bakgrunn i ei utgreiing </w:t>
      </w:r>
      <w:proofErr w:type="spellStart"/>
      <w:r w:rsidRPr="00580C0D">
        <w:t>frå</w:t>
      </w:r>
      <w:proofErr w:type="spellEnd"/>
      <w:r w:rsidRPr="00580C0D">
        <w:t xml:space="preserve"> </w:t>
      </w:r>
      <w:proofErr w:type="spellStart"/>
      <w:r w:rsidRPr="00580C0D">
        <w:t>Bufdir</w:t>
      </w:r>
      <w:proofErr w:type="spellEnd"/>
      <w:r w:rsidRPr="00580C0D">
        <w:t xml:space="preserve"> </w:t>
      </w:r>
      <w:proofErr w:type="spellStart"/>
      <w:r w:rsidRPr="00580C0D">
        <w:t>fann</w:t>
      </w:r>
      <w:proofErr w:type="spellEnd"/>
      <w:r w:rsidRPr="00580C0D">
        <w:t xml:space="preserve"> departementet at innføring av kompetansekrav og </w:t>
      </w:r>
      <w:proofErr w:type="spellStart"/>
      <w:r w:rsidRPr="00580C0D">
        <w:t>endringar</w:t>
      </w:r>
      <w:proofErr w:type="spellEnd"/>
      <w:r w:rsidRPr="00580C0D">
        <w:t xml:space="preserve"> i </w:t>
      </w:r>
      <w:proofErr w:type="spellStart"/>
      <w:r w:rsidRPr="00580C0D">
        <w:t>masterutdanningane</w:t>
      </w:r>
      <w:proofErr w:type="spellEnd"/>
      <w:r w:rsidRPr="00580C0D">
        <w:t xml:space="preserve">, med </w:t>
      </w:r>
      <w:proofErr w:type="spellStart"/>
      <w:r w:rsidRPr="00580C0D">
        <w:t>auka</w:t>
      </w:r>
      <w:proofErr w:type="spellEnd"/>
      <w:r w:rsidRPr="00580C0D">
        <w:t xml:space="preserve"> vekt på praksisnærleik og relevans og betre tilgang til rettleidd praksis under studia, vil </w:t>
      </w:r>
      <w:proofErr w:type="spellStart"/>
      <w:r w:rsidRPr="00580C0D">
        <w:t>vere</w:t>
      </w:r>
      <w:proofErr w:type="spellEnd"/>
      <w:r w:rsidRPr="00580C0D">
        <w:t xml:space="preserve"> </w:t>
      </w:r>
      <w:proofErr w:type="spellStart"/>
      <w:r w:rsidRPr="00580C0D">
        <w:t>meir</w:t>
      </w:r>
      <w:proofErr w:type="spellEnd"/>
      <w:r w:rsidRPr="00580C0D">
        <w:t xml:space="preserve"> treffsikre og eigna tiltak for å </w:t>
      </w:r>
      <w:proofErr w:type="spellStart"/>
      <w:r w:rsidRPr="00580C0D">
        <w:t>auke</w:t>
      </w:r>
      <w:proofErr w:type="spellEnd"/>
      <w:r w:rsidRPr="00580C0D">
        <w:t xml:space="preserve"> tilliten til barnevernet og </w:t>
      </w:r>
      <w:proofErr w:type="spellStart"/>
      <w:r w:rsidRPr="00580C0D">
        <w:t>sørgje</w:t>
      </w:r>
      <w:proofErr w:type="spellEnd"/>
      <w:r w:rsidRPr="00580C0D">
        <w:t xml:space="preserve"> for at </w:t>
      </w:r>
      <w:proofErr w:type="spellStart"/>
      <w:r w:rsidRPr="00580C0D">
        <w:t>dei</w:t>
      </w:r>
      <w:proofErr w:type="spellEnd"/>
      <w:r w:rsidRPr="00580C0D">
        <w:t xml:space="preserve"> tilsette har </w:t>
      </w:r>
      <w:proofErr w:type="spellStart"/>
      <w:r w:rsidRPr="00580C0D">
        <w:t>tilstrekkeleg</w:t>
      </w:r>
      <w:proofErr w:type="spellEnd"/>
      <w:r w:rsidRPr="00580C0D">
        <w:t xml:space="preserve"> og </w:t>
      </w:r>
      <w:proofErr w:type="spellStart"/>
      <w:r w:rsidRPr="00580C0D">
        <w:t>naudsynt</w:t>
      </w:r>
      <w:proofErr w:type="spellEnd"/>
      <w:r w:rsidRPr="00580C0D">
        <w:t xml:space="preserve"> kompetanse.</w:t>
      </w:r>
    </w:p>
    <w:p w14:paraId="0B440770" w14:textId="77777777" w:rsidR="00F7113A" w:rsidRPr="00580C0D" w:rsidRDefault="00142E5B" w:rsidP="00580C0D">
      <w:r w:rsidRPr="00580C0D">
        <w:t xml:space="preserve">Vedtaket </w:t>
      </w:r>
      <w:proofErr w:type="spellStart"/>
      <w:r w:rsidRPr="00580C0D">
        <w:t>frå</w:t>
      </w:r>
      <w:proofErr w:type="spellEnd"/>
      <w:r w:rsidRPr="00580C0D">
        <w:t xml:space="preserve"> Stortinget </w:t>
      </w:r>
      <w:proofErr w:type="spellStart"/>
      <w:r w:rsidRPr="00580C0D">
        <w:t>peiker</w:t>
      </w:r>
      <w:proofErr w:type="spellEnd"/>
      <w:r w:rsidRPr="00580C0D">
        <w:t xml:space="preserve"> på ei autorisasjonsordning for </w:t>
      </w:r>
      <w:proofErr w:type="spellStart"/>
      <w:r w:rsidRPr="00580C0D">
        <w:t>dei</w:t>
      </w:r>
      <w:proofErr w:type="spellEnd"/>
      <w:r w:rsidRPr="00580C0D">
        <w:t xml:space="preserve"> som arbeider med </w:t>
      </w:r>
      <w:proofErr w:type="spellStart"/>
      <w:r w:rsidRPr="00580C0D">
        <w:t>omsorgsovertakingar</w:t>
      </w:r>
      <w:proofErr w:type="spellEnd"/>
      <w:r w:rsidRPr="00580C0D">
        <w:t xml:space="preserve">, og er </w:t>
      </w:r>
      <w:proofErr w:type="spellStart"/>
      <w:r w:rsidRPr="00580C0D">
        <w:t>eit</w:t>
      </w:r>
      <w:proofErr w:type="spellEnd"/>
      <w:r w:rsidRPr="00580C0D">
        <w:t xml:space="preserve"> </w:t>
      </w:r>
      <w:proofErr w:type="spellStart"/>
      <w:r w:rsidRPr="00580C0D">
        <w:t>meir</w:t>
      </w:r>
      <w:proofErr w:type="spellEnd"/>
      <w:r w:rsidRPr="00580C0D">
        <w:t xml:space="preserve"> avgrensa forslag enn det som </w:t>
      </w:r>
      <w:proofErr w:type="spellStart"/>
      <w:r w:rsidRPr="00580C0D">
        <w:t>tidlegare</w:t>
      </w:r>
      <w:proofErr w:type="spellEnd"/>
      <w:r w:rsidRPr="00580C0D">
        <w:t xml:space="preserve"> er greidd ut. Departementet endra i desember 2021 mandatet til </w:t>
      </w:r>
      <w:proofErr w:type="spellStart"/>
      <w:r w:rsidRPr="00580C0D">
        <w:t>Barnevernsutvalet</w:t>
      </w:r>
      <w:proofErr w:type="spellEnd"/>
      <w:r w:rsidRPr="00580C0D">
        <w:t xml:space="preserve">, med </w:t>
      </w:r>
      <w:proofErr w:type="spellStart"/>
      <w:r w:rsidRPr="00580C0D">
        <w:t>eit</w:t>
      </w:r>
      <w:proofErr w:type="spellEnd"/>
      <w:r w:rsidRPr="00580C0D">
        <w:t xml:space="preserve"> punkt om at </w:t>
      </w:r>
      <w:proofErr w:type="spellStart"/>
      <w:r w:rsidRPr="00580C0D">
        <w:t>utvalet</w:t>
      </w:r>
      <w:proofErr w:type="spellEnd"/>
      <w:r w:rsidRPr="00580C0D">
        <w:t xml:space="preserve"> skulle greie ut </w:t>
      </w:r>
      <w:r w:rsidRPr="00580C0D">
        <w:rPr>
          <w:rStyle w:val="kursiv"/>
        </w:rPr>
        <w:t>«ordninger for offentlig godkjenning av personell, herunder […] autorisasjon for de i barnevernet som skal jobbe med omsorgsovertakelse […]».</w:t>
      </w:r>
      <w:r w:rsidRPr="00580C0D">
        <w:t xml:space="preserve"> </w:t>
      </w:r>
      <w:proofErr w:type="spellStart"/>
      <w:r w:rsidRPr="00580C0D">
        <w:t>Utvalet</w:t>
      </w:r>
      <w:proofErr w:type="spellEnd"/>
      <w:r w:rsidRPr="00580C0D">
        <w:t xml:space="preserve"> har levert utgreiinga NOU 2023: 7 </w:t>
      </w:r>
      <w:r w:rsidRPr="00580C0D">
        <w:rPr>
          <w:rStyle w:val="kursiv"/>
        </w:rPr>
        <w:t>Trygg barndom, sikker fremtid</w:t>
      </w:r>
      <w:r w:rsidRPr="00580C0D">
        <w:t xml:space="preserve">. </w:t>
      </w:r>
      <w:proofErr w:type="spellStart"/>
      <w:r w:rsidRPr="00580C0D">
        <w:t>Fleirtalet</w:t>
      </w:r>
      <w:proofErr w:type="spellEnd"/>
      <w:r w:rsidRPr="00580C0D">
        <w:t xml:space="preserve"> i </w:t>
      </w:r>
      <w:proofErr w:type="spellStart"/>
      <w:r w:rsidRPr="00580C0D">
        <w:t>utvalet</w:t>
      </w:r>
      <w:proofErr w:type="spellEnd"/>
      <w:r w:rsidRPr="00580C0D">
        <w:t xml:space="preserve"> har </w:t>
      </w:r>
      <w:proofErr w:type="spellStart"/>
      <w:r w:rsidRPr="00580C0D">
        <w:t>ikkje</w:t>
      </w:r>
      <w:proofErr w:type="spellEnd"/>
      <w:r w:rsidRPr="00580C0D">
        <w:t xml:space="preserve"> </w:t>
      </w:r>
      <w:proofErr w:type="spellStart"/>
      <w:r w:rsidRPr="00580C0D">
        <w:t>føreslått</w:t>
      </w:r>
      <w:proofErr w:type="spellEnd"/>
      <w:r w:rsidRPr="00580C0D">
        <w:t xml:space="preserve"> ei autorisasjonsordning. Utgreiinga har </w:t>
      </w:r>
      <w:proofErr w:type="spellStart"/>
      <w:r w:rsidRPr="00580C0D">
        <w:t>vore</w:t>
      </w:r>
      <w:proofErr w:type="spellEnd"/>
      <w:r w:rsidRPr="00580C0D">
        <w:t xml:space="preserve"> på </w:t>
      </w:r>
      <w:proofErr w:type="spellStart"/>
      <w:r w:rsidRPr="00580C0D">
        <w:t>offentleg</w:t>
      </w:r>
      <w:proofErr w:type="spellEnd"/>
      <w:r w:rsidRPr="00580C0D">
        <w:t xml:space="preserve"> </w:t>
      </w:r>
      <w:proofErr w:type="spellStart"/>
      <w:r w:rsidRPr="00580C0D">
        <w:t>høyring</w:t>
      </w:r>
      <w:proofErr w:type="spellEnd"/>
      <w:r w:rsidRPr="00580C0D">
        <w:t xml:space="preserve">. Departementet vurderer </w:t>
      </w:r>
      <w:proofErr w:type="spellStart"/>
      <w:r w:rsidRPr="00580C0D">
        <w:t>innspel</w:t>
      </w:r>
      <w:proofErr w:type="spellEnd"/>
      <w:r w:rsidRPr="00580C0D">
        <w:t xml:space="preserve"> </w:t>
      </w:r>
      <w:proofErr w:type="spellStart"/>
      <w:r w:rsidRPr="00580C0D">
        <w:t>frå</w:t>
      </w:r>
      <w:proofErr w:type="spellEnd"/>
      <w:r w:rsidRPr="00580C0D">
        <w:t xml:space="preserve"> </w:t>
      </w:r>
      <w:proofErr w:type="spellStart"/>
      <w:r w:rsidRPr="00580C0D">
        <w:t>høyringa</w:t>
      </w:r>
      <w:proofErr w:type="spellEnd"/>
      <w:r w:rsidRPr="00580C0D">
        <w:t xml:space="preserve"> og vil på eigna vis komme tilbake til Stortinget om oppfølginga av vedtaket.</w:t>
      </w:r>
    </w:p>
    <w:p w14:paraId="4BDE10D4" w14:textId="77777777" w:rsidR="00F7113A" w:rsidRPr="00580C0D" w:rsidRDefault="00142E5B" w:rsidP="00580C0D">
      <w:pPr>
        <w:pStyle w:val="avsnitt-tittel"/>
      </w:pPr>
      <w:r w:rsidRPr="00580C0D">
        <w:t>Ordning med andrehandsvurdering av akuttvedtak</w:t>
      </w:r>
    </w:p>
    <w:p w14:paraId="21387740" w14:textId="77777777" w:rsidR="00F7113A" w:rsidRPr="00580C0D" w:rsidRDefault="00142E5B" w:rsidP="00580C0D">
      <w:pPr>
        <w:pStyle w:val="avsnitt-undertittel"/>
      </w:pPr>
      <w:r w:rsidRPr="00580C0D">
        <w:t>Vedtak nr. 1197, 10. juni 2021</w:t>
      </w:r>
    </w:p>
    <w:p w14:paraId="0E438AC0" w14:textId="77777777" w:rsidR="00F7113A" w:rsidRPr="00580C0D" w:rsidRDefault="00142E5B" w:rsidP="00580C0D">
      <w:pPr>
        <w:pStyle w:val="blokksit"/>
        <w:rPr>
          <w:rStyle w:val="kursiv"/>
        </w:rPr>
      </w:pPr>
      <w:r w:rsidRPr="00580C0D">
        <w:rPr>
          <w:rStyle w:val="kursiv"/>
        </w:rPr>
        <w:t>«Stortinget ber regjeringen utrede og fremme forslag om å innføre en ordning med annenhåndsvurdering av akutt-/hastevedtak.»</w:t>
      </w:r>
    </w:p>
    <w:p w14:paraId="502E9994"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133 L (2020–2021) </w:t>
      </w:r>
      <w:r w:rsidRPr="00580C0D">
        <w:rPr>
          <w:rStyle w:val="kursiv"/>
        </w:rPr>
        <w:t>Lov om barnevern (barnevernsloven) og lov om endringer i barnevernloven</w:t>
      </w:r>
      <w:r w:rsidRPr="00580C0D">
        <w:t xml:space="preserve">, jf. </w:t>
      </w:r>
      <w:proofErr w:type="spellStart"/>
      <w:r w:rsidRPr="00580C0D">
        <w:t>Innst</w:t>
      </w:r>
      <w:proofErr w:type="spellEnd"/>
      <w:r w:rsidRPr="00580C0D">
        <w:t>. 625 L (2020–2021).</w:t>
      </w:r>
    </w:p>
    <w:p w14:paraId="26C69497" w14:textId="77777777" w:rsidR="00F7113A" w:rsidRPr="00580C0D" w:rsidRDefault="00142E5B" w:rsidP="00580C0D">
      <w:r w:rsidRPr="00580C0D">
        <w:t xml:space="preserve">Departementet viser til at </w:t>
      </w:r>
      <w:proofErr w:type="spellStart"/>
      <w:r w:rsidRPr="00580C0D">
        <w:t>Barnevernsutvalet</w:t>
      </w:r>
      <w:proofErr w:type="spellEnd"/>
      <w:r w:rsidRPr="00580C0D">
        <w:t xml:space="preserve"> har levert utgreiinga NOU 2023: 7 </w:t>
      </w:r>
      <w:r w:rsidRPr="00580C0D">
        <w:rPr>
          <w:rStyle w:val="kursiv"/>
        </w:rPr>
        <w:t>Trygg barndom, sikker fremtid</w:t>
      </w:r>
      <w:r w:rsidRPr="00580C0D">
        <w:t xml:space="preserve">. </w:t>
      </w:r>
      <w:proofErr w:type="spellStart"/>
      <w:r w:rsidRPr="00580C0D">
        <w:t>Utvalet</w:t>
      </w:r>
      <w:proofErr w:type="spellEnd"/>
      <w:r w:rsidRPr="00580C0D">
        <w:t xml:space="preserve"> har </w:t>
      </w:r>
      <w:proofErr w:type="spellStart"/>
      <w:r w:rsidRPr="00580C0D">
        <w:t>ikkje</w:t>
      </w:r>
      <w:proofErr w:type="spellEnd"/>
      <w:r w:rsidRPr="00580C0D">
        <w:t xml:space="preserve"> </w:t>
      </w:r>
      <w:proofErr w:type="spellStart"/>
      <w:r w:rsidRPr="00580C0D">
        <w:t>føreslått</w:t>
      </w:r>
      <w:proofErr w:type="spellEnd"/>
      <w:r w:rsidRPr="00580C0D">
        <w:t xml:space="preserve"> å innføre ei ordning med andrehandsvurdering av akuttvedtak. Utgreiinga har </w:t>
      </w:r>
      <w:proofErr w:type="spellStart"/>
      <w:r w:rsidRPr="00580C0D">
        <w:t>vore</w:t>
      </w:r>
      <w:proofErr w:type="spellEnd"/>
      <w:r w:rsidRPr="00580C0D">
        <w:t xml:space="preserve"> på </w:t>
      </w:r>
      <w:proofErr w:type="spellStart"/>
      <w:r w:rsidRPr="00580C0D">
        <w:t>offentleg</w:t>
      </w:r>
      <w:proofErr w:type="spellEnd"/>
      <w:r w:rsidRPr="00580C0D">
        <w:t xml:space="preserve"> </w:t>
      </w:r>
      <w:proofErr w:type="spellStart"/>
      <w:r w:rsidRPr="00580C0D">
        <w:t>høyring</w:t>
      </w:r>
      <w:proofErr w:type="spellEnd"/>
      <w:r w:rsidRPr="00580C0D">
        <w:t xml:space="preserve">. Departementet vurderer </w:t>
      </w:r>
      <w:proofErr w:type="spellStart"/>
      <w:r w:rsidRPr="00580C0D">
        <w:t>innspel</w:t>
      </w:r>
      <w:proofErr w:type="spellEnd"/>
      <w:r w:rsidRPr="00580C0D">
        <w:t xml:space="preserve"> </w:t>
      </w:r>
      <w:proofErr w:type="spellStart"/>
      <w:r w:rsidRPr="00580C0D">
        <w:t>frå</w:t>
      </w:r>
      <w:proofErr w:type="spellEnd"/>
      <w:r w:rsidRPr="00580C0D">
        <w:t xml:space="preserve"> </w:t>
      </w:r>
      <w:proofErr w:type="spellStart"/>
      <w:r w:rsidRPr="00580C0D">
        <w:t>høyringa</w:t>
      </w:r>
      <w:proofErr w:type="spellEnd"/>
      <w:r w:rsidRPr="00580C0D">
        <w:t xml:space="preserve"> og vil på eigna vis komme tilbake til Stortinget om oppfølginga av vedtaket.</w:t>
      </w:r>
    </w:p>
    <w:p w14:paraId="2B3F25D2" w14:textId="77777777" w:rsidR="00F7113A" w:rsidRPr="00580C0D" w:rsidRDefault="00142E5B" w:rsidP="00580C0D">
      <w:pPr>
        <w:pStyle w:val="avsnitt-tittel"/>
      </w:pPr>
      <w:r w:rsidRPr="00580C0D">
        <w:t>Alternativt omgrep til «</w:t>
      </w:r>
      <w:proofErr w:type="spellStart"/>
      <w:r w:rsidRPr="00580C0D">
        <w:t>åtferd</w:t>
      </w:r>
      <w:proofErr w:type="spellEnd"/>
      <w:r w:rsidRPr="00580C0D">
        <w:t>» i barnevernslova</w:t>
      </w:r>
    </w:p>
    <w:p w14:paraId="309AAF46" w14:textId="77777777" w:rsidR="00F7113A" w:rsidRPr="00580C0D" w:rsidRDefault="00142E5B" w:rsidP="00580C0D">
      <w:pPr>
        <w:pStyle w:val="avsnitt-undertittel"/>
      </w:pPr>
      <w:r w:rsidRPr="00580C0D">
        <w:t>Vedtak nr. 1198, 10. juni 2021</w:t>
      </w:r>
    </w:p>
    <w:p w14:paraId="3942DCEF" w14:textId="77777777" w:rsidR="00F7113A" w:rsidRPr="00580C0D" w:rsidRDefault="00142E5B" w:rsidP="00580C0D">
      <w:pPr>
        <w:pStyle w:val="blokksit"/>
        <w:rPr>
          <w:rStyle w:val="kursiv"/>
        </w:rPr>
      </w:pPr>
      <w:r w:rsidRPr="00580C0D">
        <w:rPr>
          <w:rStyle w:val="kursiv"/>
        </w:rPr>
        <w:t xml:space="preserve">«Stortinget ber regjeringen arbeide videre med å finne et alternativt begrep til </w:t>
      </w:r>
      <w:proofErr w:type="spellStart"/>
      <w:r w:rsidRPr="00580C0D">
        <w:rPr>
          <w:rStyle w:val="kursiv"/>
        </w:rPr>
        <w:t>atferdsbegrepet</w:t>
      </w:r>
      <w:proofErr w:type="spellEnd"/>
      <w:r w:rsidRPr="00580C0D">
        <w:rPr>
          <w:rStyle w:val="kursiv"/>
        </w:rPr>
        <w:t xml:space="preserve"> i barnevernsloven.»</w:t>
      </w:r>
    </w:p>
    <w:p w14:paraId="552281C2"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133 L (2020–2021) </w:t>
      </w:r>
      <w:r w:rsidRPr="00580C0D">
        <w:rPr>
          <w:rStyle w:val="kursiv"/>
        </w:rPr>
        <w:t>Lov om barnevern (barnevernsloven) og lov om endringer i barnevernloven</w:t>
      </w:r>
      <w:r w:rsidRPr="00580C0D">
        <w:t xml:space="preserve">, jf. </w:t>
      </w:r>
      <w:proofErr w:type="spellStart"/>
      <w:r w:rsidRPr="00580C0D">
        <w:t>Innst</w:t>
      </w:r>
      <w:proofErr w:type="spellEnd"/>
      <w:r w:rsidRPr="00580C0D">
        <w:t>. 625 L (2020–2021).</w:t>
      </w:r>
    </w:p>
    <w:p w14:paraId="27D8CD83" w14:textId="77777777" w:rsidR="00F7113A" w:rsidRPr="00580C0D" w:rsidRDefault="00142E5B" w:rsidP="00580C0D">
      <w:r w:rsidRPr="00580C0D">
        <w:t xml:space="preserve">I arbeidet med </w:t>
      </w:r>
      <w:proofErr w:type="spellStart"/>
      <w:r w:rsidRPr="00580C0D">
        <w:t>Prop</w:t>
      </w:r>
      <w:proofErr w:type="spellEnd"/>
      <w:r w:rsidRPr="00580C0D">
        <w:t xml:space="preserve">. 133 L (2020–2021) om ny barnevernslov vurderte departementet omgrepet </w:t>
      </w:r>
      <w:proofErr w:type="spellStart"/>
      <w:r w:rsidRPr="00580C0D">
        <w:rPr>
          <w:rStyle w:val="kursiv"/>
        </w:rPr>
        <w:t>åtferd</w:t>
      </w:r>
      <w:proofErr w:type="spellEnd"/>
      <w:r w:rsidRPr="00580C0D">
        <w:t xml:space="preserve"> og alternativ til det. Departementet </w:t>
      </w:r>
      <w:proofErr w:type="spellStart"/>
      <w:r w:rsidRPr="00580C0D">
        <w:t>føreslo</w:t>
      </w:r>
      <w:proofErr w:type="spellEnd"/>
      <w:r w:rsidRPr="00580C0D">
        <w:t xml:space="preserve"> ingen </w:t>
      </w:r>
      <w:proofErr w:type="spellStart"/>
      <w:r w:rsidRPr="00580C0D">
        <w:t>endringar</w:t>
      </w:r>
      <w:proofErr w:type="spellEnd"/>
      <w:r w:rsidRPr="00580C0D">
        <w:t xml:space="preserve"> fordi det var </w:t>
      </w:r>
      <w:proofErr w:type="spellStart"/>
      <w:r w:rsidRPr="00580C0D">
        <w:t>vanskeleg</w:t>
      </w:r>
      <w:proofErr w:type="spellEnd"/>
      <w:r w:rsidRPr="00580C0D">
        <w:t xml:space="preserve"> å finne </w:t>
      </w:r>
      <w:proofErr w:type="spellStart"/>
      <w:r w:rsidRPr="00580C0D">
        <w:t>eit</w:t>
      </w:r>
      <w:proofErr w:type="spellEnd"/>
      <w:r w:rsidRPr="00580C0D">
        <w:t xml:space="preserve"> nytt omgrep som er </w:t>
      </w:r>
      <w:proofErr w:type="spellStart"/>
      <w:r w:rsidRPr="00580C0D">
        <w:t>tilstrekkeleg</w:t>
      </w:r>
      <w:proofErr w:type="spellEnd"/>
      <w:r w:rsidRPr="00580C0D">
        <w:t xml:space="preserve"> presist til å heimle </w:t>
      </w:r>
      <w:proofErr w:type="spellStart"/>
      <w:r w:rsidRPr="00580C0D">
        <w:t>inngripande</w:t>
      </w:r>
      <w:proofErr w:type="spellEnd"/>
      <w:r w:rsidRPr="00580C0D">
        <w:t xml:space="preserve"> tiltak om tvang. Som fyrste del av oppfølginga av vedtaket er omgrepet «</w:t>
      </w:r>
      <w:proofErr w:type="spellStart"/>
      <w:r w:rsidRPr="00580C0D">
        <w:t>atferdsinstitusjon</w:t>
      </w:r>
      <w:proofErr w:type="spellEnd"/>
      <w:r w:rsidRPr="00580C0D">
        <w:t xml:space="preserve">» erstatta med omgrepa «barnevernsinstitusjon» eller «institusjon» i ny barnevernslov, jf. </w:t>
      </w:r>
      <w:proofErr w:type="spellStart"/>
      <w:r w:rsidRPr="00580C0D">
        <w:t>Prop</w:t>
      </w:r>
      <w:proofErr w:type="spellEnd"/>
      <w:r w:rsidRPr="00580C0D">
        <w:t xml:space="preserve">. 86 L (2021–2022) og </w:t>
      </w:r>
      <w:proofErr w:type="spellStart"/>
      <w:r w:rsidRPr="00580C0D">
        <w:t>Innst</w:t>
      </w:r>
      <w:proofErr w:type="spellEnd"/>
      <w:r w:rsidRPr="00580C0D">
        <w:t xml:space="preserve">. 391 L (2021–2022). </w:t>
      </w:r>
      <w:proofErr w:type="spellStart"/>
      <w:r w:rsidRPr="00580C0D">
        <w:t>Bufdir</w:t>
      </w:r>
      <w:proofErr w:type="spellEnd"/>
      <w:r w:rsidRPr="00580C0D">
        <w:t xml:space="preserve"> har arbeidd </w:t>
      </w:r>
      <w:proofErr w:type="spellStart"/>
      <w:r w:rsidRPr="00580C0D">
        <w:t>vidare</w:t>
      </w:r>
      <w:proofErr w:type="spellEnd"/>
      <w:r w:rsidRPr="00580C0D">
        <w:t xml:space="preserve"> med å finne alternative omgrep og har gitt ei tilråding. Det blei òg levert ei </w:t>
      </w:r>
      <w:proofErr w:type="spellStart"/>
      <w:r w:rsidRPr="00580C0D">
        <w:t>menneskerettsleg</w:t>
      </w:r>
      <w:proofErr w:type="spellEnd"/>
      <w:r w:rsidRPr="00580C0D">
        <w:t xml:space="preserve"> utgreiing om </w:t>
      </w:r>
      <w:proofErr w:type="spellStart"/>
      <w:r w:rsidRPr="00580C0D">
        <w:t>rettar</w:t>
      </w:r>
      <w:proofErr w:type="spellEnd"/>
      <w:r w:rsidRPr="00580C0D">
        <w:t xml:space="preserve"> og tvang på </w:t>
      </w:r>
      <w:proofErr w:type="spellStart"/>
      <w:r w:rsidRPr="00580C0D">
        <w:t>barnevernsinstitusjonar</w:t>
      </w:r>
      <w:proofErr w:type="spellEnd"/>
      <w:r w:rsidRPr="00580C0D">
        <w:t xml:space="preserve"> i juni 2023, som mellom anna vurderer omgrepet. </w:t>
      </w:r>
      <w:proofErr w:type="spellStart"/>
      <w:r w:rsidRPr="00580C0D">
        <w:t>Barnevernsinstitusjonsutvalet</w:t>
      </w:r>
      <w:proofErr w:type="spellEnd"/>
      <w:r w:rsidRPr="00580C0D">
        <w:t xml:space="preserve"> ser òg på spørsmål som har </w:t>
      </w:r>
      <w:proofErr w:type="spellStart"/>
      <w:r w:rsidRPr="00580C0D">
        <w:t>noko</w:t>
      </w:r>
      <w:proofErr w:type="spellEnd"/>
      <w:r w:rsidRPr="00580C0D">
        <w:t xml:space="preserve"> å </w:t>
      </w:r>
      <w:proofErr w:type="spellStart"/>
      <w:r w:rsidRPr="00580C0D">
        <w:t>seie</w:t>
      </w:r>
      <w:proofErr w:type="spellEnd"/>
      <w:r w:rsidRPr="00580C0D">
        <w:t xml:space="preserve"> for vurderinga. Departementet vil ta ei samla vurdering av </w:t>
      </w:r>
      <w:proofErr w:type="spellStart"/>
      <w:r w:rsidRPr="00580C0D">
        <w:t>dei</w:t>
      </w:r>
      <w:proofErr w:type="spellEnd"/>
      <w:r w:rsidRPr="00580C0D">
        <w:t xml:space="preserve"> ulike </w:t>
      </w:r>
      <w:proofErr w:type="spellStart"/>
      <w:r w:rsidRPr="00580C0D">
        <w:t>innspela</w:t>
      </w:r>
      <w:proofErr w:type="spellEnd"/>
      <w:r w:rsidRPr="00580C0D">
        <w:t xml:space="preserve"> og </w:t>
      </w:r>
      <w:proofErr w:type="spellStart"/>
      <w:r w:rsidRPr="00580C0D">
        <w:t>tilrådingane</w:t>
      </w:r>
      <w:proofErr w:type="spellEnd"/>
      <w:r w:rsidRPr="00580C0D">
        <w:t xml:space="preserve"> og vil komme tilbake til Stortinget om den </w:t>
      </w:r>
      <w:proofErr w:type="spellStart"/>
      <w:r w:rsidRPr="00580C0D">
        <w:t>vidare</w:t>
      </w:r>
      <w:proofErr w:type="spellEnd"/>
      <w:r w:rsidRPr="00580C0D">
        <w:t xml:space="preserve"> oppfølginga av vedtaket på eigna vis.</w:t>
      </w:r>
    </w:p>
    <w:p w14:paraId="4350F2DB" w14:textId="77777777" w:rsidR="00F7113A" w:rsidRPr="00580C0D" w:rsidRDefault="00142E5B" w:rsidP="00580C0D">
      <w:pPr>
        <w:pStyle w:val="avsnitt-tittel"/>
      </w:pPr>
      <w:r w:rsidRPr="00580C0D">
        <w:t xml:space="preserve">Oppfølging av </w:t>
      </w:r>
      <w:proofErr w:type="spellStart"/>
      <w:r w:rsidRPr="00580C0D">
        <w:t>tilrådingar</w:t>
      </w:r>
      <w:proofErr w:type="spellEnd"/>
      <w:r w:rsidRPr="00580C0D">
        <w:t xml:space="preserve"> </w:t>
      </w:r>
      <w:proofErr w:type="spellStart"/>
      <w:r w:rsidRPr="00580C0D">
        <w:t>frå</w:t>
      </w:r>
      <w:proofErr w:type="spellEnd"/>
      <w:r w:rsidRPr="00580C0D">
        <w:t xml:space="preserve"> </w:t>
      </w:r>
      <w:proofErr w:type="spellStart"/>
      <w:r w:rsidRPr="00580C0D">
        <w:t>rettstryggleiksutvalet</w:t>
      </w:r>
      <w:proofErr w:type="spellEnd"/>
      <w:r w:rsidRPr="00580C0D">
        <w:t xml:space="preserve"> på barnevernsområdet</w:t>
      </w:r>
    </w:p>
    <w:p w14:paraId="1381945A" w14:textId="77777777" w:rsidR="00F7113A" w:rsidRPr="00580C0D" w:rsidRDefault="00142E5B" w:rsidP="00580C0D">
      <w:pPr>
        <w:pStyle w:val="avsnitt-undertittel"/>
      </w:pPr>
      <w:r w:rsidRPr="00580C0D">
        <w:t>Vedtak nr. 1201, 10. juni 2021</w:t>
      </w:r>
    </w:p>
    <w:p w14:paraId="6D24FD89" w14:textId="77777777" w:rsidR="00F7113A" w:rsidRPr="00580C0D" w:rsidRDefault="00142E5B" w:rsidP="00580C0D">
      <w:pPr>
        <w:pStyle w:val="blokksit"/>
        <w:rPr>
          <w:rStyle w:val="kursiv"/>
        </w:rPr>
      </w:pPr>
      <w:r w:rsidRPr="00580C0D">
        <w:rPr>
          <w:rStyle w:val="kursiv"/>
        </w:rPr>
        <w:t>«Stortinget ber regjeringen følge opp rettsikkerhetsutvalgets anbefalinger på barnevernsområdet uten ubegrunnet opphold.»</w:t>
      </w:r>
    </w:p>
    <w:p w14:paraId="3F1F5D7E"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133 L (2020–2021) </w:t>
      </w:r>
      <w:r w:rsidRPr="00580C0D">
        <w:rPr>
          <w:rStyle w:val="kursiv"/>
        </w:rPr>
        <w:t>Lov om barnevern (barnevernsloven) og lov om endringer i barnevernloven</w:t>
      </w:r>
      <w:r w:rsidRPr="00580C0D">
        <w:t xml:space="preserve">, jf. </w:t>
      </w:r>
      <w:proofErr w:type="spellStart"/>
      <w:r w:rsidRPr="00580C0D">
        <w:t>Innst</w:t>
      </w:r>
      <w:proofErr w:type="spellEnd"/>
      <w:r w:rsidRPr="00580C0D">
        <w:t>. 625 L (2020–2021).</w:t>
      </w:r>
    </w:p>
    <w:p w14:paraId="315273D4" w14:textId="77777777" w:rsidR="00F7113A" w:rsidRPr="00580C0D" w:rsidRDefault="00142E5B" w:rsidP="00580C0D">
      <w:proofErr w:type="spellStart"/>
      <w:r w:rsidRPr="00580C0D">
        <w:t>Utvalet</w:t>
      </w:r>
      <w:proofErr w:type="spellEnd"/>
      <w:r w:rsidRPr="00580C0D">
        <w:t xml:space="preserve"> som skulle vurdere tiltak for å </w:t>
      </w:r>
      <w:proofErr w:type="spellStart"/>
      <w:r w:rsidRPr="00580C0D">
        <w:t>styrkje</w:t>
      </w:r>
      <w:proofErr w:type="spellEnd"/>
      <w:r w:rsidRPr="00580C0D">
        <w:t xml:space="preserve"> kvaliteten og rettstryggleiken i barnevernet, leverte 20. mars 2023 utgreiinga NOU 2023: 7 </w:t>
      </w:r>
      <w:r w:rsidRPr="00580C0D">
        <w:rPr>
          <w:rStyle w:val="kursiv"/>
        </w:rPr>
        <w:t>Trygg barndom, sikker fremtid</w:t>
      </w:r>
      <w:r w:rsidRPr="00580C0D">
        <w:t xml:space="preserve">. Utgreiinga har </w:t>
      </w:r>
      <w:proofErr w:type="spellStart"/>
      <w:r w:rsidRPr="00580C0D">
        <w:t>vore</w:t>
      </w:r>
      <w:proofErr w:type="spellEnd"/>
      <w:r w:rsidRPr="00580C0D">
        <w:t xml:space="preserve"> på </w:t>
      </w:r>
      <w:proofErr w:type="spellStart"/>
      <w:r w:rsidRPr="00580C0D">
        <w:t>offentleg</w:t>
      </w:r>
      <w:proofErr w:type="spellEnd"/>
      <w:r w:rsidRPr="00580C0D">
        <w:t xml:space="preserve"> </w:t>
      </w:r>
      <w:proofErr w:type="spellStart"/>
      <w:r w:rsidRPr="00580C0D">
        <w:t>høyring</w:t>
      </w:r>
      <w:proofErr w:type="spellEnd"/>
      <w:r w:rsidRPr="00580C0D">
        <w:t xml:space="preserve">. Departementet har starta opp arbeidet med </w:t>
      </w:r>
      <w:proofErr w:type="gramStart"/>
      <w:r w:rsidRPr="00580C0D">
        <w:t>ei kvalitetsreform</w:t>
      </w:r>
      <w:proofErr w:type="gramEnd"/>
      <w:r w:rsidRPr="00580C0D">
        <w:t xml:space="preserve"> som mellom anna vil </w:t>
      </w:r>
      <w:proofErr w:type="spellStart"/>
      <w:r w:rsidRPr="00580C0D">
        <w:t>byggje</w:t>
      </w:r>
      <w:proofErr w:type="spellEnd"/>
      <w:r w:rsidRPr="00580C0D">
        <w:t xml:space="preserve"> på </w:t>
      </w:r>
      <w:proofErr w:type="spellStart"/>
      <w:r w:rsidRPr="00580C0D">
        <w:t>tilrådingar</w:t>
      </w:r>
      <w:proofErr w:type="spellEnd"/>
      <w:r w:rsidRPr="00580C0D">
        <w:t xml:space="preserve"> </w:t>
      </w:r>
      <w:proofErr w:type="spellStart"/>
      <w:r w:rsidRPr="00580C0D">
        <w:t>frå</w:t>
      </w:r>
      <w:proofErr w:type="spellEnd"/>
      <w:r w:rsidRPr="00580C0D">
        <w:t xml:space="preserve"> dette </w:t>
      </w:r>
      <w:proofErr w:type="spellStart"/>
      <w:r w:rsidRPr="00580C0D">
        <w:t>utvalet</w:t>
      </w:r>
      <w:proofErr w:type="spellEnd"/>
      <w:r w:rsidRPr="00580C0D">
        <w:t xml:space="preserve">. Departementet vil komme tilbake til Stortinget om oppfølginga av </w:t>
      </w:r>
      <w:proofErr w:type="spellStart"/>
      <w:r w:rsidRPr="00580C0D">
        <w:t>tilrådingane</w:t>
      </w:r>
      <w:proofErr w:type="spellEnd"/>
      <w:r w:rsidRPr="00580C0D">
        <w:t xml:space="preserve"> </w:t>
      </w:r>
      <w:proofErr w:type="spellStart"/>
      <w:r w:rsidRPr="00580C0D">
        <w:t>frå</w:t>
      </w:r>
      <w:proofErr w:type="spellEnd"/>
      <w:r w:rsidRPr="00580C0D">
        <w:t xml:space="preserve"> </w:t>
      </w:r>
      <w:proofErr w:type="spellStart"/>
      <w:r w:rsidRPr="00580C0D">
        <w:t>utvalet</w:t>
      </w:r>
      <w:proofErr w:type="spellEnd"/>
      <w:r w:rsidRPr="00580C0D">
        <w:t xml:space="preserve"> på eigna vis.</w:t>
      </w:r>
    </w:p>
    <w:p w14:paraId="433269AD" w14:textId="77777777" w:rsidR="00F7113A" w:rsidRPr="00580C0D" w:rsidRDefault="00142E5B" w:rsidP="00580C0D">
      <w:pPr>
        <w:pStyle w:val="Overskrift2"/>
      </w:pPr>
      <w:r w:rsidRPr="00580C0D">
        <w:t>Stortingssesjon 2019–2020</w:t>
      </w:r>
    </w:p>
    <w:p w14:paraId="000CEDA4" w14:textId="77777777" w:rsidR="00F7113A" w:rsidRPr="00580C0D" w:rsidRDefault="00142E5B" w:rsidP="00580C0D">
      <w:pPr>
        <w:pStyle w:val="avsnitt-tittel"/>
      </w:pPr>
      <w:proofErr w:type="spellStart"/>
      <w:r w:rsidRPr="00580C0D">
        <w:t>Forbod</w:t>
      </w:r>
      <w:proofErr w:type="spellEnd"/>
      <w:r w:rsidRPr="00580C0D">
        <w:t xml:space="preserve"> mot faste etter-skule-</w:t>
      </w:r>
      <w:proofErr w:type="spellStart"/>
      <w:r w:rsidRPr="00580C0D">
        <w:t>tilbod</w:t>
      </w:r>
      <w:proofErr w:type="spellEnd"/>
      <w:r w:rsidRPr="00580C0D">
        <w:t xml:space="preserve"> for barn med overnatting</w:t>
      </w:r>
    </w:p>
    <w:p w14:paraId="0B054D40" w14:textId="77777777" w:rsidR="00F7113A" w:rsidRPr="00580C0D" w:rsidRDefault="00142E5B" w:rsidP="00580C0D">
      <w:pPr>
        <w:pStyle w:val="avsnitt-undertittel"/>
      </w:pPr>
      <w:r w:rsidRPr="00580C0D">
        <w:t>Vedtak 498, 14. april 2020</w:t>
      </w:r>
    </w:p>
    <w:p w14:paraId="65714B38" w14:textId="77777777" w:rsidR="00F7113A" w:rsidRPr="00580C0D" w:rsidRDefault="00142E5B" w:rsidP="00580C0D">
      <w:pPr>
        <w:pStyle w:val="blokksit"/>
        <w:rPr>
          <w:rStyle w:val="kursiv"/>
        </w:rPr>
      </w:pPr>
      <w:r w:rsidRPr="00580C0D">
        <w:rPr>
          <w:rStyle w:val="kursiv"/>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465F88F7"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130 L (2019–2020) </w:t>
      </w:r>
      <w:r w:rsidRPr="00580C0D">
        <w:rPr>
          <w:rStyle w:val="kursiv"/>
        </w:rPr>
        <w:t>Lov om tros- og livssynssamfunn</w:t>
      </w:r>
      <w:r w:rsidRPr="00580C0D">
        <w:t xml:space="preserve">, jf. </w:t>
      </w:r>
      <w:proofErr w:type="spellStart"/>
      <w:r w:rsidRPr="00580C0D">
        <w:t>Innst</w:t>
      </w:r>
      <w:proofErr w:type="spellEnd"/>
      <w:r w:rsidRPr="00580C0D">
        <w:t>. 208 S (2019–2020).</w:t>
      </w:r>
    </w:p>
    <w:p w14:paraId="5A164964" w14:textId="77777777" w:rsidR="00F7113A" w:rsidRPr="00580C0D" w:rsidRDefault="00142E5B" w:rsidP="00580C0D">
      <w:r w:rsidRPr="00580C0D">
        <w:t xml:space="preserve">Departementet har gjort ei førebels utgreiing av </w:t>
      </w:r>
      <w:proofErr w:type="spellStart"/>
      <w:r w:rsidRPr="00580C0D">
        <w:t>dei</w:t>
      </w:r>
      <w:proofErr w:type="spellEnd"/>
      <w:r w:rsidRPr="00580C0D">
        <w:t xml:space="preserve"> menneskerettslege spørsmåla, mellom anna retten til privatliv, trus- og livssynsfridom og til å skipe </w:t>
      </w:r>
      <w:proofErr w:type="spellStart"/>
      <w:r w:rsidRPr="00580C0D">
        <w:t>foreiningar</w:t>
      </w:r>
      <w:proofErr w:type="spellEnd"/>
      <w:r w:rsidRPr="00580C0D">
        <w:t xml:space="preserve">. </w:t>
      </w:r>
      <w:proofErr w:type="spellStart"/>
      <w:r w:rsidRPr="00580C0D">
        <w:t>Moglege</w:t>
      </w:r>
      <w:proofErr w:type="spellEnd"/>
      <w:r w:rsidRPr="00580C0D">
        <w:t xml:space="preserve"> </w:t>
      </w:r>
      <w:proofErr w:type="spellStart"/>
      <w:r w:rsidRPr="00580C0D">
        <w:t>verkemiddel</w:t>
      </w:r>
      <w:proofErr w:type="spellEnd"/>
      <w:r w:rsidRPr="00580C0D">
        <w:t xml:space="preserve"> blir greia ut i samarbeid med andre departement. Departementet ser oppfølginga av dette vedtaket i </w:t>
      </w:r>
      <w:proofErr w:type="spellStart"/>
      <w:r w:rsidRPr="00580C0D">
        <w:t>samanheng</w:t>
      </w:r>
      <w:proofErr w:type="spellEnd"/>
      <w:r w:rsidRPr="00580C0D">
        <w:t xml:space="preserve"> med oppfølginga av vedtak 954 av 20. mai 2021, og vil komme tilbake til Stortinget om oppfølginga av vedtaket på eigna vis.</w:t>
      </w:r>
    </w:p>
    <w:p w14:paraId="240A5D1E" w14:textId="77777777" w:rsidR="00F7113A" w:rsidRPr="00580C0D" w:rsidRDefault="00142E5B" w:rsidP="00580C0D">
      <w:pPr>
        <w:pStyle w:val="avsnitt-tittel"/>
      </w:pPr>
      <w:r w:rsidRPr="00580C0D">
        <w:t>Oppdeling av Opplysningsvesenets fond</w:t>
      </w:r>
    </w:p>
    <w:p w14:paraId="3CA30EEE" w14:textId="77777777" w:rsidR="00F7113A" w:rsidRPr="00580C0D" w:rsidRDefault="00142E5B" w:rsidP="00580C0D">
      <w:pPr>
        <w:pStyle w:val="avsnitt-undertittel"/>
      </w:pPr>
      <w:r w:rsidRPr="00580C0D">
        <w:t>Vedtak nr. 500, 14. april 2020</w:t>
      </w:r>
    </w:p>
    <w:p w14:paraId="5680A1CB" w14:textId="77777777" w:rsidR="00F7113A" w:rsidRPr="00580C0D" w:rsidRDefault="00142E5B" w:rsidP="00580C0D">
      <w:pPr>
        <w:pStyle w:val="blokksit"/>
        <w:rPr>
          <w:rStyle w:val="kursiv"/>
        </w:rPr>
      </w:pPr>
      <w:r w:rsidRPr="00580C0D">
        <w:rPr>
          <w:rStyle w:val="kursiv"/>
        </w:rPr>
        <w:t>«Stortinget ber regjeringen i arbeidet med oppdelingen av Opplysningsvesenets fond ivareta følgende:</w:t>
      </w:r>
    </w:p>
    <w:p w14:paraId="1FCBC0B7" w14:textId="77777777" w:rsidR="00F7113A" w:rsidRPr="00580C0D" w:rsidRDefault="00142E5B" w:rsidP="00580C0D">
      <w:pPr>
        <w:pStyle w:val="friliste2"/>
        <w:rPr>
          <w:rStyle w:val="kursiv"/>
        </w:rPr>
      </w:pPr>
      <w:r w:rsidRPr="00580C0D">
        <w:rPr>
          <w:rStyle w:val="kursiv"/>
        </w:rPr>
        <w:t>1.</w:t>
      </w:r>
      <w:r w:rsidRPr="00580C0D">
        <w:rPr>
          <w:rStyle w:val="kursiv"/>
        </w:rPr>
        <w:tab/>
        <w:t>Staten og kirken skal være likeverdige parter i prosessen som skal avklare hvilke bygninger kirken skal overta, og det legges til grunn at staten kommer til enighet med Den norske kirke om dette.</w:t>
      </w:r>
    </w:p>
    <w:p w14:paraId="66ACE965" w14:textId="77777777" w:rsidR="00F7113A" w:rsidRPr="00580C0D" w:rsidRDefault="00142E5B" w:rsidP="00580C0D">
      <w:pPr>
        <w:pStyle w:val="friliste2"/>
        <w:rPr>
          <w:rStyle w:val="kursiv"/>
        </w:rPr>
      </w:pPr>
      <w:r w:rsidRPr="00580C0D">
        <w:rPr>
          <w:rStyle w:val="kursiv"/>
        </w:rPr>
        <w:t>2.</w:t>
      </w:r>
      <w:r w:rsidRPr="00580C0D">
        <w:rPr>
          <w:rStyle w:val="kursiv"/>
        </w:rPr>
        <w:tab/>
        <w:t>Kirkens verdier skilles ut først, deretter bør staten gjøre egne vurderinger av forvaltning av de verdier som ligger igjen i fondet.</w:t>
      </w:r>
    </w:p>
    <w:p w14:paraId="1282BB62" w14:textId="77777777" w:rsidR="00F7113A" w:rsidRPr="00580C0D" w:rsidRDefault="00142E5B" w:rsidP="00580C0D">
      <w:pPr>
        <w:pStyle w:val="friliste2"/>
        <w:rPr>
          <w:rStyle w:val="kursiv"/>
        </w:rPr>
      </w:pPr>
      <w:r w:rsidRPr="00580C0D">
        <w:rPr>
          <w:rStyle w:val="kursiv"/>
        </w:rPr>
        <w:t>3.</w:t>
      </w:r>
      <w:r w:rsidRPr="00580C0D">
        <w:rPr>
          <w:rStyle w:val="kursiv"/>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3C5B6376" w14:textId="77777777" w:rsidR="00F7113A" w:rsidRPr="00580C0D" w:rsidRDefault="00142E5B" w:rsidP="00580C0D">
      <w:pPr>
        <w:pStyle w:val="friliste2"/>
        <w:rPr>
          <w:rStyle w:val="kursiv"/>
        </w:rPr>
      </w:pPr>
      <w:r w:rsidRPr="00580C0D">
        <w:rPr>
          <w:rStyle w:val="kursiv"/>
        </w:rPr>
        <w:t>4.</w:t>
      </w:r>
      <w:r w:rsidRPr="00580C0D">
        <w:rPr>
          <w:rStyle w:val="kursiv"/>
        </w:rPr>
        <w:tab/>
        <w:t>Statens økte innsats overfor kirkebyggene skal ikke avløse kommunenes økonomiske ansvar for kirkebyggene eller komme til erstatning for andre tiltak eller ordninger som finnes på området.</w:t>
      </w:r>
    </w:p>
    <w:p w14:paraId="19037CF0" w14:textId="75E3CC3F" w:rsidR="00F7113A" w:rsidRPr="00580C0D" w:rsidRDefault="00142E5B" w:rsidP="00580C0D">
      <w:pPr>
        <w:pStyle w:val="friliste2"/>
        <w:rPr>
          <w:rStyle w:val="kursiv"/>
        </w:rPr>
      </w:pPr>
      <w:r w:rsidRPr="00580C0D">
        <w:rPr>
          <w:rStyle w:val="kursiv"/>
        </w:rPr>
        <w:t>5.</w:t>
      </w:r>
      <w:r w:rsidRPr="00580C0D">
        <w:rPr>
          <w:rStyle w:val="kursiv"/>
        </w:rPr>
        <w:tab/>
        <w:t xml:space="preserve">I samråd med kirkelige instanser, antikvariske myndigheter mfl. </w:t>
      </w:r>
      <w:r w:rsidR="00D665D9" w:rsidRPr="00580C0D">
        <w:rPr>
          <w:rStyle w:val="kursiv"/>
        </w:rPr>
        <w:t>I</w:t>
      </w:r>
      <w:r w:rsidRPr="00580C0D">
        <w:rPr>
          <w:rStyle w:val="kursiv"/>
        </w:rPr>
        <w:t xml:space="preserve">gangsettes arbeidet med bevaringsprogrammer for ulike kategorier av kulturhistorisk viktige kirkebygg, for eksempel ved å kategorisere kirkebyggene etter alder, verneverdi eller </w:t>
      </w:r>
      <w:proofErr w:type="spellStart"/>
      <w:r w:rsidRPr="00580C0D">
        <w:rPr>
          <w:rStyle w:val="kursiv"/>
        </w:rPr>
        <w:t>vedlikeholdstilstand</w:t>
      </w:r>
      <w:proofErr w:type="spellEnd"/>
      <w:r w:rsidRPr="00580C0D">
        <w:rPr>
          <w:rStyle w:val="kursiv"/>
        </w:rPr>
        <w:t>.»</w:t>
      </w:r>
    </w:p>
    <w:p w14:paraId="35DCB936" w14:textId="77777777" w:rsidR="00F7113A" w:rsidRPr="00580C0D" w:rsidRDefault="00142E5B" w:rsidP="00580C0D">
      <w:r w:rsidRPr="00580C0D">
        <w:t xml:space="preserve">Vedtaket blei gjort i samband med handsaminga av Meld. St. 29 (2018–2019) </w:t>
      </w:r>
      <w:r w:rsidRPr="00580C0D">
        <w:rPr>
          <w:rStyle w:val="kursiv"/>
        </w:rPr>
        <w:t>Opplysningsvesenets fond</w:t>
      </w:r>
      <w:r w:rsidRPr="00580C0D">
        <w:t xml:space="preserve">, jf. </w:t>
      </w:r>
      <w:proofErr w:type="spellStart"/>
      <w:r w:rsidRPr="00580C0D">
        <w:t>Innst</w:t>
      </w:r>
      <w:proofErr w:type="spellEnd"/>
      <w:r w:rsidRPr="00580C0D">
        <w:t>. 209 S (2019–2020).</w:t>
      </w:r>
    </w:p>
    <w:p w14:paraId="6FBA2508" w14:textId="379A06EF" w:rsidR="00F7113A" w:rsidRPr="00580C0D" w:rsidRDefault="00142E5B" w:rsidP="00580C0D">
      <w:r w:rsidRPr="00580C0D">
        <w:t xml:space="preserve">Den 14. juni 2021 vedtok Stortinget ny lov om Opplysningsvesenets fond, jf. </w:t>
      </w:r>
      <w:proofErr w:type="spellStart"/>
      <w:r w:rsidRPr="00580C0D">
        <w:t>Prop</w:t>
      </w:r>
      <w:proofErr w:type="spellEnd"/>
      <w:r w:rsidRPr="00580C0D">
        <w:t xml:space="preserve">. 144 L (2020–2021) </w:t>
      </w:r>
      <w:r w:rsidRPr="00580C0D">
        <w:rPr>
          <w:rStyle w:val="kursiv"/>
        </w:rPr>
        <w:t>Lov om Opplysningsvesenets fond</w:t>
      </w:r>
      <w:r w:rsidRPr="00580C0D">
        <w:t xml:space="preserve"> og </w:t>
      </w:r>
      <w:proofErr w:type="spellStart"/>
      <w:r w:rsidRPr="00580C0D">
        <w:t>Innst</w:t>
      </w:r>
      <w:proofErr w:type="spellEnd"/>
      <w:r w:rsidRPr="00580C0D">
        <w:t xml:space="preserve">. 623 L (2020–2021). Lova følgjer opp </w:t>
      </w:r>
      <w:proofErr w:type="spellStart"/>
      <w:r w:rsidRPr="00580C0D">
        <w:t>Innst</w:t>
      </w:r>
      <w:proofErr w:type="spellEnd"/>
      <w:r w:rsidRPr="00580C0D">
        <w:t xml:space="preserve">. 209 S (2019–2020) og skal </w:t>
      </w:r>
      <w:proofErr w:type="spellStart"/>
      <w:r w:rsidRPr="00580C0D">
        <w:t>leggje</w:t>
      </w:r>
      <w:proofErr w:type="spellEnd"/>
      <w:r w:rsidRPr="00580C0D">
        <w:t xml:space="preserve"> det </w:t>
      </w:r>
      <w:proofErr w:type="spellStart"/>
      <w:r w:rsidRPr="00580C0D">
        <w:t>rettslege</w:t>
      </w:r>
      <w:proofErr w:type="spellEnd"/>
      <w:r w:rsidRPr="00580C0D">
        <w:t xml:space="preserve"> grunnlaget for deling av Opplysningsvesenets fond mellom Den norske </w:t>
      </w:r>
      <w:proofErr w:type="spellStart"/>
      <w:r w:rsidRPr="00580C0D">
        <w:t>kyrkja</w:t>
      </w:r>
      <w:proofErr w:type="spellEnd"/>
      <w:r w:rsidRPr="00580C0D">
        <w:t xml:space="preserve"> og staten, i samsvar med stortingsvedtaka. I proposisjonen blir det lagt til grunn at Den norske </w:t>
      </w:r>
      <w:proofErr w:type="spellStart"/>
      <w:r w:rsidRPr="00580C0D">
        <w:t>kyrkja</w:t>
      </w:r>
      <w:proofErr w:type="spellEnd"/>
      <w:r w:rsidRPr="00580C0D">
        <w:t xml:space="preserve"> og staten er likeverdige </w:t>
      </w:r>
      <w:proofErr w:type="spellStart"/>
      <w:r w:rsidRPr="00580C0D">
        <w:t>partar</w:t>
      </w:r>
      <w:proofErr w:type="spellEnd"/>
      <w:r w:rsidRPr="00580C0D">
        <w:t xml:space="preserve"> i delingsarbeidet. Etter </w:t>
      </w:r>
      <w:proofErr w:type="spellStart"/>
      <w:r w:rsidRPr="00580C0D">
        <w:t>innspel</w:t>
      </w:r>
      <w:proofErr w:type="spellEnd"/>
      <w:r w:rsidRPr="00580C0D">
        <w:t xml:space="preserve"> </w:t>
      </w:r>
      <w:proofErr w:type="spellStart"/>
      <w:r w:rsidRPr="00580C0D">
        <w:t>frå</w:t>
      </w:r>
      <w:proofErr w:type="spellEnd"/>
      <w:r w:rsidRPr="00580C0D">
        <w:t xml:space="preserve"> </w:t>
      </w:r>
      <w:proofErr w:type="spellStart"/>
      <w:r w:rsidRPr="00580C0D">
        <w:t>partane</w:t>
      </w:r>
      <w:proofErr w:type="spellEnd"/>
      <w:r w:rsidRPr="00580C0D">
        <w:t xml:space="preserve"> er det </w:t>
      </w:r>
      <w:proofErr w:type="spellStart"/>
      <w:r w:rsidRPr="00580C0D">
        <w:t>no</w:t>
      </w:r>
      <w:proofErr w:type="spellEnd"/>
      <w:r w:rsidRPr="00580C0D">
        <w:t xml:space="preserve"> bestemt kva </w:t>
      </w:r>
      <w:proofErr w:type="spellStart"/>
      <w:r w:rsidRPr="00580C0D">
        <w:t>eigedommar</w:t>
      </w:r>
      <w:proofErr w:type="spellEnd"/>
      <w:r w:rsidRPr="00580C0D">
        <w:t xml:space="preserve"> som skal </w:t>
      </w:r>
      <w:proofErr w:type="spellStart"/>
      <w:r w:rsidRPr="00580C0D">
        <w:t>overførast</w:t>
      </w:r>
      <w:proofErr w:type="spellEnd"/>
      <w:r w:rsidRPr="00580C0D">
        <w:t xml:space="preserve"> til </w:t>
      </w:r>
      <w:proofErr w:type="spellStart"/>
      <w:r w:rsidRPr="00580C0D">
        <w:t>kyrkja</w:t>
      </w:r>
      <w:proofErr w:type="spellEnd"/>
      <w:r w:rsidRPr="00580C0D">
        <w:t xml:space="preserve">. Det blir </w:t>
      </w:r>
      <w:proofErr w:type="spellStart"/>
      <w:r w:rsidRPr="00580C0D">
        <w:t>no</w:t>
      </w:r>
      <w:proofErr w:type="spellEnd"/>
      <w:r w:rsidRPr="00580C0D">
        <w:t xml:space="preserve"> </w:t>
      </w:r>
      <w:proofErr w:type="spellStart"/>
      <w:r w:rsidRPr="00580C0D">
        <w:t>arbeidd</w:t>
      </w:r>
      <w:proofErr w:type="spellEnd"/>
      <w:r w:rsidRPr="00580C0D">
        <w:t xml:space="preserve"> med å gjennomføre </w:t>
      </w:r>
      <w:proofErr w:type="spellStart"/>
      <w:r w:rsidRPr="00580C0D">
        <w:t>overføringane</w:t>
      </w:r>
      <w:proofErr w:type="spellEnd"/>
      <w:r w:rsidRPr="00580C0D">
        <w:t xml:space="preserve"> og vilkåra for dette. Opplysningsvesenets fond blei </w:t>
      </w:r>
      <w:proofErr w:type="spellStart"/>
      <w:r w:rsidRPr="00580C0D">
        <w:t>statleg</w:t>
      </w:r>
      <w:proofErr w:type="spellEnd"/>
      <w:r w:rsidRPr="00580C0D">
        <w:t xml:space="preserve"> </w:t>
      </w:r>
      <w:proofErr w:type="spellStart"/>
      <w:r w:rsidRPr="00580C0D">
        <w:t>frå</w:t>
      </w:r>
      <w:proofErr w:type="spellEnd"/>
      <w:r w:rsidRPr="00580C0D">
        <w:t xml:space="preserve"> 1. januar 2023. Staten overtok med dette </w:t>
      </w:r>
      <w:proofErr w:type="spellStart"/>
      <w:r w:rsidRPr="00580C0D">
        <w:t>verdiar</w:t>
      </w:r>
      <w:proofErr w:type="spellEnd"/>
      <w:r w:rsidRPr="00580C0D">
        <w:t xml:space="preserve"> som </w:t>
      </w:r>
      <w:proofErr w:type="spellStart"/>
      <w:r w:rsidRPr="00580C0D">
        <w:t>tidlegare</w:t>
      </w:r>
      <w:proofErr w:type="spellEnd"/>
      <w:r w:rsidRPr="00580C0D">
        <w:t xml:space="preserve"> er anslått til å </w:t>
      </w:r>
      <w:proofErr w:type="spellStart"/>
      <w:r w:rsidRPr="00580C0D">
        <w:t>vere</w:t>
      </w:r>
      <w:proofErr w:type="spellEnd"/>
      <w:r w:rsidRPr="00580C0D">
        <w:t xml:space="preserve"> i </w:t>
      </w:r>
      <w:proofErr w:type="spellStart"/>
      <w:r w:rsidRPr="00580C0D">
        <w:t>storleiksorden</w:t>
      </w:r>
      <w:proofErr w:type="spellEnd"/>
      <w:r w:rsidRPr="00580C0D">
        <w:t xml:space="preserve"> 10 mrd. </w:t>
      </w:r>
      <w:r w:rsidR="00D665D9" w:rsidRPr="00580C0D">
        <w:t>K</w:t>
      </w:r>
      <w:r w:rsidRPr="00580C0D">
        <w:t xml:space="preserve">roner. Departementet har fått </w:t>
      </w:r>
      <w:proofErr w:type="spellStart"/>
      <w:r w:rsidRPr="00580C0D">
        <w:t>innspel</w:t>
      </w:r>
      <w:proofErr w:type="spellEnd"/>
      <w:r w:rsidRPr="00580C0D">
        <w:t xml:space="preserve"> </w:t>
      </w:r>
      <w:proofErr w:type="spellStart"/>
      <w:r w:rsidRPr="00580C0D">
        <w:t>frå</w:t>
      </w:r>
      <w:proofErr w:type="spellEnd"/>
      <w:r w:rsidRPr="00580C0D">
        <w:t xml:space="preserve"> antikvariske styresmakter og Den norske </w:t>
      </w:r>
      <w:proofErr w:type="spellStart"/>
      <w:r w:rsidRPr="00580C0D">
        <w:t>kyrkja</w:t>
      </w:r>
      <w:proofErr w:type="spellEnd"/>
      <w:r w:rsidRPr="00580C0D">
        <w:t xml:space="preserve"> som grunnlag for å utarbeide </w:t>
      </w:r>
      <w:proofErr w:type="spellStart"/>
      <w:r w:rsidRPr="00580C0D">
        <w:t>ein</w:t>
      </w:r>
      <w:proofErr w:type="spellEnd"/>
      <w:r w:rsidRPr="00580C0D">
        <w:t xml:space="preserve"> bevaringsstrategi for å bevare kulturhistorisk viktige </w:t>
      </w:r>
      <w:proofErr w:type="spellStart"/>
      <w:r w:rsidRPr="00580C0D">
        <w:t>kyrkjer</w:t>
      </w:r>
      <w:proofErr w:type="spellEnd"/>
      <w:r w:rsidRPr="00580C0D">
        <w:t xml:space="preserve">. Departementet arbeider med å ferdigstille </w:t>
      </w:r>
      <w:proofErr w:type="spellStart"/>
      <w:r w:rsidRPr="00580C0D">
        <w:t>ein</w:t>
      </w:r>
      <w:proofErr w:type="spellEnd"/>
      <w:r w:rsidRPr="00580C0D">
        <w:t xml:space="preserve"> strategi til </w:t>
      </w:r>
      <w:proofErr w:type="spellStart"/>
      <w:r w:rsidRPr="00580C0D">
        <w:t>føremålet</w:t>
      </w:r>
      <w:proofErr w:type="spellEnd"/>
      <w:r w:rsidRPr="00580C0D">
        <w:t>. Departementet vil komme tilbake til Stortinget om oppfølginga av vedtaket på eigna vis.</w:t>
      </w:r>
    </w:p>
    <w:p w14:paraId="532B8AA2" w14:textId="77777777" w:rsidR="00F7113A" w:rsidRPr="00580C0D" w:rsidRDefault="00142E5B" w:rsidP="00580C0D">
      <w:pPr>
        <w:pStyle w:val="avsnitt-tittel"/>
      </w:pPr>
      <w:r w:rsidRPr="00580C0D">
        <w:t xml:space="preserve">Opplysningsvesenets fond – </w:t>
      </w:r>
      <w:proofErr w:type="spellStart"/>
      <w:r w:rsidRPr="00580C0D">
        <w:t>fondseigedommane</w:t>
      </w:r>
      <w:proofErr w:type="spellEnd"/>
      <w:r w:rsidRPr="00580C0D">
        <w:t xml:space="preserve"> staten </w:t>
      </w:r>
      <w:proofErr w:type="spellStart"/>
      <w:r w:rsidRPr="00580C0D">
        <w:t>tek</w:t>
      </w:r>
      <w:proofErr w:type="spellEnd"/>
      <w:r w:rsidRPr="00580C0D">
        <w:t xml:space="preserve"> over</w:t>
      </w:r>
    </w:p>
    <w:p w14:paraId="487243E4" w14:textId="77777777" w:rsidR="00F7113A" w:rsidRPr="00580C0D" w:rsidRDefault="00142E5B" w:rsidP="00580C0D">
      <w:pPr>
        <w:pStyle w:val="avsnitt-undertittel"/>
      </w:pPr>
      <w:r w:rsidRPr="00580C0D">
        <w:t>Vedtak nr. 501, 14. april 2020</w:t>
      </w:r>
    </w:p>
    <w:p w14:paraId="62A34FE7" w14:textId="77777777" w:rsidR="00F7113A" w:rsidRPr="00580C0D" w:rsidRDefault="00142E5B" w:rsidP="00580C0D">
      <w:pPr>
        <w:pStyle w:val="blokksit"/>
        <w:rPr>
          <w:rStyle w:val="kursiv"/>
        </w:rPr>
      </w:pPr>
      <w:r w:rsidRPr="00580C0D">
        <w:rPr>
          <w:rStyle w:val="kursiv"/>
        </w:rPr>
        <w:t>«Stortinget ber regjeringen komme tilbake til Stortinget med sak om fondseiendommene staten overtar etter at Opplysningsvesenets fond er oppdelt. 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2E3D3519" w14:textId="77777777" w:rsidR="00F7113A" w:rsidRPr="00580C0D" w:rsidRDefault="00142E5B" w:rsidP="00580C0D">
      <w:r w:rsidRPr="00580C0D">
        <w:t xml:space="preserve">Vedtaket blei gjort i samband med handsaminga av Meld. St. 29 (2018–2019) </w:t>
      </w:r>
      <w:r w:rsidRPr="00580C0D">
        <w:rPr>
          <w:rStyle w:val="kursiv"/>
        </w:rPr>
        <w:t>Opplysningsvesenets fond</w:t>
      </w:r>
      <w:r w:rsidRPr="00580C0D">
        <w:t xml:space="preserve">, jf. </w:t>
      </w:r>
      <w:proofErr w:type="spellStart"/>
      <w:r w:rsidRPr="00580C0D">
        <w:t>Innst</w:t>
      </w:r>
      <w:proofErr w:type="spellEnd"/>
      <w:r w:rsidRPr="00580C0D">
        <w:t>. 209 S (2019–2020).</w:t>
      </w:r>
    </w:p>
    <w:p w14:paraId="7D2AD44C" w14:textId="3E1571C7" w:rsidR="00F7113A" w:rsidRPr="00580C0D" w:rsidRDefault="00142E5B" w:rsidP="00580C0D">
      <w:r w:rsidRPr="00580C0D">
        <w:t xml:space="preserve">Den 14. juni 2021 vedtok Stortinget ny lov om Opplysningsvesenets fond, jf. </w:t>
      </w:r>
      <w:proofErr w:type="spellStart"/>
      <w:r w:rsidRPr="00580C0D">
        <w:t>Prop</w:t>
      </w:r>
      <w:proofErr w:type="spellEnd"/>
      <w:r w:rsidRPr="00580C0D">
        <w:t xml:space="preserve">. 144 L (2020–2021) </w:t>
      </w:r>
      <w:r w:rsidRPr="00580C0D">
        <w:rPr>
          <w:rStyle w:val="kursiv"/>
        </w:rPr>
        <w:t>Lov om Opplysningsvesenets fond</w:t>
      </w:r>
      <w:r w:rsidRPr="00580C0D">
        <w:t xml:space="preserve"> og </w:t>
      </w:r>
      <w:proofErr w:type="spellStart"/>
      <w:r w:rsidRPr="00580C0D">
        <w:t>Innst</w:t>
      </w:r>
      <w:proofErr w:type="spellEnd"/>
      <w:r w:rsidRPr="00580C0D">
        <w:t xml:space="preserve">. 623 L (2020–2021). Lova legg det </w:t>
      </w:r>
      <w:proofErr w:type="spellStart"/>
      <w:r w:rsidRPr="00580C0D">
        <w:t>rettslege</w:t>
      </w:r>
      <w:proofErr w:type="spellEnd"/>
      <w:r w:rsidRPr="00580C0D">
        <w:t xml:space="preserve"> grunnlaget for å dele Opplysningsvesenets fond mellom Den norske </w:t>
      </w:r>
      <w:proofErr w:type="spellStart"/>
      <w:r w:rsidRPr="00580C0D">
        <w:t>kyrkja</w:t>
      </w:r>
      <w:proofErr w:type="spellEnd"/>
      <w:r w:rsidRPr="00580C0D">
        <w:t xml:space="preserve"> og staten. Regjeringa </w:t>
      </w:r>
      <w:proofErr w:type="spellStart"/>
      <w:r w:rsidRPr="00580C0D">
        <w:t>tek</w:t>
      </w:r>
      <w:proofErr w:type="spellEnd"/>
      <w:r w:rsidRPr="00580C0D">
        <w:t xml:space="preserve"> sikte på å </w:t>
      </w:r>
      <w:proofErr w:type="spellStart"/>
      <w:r w:rsidRPr="00580C0D">
        <w:t>gjere</w:t>
      </w:r>
      <w:proofErr w:type="spellEnd"/>
      <w:r w:rsidRPr="00580C0D">
        <w:t xml:space="preserve"> Opplysningsvesenets fond om til </w:t>
      </w:r>
      <w:proofErr w:type="spellStart"/>
      <w:r w:rsidRPr="00580C0D">
        <w:t>eit</w:t>
      </w:r>
      <w:proofErr w:type="spellEnd"/>
      <w:r w:rsidRPr="00580C0D">
        <w:t xml:space="preserve"> aksjeselskap og at utøvinga av </w:t>
      </w:r>
      <w:proofErr w:type="spellStart"/>
      <w:r w:rsidRPr="00580C0D">
        <w:t>eigarskapen</w:t>
      </w:r>
      <w:proofErr w:type="spellEnd"/>
      <w:r w:rsidRPr="00580C0D">
        <w:t xml:space="preserve"> deretter vil bli overført til Nærings- og fiskeridepartementet. Regjeringa tek </w:t>
      </w:r>
      <w:proofErr w:type="spellStart"/>
      <w:r w:rsidRPr="00580C0D">
        <w:t>vidare</w:t>
      </w:r>
      <w:proofErr w:type="spellEnd"/>
      <w:r w:rsidRPr="00580C0D">
        <w:t xml:space="preserve"> sikte på at forvaltninga av selskapet skal </w:t>
      </w:r>
      <w:proofErr w:type="spellStart"/>
      <w:r w:rsidRPr="00580C0D">
        <w:t>byggje</w:t>
      </w:r>
      <w:proofErr w:type="spellEnd"/>
      <w:r w:rsidRPr="00580C0D">
        <w:t xml:space="preserve"> på kontinuitet, </w:t>
      </w:r>
      <w:proofErr w:type="spellStart"/>
      <w:r w:rsidRPr="00580C0D">
        <w:t>særleg</w:t>
      </w:r>
      <w:proofErr w:type="spellEnd"/>
      <w:r w:rsidRPr="00580C0D">
        <w:t xml:space="preserve"> knytt til Opplysningsvesenets fond sine rammer i dag. Selskapet skal som </w:t>
      </w:r>
      <w:proofErr w:type="spellStart"/>
      <w:r w:rsidRPr="00580C0D">
        <w:t>grunneigar</w:t>
      </w:r>
      <w:proofErr w:type="spellEnd"/>
      <w:r w:rsidRPr="00580C0D">
        <w:t xml:space="preserve"> framleis ta vare på og </w:t>
      </w:r>
      <w:proofErr w:type="spellStart"/>
      <w:r w:rsidRPr="00580C0D">
        <w:t>vidareutvikle</w:t>
      </w:r>
      <w:proofErr w:type="spellEnd"/>
      <w:r w:rsidRPr="00580C0D">
        <w:t xml:space="preserve"> </w:t>
      </w:r>
      <w:proofErr w:type="spellStart"/>
      <w:r w:rsidRPr="00580C0D">
        <w:t>verdiar</w:t>
      </w:r>
      <w:proofErr w:type="spellEnd"/>
      <w:r w:rsidRPr="00580C0D">
        <w:t xml:space="preserve"> i porteføljen med </w:t>
      </w:r>
      <w:proofErr w:type="spellStart"/>
      <w:r w:rsidRPr="00580C0D">
        <w:t>eigedommar</w:t>
      </w:r>
      <w:proofErr w:type="spellEnd"/>
      <w:r w:rsidRPr="00580C0D">
        <w:t xml:space="preserve"> og bygg over heile landet på forretningsmessig måte og </w:t>
      </w:r>
      <w:proofErr w:type="spellStart"/>
      <w:r w:rsidRPr="00580C0D">
        <w:t>innanfor</w:t>
      </w:r>
      <w:proofErr w:type="spellEnd"/>
      <w:r w:rsidRPr="00580C0D">
        <w:t xml:space="preserve"> kommersielle rammer framleis </w:t>
      </w:r>
      <w:proofErr w:type="spellStart"/>
      <w:r w:rsidRPr="00580C0D">
        <w:t>medverke</w:t>
      </w:r>
      <w:proofErr w:type="spellEnd"/>
      <w:r w:rsidRPr="00580C0D">
        <w:t xml:space="preserve"> til utvikling lokalt med langsiktige og miljøriktige </w:t>
      </w:r>
      <w:proofErr w:type="spellStart"/>
      <w:r w:rsidRPr="00580C0D">
        <w:t>løysingar</w:t>
      </w:r>
      <w:proofErr w:type="spellEnd"/>
      <w:r w:rsidRPr="00580C0D">
        <w:t xml:space="preserve">. </w:t>
      </w:r>
      <w:proofErr w:type="spellStart"/>
      <w:r w:rsidRPr="00580C0D">
        <w:t>Forventningar</w:t>
      </w:r>
      <w:proofErr w:type="spellEnd"/>
      <w:r w:rsidRPr="00580C0D">
        <w:t xml:space="preserve"> til </w:t>
      </w:r>
      <w:proofErr w:type="spellStart"/>
      <w:r w:rsidRPr="00580C0D">
        <w:t>berekraft</w:t>
      </w:r>
      <w:proofErr w:type="spellEnd"/>
      <w:r w:rsidRPr="00580C0D">
        <w:t xml:space="preserve">, samfunnsansvar, </w:t>
      </w:r>
      <w:proofErr w:type="spellStart"/>
      <w:r w:rsidRPr="00580C0D">
        <w:t>leiarlønn</w:t>
      </w:r>
      <w:proofErr w:type="spellEnd"/>
      <w:r w:rsidRPr="00580C0D">
        <w:t xml:space="preserve"> mm. </w:t>
      </w:r>
      <w:r w:rsidR="00D665D9" w:rsidRPr="00580C0D">
        <w:t>V</w:t>
      </w:r>
      <w:r w:rsidRPr="00580C0D">
        <w:t xml:space="preserve">il </w:t>
      </w:r>
      <w:proofErr w:type="spellStart"/>
      <w:r w:rsidRPr="00580C0D">
        <w:t>følgje</w:t>
      </w:r>
      <w:proofErr w:type="spellEnd"/>
      <w:r w:rsidRPr="00580C0D">
        <w:t xml:space="preserve"> av Meld. St. 6 (2022–2023) (eierskapsmeldingen). Kulturhistoriske </w:t>
      </w:r>
      <w:proofErr w:type="spellStart"/>
      <w:r w:rsidRPr="00580C0D">
        <w:t>eigedommar</w:t>
      </w:r>
      <w:proofErr w:type="spellEnd"/>
      <w:r w:rsidRPr="00580C0D">
        <w:t xml:space="preserve"> vil bli forvalta i samsvar med </w:t>
      </w:r>
      <w:proofErr w:type="spellStart"/>
      <w:r w:rsidRPr="00580C0D">
        <w:t>kulturminnelovgjevinga</w:t>
      </w:r>
      <w:proofErr w:type="spellEnd"/>
      <w:r w:rsidRPr="00580C0D">
        <w:t xml:space="preserve"> mm. </w:t>
      </w:r>
      <w:r w:rsidR="00D665D9" w:rsidRPr="00580C0D">
        <w:t>S</w:t>
      </w:r>
      <w:r w:rsidRPr="00580C0D">
        <w:t xml:space="preserve">å lenge selskapet </w:t>
      </w:r>
      <w:proofErr w:type="spellStart"/>
      <w:r w:rsidRPr="00580C0D">
        <w:t>eig</w:t>
      </w:r>
      <w:proofErr w:type="spellEnd"/>
      <w:r w:rsidRPr="00580C0D">
        <w:t xml:space="preserve"> </w:t>
      </w:r>
      <w:proofErr w:type="spellStart"/>
      <w:r w:rsidRPr="00580C0D">
        <w:t>desse</w:t>
      </w:r>
      <w:proofErr w:type="spellEnd"/>
      <w:r w:rsidRPr="00580C0D">
        <w:t xml:space="preserve">. Staten har ingen </w:t>
      </w:r>
      <w:proofErr w:type="spellStart"/>
      <w:r w:rsidRPr="00580C0D">
        <w:t>særskilde</w:t>
      </w:r>
      <w:proofErr w:type="spellEnd"/>
      <w:r w:rsidRPr="00580C0D">
        <w:t xml:space="preserve"> </w:t>
      </w:r>
      <w:proofErr w:type="spellStart"/>
      <w:r w:rsidRPr="00580C0D">
        <w:t>grunnar</w:t>
      </w:r>
      <w:proofErr w:type="spellEnd"/>
      <w:r w:rsidRPr="00580C0D">
        <w:t xml:space="preserve"> for </w:t>
      </w:r>
      <w:proofErr w:type="spellStart"/>
      <w:r w:rsidRPr="00580C0D">
        <w:t>eigarskapen</w:t>
      </w:r>
      <w:proofErr w:type="spellEnd"/>
      <w:r w:rsidRPr="00580C0D">
        <w:t xml:space="preserve">, og staten sitt mål er </w:t>
      </w:r>
      <w:proofErr w:type="spellStart"/>
      <w:r w:rsidRPr="00580C0D">
        <w:t>høgast</w:t>
      </w:r>
      <w:proofErr w:type="spellEnd"/>
      <w:r w:rsidRPr="00580C0D">
        <w:t xml:space="preserve"> </w:t>
      </w:r>
      <w:proofErr w:type="spellStart"/>
      <w:r w:rsidRPr="00580C0D">
        <w:t>mogleg</w:t>
      </w:r>
      <w:proofErr w:type="spellEnd"/>
      <w:r w:rsidRPr="00580C0D">
        <w:t xml:space="preserve"> avkasting over tid </w:t>
      </w:r>
      <w:proofErr w:type="spellStart"/>
      <w:r w:rsidRPr="00580C0D">
        <w:t>innanfor</w:t>
      </w:r>
      <w:proofErr w:type="spellEnd"/>
      <w:r w:rsidRPr="00580C0D">
        <w:t xml:space="preserve"> </w:t>
      </w:r>
      <w:proofErr w:type="spellStart"/>
      <w:r w:rsidRPr="00580C0D">
        <w:t>berekraftige</w:t>
      </w:r>
      <w:proofErr w:type="spellEnd"/>
      <w:r w:rsidRPr="00580C0D">
        <w:t xml:space="preserve"> rammer for den kommersielle og største delen av </w:t>
      </w:r>
      <w:proofErr w:type="spellStart"/>
      <w:r w:rsidRPr="00580C0D">
        <w:t>verksemda</w:t>
      </w:r>
      <w:proofErr w:type="spellEnd"/>
      <w:r w:rsidRPr="00580C0D">
        <w:t xml:space="preserve">, og </w:t>
      </w:r>
      <w:proofErr w:type="spellStart"/>
      <w:r w:rsidRPr="00580C0D">
        <w:t>dessutan</w:t>
      </w:r>
      <w:proofErr w:type="spellEnd"/>
      <w:r w:rsidRPr="00580C0D">
        <w:t xml:space="preserve"> </w:t>
      </w:r>
      <w:proofErr w:type="spellStart"/>
      <w:r w:rsidRPr="00580C0D">
        <w:t>berekraftig</w:t>
      </w:r>
      <w:proofErr w:type="spellEnd"/>
      <w:r w:rsidRPr="00580C0D">
        <w:t xml:space="preserve"> og kostnadseffektiv forvalting av </w:t>
      </w:r>
      <w:proofErr w:type="spellStart"/>
      <w:r w:rsidRPr="00580C0D">
        <w:t>høg</w:t>
      </w:r>
      <w:proofErr w:type="spellEnd"/>
      <w:r w:rsidRPr="00580C0D">
        <w:t xml:space="preserve"> kvalitet for </w:t>
      </w:r>
      <w:proofErr w:type="spellStart"/>
      <w:r w:rsidRPr="00580C0D">
        <w:t>dei</w:t>
      </w:r>
      <w:proofErr w:type="spellEnd"/>
      <w:r w:rsidRPr="00580C0D">
        <w:t xml:space="preserve"> kulturhistorisk viktige bygga, </w:t>
      </w:r>
      <w:proofErr w:type="spellStart"/>
      <w:r w:rsidRPr="00580C0D">
        <w:t>eigedommane</w:t>
      </w:r>
      <w:proofErr w:type="spellEnd"/>
      <w:r w:rsidRPr="00580C0D">
        <w:t xml:space="preserve"> og </w:t>
      </w:r>
      <w:proofErr w:type="spellStart"/>
      <w:r w:rsidRPr="00580C0D">
        <w:t>landbrukseigedommane</w:t>
      </w:r>
      <w:proofErr w:type="spellEnd"/>
      <w:r w:rsidRPr="00580C0D">
        <w:t xml:space="preserve"> som er att i selskapet. Det vil bli lagt til grunn at sal av </w:t>
      </w:r>
      <w:proofErr w:type="spellStart"/>
      <w:r w:rsidRPr="00580C0D">
        <w:t>eigedelar</w:t>
      </w:r>
      <w:proofErr w:type="spellEnd"/>
      <w:r w:rsidRPr="00580C0D">
        <w:t xml:space="preserve"> skal skje på </w:t>
      </w:r>
      <w:proofErr w:type="spellStart"/>
      <w:r w:rsidRPr="00580C0D">
        <w:t>marknadsvilkår</w:t>
      </w:r>
      <w:proofErr w:type="spellEnd"/>
      <w:r w:rsidRPr="00580C0D">
        <w:t xml:space="preserve">, men jord- og </w:t>
      </w:r>
      <w:proofErr w:type="spellStart"/>
      <w:r w:rsidRPr="00580C0D">
        <w:t>skogeigedommar</w:t>
      </w:r>
      <w:proofErr w:type="spellEnd"/>
      <w:r w:rsidRPr="00580C0D">
        <w:t xml:space="preserve"> skal </w:t>
      </w:r>
      <w:proofErr w:type="spellStart"/>
      <w:r w:rsidRPr="00580C0D">
        <w:t>berre</w:t>
      </w:r>
      <w:proofErr w:type="spellEnd"/>
      <w:r w:rsidRPr="00580C0D">
        <w:t xml:space="preserve"> </w:t>
      </w:r>
      <w:proofErr w:type="spellStart"/>
      <w:r w:rsidRPr="00580C0D">
        <w:t>seljast</w:t>
      </w:r>
      <w:proofErr w:type="spellEnd"/>
      <w:r w:rsidRPr="00580C0D">
        <w:t xml:space="preserve"> til </w:t>
      </w:r>
      <w:proofErr w:type="spellStart"/>
      <w:r w:rsidRPr="00580C0D">
        <w:t>aktørar</w:t>
      </w:r>
      <w:proofErr w:type="spellEnd"/>
      <w:r w:rsidRPr="00580C0D">
        <w:t xml:space="preserve"> som </w:t>
      </w:r>
      <w:proofErr w:type="spellStart"/>
      <w:r w:rsidRPr="00580C0D">
        <w:t>konsesjonslovgivinga</w:t>
      </w:r>
      <w:proofErr w:type="spellEnd"/>
      <w:r w:rsidRPr="00580C0D">
        <w:t xml:space="preserve"> gjeld for, eller som er kontrollerte av det </w:t>
      </w:r>
      <w:proofErr w:type="spellStart"/>
      <w:r w:rsidRPr="00580C0D">
        <w:t>offentlege</w:t>
      </w:r>
      <w:proofErr w:type="spellEnd"/>
      <w:r w:rsidRPr="00580C0D">
        <w:t xml:space="preserve">. </w:t>
      </w:r>
      <w:proofErr w:type="spellStart"/>
      <w:r w:rsidRPr="00580C0D">
        <w:t>Tidlegare</w:t>
      </w:r>
      <w:proofErr w:type="spellEnd"/>
      <w:r w:rsidRPr="00580C0D">
        <w:t xml:space="preserve"> skogbruks- og </w:t>
      </w:r>
      <w:proofErr w:type="spellStart"/>
      <w:r w:rsidRPr="00580C0D">
        <w:t>jordbrukseigedommar</w:t>
      </w:r>
      <w:proofErr w:type="spellEnd"/>
      <w:r w:rsidRPr="00580C0D">
        <w:t xml:space="preserve"> som er omregulerte av </w:t>
      </w:r>
      <w:proofErr w:type="spellStart"/>
      <w:r w:rsidRPr="00580C0D">
        <w:t>kommunar</w:t>
      </w:r>
      <w:proofErr w:type="spellEnd"/>
      <w:r w:rsidRPr="00580C0D">
        <w:t xml:space="preserve">, NVE eller andre, skal </w:t>
      </w:r>
      <w:proofErr w:type="spellStart"/>
      <w:r w:rsidRPr="00580C0D">
        <w:t>framleis</w:t>
      </w:r>
      <w:proofErr w:type="spellEnd"/>
      <w:r w:rsidRPr="00580C0D">
        <w:t xml:space="preserve"> kunne </w:t>
      </w:r>
      <w:proofErr w:type="spellStart"/>
      <w:r w:rsidRPr="00580C0D">
        <w:t>seljast</w:t>
      </w:r>
      <w:proofErr w:type="spellEnd"/>
      <w:r w:rsidRPr="00580C0D">
        <w:t xml:space="preserve"> kommersielt. Det er </w:t>
      </w:r>
      <w:proofErr w:type="spellStart"/>
      <w:r w:rsidRPr="00580C0D">
        <w:t>ikkje</w:t>
      </w:r>
      <w:proofErr w:type="spellEnd"/>
      <w:r w:rsidRPr="00580C0D">
        <w:t xml:space="preserve"> </w:t>
      </w:r>
      <w:proofErr w:type="spellStart"/>
      <w:r w:rsidRPr="00580C0D">
        <w:t>teke</w:t>
      </w:r>
      <w:proofErr w:type="spellEnd"/>
      <w:r w:rsidRPr="00580C0D">
        <w:t xml:space="preserve"> stilling til tidspunktet for </w:t>
      </w:r>
      <w:proofErr w:type="spellStart"/>
      <w:r w:rsidRPr="00580C0D">
        <w:t>omgjeringa</w:t>
      </w:r>
      <w:proofErr w:type="spellEnd"/>
      <w:r w:rsidRPr="00580C0D">
        <w:t>.</w:t>
      </w:r>
    </w:p>
    <w:p w14:paraId="6F1F6E1A" w14:textId="77777777" w:rsidR="00F7113A" w:rsidRPr="00580C0D" w:rsidRDefault="00142E5B" w:rsidP="00580C0D">
      <w:r w:rsidRPr="00580C0D">
        <w:t xml:space="preserve">Regulering er det primære </w:t>
      </w:r>
      <w:proofErr w:type="spellStart"/>
      <w:r w:rsidRPr="00580C0D">
        <w:t>verkemiddelet</w:t>
      </w:r>
      <w:proofErr w:type="spellEnd"/>
      <w:r w:rsidRPr="00580C0D">
        <w:t xml:space="preserve"> for å vareta omsyna til nasjonal tryggleik, samfunnstryggleik og beredskap. Det er derfor </w:t>
      </w:r>
      <w:proofErr w:type="spellStart"/>
      <w:r w:rsidRPr="00580C0D">
        <w:t>ikkje</w:t>
      </w:r>
      <w:proofErr w:type="spellEnd"/>
      <w:r w:rsidRPr="00580C0D">
        <w:t xml:space="preserve"> lagt opp til </w:t>
      </w:r>
      <w:proofErr w:type="spellStart"/>
      <w:r w:rsidRPr="00580C0D">
        <w:t>særskilde</w:t>
      </w:r>
      <w:proofErr w:type="spellEnd"/>
      <w:r w:rsidRPr="00580C0D">
        <w:t xml:space="preserve"> </w:t>
      </w:r>
      <w:proofErr w:type="spellStart"/>
      <w:r w:rsidRPr="00580C0D">
        <w:t>føringar</w:t>
      </w:r>
      <w:proofErr w:type="spellEnd"/>
      <w:r w:rsidRPr="00580C0D">
        <w:t xml:space="preserve"> for avhending ut </w:t>
      </w:r>
      <w:proofErr w:type="spellStart"/>
      <w:r w:rsidRPr="00580C0D">
        <w:t>frå</w:t>
      </w:r>
      <w:proofErr w:type="spellEnd"/>
      <w:r w:rsidRPr="00580C0D">
        <w:t xml:space="preserve"> slike omsyn.</w:t>
      </w:r>
    </w:p>
    <w:p w14:paraId="23CFDD73" w14:textId="77777777" w:rsidR="00F7113A" w:rsidRPr="00580C0D" w:rsidRDefault="00142E5B" w:rsidP="00580C0D">
      <w:r w:rsidRPr="00580C0D">
        <w:t>Departementet vil komme tilbake til Stortinget om oppfølginga av vedtaket på eigna vis.</w:t>
      </w:r>
    </w:p>
    <w:p w14:paraId="786F3DF2" w14:textId="77777777" w:rsidR="00F7113A" w:rsidRPr="00580C0D" w:rsidRDefault="00142E5B" w:rsidP="00580C0D">
      <w:pPr>
        <w:pStyle w:val="avsnitt-tittel"/>
      </w:pPr>
      <w:proofErr w:type="spellStart"/>
      <w:r w:rsidRPr="00580C0D">
        <w:t>Utbetring</w:t>
      </w:r>
      <w:proofErr w:type="spellEnd"/>
      <w:r w:rsidRPr="00580C0D">
        <w:t xml:space="preserve"> av verneverdige </w:t>
      </w:r>
      <w:proofErr w:type="spellStart"/>
      <w:r w:rsidRPr="00580C0D">
        <w:t>kyrkjebygg</w:t>
      </w:r>
      <w:proofErr w:type="spellEnd"/>
    </w:p>
    <w:p w14:paraId="5EA85D74" w14:textId="77777777" w:rsidR="00F7113A" w:rsidRPr="00580C0D" w:rsidRDefault="00142E5B" w:rsidP="00580C0D">
      <w:pPr>
        <w:pStyle w:val="avsnitt-undertittel"/>
      </w:pPr>
      <w:r w:rsidRPr="00580C0D">
        <w:t>Vedtak nr. 502, 14. april 2020</w:t>
      </w:r>
    </w:p>
    <w:p w14:paraId="7C1624BF" w14:textId="77777777" w:rsidR="00F7113A" w:rsidRPr="00580C0D" w:rsidRDefault="00142E5B" w:rsidP="00580C0D">
      <w:pPr>
        <w:pStyle w:val="blokksit"/>
        <w:rPr>
          <w:rStyle w:val="kursiv"/>
        </w:rPr>
      </w:pPr>
      <w:r w:rsidRPr="00580C0D">
        <w:rPr>
          <w:rStyle w:val="kursiv"/>
        </w:rPr>
        <w:t>«Stortinget ber regjeringen utarbeide en plan for utbedring av verneverdige kirkebygg.»</w:t>
      </w:r>
    </w:p>
    <w:p w14:paraId="788CAC05" w14:textId="77777777" w:rsidR="00F7113A" w:rsidRPr="00580C0D" w:rsidRDefault="00142E5B" w:rsidP="00580C0D">
      <w:r w:rsidRPr="00580C0D">
        <w:t xml:space="preserve">Vedtaket blei gjort i samband med handsaminga av Meld. St. 29 (2018–2019) </w:t>
      </w:r>
      <w:r w:rsidRPr="00580C0D">
        <w:rPr>
          <w:rStyle w:val="kursiv"/>
        </w:rPr>
        <w:t>Opplysningsvesenets fond</w:t>
      </w:r>
      <w:r w:rsidRPr="00580C0D">
        <w:t xml:space="preserve">, jf. </w:t>
      </w:r>
      <w:proofErr w:type="spellStart"/>
      <w:r w:rsidRPr="00580C0D">
        <w:t>Innst</w:t>
      </w:r>
      <w:proofErr w:type="spellEnd"/>
      <w:r w:rsidRPr="00580C0D">
        <w:t>. 209 S (2019–2020).</w:t>
      </w:r>
    </w:p>
    <w:p w14:paraId="47B026BD" w14:textId="77777777" w:rsidR="00F7113A" w:rsidRPr="00580C0D" w:rsidRDefault="00142E5B" w:rsidP="00580C0D">
      <w:r w:rsidRPr="00580C0D">
        <w:t xml:space="preserve">Barne- og familiedepartementet har </w:t>
      </w:r>
      <w:proofErr w:type="spellStart"/>
      <w:r w:rsidRPr="00580C0D">
        <w:t>saman</w:t>
      </w:r>
      <w:proofErr w:type="spellEnd"/>
      <w:r w:rsidRPr="00580C0D">
        <w:t xml:space="preserve"> med Klima- og miljødepartementet gitt Riksantikvaren i samarbeid med Den norske </w:t>
      </w:r>
      <w:proofErr w:type="spellStart"/>
      <w:r w:rsidRPr="00580C0D">
        <w:t>kyrkja</w:t>
      </w:r>
      <w:proofErr w:type="spellEnd"/>
      <w:r w:rsidRPr="00580C0D">
        <w:t xml:space="preserve"> i oppdrag å utarbeide utkast til framtidige verneprogram og strategi for </w:t>
      </w:r>
      <w:proofErr w:type="spellStart"/>
      <w:r w:rsidRPr="00580C0D">
        <w:t>istandsetjing</w:t>
      </w:r>
      <w:proofErr w:type="spellEnd"/>
      <w:r w:rsidRPr="00580C0D">
        <w:t xml:space="preserve"> av verneverdige </w:t>
      </w:r>
      <w:proofErr w:type="spellStart"/>
      <w:r w:rsidRPr="00580C0D">
        <w:t>kyrkjebygg</w:t>
      </w:r>
      <w:proofErr w:type="spellEnd"/>
      <w:r w:rsidRPr="00580C0D">
        <w:t xml:space="preserve">. Regjeringa vil i løpet av </w:t>
      </w:r>
      <w:proofErr w:type="spellStart"/>
      <w:r w:rsidRPr="00580C0D">
        <w:t>hausten</w:t>
      </w:r>
      <w:proofErr w:type="spellEnd"/>
      <w:r w:rsidRPr="00580C0D">
        <w:t xml:space="preserve"> </w:t>
      </w:r>
      <w:proofErr w:type="spellStart"/>
      <w:r w:rsidRPr="00580C0D">
        <w:t>leggje</w:t>
      </w:r>
      <w:proofErr w:type="spellEnd"/>
      <w:r w:rsidRPr="00580C0D">
        <w:t xml:space="preserve"> fram </w:t>
      </w:r>
      <w:proofErr w:type="spellStart"/>
      <w:r w:rsidRPr="00580C0D">
        <w:t>ein</w:t>
      </w:r>
      <w:proofErr w:type="spellEnd"/>
      <w:r w:rsidRPr="00580C0D">
        <w:t xml:space="preserve"> strategi for arbeidet. Sjå </w:t>
      </w:r>
      <w:proofErr w:type="spellStart"/>
      <w:r w:rsidRPr="00580C0D">
        <w:t>meir</w:t>
      </w:r>
      <w:proofErr w:type="spellEnd"/>
      <w:r w:rsidRPr="00580C0D">
        <w:t xml:space="preserve"> om </w:t>
      </w:r>
      <w:proofErr w:type="spellStart"/>
      <w:r w:rsidRPr="00580C0D">
        <w:t>hovudtrekka</w:t>
      </w:r>
      <w:proofErr w:type="spellEnd"/>
      <w:r w:rsidRPr="00580C0D">
        <w:t xml:space="preserve"> i arbeidet under programområde 11.50. Departementet vil komme tilbake til Stortinget om oppfølginga av vedtaket på eigna vis.</w:t>
      </w:r>
    </w:p>
    <w:p w14:paraId="4BCB024B" w14:textId="77777777" w:rsidR="00F7113A" w:rsidRPr="00580C0D" w:rsidRDefault="00142E5B" w:rsidP="00580C0D">
      <w:pPr>
        <w:pStyle w:val="avsnitt-tittel"/>
      </w:pPr>
      <w:r w:rsidRPr="00580C0D">
        <w:t xml:space="preserve">FN-konvensjonen om </w:t>
      </w:r>
      <w:proofErr w:type="spellStart"/>
      <w:r w:rsidRPr="00580C0D">
        <w:t>barnerettane</w:t>
      </w:r>
      <w:proofErr w:type="spellEnd"/>
      <w:r w:rsidRPr="00580C0D">
        <w:t xml:space="preserve"> – ny barnevernslov og ny barnelov</w:t>
      </w:r>
    </w:p>
    <w:p w14:paraId="4623C4B9" w14:textId="77777777" w:rsidR="00F7113A" w:rsidRPr="00580C0D" w:rsidRDefault="00142E5B" w:rsidP="00580C0D">
      <w:pPr>
        <w:pStyle w:val="avsnitt-undertittel"/>
      </w:pPr>
      <w:r w:rsidRPr="00580C0D">
        <w:t>Vedtak 637, 28. mai 2020</w:t>
      </w:r>
    </w:p>
    <w:p w14:paraId="653EC000" w14:textId="77777777" w:rsidR="00F7113A" w:rsidRPr="00580C0D" w:rsidRDefault="00142E5B" w:rsidP="00580C0D">
      <w:pPr>
        <w:pStyle w:val="blokksit"/>
        <w:rPr>
          <w:rStyle w:val="kursiv"/>
        </w:rPr>
      </w:pPr>
      <w:r w:rsidRPr="00580C0D">
        <w:rPr>
          <w:rStyle w:val="kursiv"/>
        </w:rPr>
        <w:t>«Stortinget ber regjeringen sikre at forslagene til ny barnevernlov og ny barnelov er i tråd med FNs barnekonvensjons prinsipper om barns rett til informasjon, til å bli hørt, beslutninger til barnets beste og barns rett til privatliv.»</w:t>
      </w:r>
    </w:p>
    <w:p w14:paraId="3358B530" w14:textId="77777777" w:rsidR="00F7113A" w:rsidRPr="00580C0D" w:rsidRDefault="00142E5B" w:rsidP="00580C0D">
      <w:r w:rsidRPr="00580C0D">
        <w:t>Vedtaket blei gjort i samband med orienteringa om situasjonen i barnevernet som barne- og familieministeren la fram for Stortinget 26. mai 2020.</w:t>
      </w:r>
    </w:p>
    <w:p w14:paraId="6D2BCF92" w14:textId="77777777" w:rsidR="00F7113A" w:rsidRPr="00580C0D" w:rsidRDefault="00142E5B" w:rsidP="00580C0D">
      <w:r w:rsidRPr="00580C0D">
        <w:t xml:space="preserve">Departementet har lagt fram forslag til ny barnevernslov i </w:t>
      </w:r>
      <w:proofErr w:type="spellStart"/>
      <w:r w:rsidRPr="00580C0D">
        <w:t>Prop</w:t>
      </w:r>
      <w:proofErr w:type="spellEnd"/>
      <w:r w:rsidRPr="00580C0D">
        <w:t xml:space="preserve">. 133 L (2020–2021). Lova blei </w:t>
      </w:r>
      <w:proofErr w:type="spellStart"/>
      <w:r w:rsidRPr="00580C0D">
        <w:t>vedteken</w:t>
      </w:r>
      <w:proofErr w:type="spellEnd"/>
      <w:r w:rsidRPr="00580C0D">
        <w:t xml:space="preserve"> av Stortinget 9. juni 2021 og tok til å gjelde 1. januar 2023. Ny barnevernslov </w:t>
      </w:r>
      <w:proofErr w:type="spellStart"/>
      <w:r w:rsidRPr="00580C0D">
        <w:t>inneheld</w:t>
      </w:r>
      <w:proofErr w:type="spellEnd"/>
      <w:r w:rsidRPr="00580C0D">
        <w:t xml:space="preserve"> </w:t>
      </w:r>
      <w:proofErr w:type="spellStart"/>
      <w:r w:rsidRPr="00580C0D">
        <w:t>fleire</w:t>
      </w:r>
      <w:proofErr w:type="spellEnd"/>
      <w:r w:rsidRPr="00580C0D">
        <w:t xml:space="preserve"> </w:t>
      </w:r>
      <w:proofErr w:type="spellStart"/>
      <w:r w:rsidRPr="00580C0D">
        <w:t>endringar</w:t>
      </w:r>
      <w:proofErr w:type="spellEnd"/>
      <w:r w:rsidRPr="00580C0D">
        <w:t xml:space="preserve"> som </w:t>
      </w:r>
      <w:proofErr w:type="spellStart"/>
      <w:r w:rsidRPr="00580C0D">
        <w:t>styrkjer</w:t>
      </w:r>
      <w:proofErr w:type="spellEnd"/>
      <w:r w:rsidRPr="00580C0D">
        <w:t xml:space="preserve"> barn sine </w:t>
      </w:r>
      <w:proofErr w:type="spellStart"/>
      <w:r w:rsidRPr="00580C0D">
        <w:t>rettar</w:t>
      </w:r>
      <w:proofErr w:type="spellEnd"/>
      <w:r w:rsidRPr="00580C0D">
        <w:t xml:space="preserve">, og lova er i tråd med FN-konvensjonen om </w:t>
      </w:r>
      <w:proofErr w:type="spellStart"/>
      <w:r w:rsidRPr="00580C0D">
        <w:t>barnerettane</w:t>
      </w:r>
      <w:proofErr w:type="spellEnd"/>
      <w:r w:rsidRPr="00580C0D">
        <w:t xml:space="preserve">. Det </w:t>
      </w:r>
      <w:proofErr w:type="spellStart"/>
      <w:r w:rsidRPr="00580C0D">
        <w:t>grunnleggjande</w:t>
      </w:r>
      <w:proofErr w:type="spellEnd"/>
      <w:r w:rsidRPr="00580C0D">
        <w:t xml:space="preserve"> omsynet for barnevernet skal </w:t>
      </w:r>
      <w:proofErr w:type="spellStart"/>
      <w:r w:rsidRPr="00580C0D">
        <w:t>vere</w:t>
      </w:r>
      <w:proofErr w:type="spellEnd"/>
      <w:r w:rsidRPr="00580C0D">
        <w:t xml:space="preserve"> det beste for barnet, og dette er framheva i ei ny overordna føresegn i barnevernslova. Andre </w:t>
      </w:r>
      <w:proofErr w:type="spellStart"/>
      <w:r w:rsidRPr="00580C0D">
        <w:t>grunnleggjande</w:t>
      </w:r>
      <w:proofErr w:type="spellEnd"/>
      <w:r w:rsidRPr="00580C0D">
        <w:t xml:space="preserve"> </w:t>
      </w:r>
      <w:proofErr w:type="spellStart"/>
      <w:r w:rsidRPr="00580C0D">
        <w:t>rettar</w:t>
      </w:r>
      <w:proofErr w:type="spellEnd"/>
      <w:r w:rsidRPr="00580C0D">
        <w:t xml:space="preserve"> og prinsipp er òg </w:t>
      </w:r>
      <w:proofErr w:type="spellStart"/>
      <w:r w:rsidRPr="00580C0D">
        <w:t>tekne</w:t>
      </w:r>
      <w:proofErr w:type="spellEnd"/>
      <w:r w:rsidRPr="00580C0D">
        <w:t xml:space="preserve"> inn i lova, slik som retten barn har til omsorg og vern, og retten til familieliv. Departementet </w:t>
      </w:r>
      <w:proofErr w:type="spellStart"/>
      <w:r w:rsidRPr="00580C0D">
        <w:t>reknar</w:t>
      </w:r>
      <w:proofErr w:type="spellEnd"/>
      <w:r w:rsidRPr="00580C0D">
        <w:t xml:space="preserve"> den delen av vedtaket som gjeld ny barnevernslov, som </w:t>
      </w:r>
      <w:proofErr w:type="spellStart"/>
      <w:r w:rsidRPr="00580C0D">
        <w:t>følgt</w:t>
      </w:r>
      <w:proofErr w:type="spellEnd"/>
      <w:r w:rsidRPr="00580C0D">
        <w:t xml:space="preserve"> opp.</w:t>
      </w:r>
    </w:p>
    <w:p w14:paraId="44C70BC6" w14:textId="77777777" w:rsidR="00F7113A" w:rsidRPr="00580C0D" w:rsidRDefault="00142E5B" w:rsidP="00580C0D">
      <w:proofErr w:type="spellStart"/>
      <w:r w:rsidRPr="00580C0D">
        <w:t>Barnelovutvalet</w:t>
      </w:r>
      <w:proofErr w:type="spellEnd"/>
      <w:r w:rsidRPr="00580C0D">
        <w:t xml:space="preserve"> leverte utgreiinga NOU 2020: 14 </w:t>
      </w:r>
      <w:r w:rsidRPr="00580C0D">
        <w:rPr>
          <w:rStyle w:val="kursiv"/>
        </w:rPr>
        <w:t>Ny barnelov</w:t>
      </w:r>
      <w:r w:rsidRPr="00580C0D">
        <w:t xml:space="preserve"> 4. desember 2020. Utgreiinga blei send på </w:t>
      </w:r>
      <w:proofErr w:type="spellStart"/>
      <w:r w:rsidRPr="00580C0D">
        <w:t>høyring</w:t>
      </w:r>
      <w:proofErr w:type="spellEnd"/>
      <w:r w:rsidRPr="00580C0D">
        <w:t xml:space="preserve"> med </w:t>
      </w:r>
      <w:proofErr w:type="spellStart"/>
      <w:r w:rsidRPr="00580C0D">
        <w:t>høyringsfrist</w:t>
      </w:r>
      <w:proofErr w:type="spellEnd"/>
      <w:r w:rsidRPr="00580C0D">
        <w:t xml:space="preserve"> 1. mai 2021. Departementet arbeider </w:t>
      </w:r>
      <w:proofErr w:type="spellStart"/>
      <w:r w:rsidRPr="00580C0D">
        <w:t>no</w:t>
      </w:r>
      <w:proofErr w:type="spellEnd"/>
      <w:r w:rsidRPr="00580C0D">
        <w:t xml:space="preserve"> med å </w:t>
      </w:r>
      <w:proofErr w:type="spellStart"/>
      <w:r w:rsidRPr="00580C0D">
        <w:t>følgje</w:t>
      </w:r>
      <w:proofErr w:type="spellEnd"/>
      <w:r w:rsidRPr="00580C0D">
        <w:t xml:space="preserve"> opp </w:t>
      </w:r>
      <w:proofErr w:type="spellStart"/>
      <w:r w:rsidRPr="00580C0D">
        <w:t>høyringa</w:t>
      </w:r>
      <w:proofErr w:type="spellEnd"/>
      <w:r w:rsidRPr="00580C0D">
        <w:t xml:space="preserve"> med sikte på å </w:t>
      </w:r>
      <w:proofErr w:type="spellStart"/>
      <w:r w:rsidRPr="00580C0D">
        <w:t>leggje</w:t>
      </w:r>
      <w:proofErr w:type="spellEnd"/>
      <w:r w:rsidRPr="00580C0D">
        <w:t xml:space="preserve"> fram </w:t>
      </w:r>
      <w:proofErr w:type="spellStart"/>
      <w:r w:rsidRPr="00580C0D">
        <w:t>ein</w:t>
      </w:r>
      <w:proofErr w:type="spellEnd"/>
      <w:r w:rsidRPr="00580C0D">
        <w:t xml:space="preserve"> lovproposisjon i 2024 og vil i dette arbeidet på </w:t>
      </w:r>
      <w:proofErr w:type="spellStart"/>
      <w:r w:rsidRPr="00580C0D">
        <w:t>vanleg</w:t>
      </w:r>
      <w:proofErr w:type="spellEnd"/>
      <w:r w:rsidRPr="00580C0D">
        <w:t xml:space="preserve"> måte ta omsyn til </w:t>
      </w:r>
      <w:proofErr w:type="spellStart"/>
      <w:r w:rsidRPr="00580C0D">
        <w:t>menneskerettane</w:t>
      </w:r>
      <w:proofErr w:type="spellEnd"/>
      <w:r w:rsidRPr="00580C0D">
        <w:t xml:space="preserve">, </w:t>
      </w:r>
      <w:proofErr w:type="spellStart"/>
      <w:r w:rsidRPr="00580C0D">
        <w:t>irekna</w:t>
      </w:r>
      <w:proofErr w:type="spellEnd"/>
      <w:r w:rsidRPr="00580C0D">
        <w:t xml:space="preserve"> barnekonvensjonen. Departementet vil komme tilbake til Stortinget om oppfølginga av denne delen av vedtaket på eigna vis.</w:t>
      </w:r>
    </w:p>
    <w:p w14:paraId="231B8EF6" w14:textId="77777777" w:rsidR="00F7113A" w:rsidRPr="00580C0D" w:rsidRDefault="00142E5B" w:rsidP="00580C0D">
      <w:pPr>
        <w:pStyle w:val="Overskrift2"/>
      </w:pPr>
      <w:r w:rsidRPr="00580C0D">
        <w:t>Stortingssesjon 2016–2017</w:t>
      </w:r>
    </w:p>
    <w:p w14:paraId="734839A6" w14:textId="77777777" w:rsidR="00F7113A" w:rsidRPr="00580C0D" w:rsidRDefault="00142E5B" w:rsidP="00580C0D">
      <w:pPr>
        <w:pStyle w:val="avsnitt-tittel"/>
      </w:pPr>
      <w:r w:rsidRPr="00580C0D">
        <w:t>Evaluering av felles foreldreansvar</w:t>
      </w:r>
    </w:p>
    <w:p w14:paraId="34D87DAE" w14:textId="77777777" w:rsidR="00F7113A" w:rsidRPr="00580C0D" w:rsidRDefault="00142E5B" w:rsidP="00580C0D">
      <w:pPr>
        <w:pStyle w:val="avsnitt-undertittel"/>
      </w:pPr>
      <w:r w:rsidRPr="00580C0D">
        <w:t>Vedtak nr. 491, 7. mars 2017</w:t>
      </w:r>
    </w:p>
    <w:p w14:paraId="705A5719" w14:textId="77777777" w:rsidR="00F7113A" w:rsidRPr="00580C0D" w:rsidRDefault="00142E5B" w:rsidP="00580C0D">
      <w:pPr>
        <w:pStyle w:val="blokksit"/>
        <w:rPr>
          <w:rStyle w:val="kursiv"/>
        </w:rPr>
      </w:pPr>
      <w:r w:rsidRPr="00580C0D">
        <w:rPr>
          <w:rStyle w:val="kursiv"/>
        </w:rPr>
        <w:t>«Stortinget ber regjeringen evaluere felles foreldreansvar fra fødsel, etter at loven har virket tre år.»</w:t>
      </w:r>
    </w:p>
    <w:p w14:paraId="54CC4095"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161 L (2015–2016) </w:t>
      </w:r>
      <w:r w:rsidRPr="00580C0D">
        <w:rPr>
          <w:rStyle w:val="kursiv"/>
        </w:rPr>
        <w:t>Endringer i barnelova mv. (likestilt foreldreskap)</w:t>
      </w:r>
      <w:r w:rsidRPr="00580C0D">
        <w:t xml:space="preserve">, jf. </w:t>
      </w:r>
      <w:proofErr w:type="spellStart"/>
      <w:r w:rsidRPr="00580C0D">
        <w:t>Innst</w:t>
      </w:r>
      <w:proofErr w:type="spellEnd"/>
      <w:r w:rsidRPr="00580C0D">
        <w:t>. 195 L (2016–2017).</w:t>
      </w:r>
    </w:p>
    <w:p w14:paraId="3AD6808D" w14:textId="77777777" w:rsidR="00F7113A" w:rsidRPr="00580C0D" w:rsidRDefault="00142E5B" w:rsidP="00580C0D">
      <w:r w:rsidRPr="00580C0D">
        <w:t xml:space="preserve">Lovendringa om felles foreldreansvar tok til å gjelde 1. januar 2020 og har </w:t>
      </w:r>
      <w:proofErr w:type="spellStart"/>
      <w:r w:rsidRPr="00580C0D">
        <w:t>no</w:t>
      </w:r>
      <w:proofErr w:type="spellEnd"/>
      <w:r w:rsidRPr="00580C0D">
        <w:t xml:space="preserve"> verka i tre år. Som ei </w:t>
      </w:r>
      <w:proofErr w:type="spellStart"/>
      <w:r w:rsidRPr="00580C0D">
        <w:t>følgje</w:t>
      </w:r>
      <w:proofErr w:type="spellEnd"/>
      <w:r w:rsidRPr="00580C0D">
        <w:t xml:space="preserve"> av ei endring i barnelova § 35 får alle foreldre </w:t>
      </w:r>
      <w:proofErr w:type="spellStart"/>
      <w:r w:rsidRPr="00580C0D">
        <w:t>no</w:t>
      </w:r>
      <w:proofErr w:type="spellEnd"/>
      <w:r w:rsidRPr="00580C0D">
        <w:t xml:space="preserve"> automatisk felles foreldreansvar for barn </w:t>
      </w:r>
      <w:proofErr w:type="spellStart"/>
      <w:r w:rsidRPr="00580C0D">
        <w:t>dei</w:t>
      </w:r>
      <w:proofErr w:type="spellEnd"/>
      <w:r w:rsidRPr="00580C0D">
        <w:t xml:space="preserve"> får </w:t>
      </w:r>
      <w:proofErr w:type="spellStart"/>
      <w:r w:rsidRPr="00580C0D">
        <w:t>saman</w:t>
      </w:r>
      <w:proofErr w:type="spellEnd"/>
      <w:r w:rsidRPr="00580C0D">
        <w:t xml:space="preserve">, uavhengig av om </w:t>
      </w:r>
      <w:proofErr w:type="spellStart"/>
      <w:r w:rsidRPr="00580C0D">
        <w:t>dei</w:t>
      </w:r>
      <w:proofErr w:type="spellEnd"/>
      <w:r w:rsidRPr="00580C0D">
        <w:t xml:space="preserve"> er </w:t>
      </w:r>
      <w:proofErr w:type="spellStart"/>
      <w:r w:rsidRPr="00580C0D">
        <w:t>ektefellar</w:t>
      </w:r>
      <w:proofErr w:type="spellEnd"/>
      <w:r w:rsidRPr="00580C0D">
        <w:t xml:space="preserve">, </w:t>
      </w:r>
      <w:proofErr w:type="spellStart"/>
      <w:r w:rsidRPr="00580C0D">
        <w:t>sambuarar</w:t>
      </w:r>
      <w:proofErr w:type="spellEnd"/>
      <w:r w:rsidRPr="00580C0D">
        <w:t xml:space="preserve"> eller </w:t>
      </w:r>
      <w:proofErr w:type="spellStart"/>
      <w:r w:rsidRPr="00580C0D">
        <w:t>ikkje</w:t>
      </w:r>
      <w:proofErr w:type="spellEnd"/>
      <w:r w:rsidRPr="00580C0D">
        <w:t xml:space="preserve"> bur </w:t>
      </w:r>
      <w:proofErr w:type="spellStart"/>
      <w:r w:rsidRPr="00580C0D">
        <w:t>saman</w:t>
      </w:r>
      <w:proofErr w:type="spellEnd"/>
      <w:r w:rsidRPr="00580C0D">
        <w:t>.</w:t>
      </w:r>
    </w:p>
    <w:p w14:paraId="520E74B1" w14:textId="77777777" w:rsidR="00F7113A" w:rsidRPr="00580C0D" w:rsidRDefault="00142E5B" w:rsidP="00580C0D">
      <w:r w:rsidRPr="00580C0D">
        <w:t xml:space="preserve">Lovendringa blei grunngitt med at </w:t>
      </w:r>
      <w:proofErr w:type="spellStart"/>
      <w:r w:rsidRPr="00580C0D">
        <w:t>fleire</w:t>
      </w:r>
      <w:proofErr w:type="spellEnd"/>
      <w:r w:rsidRPr="00580C0D">
        <w:t xml:space="preserve"> barn vil få to foreldre med foreldreansvar </w:t>
      </w:r>
      <w:proofErr w:type="spellStart"/>
      <w:r w:rsidRPr="00580C0D">
        <w:t>frå</w:t>
      </w:r>
      <w:proofErr w:type="spellEnd"/>
      <w:r w:rsidRPr="00580C0D">
        <w:t xml:space="preserve"> starten av livet, og at det vil </w:t>
      </w:r>
      <w:proofErr w:type="spellStart"/>
      <w:r w:rsidRPr="00580C0D">
        <w:t>vere</w:t>
      </w:r>
      <w:proofErr w:type="spellEnd"/>
      <w:r w:rsidRPr="00580C0D">
        <w:t xml:space="preserve"> positivt for mange av </w:t>
      </w:r>
      <w:proofErr w:type="spellStart"/>
      <w:r w:rsidRPr="00580C0D">
        <w:t>dei</w:t>
      </w:r>
      <w:proofErr w:type="spellEnd"/>
      <w:r w:rsidRPr="00580C0D">
        <w:t>. Departementet vil som del av arbeidet med ny barnelov gjennomføre ei intern evaluering for å finne svar på:</w:t>
      </w:r>
    </w:p>
    <w:p w14:paraId="0F9F917B" w14:textId="77777777" w:rsidR="00F7113A" w:rsidRPr="00580C0D" w:rsidRDefault="00142E5B" w:rsidP="00580C0D">
      <w:pPr>
        <w:pStyle w:val="Liste"/>
      </w:pPr>
      <w:r w:rsidRPr="00580C0D">
        <w:t xml:space="preserve">om det er </w:t>
      </w:r>
      <w:proofErr w:type="spellStart"/>
      <w:r w:rsidRPr="00580C0D">
        <w:t>ein</w:t>
      </w:r>
      <w:proofErr w:type="spellEnd"/>
      <w:r w:rsidRPr="00580C0D">
        <w:t xml:space="preserve"> </w:t>
      </w:r>
      <w:proofErr w:type="spellStart"/>
      <w:r w:rsidRPr="00580C0D">
        <w:t>auke</w:t>
      </w:r>
      <w:proofErr w:type="spellEnd"/>
      <w:r w:rsidRPr="00580C0D">
        <w:t xml:space="preserve"> i </w:t>
      </w:r>
      <w:proofErr w:type="spellStart"/>
      <w:r w:rsidRPr="00580C0D">
        <w:t>talet</w:t>
      </w:r>
      <w:proofErr w:type="spellEnd"/>
      <w:r w:rsidRPr="00580C0D">
        <w:t xml:space="preserve"> på tilfelle der barn som er fødde etter lovendringa, har foreldre med felles foreldreansvar, når </w:t>
      </w:r>
      <w:proofErr w:type="spellStart"/>
      <w:r w:rsidRPr="00580C0D">
        <w:t>foreldra</w:t>
      </w:r>
      <w:proofErr w:type="spellEnd"/>
      <w:r w:rsidRPr="00580C0D">
        <w:t xml:space="preserve"> </w:t>
      </w:r>
      <w:proofErr w:type="spellStart"/>
      <w:r w:rsidRPr="00580C0D">
        <w:t>ikkje</w:t>
      </w:r>
      <w:proofErr w:type="spellEnd"/>
      <w:r w:rsidRPr="00580C0D">
        <w:t xml:space="preserve"> bur </w:t>
      </w:r>
      <w:proofErr w:type="spellStart"/>
      <w:r w:rsidRPr="00580C0D">
        <w:t>saman</w:t>
      </w:r>
      <w:proofErr w:type="spellEnd"/>
    </w:p>
    <w:p w14:paraId="779CD3BA" w14:textId="77777777" w:rsidR="00F7113A" w:rsidRPr="00580C0D" w:rsidRDefault="00142E5B" w:rsidP="00580C0D">
      <w:pPr>
        <w:pStyle w:val="Liste"/>
      </w:pPr>
      <w:r w:rsidRPr="00580C0D">
        <w:t xml:space="preserve">om </w:t>
      </w:r>
      <w:proofErr w:type="spellStart"/>
      <w:r w:rsidRPr="00580C0D">
        <w:t>talet</w:t>
      </w:r>
      <w:proofErr w:type="spellEnd"/>
      <w:r w:rsidRPr="00580C0D">
        <w:t xml:space="preserve"> på tilfelle der far blir oppgitt som </w:t>
      </w:r>
      <w:proofErr w:type="spellStart"/>
      <w:r w:rsidRPr="00580C0D">
        <w:t>ukjend</w:t>
      </w:r>
      <w:proofErr w:type="spellEnd"/>
      <w:r w:rsidRPr="00580C0D">
        <w:t xml:space="preserve">, har </w:t>
      </w:r>
      <w:proofErr w:type="spellStart"/>
      <w:r w:rsidRPr="00580C0D">
        <w:t>auka</w:t>
      </w:r>
      <w:proofErr w:type="spellEnd"/>
      <w:r w:rsidRPr="00580C0D">
        <w:t xml:space="preserve"> etter lovendringa</w:t>
      </w:r>
    </w:p>
    <w:p w14:paraId="567381AD" w14:textId="77777777" w:rsidR="00F7113A" w:rsidRPr="00580C0D" w:rsidRDefault="00142E5B" w:rsidP="00580C0D">
      <w:pPr>
        <w:pStyle w:val="Liste"/>
      </w:pPr>
      <w:r w:rsidRPr="00580C0D">
        <w:t xml:space="preserve">om tilfelle der mor har sperra adresse, blir </w:t>
      </w:r>
      <w:proofErr w:type="spellStart"/>
      <w:r w:rsidRPr="00580C0D">
        <w:t>varetekne</w:t>
      </w:r>
      <w:proofErr w:type="spellEnd"/>
      <w:r w:rsidRPr="00580C0D">
        <w:t xml:space="preserve"> på </w:t>
      </w:r>
      <w:proofErr w:type="spellStart"/>
      <w:r w:rsidRPr="00580C0D">
        <w:t>ein</w:t>
      </w:r>
      <w:proofErr w:type="spellEnd"/>
      <w:r w:rsidRPr="00580C0D">
        <w:t xml:space="preserve"> god måte</w:t>
      </w:r>
    </w:p>
    <w:p w14:paraId="2842B479" w14:textId="77777777" w:rsidR="00F7113A" w:rsidRPr="00580C0D" w:rsidRDefault="00142E5B" w:rsidP="00580C0D">
      <w:pPr>
        <w:pStyle w:val="Liste"/>
      </w:pPr>
      <w:r w:rsidRPr="00580C0D">
        <w:t xml:space="preserve">om lovendringa har ført til </w:t>
      </w:r>
      <w:proofErr w:type="spellStart"/>
      <w:r w:rsidRPr="00580C0D">
        <w:t>auka</w:t>
      </w:r>
      <w:proofErr w:type="spellEnd"/>
      <w:r w:rsidRPr="00580C0D">
        <w:t xml:space="preserve"> konfliktnivå mellom foreldre</w:t>
      </w:r>
    </w:p>
    <w:p w14:paraId="22124BA4" w14:textId="77777777" w:rsidR="00F7113A" w:rsidRPr="00580C0D" w:rsidRDefault="00142E5B" w:rsidP="00580C0D">
      <w:r w:rsidRPr="00580C0D">
        <w:t xml:space="preserve">Departementet vil nytte </w:t>
      </w:r>
      <w:proofErr w:type="spellStart"/>
      <w:r w:rsidRPr="00580C0D">
        <w:t>erfaringane</w:t>
      </w:r>
      <w:proofErr w:type="spellEnd"/>
      <w:r w:rsidRPr="00580C0D">
        <w:t xml:space="preserve"> </w:t>
      </w:r>
      <w:proofErr w:type="spellStart"/>
      <w:r w:rsidRPr="00580C0D">
        <w:t>frå</w:t>
      </w:r>
      <w:proofErr w:type="spellEnd"/>
      <w:r w:rsidRPr="00580C0D">
        <w:t xml:space="preserve"> lovendringa om felles foreldreansvar i det </w:t>
      </w:r>
      <w:proofErr w:type="spellStart"/>
      <w:r w:rsidRPr="00580C0D">
        <w:t>vidare</w:t>
      </w:r>
      <w:proofErr w:type="spellEnd"/>
      <w:r w:rsidRPr="00580C0D">
        <w:t xml:space="preserve"> arbeidet med ny barnelov og vil orientere Stortinget om evalueringa gjennom omtale i lovproposisjonen om ny barnelov.</w:t>
      </w:r>
    </w:p>
    <w:p w14:paraId="32ECA992" w14:textId="77777777" w:rsidR="00F7113A" w:rsidRPr="00580C0D" w:rsidRDefault="00142E5B" w:rsidP="00580C0D">
      <w:pPr>
        <w:pStyle w:val="avsnitt-tittel"/>
      </w:pPr>
      <w:r w:rsidRPr="00580C0D">
        <w:t>Politiattest for yrkesgrupper som er i kontakt med barn</w:t>
      </w:r>
    </w:p>
    <w:p w14:paraId="3C321B75" w14:textId="77777777" w:rsidR="00F7113A" w:rsidRPr="00580C0D" w:rsidRDefault="00142E5B" w:rsidP="00580C0D">
      <w:pPr>
        <w:pStyle w:val="avsnitt-undertittel"/>
      </w:pPr>
      <w:r w:rsidRPr="00580C0D">
        <w:t>Vedtak nr. 606, 25. april 2017</w:t>
      </w:r>
    </w:p>
    <w:p w14:paraId="6954340A" w14:textId="77777777" w:rsidR="00F7113A" w:rsidRPr="00580C0D" w:rsidRDefault="00142E5B" w:rsidP="00580C0D">
      <w:pPr>
        <w:pStyle w:val="blokksit"/>
        <w:rPr>
          <w:rStyle w:val="kursiv"/>
        </w:rPr>
      </w:pPr>
      <w:r w:rsidRPr="00580C0D">
        <w:rPr>
          <w:rStyle w:val="kursiv"/>
        </w:rPr>
        <w:t>«Stortinget ber regjeringen vurdere behovet for å kreve politiattest for yrkesgrupper som er i kontakt med barn, men som ikke faller inn under særlovgivningen.»</w:t>
      </w:r>
    </w:p>
    <w:p w14:paraId="5E5D49FC" w14:textId="77777777" w:rsidR="00F7113A" w:rsidRPr="00580C0D" w:rsidRDefault="00142E5B" w:rsidP="00580C0D">
      <w:r w:rsidRPr="00580C0D">
        <w:t xml:space="preserve">Vedtaket blei gjort i samband med handsaminga av </w:t>
      </w:r>
      <w:proofErr w:type="spellStart"/>
      <w:r w:rsidRPr="00580C0D">
        <w:t>Prop</w:t>
      </w:r>
      <w:proofErr w:type="spellEnd"/>
      <w:r w:rsidRPr="00580C0D">
        <w:t xml:space="preserve">. 12 S (2016–2017) </w:t>
      </w:r>
      <w:r w:rsidRPr="00580C0D">
        <w:rPr>
          <w:rStyle w:val="kursiv"/>
        </w:rPr>
        <w:t>Opptrappingsplan mot vold og overgrep (2017–2021)</w:t>
      </w:r>
      <w:r w:rsidRPr="00580C0D">
        <w:t xml:space="preserve"> og </w:t>
      </w:r>
      <w:proofErr w:type="spellStart"/>
      <w:r w:rsidRPr="00580C0D">
        <w:t>Innst</w:t>
      </w:r>
      <w:proofErr w:type="spellEnd"/>
      <w:r w:rsidRPr="00580C0D">
        <w:t>. 247 S (2016–2017).</w:t>
      </w:r>
    </w:p>
    <w:p w14:paraId="3BEC2708" w14:textId="30FE434B" w:rsidR="00F7113A" w:rsidRPr="00580C0D" w:rsidRDefault="00142E5B" w:rsidP="00580C0D">
      <w:r w:rsidRPr="00580C0D">
        <w:t xml:space="preserve">For å </w:t>
      </w:r>
      <w:proofErr w:type="spellStart"/>
      <w:r w:rsidRPr="00580C0D">
        <w:t>følgje</w:t>
      </w:r>
      <w:proofErr w:type="spellEnd"/>
      <w:r w:rsidRPr="00580C0D">
        <w:t xml:space="preserve"> opp vedtaket blei det i 2018 sett ned ei interdepartemental arbeidsgruppe som vurderte om </w:t>
      </w:r>
      <w:proofErr w:type="spellStart"/>
      <w:r w:rsidRPr="00580C0D">
        <w:t>ein</w:t>
      </w:r>
      <w:proofErr w:type="spellEnd"/>
      <w:r w:rsidRPr="00580C0D">
        <w:t xml:space="preserve"> burde innføre krav til politiattest for nye grupper eller endre </w:t>
      </w:r>
      <w:proofErr w:type="spellStart"/>
      <w:r w:rsidRPr="00580C0D">
        <w:t>eksisterande</w:t>
      </w:r>
      <w:proofErr w:type="spellEnd"/>
      <w:r w:rsidRPr="00580C0D">
        <w:t xml:space="preserve"> </w:t>
      </w:r>
      <w:proofErr w:type="spellStart"/>
      <w:r w:rsidRPr="00580C0D">
        <w:t>heimlar</w:t>
      </w:r>
      <w:proofErr w:type="spellEnd"/>
      <w:r w:rsidRPr="00580C0D">
        <w:t xml:space="preserve"> for å </w:t>
      </w:r>
      <w:proofErr w:type="spellStart"/>
      <w:r w:rsidRPr="00580C0D">
        <w:t>førebyggje</w:t>
      </w:r>
      <w:proofErr w:type="spellEnd"/>
      <w:r w:rsidRPr="00580C0D">
        <w:t xml:space="preserve"> overgrep mot mindreårige. Arbeidsgruppa blei leidd av </w:t>
      </w:r>
      <w:proofErr w:type="spellStart"/>
      <w:r w:rsidRPr="00580C0D">
        <w:t>dåverande</w:t>
      </w:r>
      <w:proofErr w:type="spellEnd"/>
      <w:r w:rsidRPr="00580C0D">
        <w:t xml:space="preserve"> Barne- og likestillingsdepartementet, og fire andre departement deltok. Arbeidsgruppa leverte rapporten sin i 2019, og </w:t>
      </w:r>
      <w:r w:rsidR="00D665D9">
        <w:pgNum/>
      </w:r>
      <w:proofErr w:type="spellStart"/>
      <w:r w:rsidR="00D665D9">
        <w:t>orbrukararm</w:t>
      </w:r>
      <w:proofErr w:type="spellEnd"/>
      <w:r w:rsidR="00D665D9">
        <w:t xml:space="preserve"> e</w:t>
      </w:r>
      <w:r w:rsidRPr="00580C0D">
        <w:t xml:space="preserve"> </w:t>
      </w:r>
      <w:proofErr w:type="spellStart"/>
      <w:r w:rsidRPr="00580C0D">
        <w:t>endringane</w:t>
      </w:r>
      <w:proofErr w:type="spellEnd"/>
      <w:r w:rsidRPr="00580C0D">
        <w:t xml:space="preserve"> </w:t>
      </w:r>
      <w:proofErr w:type="spellStart"/>
      <w:r w:rsidRPr="00580C0D">
        <w:t>fekk</w:t>
      </w:r>
      <w:proofErr w:type="spellEnd"/>
      <w:r w:rsidRPr="00580C0D">
        <w:t xml:space="preserve"> brei støtte i den </w:t>
      </w:r>
      <w:proofErr w:type="spellStart"/>
      <w:r w:rsidRPr="00580C0D">
        <w:t>etterfølgjande</w:t>
      </w:r>
      <w:proofErr w:type="spellEnd"/>
      <w:r w:rsidRPr="00580C0D">
        <w:t xml:space="preserve"> </w:t>
      </w:r>
      <w:proofErr w:type="spellStart"/>
      <w:r w:rsidRPr="00580C0D">
        <w:t>høyringa</w:t>
      </w:r>
      <w:proofErr w:type="spellEnd"/>
      <w:r w:rsidRPr="00580C0D">
        <w:t>.</w:t>
      </w:r>
    </w:p>
    <w:p w14:paraId="6DA2399E" w14:textId="77777777" w:rsidR="00F7113A" w:rsidRPr="00580C0D" w:rsidRDefault="00142E5B" w:rsidP="00580C0D">
      <w:r w:rsidRPr="00580C0D">
        <w:t xml:space="preserve">Dei fleste av forslaga </w:t>
      </w:r>
      <w:proofErr w:type="spellStart"/>
      <w:r w:rsidRPr="00580C0D">
        <w:t>frå</w:t>
      </w:r>
      <w:proofErr w:type="spellEnd"/>
      <w:r w:rsidRPr="00580C0D">
        <w:t xml:space="preserve"> arbeidsgruppa er i dag </w:t>
      </w:r>
      <w:proofErr w:type="spellStart"/>
      <w:r w:rsidRPr="00580C0D">
        <w:t>følgde</w:t>
      </w:r>
      <w:proofErr w:type="spellEnd"/>
      <w:r w:rsidRPr="00580C0D">
        <w:t xml:space="preserve"> opp, og </w:t>
      </w:r>
      <w:proofErr w:type="spellStart"/>
      <w:r w:rsidRPr="00580C0D">
        <w:t>ein</w:t>
      </w:r>
      <w:proofErr w:type="spellEnd"/>
      <w:r w:rsidRPr="00580C0D">
        <w:t xml:space="preserve"> arbeider med </w:t>
      </w:r>
      <w:proofErr w:type="spellStart"/>
      <w:r w:rsidRPr="00580C0D">
        <w:t>dei</w:t>
      </w:r>
      <w:proofErr w:type="spellEnd"/>
      <w:r w:rsidRPr="00580C0D">
        <w:t xml:space="preserve"> </w:t>
      </w:r>
      <w:proofErr w:type="spellStart"/>
      <w:r w:rsidRPr="00580C0D">
        <w:t>resterande</w:t>
      </w:r>
      <w:proofErr w:type="spellEnd"/>
      <w:r w:rsidRPr="00580C0D">
        <w:t xml:space="preserve"> forslaga i </w:t>
      </w:r>
      <w:proofErr w:type="spellStart"/>
      <w:r w:rsidRPr="00580C0D">
        <w:t>dei</w:t>
      </w:r>
      <w:proofErr w:type="spellEnd"/>
      <w:r w:rsidRPr="00580C0D">
        <w:t xml:space="preserve"> aktuelle departementa, i tillegg til å vurdere </w:t>
      </w:r>
      <w:proofErr w:type="spellStart"/>
      <w:r w:rsidRPr="00580C0D">
        <w:t>einskilde</w:t>
      </w:r>
      <w:proofErr w:type="spellEnd"/>
      <w:r w:rsidRPr="00580C0D">
        <w:t xml:space="preserve"> andre </w:t>
      </w:r>
      <w:proofErr w:type="spellStart"/>
      <w:r w:rsidRPr="00580C0D">
        <w:t>innspel</w:t>
      </w:r>
      <w:proofErr w:type="spellEnd"/>
      <w:r w:rsidRPr="00580C0D">
        <w:t xml:space="preserve"> som kom inn i </w:t>
      </w:r>
      <w:proofErr w:type="spellStart"/>
      <w:r w:rsidRPr="00580C0D">
        <w:t>høyringsrunden</w:t>
      </w:r>
      <w:proofErr w:type="spellEnd"/>
      <w:r w:rsidRPr="00580C0D">
        <w:t>.</w:t>
      </w:r>
    </w:p>
    <w:p w14:paraId="038948D4" w14:textId="77777777" w:rsidR="00F7113A" w:rsidRPr="00580C0D" w:rsidRDefault="00142E5B" w:rsidP="00580C0D">
      <w:r w:rsidRPr="00580C0D">
        <w:t xml:space="preserve">Som </w:t>
      </w:r>
      <w:proofErr w:type="spellStart"/>
      <w:r w:rsidRPr="00580C0D">
        <w:t>eit</w:t>
      </w:r>
      <w:proofErr w:type="spellEnd"/>
      <w:r w:rsidRPr="00580C0D">
        <w:t xml:space="preserve"> ledd i oppfølginga </w:t>
      </w:r>
      <w:proofErr w:type="spellStart"/>
      <w:r w:rsidRPr="00580C0D">
        <w:t>fremja</w:t>
      </w:r>
      <w:proofErr w:type="spellEnd"/>
      <w:r w:rsidRPr="00580C0D">
        <w:t xml:space="preserve"> departementet våren 2023 </w:t>
      </w:r>
      <w:proofErr w:type="spellStart"/>
      <w:r w:rsidRPr="00580C0D">
        <w:t>Prop</w:t>
      </w:r>
      <w:proofErr w:type="spellEnd"/>
      <w:r w:rsidRPr="00580C0D">
        <w:t xml:space="preserve">. 79 L (2022–2023) </w:t>
      </w:r>
      <w:r w:rsidRPr="00580C0D">
        <w:rPr>
          <w:rStyle w:val="kursiv"/>
        </w:rPr>
        <w:t>Endringer i barnelova mv. (krav om barneomsorgsattest)</w:t>
      </w:r>
      <w:r w:rsidRPr="00580C0D">
        <w:t xml:space="preserve">. Dette </w:t>
      </w:r>
      <w:proofErr w:type="spellStart"/>
      <w:r w:rsidRPr="00580C0D">
        <w:t>gjeld</w:t>
      </w:r>
      <w:proofErr w:type="spellEnd"/>
      <w:r w:rsidRPr="00580C0D">
        <w:t xml:space="preserve"> krav om politiattest for </w:t>
      </w:r>
      <w:proofErr w:type="gramStart"/>
      <w:r w:rsidRPr="00580C0D">
        <w:t>tilsette</w:t>
      </w:r>
      <w:proofErr w:type="gramEnd"/>
      <w:r w:rsidRPr="00580C0D">
        <w:t xml:space="preserve"> ved familievernkontora og </w:t>
      </w:r>
      <w:proofErr w:type="spellStart"/>
      <w:r w:rsidRPr="00580C0D">
        <w:t>Barneombodet</w:t>
      </w:r>
      <w:proofErr w:type="spellEnd"/>
      <w:r w:rsidRPr="00580C0D">
        <w:t xml:space="preserve">, eksterne </w:t>
      </w:r>
      <w:proofErr w:type="spellStart"/>
      <w:r w:rsidRPr="00580C0D">
        <w:t>meklarar</w:t>
      </w:r>
      <w:proofErr w:type="spellEnd"/>
      <w:r w:rsidRPr="00580C0D">
        <w:t xml:space="preserve"> etter barnelova og ekteskapslova og sakkunnige som blir </w:t>
      </w:r>
      <w:proofErr w:type="spellStart"/>
      <w:r w:rsidRPr="00580C0D">
        <w:t>oppnemnde</w:t>
      </w:r>
      <w:proofErr w:type="spellEnd"/>
      <w:r w:rsidRPr="00580C0D">
        <w:t xml:space="preserve"> av det </w:t>
      </w:r>
      <w:proofErr w:type="spellStart"/>
      <w:r w:rsidRPr="00580C0D">
        <w:t>offentlege</w:t>
      </w:r>
      <w:proofErr w:type="spellEnd"/>
      <w:r w:rsidRPr="00580C0D">
        <w:t xml:space="preserve"> i saker etter barnelova og barnevernslova. Som vist til i </w:t>
      </w:r>
      <w:proofErr w:type="spellStart"/>
      <w:r w:rsidRPr="00580C0D">
        <w:t>dei</w:t>
      </w:r>
      <w:proofErr w:type="spellEnd"/>
      <w:r w:rsidRPr="00580C0D">
        <w:t xml:space="preserve"> </w:t>
      </w:r>
      <w:proofErr w:type="spellStart"/>
      <w:r w:rsidRPr="00580C0D">
        <w:t>innleiande</w:t>
      </w:r>
      <w:proofErr w:type="spellEnd"/>
      <w:r w:rsidRPr="00580C0D">
        <w:t xml:space="preserve"> merknadene i </w:t>
      </w:r>
      <w:proofErr w:type="spellStart"/>
      <w:r w:rsidRPr="00580C0D">
        <w:t>Prop</w:t>
      </w:r>
      <w:proofErr w:type="spellEnd"/>
      <w:r w:rsidRPr="00580C0D">
        <w:t xml:space="preserve">. 79 L (2022–2023) vurderer departementet at oppmodingsvedtaket er ferdig </w:t>
      </w:r>
      <w:proofErr w:type="spellStart"/>
      <w:r w:rsidRPr="00580C0D">
        <w:t>følgt</w:t>
      </w:r>
      <w:proofErr w:type="spellEnd"/>
      <w:r w:rsidRPr="00580C0D">
        <w:t xml:space="preserve"> opp med framlegginga av proposisjonen. Stortinget gjorde lovvedtak 5. juni 2023, og lova tok til å gjelde 1. september 2023. I tillegg </w:t>
      </w:r>
      <w:proofErr w:type="spellStart"/>
      <w:r w:rsidRPr="00580C0D">
        <w:t>fremja</w:t>
      </w:r>
      <w:proofErr w:type="spellEnd"/>
      <w:r w:rsidRPr="00580C0D">
        <w:t xml:space="preserve"> departementet </w:t>
      </w:r>
      <w:proofErr w:type="spellStart"/>
      <w:r w:rsidRPr="00580C0D">
        <w:t>Prop</w:t>
      </w:r>
      <w:proofErr w:type="spellEnd"/>
      <w:r w:rsidRPr="00580C0D">
        <w:t xml:space="preserve">. 64 L (2022–2023) </w:t>
      </w:r>
      <w:r w:rsidRPr="00580C0D">
        <w:rPr>
          <w:rStyle w:val="kursiv"/>
        </w:rPr>
        <w:t>Endringer i barnevernsloven m.m. (formidling av opplysninger, meldinger om ufødte barn, politiattest)</w:t>
      </w:r>
      <w:r w:rsidRPr="00580C0D">
        <w:t xml:space="preserve">, der </w:t>
      </w:r>
      <w:proofErr w:type="spellStart"/>
      <w:r w:rsidRPr="00580C0D">
        <w:t>ein</w:t>
      </w:r>
      <w:proofErr w:type="spellEnd"/>
      <w:r w:rsidRPr="00580C0D">
        <w:t xml:space="preserve"> mellom anna </w:t>
      </w:r>
      <w:proofErr w:type="spellStart"/>
      <w:r w:rsidRPr="00580C0D">
        <w:t>føreslår</w:t>
      </w:r>
      <w:proofErr w:type="spellEnd"/>
      <w:r w:rsidRPr="00580C0D">
        <w:t xml:space="preserve"> </w:t>
      </w:r>
      <w:proofErr w:type="spellStart"/>
      <w:r w:rsidRPr="00580C0D">
        <w:t>eit</w:t>
      </w:r>
      <w:proofErr w:type="spellEnd"/>
      <w:r w:rsidRPr="00580C0D">
        <w:t xml:space="preserve"> krav om at </w:t>
      </w:r>
      <w:proofErr w:type="spellStart"/>
      <w:r w:rsidRPr="00580C0D">
        <w:t>eigarar</w:t>
      </w:r>
      <w:proofErr w:type="spellEnd"/>
      <w:r w:rsidRPr="00580C0D">
        <w:t xml:space="preserve"> av private </w:t>
      </w:r>
      <w:proofErr w:type="spellStart"/>
      <w:r w:rsidRPr="00580C0D">
        <w:t>barnevernsinstitusjonar</w:t>
      </w:r>
      <w:proofErr w:type="spellEnd"/>
      <w:r w:rsidRPr="00580C0D">
        <w:t xml:space="preserve"> </w:t>
      </w:r>
      <w:proofErr w:type="spellStart"/>
      <w:r w:rsidRPr="00580C0D">
        <w:t>legg</w:t>
      </w:r>
      <w:proofErr w:type="spellEnd"/>
      <w:r w:rsidRPr="00580C0D">
        <w:t xml:space="preserve"> fram barneomsorgsattest. Stortinget gjorde lovvedtak 5. juni 2023, og lova tek til å gjelde 1. januar 2024.</w:t>
      </w:r>
    </w:p>
    <w:p w14:paraId="44BBAC2E" w14:textId="77777777" w:rsidR="00F7113A" w:rsidRPr="00580C0D" w:rsidRDefault="00142E5B" w:rsidP="00580C0D">
      <w:r w:rsidRPr="00580C0D">
        <w:t xml:space="preserve">Departementet </w:t>
      </w:r>
      <w:proofErr w:type="spellStart"/>
      <w:r w:rsidRPr="00580C0D">
        <w:t>reknar</w:t>
      </w:r>
      <w:proofErr w:type="spellEnd"/>
      <w:r w:rsidRPr="00580C0D">
        <w:t xml:space="preserve"> oppmodingsvedtaket som </w:t>
      </w:r>
      <w:proofErr w:type="spellStart"/>
      <w:r w:rsidRPr="00580C0D">
        <w:t>følgt</w:t>
      </w:r>
      <w:proofErr w:type="spellEnd"/>
      <w:r w:rsidRPr="00580C0D">
        <w:t xml:space="preserve"> opp.</w:t>
      </w:r>
    </w:p>
    <w:p w14:paraId="6EC93F45" w14:textId="77777777" w:rsidR="00F7113A" w:rsidRPr="00580C0D" w:rsidRDefault="00142E5B" w:rsidP="00580C0D">
      <w:pPr>
        <w:pStyle w:val="Overskrift1"/>
      </w:pPr>
      <w:r w:rsidRPr="00580C0D">
        <w:t>Finansdepartementet</w:t>
      </w:r>
    </w:p>
    <w:p w14:paraId="398D1CBF" w14:textId="77777777" w:rsidR="00F7113A" w:rsidRPr="00580C0D" w:rsidRDefault="00142E5B" w:rsidP="00580C0D">
      <w:proofErr w:type="spellStart"/>
      <w:r w:rsidRPr="00580C0D">
        <w:t>Nedanfor</w:t>
      </w:r>
      <w:proofErr w:type="spellEnd"/>
      <w:r w:rsidRPr="00580C0D">
        <w:t xml:space="preserve"> er </w:t>
      </w:r>
      <w:proofErr w:type="gramStart"/>
      <w:r w:rsidRPr="00580C0D">
        <w:t>ei oversikt</w:t>
      </w:r>
      <w:proofErr w:type="gramEnd"/>
      <w:r w:rsidRPr="00580C0D">
        <w:t xml:space="preserve"> over oppfølging av oppmodingsvedtak under Finansdepartementet. </w:t>
      </w:r>
      <w:proofErr w:type="spellStart"/>
      <w:r w:rsidRPr="00580C0D">
        <w:t>Oversikta</w:t>
      </w:r>
      <w:proofErr w:type="spellEnd"/>
      <w:r w:rsidRPr="00580C0D">
        <w:t xml:space="preserve"> </w:t>
      </w:r>
      <w:proofErr w:type="spellStart"/>
      <w:r w:rsidRPr="00580C0D">
        <w:t>omfattar</w:t>
      </w:r>
      <w:proofErr w:type="spellEnd"/>
      <w:r w:rsidRPr="00580C0D">
        <w:t xml:space="preserve"> alle vedtak </w:t>
      </w:r>
      <w:proofErr w:type="spellStart"/>
      <w:r w:rsidRPr="00580C0D">
        <w:t>frå</w:t>
      </w:r>
      <w:proofErr w:type="spellEnd"/>
      <w:r w:rsidRPr="00580C0D">
        <w:t xml:space="preserve"> stortingssesjonen 2022–2023 og alle vedtak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sesjonar</w:t>
      </w:r>
      <w:proofErr w:type="spellEnd"/>
      <w:r w:rsidRPr="00580C0D">
        <w:t xml:space="preserve"> som kontroll- og konstitusjonskomiteen i </w:t>
      </w:r>
      <w:proofErr w:type="spellStart"/>
      <w:r w:rsidRPr="00580C0D">
        <w:t>Innst</w:t>
      </w:r>
      <w:proofErr w:type="spellEnd"/>
      <w:r w:rsidRPr="00580C0D">
        <w:t xml:space="preserve">. 186 S (2022–2023) meinte </w:t>
      </w:r>
      <w:proofErr w:type="spellStart"/>
      <w:r w:rsidRPr="00580C0D">
        <w:t>ikkje</w:t>
      </w:r>
      <w:proofErr w:type="spellEnd"/>
      <w:r w:rsidRPr="00580C0D">
        <w:t xml:space="preserve"> var kvittert ut. I </w:t>
      </w:r>
      <w:proofErr w:type="spellStart"/>
      <w:r w:rsidRPr="00580C0D">
        <w:t>nokre</w:t>
      </w:r>
      <w:proofErr w:type="spellEnd"/>
      <w:r w:rsidRPr="00580C0D">
        <w:t xml:space="preserve"> tilfelle er det samstundes med rapporteringa her gjeve ei </w:t>
      </w:r>
      <w:proofErr w:type="spellStart"/>
      <w:r w:rsidRPr="00580C0D">
        <w:t>meir</w:t>
      </w:r>
      <w:proofErr w:type="spellEnd"/>
      <w:r w:rsidRPr="00580C0D">
        <w:t xml:space="preserve"> </w:t>
      </w:r>
      <w:proofErr w:type="spellStart"/>
      <w:r w:rsidRPr="00580C0D">
        <w:t>omfattande</w:t>
      </w:r>
      <w:proofErr w:type="spellEnd"/>
      <w:r w:rsidRPr="00580C0D">
        <w:t xml:space="preserve"> framstilling av oppfølginga i </w:t>
      </w:r>
      <w:proofErr w:type="spellStart"/>
      <w:r w:rsidRPr="00580C0D">
        <w:t>Prop</w:t>
      </w:r>
      <w:proofErr w:type="spellEnd"/>
      <w:r w:rsidRPr="00580C0D">
        <w:t xml:space="preserve">. 1 LS (2023–2024) </w:t>
      </w:r>
      <w:r w:rsidRPr="00580C0D">
        <w:rPr>
          <w:rStyle w:val="kursiv"/>
        </w:rPr>
        <w:t>Skatter og avgifter 2024</w:t>
      </w:r>
      <w:r w:rsidRPr="00580C0D">
        <w:t xml:space="preserve"> eller i Meld. St. 1 (2023–2024) </w:t>
      </w:r>
      <w:r w:rsidRPr="00580C0D">
        <w:rPr>
          <w:rStyle w:val="kursiv"/>
        </w:rPr>
        <w:t>Nasjonalbudsjettet 2024</w:t>
      </w:r>
      <w:r w:rsidRPr="00580C0D">
        <w:t xml:space="preserve">. I slike </w:t>
      </w:r>
      <w:proofErr w:type="spellStart"/>
      <w:r w:rsidRPr="00580C0D">
        <w:t>tilfelle</w:t>
      </w:r>
      <w:proofErr w:type="spellEnd"/>
      <w:r w:rsidRPr="00580C0D">
        <w:t xml:space="preserve"> er det vist til kor denne framstillinga </w:t>
      </w:r>
      <w:proofErr w:type="spellStart"/>
      <w:r w:rsidRPr="00580C0D">
        <w:t>finst</w:t>
      </w:r>
      <w:proofErr w:type="spellEnd"/>
      <w:r w:rsidRPr="00580C0D">
        <w:t xml:space="preserve"> i </w:t>
      </w:r>
      <w:proofErr w:type="spellStart"/>
      <w:r w:rsidRPr="00580C0D">
        <w:t>desse</w:t>
      </w:r>
      <w:proofErr w:type="spellEnd"/>
      <w:r w:rsidRPr="00580C0D">
        <w:t xml:space="preserve"> dokumenta.</w:t>
      </w:r>
    </w:p>
    <w:p w14:paraId="7594ADC4" w14:textId="3C07CD10" w:rsidR="00F7113A" w:rsidRDefault="00142E5B" w:rsidP="00580C0D">
      <w:r w:rsidRPr="00580C0D">
        <w:t xml:space="preserve">I tabellen </w:t>
      </w:r>
      <w:proofErr w:type="spellStart"/>
      <w:r w:rsidRPr="00580C0D">
        <w:t>nedanfor</w:t>
      </w:r>
      <w:proofErr w:type="spellEnd"/>
      <w:r w:rsidRPr="00580C0D">
        <w:t xml:space="preserve"> vert det òg opplyst om departementet planlegg at rapporteringa knytta til oppmodingsvedtaket </w:t>
      </w:r>
      <w:proofErr w:type="spellStart"/>
      <w:r w:rsidRPr="00580C0D">
        <w:t>no</w:t>
      </w:r>
      <w:proofErr w:type="spellEnd"/>
      <w:r w:rsidRPr="00580C0D">
        <w:t xml:space="preserve"> vert avslutta eller om departementet òg vil rapportere konkret på vedtaket i budsjettproposisjonen for neste år.</w:t>
      </w:r>
    </w:p>
    <w:p w14:paraId="1252BB94" w14:textId="0AF2CB4D" w:rsidR="00580C0D" w:rsidRPr="00580C0D" w:rsidRDefault="00580C0D" w:rsidP="00580C0D">
      <w:pPr>
        <w:pStyle w:val="tabell-tittel"/>
      </w:pPr>
      <w:r w:rsidRPr="00580C0D">
        <w:t>Oversikt over oppmodingsvedtak, ordna etter sesjon og nummer</w:t>
      </w:r>
    </w:p>
    <w:p w14:paraId="63DB24FF" w14:textId="77777777" w:rsidR="00F7113A" w:rsidRPr="00580C0D" w:rsidRDefault="00142E5B" w:rsidP="00580C0D">
      <w:pPr>
        <w:pStyle w:val="Tabellnavn"/>
      </w:pPr>
      <w:r w:rsidRPr="00580C0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20"/>
        <w:gridCol w:w="1100"/>
        <w:gridCol w:w="5540"/>
        <w:gridCol w:w="1660"/>
      </w:tblGrid>
      <w:tr w:rsidR="00F7113A" w:rsidRPr="00580C0D" w14:paraId="1C77F2DB" w14:textId="77777777">
        <w:trPr>
          <w:trHeight w:val="600"/>
        </w:trPr>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09711E" w14:textId="77777777" w:rsidR="00F7113A" w:rsidRPr="00580C0D" w:rsidRDefault="00142E5B" w:rsidP="001231A3">
            <w:r w:rsidRPr="00580C0D">
              <w:t>Sesjon</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454F09" w14:textId="77777777" w:rsidR="00F7113A" w:rsidRPr="00580C0D" w:rsidRDefault="00142E5B" w:rsidP="001231A3">
            <w:pPr>
              <w:jc w:val="center"/>
            </w:pPr>
            <w:r w:rsidRPr="00580C0D">
              <w:t>Vedtak nr.</w:t>
            </w:r>
          </w:p>
        </w:tc>
        <w:tc>
          <w:tcPr>
            <w:tcW w:w="5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F5DC84" w14:textId="77777777" w:rsidR="00F7113A" w:rsidRPr="00580C0D" w:rsidRDefault="00142E5B" w:rsidP="001231A3">
            <w:r w:rsidRPr="00580C0D">
              <w:t>Stikkord</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9A266" w14:textId="77777777" w:rsidR="00F7113A" w:rsidRPr="00580C0D" w:rsidRDefault="00142E5B" w:rsidP="001231A3">
            <w:pPr>
              <w:jc w:val="right"/>
            </w:pPr>
            <w:r w:rsidRPr="00580C0D">
              <w:t>Rapportering</w:t>
            </w:r>
            <w:r w:rsidRPr="00580C0D">
              <w:br/>
              <w:t xml:space="preserve"> avsluttes (Ja/Nei)</w:t>
            </w:r>
          </w:p>
        </w:tc>
      </w:tr>
      <w:tr w:rsidR="00F7113A" w:rsidRPr="00580C0D" w14:paraId="79483B8B" w14:textId="77777777">
        <w:trPr>
          <w:trHeight w:val="380"/>
        </w:trPr>
        <w:tc>
          <w:tcPr>
            <w:tcW w:w="1220" w:type="dxa"/>
            <w:tcBorders>
              <w:top w:val="single" w:sz="4" w:space="0" w:color="000000"/>
              <w:left w:val="nil"/>
              <w:bottom w:val="nil"/>
              <w:right w:val="nil"/>
            </w:tcBorders>
            <w:tcMar>
              <w:top w:w="128" w:type="dxa"/>
              <w:left w:w="43" w:type="dxa"/>
              <w:bottom w:w="43" w:type="dxa"/>
              <w:right w:w="43" w:type="dxa"/>
            </w:tcMar>
          </w:tcPr>
          <w:p w14:paraId="40AC8031" w14:textId="77777777" w:rsidR="00F7113A" w:rsidRPr="00580C0D" w:rsidRDefault="00142E5B" w:rsidP="001231A3">
            <w:r w:rsidRPr="00580C0D">
              <w:t>2022–2023</w:t>
            </w:r>
          </w:p>
        </w:tc>
        <w:tc>
          <w:tcPr>
            <w:tcW w:w="1100" w:type="dxa"/>
            <w:tcBorders>
              <w:top w:val="single" w:sz="4" w:space="0" w:color="000000"/>
              <w:left w:val="nil"/>
              <w:bottom w:val="nil"/>
              <w:right w:val="nil"/>
            </w:tcBorders>
            <w:tcMar>
              <w:top w:w="128" w:type="dxa"/>
              <w:left w:w="43" w:type="dxa"/>
              <w:bottom w:w="43" w:type="dxa"/>
              <w:right w:w="43" w:type="dxa"/>
            </w:tcMar>
          </w:tcPr>
          <w:p w14:paraId="34BEC054" w14:textId="77777777" w:rsidR="00F7113A" w:rsidRPr="00580C0D" w:rsidRDefault="00142E5B" w:rsidP="001231A3">
            <w:pPr>
              <w:ind w:right="284"/>
              <w:jc w:val="right"/>
            </w:pPr>
            <w:r w:rsidRPr="00580C0D">
              <w:t>82</w:t>
            </w:r>
          </w:p>
        </w:tc>
        <w:tc>
          <w:tcPr>
            <w:tcW w:w="5540" w:type="dxa"/>
            <w:tcBorders>
              <w:top w:val="single" w:sz="4" w:space="0" w:color="000000"/>
              <w:left w:val="nil"/>
              <w:bottom w:val="nil"/>
              <w:right w:val="nil"/>
            </w:tcBorders>
            <w:tcMar>
              <w:top w:w="128" w:type="dxa"/>
              <w:left w:w="43" w:type="dxa"/>
              <w:bottom w:w="43" w:type="dxa"/>
              <w:right w:w="43" w:type="dxa"/>
            </w:tcMar>
          </w:tcPr>
          <w:p w14:paraId="14E518E8" w14:textId="77777777" w:rsidR="00F7113A" w:rsidRPr="00580C0D" w:rsidRDefault="00142E5B" w:rsidP="001231A3">
            <w:r w:rsidRPr="00580C0D">
              <w:t>Utflyttingsskatt</w:t>
            </w:r>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33F92D36" w14:textId="77777777" w:rsidR="00F7113A" w:rsidRPr="00580C0D" w:rsidRDefault="00142E5B" w:rsidP="001231A3">
            <w:pPr>
              <w:jc w:val="right"/>
            </w:pPr>
            <w:r w:rsidRPr="00580C0D">
              <w:t>Nei</w:t>
            </w:r>
          </w:p>
        </w:tc>
      </w:tr>
      <w:tr w:rsidR="00F7113A" w:rsidRPr="00580C0D" w14:paraId="484B1D38" w14:textId="77777777">
        <w:trPr>
          <w:trHeight w:val="380"/>
        </w:trPr>
        <w:tc>
          <w:tcPr>
            <w:tcW w:w="1220" w:type="dxa"/>
            <w:tcBorders>
              <w:top w:val="nil"/>
              <w:left w:val="nil"/>
              <w:bottom w:val="nil"/>
              <w:right w:val="nil"/>
            </w:tcBorders>
            <w:tcMar>
              <w:top w:w="128" w:type="dxa"/>
              <w:left w:w="43" w:type="dxa"/>
              <w:bottom w:w="43" w:type="dxa"/>
              <w:right w:w="43" w:type="dxa"/>
            </w:tcMar>
          </w:tcPr>
          <w:p w14:paraId="632135E9"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0C1E1393" w14:textId="77777777" w:rsidR="00F7113A" w:rsidRPr="00580C0D" w:rsidRDefault="00142E5B" w:rsidP="001231A3">
            <w:pPr>
              <w:ind w:right="284"/>
              <w:jc w:val="right"/>
            </w:pPr>
            <w:r w:rsidRPr="00580C0D">
              <w:t>83</w:t>
            </w:r>
          </w:p>
        </w:tc>
        <w:tc>
          <w:tcPr>
            <w:tcW w:w="5540" w:type="dxa"/>
            <w:tcBorders>
              <w:top w:val="nil"/>
              <w:left w:val="nil"/>
              <w:bottom w:val="nil"/>
              <w:right w:val="nil"/>
            </w:tcBorders>
            <w:tcMar>
              <w:top w:w="128" w:type="dxa"/>
              <w:left w:w="43" w:type="dxa"/>
              <w:bottom w:w="43" w:type="dxa"/>
              <w:right w:w="43" w:type="dxa"/>
            </w:tcMar>
          </w:tcPr>
          <w:p w14:paraId="78E19F67" w14:textId="77777777" w:rsidR="00F7113A" w:rsidRPr="00580C0D" w:rsidRDefault="00142E5B" w:rsidP="001231A3">
            <w:r w:rsidRPr="00580C0D">
              <w:t>Turistskatt</w:t>
            </w:r>
          </w:p>
        </w:tc>
        <w:tc>
          <w:tcPr>
            <w:tcW w:w="1660" w:type="dxa"/>
            <w:tcBorders>
              <w:top w:val="nil"/>
              <w:left w:val="nil"/>
              <w:bottom w:val="nil"/>
              <w:right w:val="nil"/>
            </w:tcBorders>
            <w:tcMar>
              <w:top w:w="128" w:type="dxa"/>
              <w:left w:w="43" w:type="dxa"/>
              <w:bottom w:w="43" w:type="dxa"/>
              <w:right w:w="43" w:type="dxa"/>
            </w:tcMar>
            <w:vAlign w:val="bottom"/>
          </w:tcPr>
          <w:p w14:paraId="02AD2AAF" w14:textId="77777777" w:rsidR="00F7113A" w:rsidRPr="00580C0D" w:rsidRDefault="00142E5B" w:rsidP="001231A3">
            <w:pPr>
              <w:jc w:val="right"/>
            </w:pPr>
            <w:r w:rsidRPr="00580C0D">
              <w:t>Nei</w:t>
            </w:r>
          </w:p>
        </w:tc>
      </w:tr>
      <w:tr w:rsidR="00F7113A" w:rsidRPr="00580C0D" w14:paraId="6ECEEA6D" w14:textId="77777777">
        <w:trPr>
          <w:trHeight w:val="380"/>
        </w:trPr>
        <w:tc>
          <w:tcPr>
            <w:tcW w:w="1220" w:type="dxa"/>
            <w:tcBorders>
              <w:top w:val="nil"/>
              <w:left w:val="nil"/>
              <w:bottom w:val="nil"/>
              <w:right w:val="nil"/>
            </w:tcBorders>
            <w:tcMar>
              <w:top w:w="128" w:type="dxa"/>
              <w:left w:w="43" w:type="dxa"/>
              <w:bottom w:w="43" w:type="dxa"/>
              <w:right w:w="43" w:type="dxa"/>
            </w:tcMar>
          </w:tcPr>
          <w:p w14:paraId="04ACB62E"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70D5BC1A" w14:textId="77777777" w:rsidR="00F7113A" w:rsidRPr="00580C0D" w:rsidRDefault="00142E5B" w:rsidP="001231A3">
            <w:pPr>
              <w:ind w:right="284"/>
              <w:jc w:val="right"/>
            </w:pPr>
            <w:r w:rsidRPr="00580C0D">
              <w:t>91</w:t>
            </w:r>
          </w:p>
        </w:tc>
        <w:tc>
          <w:tcPr>
            <w:tcW w:w="5540" w:type="dxa"/>
            <w:tcBorders>
              <w:top w:val="nil"/>
              <w:left w:val="nil"/>
              <w:bottom w:val="nil"/>
              <w:right w:val="nil"/>
            </w:tcBorders>
            <w:tcMar>
              <w:top w:w="128" w:type="dxa"/>
              <w:left w:w="43" w:type="dxa"/>
              <w:bottom w:w="43" w:type="dxa"/>
              <w:right w:w="43" w:type="dxa"/>
            </w:tcMar>
          </w:tcPr>
          <w:p w14:paraId="529E36E4" w14:textId="77777777" w:rsidR="00F7113A" w:rsidRPr="00580C0D" w:rsidRDefault="00142E5B" w:rsidP="001231A3">
            <w:proofErr w:type="spellStart"/>
            <w:r w:rsidRPr="00580C0D">
              <w:t>Eingongsavgift</w:t>
            </w:r>
            <w:proofErr w:type="spellEnd"/>
            <w:r w:rsidRPr="00580C0D">
              <w:t xml:space="preserve"> på tunge </w:t>
            </w:r>
            <w:proofErr w:type="spellStart"/>
            <w:r w:rsidRPr="00580C0D">
              <w:t>køyretøy</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1AACB600" w14:textId="77777777" w:rsidR="00F7113A" w:rsidRPr="00580C0D" w:rsidRDefault="00142E5B" w:rsidP="001231A3">
            <w:pPr>
              <w:jc w:val="right"/>
            </w:pPr>
            <w:r w:rsidRPr="00580C0D">
              <w:t>Ja</w:t>
            </w:r>
          </w:p>
        </w:tc>
      </w:tr>
      <w:tr w:rsidR="00F7113A" w:rsidRPr="00580C0D" w14:paraId="5FE6D2FF" w14:textId="77777777">
        <w:trPr>
          <w:trHeight w:val="380"/>
        </w:trPr>
        <w:tc>
          <w:tcPr>
            <w:tcW w:w="1220" w:type="dxa"/>
            <w:tcBorders>
              <w:top w:val="nil"/>
              <w:left w:val="nil"/>
              <w:bottom w:val="nil"/>
              <w:right w:val="nil"/>
            </w:tcBorders>
            <w:tcMar>
              <w:top w:w="128" w:type="dxa"/>
              <w:left w:w="43" w:type="dxa"/>
              <w:bottom w:w="43" w:type="dxa"/>
              <w:right w:w="43" w:type="dxa"/>
            </w:tcMar>
          </w:tcPr>
          <w:p w14:paraId="13043BEE"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247BD555" w14:textId="77777777" w:rsidR="00F7113A" w:rsidRPr="00580C0D" w:rsidRDefault="00142E5B" w:rsidP="001231A3">
            <w:pPr>
              <w:ind w:right="284"/>
              <w:jc w:val="right"/>
            </w:pPr>
            <w:r w:rsidRPr="00580C0D">
              <w:t>111</w:t>
            </w:r>
          </w:p>
        </w:tc>
        <w:tc>
          <w:tcPr>
            <w:tcW w:w="5540" w:type="dxa"/>
            <w:tcBorders>
              <w:top w:val="nil"/>
              <w:left w:val="nil"/>
              <w:bottom w:val="nil"/>
              <w:right w:val="nil"/>
            </w:tcBorders>
            <w:tcMar>
              <w:top w:w="128" w:type="dxa"/>
              <w:left w:w="43" w:type="dxa"/>
              <w:bottom w:w="43" w:type="dxa"/>
              <w:right w:w="43" w:type="dxa"/>
            </w:tcMar>
          </w:tcPr>
          <w:p w14:paraId="3DB3D660" w14:textId="77777777" w:rsidR="00F7113A" w:rsidRPr="00580C0D" w:rsidRDefault="00142E5B" w:rsidP="001231A3">
            <w:proofErr w:type="spellStart"/>
            <w:r w:rsidRPr="00580C0D">
              <w:t>Eingongsavgift</w:t>
            </w:r>
            <w:proofErr w:type="spellEnd"/>
            <w:r w:rsidRPr="00580C0D">
              <w:t xml:space="preserve"> for ladbare </w:t>
            </w:r>
            <w:proofErr w:type="spellStart"/>
            <w:r w:rsidRPr="00580C0D">
              <w:t>hybridbilar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3733F911" w14:textId="77777777" w:rsidR="00F7113A" w:rsidRPr="00580C0D" w:rsidRDefault="00142E5B" w:rsidP="001231A3">
            <w:pPr>
              <w:jc w:val="right"/>
            </w:pPr>
            <w:r w:rsidRPr="00580C0D">
              <w:t>Ja</w:t>
            </w:r>
          </w:p>
        </w:tc>
      </w:tr>
      <w:tr w:rsidR="00F7113A" w:rsidRPr="00580C0D" w14:paraId="4CE89097" w14:textId="77777777">
        <w:trPr>
          <w:trHeight w:val="380"/>
        </w:trPr>
        <w:tc>
          <w:tcPr>
            <w:tcW w:w="1220" w:type="dxa"/>
            <w:tcBorders>
              <w:top w:val="nil"/>
              <w:left w:val="nil"/>
              <w:bottom w:val="nil"/>
              <w:right w:val="nil"/>
            </w:tcBorders>
            <w:tcMar>
              <w:top w:w="128" w:type="dxa"/>
              <w:left w:w="43" w:type="dxa"/>
              <w:bottom w:w="43" w:type="dxa"/>
              <w:right w:w="43" w:type="dxa"/>
            </w:tcMar>
          </w:tcPr>
          <w:p w14:paraId="353967F7"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765634B6" w14:textId="77777777" w:rsidR="00F7113A" w:rsidRPr="00580C0D" w:rsidRDefault="00142E5B" w:rsidP="001231A3">
            <w:pPr>
              <w:ind w:right="284"/>
              <w:jc w:val="right"/>
            </w:pPr>
            <w:r w:rsidRPr="00580C0D">
              <w:t>120</w:t>
            </w:r>
          </w:p>
        </w:tc>
        <w:tc>
          <w:tcPr>
            <w:tcW w:w="5540" w:type="dxa"/>
            <w:tcBorders>
              <w:top w:val="nil"/>
              <w:left w:val="nil"/>
              <w:bottom w:val="nil"/>
              <w:right w:val="nil"/>
            </w:tcBorders>
            <w:tcMar>
              <w:top w:w="128" w:type="dxa"/>
              <w:left w:w="43" w:type="dxa"/>
              <w:bottom w:w="43" w:type="dxa"/>
              <w:right w:w="43" w:type="dxa"/>
            </w:tcMar>
          </w:tcPr>
          <w:p w14:paraId="64311CFB" w14:textId="77777777" w:rsidR="00F7113A" w:rsidRPr="00580C0D" w:rsidRDefault="00142E5B" w:rsidP="001231A3">
            <w:proofErr w:type="spellStart"/>
            <w:r w:rsidRPr="00580C0D">
              <w:t>Meirverdiavgiftsfritak</w:t>
            </w:r>
            <w:proofErr w:type="spellEnd"/>
            <w:r w:rsidRPr="00580C0D">
              <w:t xml:space="preserve"> elektroniske aviser</w:t>
            </w:r>
          </w:p>
        </w:tc>
        <w:tc>
          <w:tcPr>
            <w:tcW w:w="1660" w:type="dxa"/>
            <w:tcBorders>
              <w:top w:val="nil"/>
              <w:left w:val="nil"/>
              <w:bottom w:val="nil"/>
              <w:right w:val="nil"/>
            </w:tcBorders>
            <w:tcMar>
              <w:top w:w="128" w:type="dxa"/>
              <w:left w:w="43" w:type="dxa"/>
              <w:bottom w:w="43" w:type="dxa"/>
              <w:right w:w="43" w:type="dxa"/>
            </w:tcMar>
            <w:vAlign w:val="bottom"/>
          </w:tcPr>
          <w:p w14:paraId="4B31B48E" w14:textId="77777777" w:rsidR="00F7113A" w:rsidRPr="00580C0D" w:rsidRDefault="00142E5B" w:rsidP="001231A3">
            <w:pPr>
              <w:jc w:val="right"/>
            </w:pPr>
            <w:r w:rsidRPr="00580C0D">
              <w:t>Ja</w:t>
            </w:r>
          </w:p>
        </w:tc>
      </w:tr>
      <w:tr w:rsidR="00F7113A" w:rsidRPr="00580C0D" w14:paraId="533677F9" w14:textId="77777777">
        <w:trPr>
          <w:trHeight w:val="380"/>
        </w:trPr>
        <w:tc>
          <w:tcPr>
            <w:tcW w:w="1220" w:type="dxa"/>
            <w:tcBorders>
              <w:top w:val="nil"/>
              <w:left w:val="nil"/>
              <w:bottom w:val="nil"/>
              <w:right w:val="nil"/>
            </w:tcBorders>
            <w:tcMar>
              <w:top w:w="128" w:type="dxa"/>
              <w:left w:w="43" w:type="dxa"/>
              <w:bottom w:w="43" w:type="dxa"/>
              <w:right w:w="43" w:type="dxa"/>
            </w:tcMar>
          </w:tcPr>
          <w:p w14:paraId="10FFC501"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3F356A2A" w14:textId="77777777" w:rsidR="00F7113A" w:rsidRPr="00580C0D" w:rsidRDefault="00142E5B" w:rsidP="001231A3">
            <w:pPr>
              <w:ind w:right="284"/>
              <w:jc w:val="right"/>
            </w:pPr>
            <w:r w:rsidRPr="00580C0D">
              <w:t>716-1</w:t>
            </w:r>
          </w:p>
        </w:tc>
        <w:tc>
          <w:tcPr>
            <w:tcW w:w="5540" w:type="dxa"/>
            <w:tcBorders>
              <w:top w:val="nil"/>
              <w:left w:val="nil"/>
              <w:bottom w:val="nil"/>
              <w:right w:val="nil"/>
            </w:tcBorders>
            <w:tcMar>
              <w:top w:w="128" w:type="dxa"/>
              <w:left w:w="43" w:type="dxa"/>
              <w:bottom w:w="43" w:type="dxa"/>
              <w:right w:w="43" w:type="dxa"/>
            </w:tcMar>
          </w:tcPr>
          <w:p w14:paraId="7F36ACF0" w14:textId="77777777" w:rsidR="00F7113A" w:rsidRPr="00580C0D" w:rsidRDefault="00142E5B" w:rsidP="001231A3">
            <w:proofErr w:type="spellStart"/>
            <w:r w:rsidRPr="00580C0D">
              <w:t>Miljøindikatorar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6F9571AA" w14:textId="77777777" w:rsidR="00F7113A" w:rsidRPr="00580C0D" w:rsidRDefault="00142E5B" w:rsidP="001231A3">
            <w:pPr>
              <w:jc w:val="right"/>
            </w:pPr>
            <w:r w:rsidRPr="00580C0D">
              <w:t>Nei</w:t>
            </w:r>
          </w:p>
        </w:tc>
      </w:tr>
      <w:tr w:rsidR="00F7113A" w:rsidRPr="00580C0D" w14:paraId="7670F49B" w14:textId="77777777">
        <w:trPr>
          <w:trHeight w:val="380"/>
        </w:trPr>
        <w:tc>
          <w:tcPr>
            <w:tcW w:w="1220" w:type="dxa"/>
            <w:tcBorders>
              <w:top w:val="nil"/>
              <w:left w:val="nil"/>
              <w:bottom w:val="nil"/>
              <w:right w:val="nil"/>
            </w:tcBorders>
            <w:tcMar>
              <w:top w:w="128" w:type="dxa"/>
              <w:left w:w="43" w:type="dxa"/>
              <w:bottom w:w="43" w:type="dxa"/>
              <w:right w:w="43" w:type="dxa"/>
            </w:tcMar>
          </w:tcPr>
          <w:p w14:paraId="6BA576FA"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45D247C3" w14:textId="77777777" w:rsidR="00F7113A" w:rsidRPr="00580C0D" w:rsidRDefault="00142E5B" w:rsidP="001231A3">
            <w:pPr>
              <w:ind w:right="284"/>
              <w:jc w:val="right"/>
            </w:pPr>
            <w:r w:rsidRPr="00580C0D">
              <w:t>716-2</w:t>
            </w:r>
          </w:p>
        </w:tc>
        <w:tc>
          <w:tcPr>
            <w:tcW w:w="5540" w:type="dxa"/>
            <w:tcBorders>
              <w:top w:val="nil"/>
              <w:left w:val="nil"/>
              <w:bottom w:val="nil"/>
              <w:right w:val="nil"/>
            </w:tcBorders>
            <w:tcMar>
              <w:top w:w="128" w:type="dxa"/>
              <w:left w:w="43" w:type="dxa"/>
              <w:bottom w:w="43" w:type="dxa"/>
              <w:right w:w="43" w:type="dxa"/>
            </w:tcMar>
          </w:tcPr>
          <w:p w14:paraId="2F17CFE5" w14:textId="77777777" w:rsidR="00F7113A" w:rsidRPr="00580C0D" w:rsidRDefault="00142E5B" w:rsidP="001231A3">
            <w:r w:rsidRPr="00580C0D">
              <w:t>Grunnrenteskatt på havbruk til havs</w:t>
            </w:r>
          </w:p>
        </w:tc>
        <w:tc>
          <w:tcPr>
            <w:tcW w:w="1660" w:type="dxa"/>
            <w:tcBorders>
              <w:top w:val="nil"/>
              <w:left w:val="nil"/>
              <w:bottom w:val="nil"/>
              <w:right w:val="nil"/>
            </w:tcBorders>
            <w:tcMar>
              <w:top w:w="128" w:type="dxa"/>
              <w:left w:w="43" w:type="dxa"/>
              <w:bottom w:w="43" w:type="dxa"/>
              <w:right w:w="43" w:type="dxa"/>
            </w:tcMar>
            <w:vAlign w:val="bottom"/>
          </w:tcPr>
          <w:p w14:paraId="3F8F45AE" w14:textId="77777777" w:rsidR="00F7113A" w:rsidRPr="00580C0D" w:rsidRDefault="00142E5B" w:rsidP="001231A3">
            <w:pPr>
              <w:jc w:val="right"/>
            </w:pPr>
            <w:r w:rsidRPr="00580C0D">
              <w:t>Ja</w:t>
            </w:r>
          </w:p>
        </w:tc>
      </w:tr>
      <w:tr w:rsidR="00F7113A" w:rsidRPr="00580C0D" w14:paraId="5609C4D4" w14:textId="77777777">
        <w:trPr>
          <w:trHeight w:val="380"/>
        </w:trPr>
        <w:tc>
          <w:tcPr>
            <w:tcW w:w="1220" w:type="dxa"/>
            <w:tcBorders>
              <w:top w:val="nil"/>
              <w:left w:val="nil"/>
              <w:bottom w:val="nil"/>
              <w:right w:val="nil"/>
            </w:tcBorders>
            <w:tcMar>
              <w:top w:w="128" w:type="dxa"/>
              <w:left w:w="43" w:type="dxa"/>
              <w:bottom w:w="43" w:type="dxa"/>
              <w:right w:w="43" w:type="dxa"/>
            </w:tcMar>
          </w:tcPr>
          <w:p w14:paraId="6664DAB0"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46267FDB" w14:textId="77777777" w:rsidR="00F7113A" w:rsidRPr="00580C0D" w:rsidRDefault="00142E5B" w:rsidP="001231A3">
            <w:pPr>
              <w:ind w:right="284"/>
              <w:jc w:val="right"/>
            </w:pPr>
            <w:r w:rsidRPr="00580C0D">
              <w:t>716-3</w:t>
            </w:r>
          </w:p>
        </w:tc>
        <w:tc>
          <w:tcPr>
            <w:tcW w:w="5540" w:type="dxa"/>
            <w:tcBorders>
              <w:top w:val="nil"/>
              <w:left w:val="nil"/>
              <w:bottom w:val="nil"/>
              <w:right w:val="nil"/>
            </w:tcBorders>
            <w:tcMar>
              <w:top w:w="128" w:type="dxa"/>
              <w:left w:w="43" w:type="dxa"/>
              <w:bottom w:w="43" w:type="dxa"/>
              <w:right w:w="43" w:type="dxa"/>
            </w:tcMar>
          </w:tcPr>
          <w:p w14:paraId="4E03E04E" w14:textId="77777777" w:rsidR="00F7113A" w:rsidRPr="00580C0D" w:rsidRDefault="00142E5B" w:rsidP="001231A3">
            <w:proofErr w:type="spellStart"/>
            <w:r w:rsidRPr="00580C0D">
              <w:t>Nedtrekt</w:t>
            </w:r>
            <w:proofErr w:type="spellEnd"/>
            <w:r w:rsidRPr="00580C0D">
              <w:t xml:space="preserve"> produksjon</w:t>
            </w:r>
          </w:p>
        </w:tc>
        <w:tc>
          <w:tcPr>
            <w:tcW w:w="1660" w:type="dxa"/>
            <w:tcBorders>
              <w:top w:val="nil"/>
              <w:left w:val="nil"/>
              <w:bottom w:val="nil"/>
              <w:right w:val="nil"/>
            </w:tcBorders>
            <w:tcMar>
              <w:top w:w="128" w:type="dxa"/>
              <w:left w:w="43" w:type="dxa"/>
              <w:bottom w:w="43" w:type="dxa"/>
              <w:right w:w="43" w:type="dxa"/>
            </w:tcMar>
            <w:vAlign w:val="bottom"/>
          </w:tcPr>
          <w:p w14:paraId="05C0F1D2" w14:textId="77777777" w:rsidR="00F7113A" w:rsidRPr="00580C0D" w:rsidRDefault="00142E5B" w:rsidP="001231A3">
            <w:pPr>
              <w:jc w:val="right"/>
            </w:pPr>
            <w:r w:rsidRPr="00580C0D">
              <w:t>Nei</w:t>
            </w:r>
          </w:p>
        </w:tc>
      </w:tr>
      <w:tr w:rsidR="00F7113A" w:rsidRPr="00580C0D" w14:paraId="09940666" w14:textId="77777777">
        <w:trPr>
          <w:trHeight w:val="380"/>
        </w:trPr>
        <w:tc>
          <w:tcPr>
            <w:tcW w:w="1220" w:type="dxa"/>
            <w:tcBorders>
              <w:top w:val="nil"/>
              <w:left w:val="nil"/>
              <w:bottom w:val="nil"/>
              <w:right w:val="nil"/>
            </w:tcBorders>
            <w:tcMar>
              <w:top w:w="128" w:type="dxa"/>
              <w:left w:w="43" w:type="dxa"/>
              <w:bottom w:w="43" w:type="dxa"/>
              <w:right w:w="43" w:type="dxa"/>
            </w:tcMar>
          </w:tcPr>
          <w:p w14:paraId="4FD0D40E"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1963EB2A" w14:textId="77777777" w:rsidR="00F7113A" w:rsidRPr="00580C0D" w:rsidRDefault="00142E5B" w:rsidP="001231A3">
            <w:pPr>
              <w:ind w:right="284"/>
              <w:jc w:val="right"/>
            </w:pPr>
            <w:r w:rsidRPr="00580C0D">
              <w:t>716-4</w:t>
            </w:r>
          </w:p>
        </w:tc>
        <w:tc>
          <w:tcPr>
            <w:tcW w:w="5540" w:type="dxa"/>
            <w:tcBorders>
              <w:top w:val="nil"/>
              <w:left w:val="nil"/>
              <w:bottom w:val="nil"/>
              <w:right w:val="nil"/>
            </w:tcBorders>
            <w:tcMar>
              <w:top w:w="128" w:type="dxa"/>
              <w:left w:w="43" w:type="dxa"/>
              <w:bottom w:w="43" w:type="dxa"/>
              <w:right w:w="43" w:type="dxa"/>
            </w:tcMar>
          </w:tcPr>
          <w:p w14:paraId="29416813" w14:textId="77777777" w:rsidR="00F7113A" w:rsidRPr="00580C0D" w:rsidRDefault="00142E5B" w:rsidP="001231A3">
            <w:r w:rsidRPr="00580C0D">
              <w:t>Miljøteknologiordning</w:t>
            </w:r>
          </w:p>
        </w:tc>
        <w:tc>
          <w:tcPr>
            <w:tcW w:w="1660" w:type="dxa"/>
            <w:tcBorders>
              <w:top w:val="nil"/>
              <w:left w:val="nil"/>
              <w:bottom w:val="nil"/>
              <w:right w:val="nil"/>
            </w:tcBorders>
            <w:tcMar>
              <w:top w:w="128" w:type="dxa"/>
              <w:left w:w="43" w:type="dxa"/>
              <w:bottom w:w="43" w:type="dxa"/>
              <w:right w:w="43" w:type="dxa"/>
            </w:tcMar>
            <w:vAlign w:val="bottom"/>
          </w:tcPr>
          <w:p w14:paraId="4D42751F" w14:textId="77777777" w:rsidR="00F7113A" w:rsidRPr="00580C0D" w:rsidRDefault="00142E5B" w:rsidP="001231A3">
            <w:pPr>
              <w:jc w:val="right"/>
            </w:pPr>
            <w:r w:rsidRPr="00580C0D">
              <w:t>Nei</w:t>
            </w:r>
          </w:p>
        </w:tc>
      </w:tr>
      <w:tr w:rsidR="00F7113A" w:rsidRPr="00580C0D" w14:paraId="58AD1937" w14:textId="77777777">
        <w:trPr>
          <w:trHeight w:val="640"/>
        </w:trPr>
        <w:tc>
          <w:tcPr>
            <w:tcW w:w="1220" w:type="dxa"/>
            <w:tcBorders>
              <w:top w:val="nil"/>
              <w:left w:val="nil"/>
              <w:bottom w:val="nil"/>
              <w:right w:val="nil"/>
            </w:tcBorders>
            <w:tcMar>
              <w:top w:w="128" w:type="dxa"/>
              <w:left w:w="43" w:type="dxa"/>
              <w:bottom w:w="43" w:type="dxa"/>
              <w:right w:w="43" w:type="dxa"/>
            </w:tcMar>
          </w:tcPr>
          <w:p w14:paraId="0EC62C42"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639C921A" w14:textId="77777777" w:rsidR="00F7113A" w:rsidRPr="00580C0D" w:rsidRDefault="00142E5B" w:rsidP="001231A3">
            <w:pPr>
              <w:ind w:right="284"/>
              <w:jc w:val="right"/>
            </w:pPr>
            <w:r w:rsidRPr="00580C0D">
              <w:t>716-5</w:t>
            </w:r>
          </w:p>
        </w:tc>
        <w:tc>
          <w:tcPr>
            <w:tcW w:w="5540" w:type="dxa"/>
            <w:tcBorders>
              <w:top w:val="nil"/>
              <w:left w:val="nil"/>
              <w:bottom w:val="nil"/>
              <w:right w:val="nil"/>
            </w:tcBorders>
            <w:tcMar>
              <w:top w:w="128" w:type="dxa"/>
              <w:left w:w="43" w:type="dxa"/>
              <w:bottom w:w="43" w:type="dxa"/>
              <w:right w:w="43" w:type="dxa"/>
            </w:tcMar>
          </w:tcPr>
          <w:p w14:paraId="089DDD25" w14:textId="77777777" w:rsidR="00F7113A" w:rsidRPr="00580C0D" w:rsidRDefault="00142E5B" w:rsidP="001231A3">
            <w:r w:rsidRPr="00580C0D">
              <w:t xml:space="preserve">Betre organisering av samarbeidet mellom </w:t>
            </w:r>
            <w:proofErr w:type="spellStart"/>
            <w:r w:rsidRPr="00580C0D">
              <w:t>myndigheitene</w:t>
            </w:r>
            <w:proofErr w:type="spellEnd"/>
            <w:r w:rsidRPr="00580C0D">
              <w:t xml:space="preserve"> og oppdrettsnæringa</w:t>
            </w:r>
          </w:p>
        </w:tc>
        <w:tc>
          <w:tcPr>
            <w:tcW w:w="1660" w:type="dxa"/>
            <w:tcBorders>
              <w:top w:val="nil"/>
              <w:left w:val="nil"/>
              <w:bottom w:val="nil"/>
              <w:right w:val="nil"/>
            </w:tcBorders>
            <w:tcMar>
              <w:top w:w="128" w:type="dxa"/>
              <w:left w:w="43" w:type="dxa"/>
              <w:bottom w:w="43" w:type="dxa"/>
              <w:right w:w="43" w:type="dxa"/>
            </w:tcMar>
            <w:vAlign w:val="bottom"/>
          </w:tcPr>
          <w:p w14:paraId="2B3984EC" w14:textId="77777777" w:rsidR="00F7113A" w:rsidRPr="00580C0D" w:rsidRDefault="00142E5B" w:rsidP="001231A3">
            <w:pPr>
              <w:jc w:val="right"/>
            </w:pPr>
            <w:r w:rsidRPr="00580C0D">
              <w:t>Nei</w:t>
            </w:r>
          </w:p>
        </w:tc>
      </w:tr>
      <w:tr w:rsidR="00F7113A" w:rsidRPr="00580C0D" w14:paraId="48B93805" w14:textId="77777777">
        <w:trPr>
          <w:trHeight w:val="380"/>
        </w:trPr>
        <w:tc>
          <w:tcPr>
            <w:tcW w:w="1220" w:type="dxa"/>
            <w:tcBorders>
              <w:top w:val="nil"/>
              <w:left w:val="nil"/>
              <w:bottom w:val="nil"/>
              <w:right w:val="nil"/>
            </w:tcBorders>
            <w:tcMar>
              <w:top w:w="128" w:type="dxa"/>
              <w:left w:w="43" w:type="dxa"/>
              <w:bottom w:w="43" w:type="dxa"/>
              <w:right w:w="43" w:type="dxa"/>
            </w:tcMar>
          </w:tcPr>
          <w:p w14:paraId="03AD37C3"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2740F315" w14:textId="77777777" w:rsidR="00F7113A" w:rsidRPr="00580C0D" w:rsidRDefault="00142E5B" w:rsidP="001231A3">
            <w:pPr>
              <w:ind w:right="284"/>
              <w:jc w:val="right"/>
            </w:pPr>
            <w:r w:rsidRPr="00580C0D">
              <w:t>716-6</w:t>
            </w:r>
          </w:p>
        </w:tc>
        <w:tc>
          <w:tcPr>
            <w:tcW w:w="5540" w:type="dxa"/>
            <w:tcBorders>
              <w:top w:val="nil"/>
              <w:left w:val="nil"/>
              <w:bottom w:val="nil"/>
              <w:right w:val="nil"/>
            </w:tcBorders>
            <w:tcMar>
              <w:top w:w="128" w:type="dxa"/>
              <w:left w:w="43" w:type="dxa"/>
              <w:bottom w:w="43" w:type="dxa"/>
              <w:right w:w="43" w:type="dxa"/>
            </w:tcMar>
          </w:tcPr>
          <w:p w14:paraId="01BA2BCC" w14:textId="77777777" w:rsidR="00F7113A" w:rsidRPr="00580C0D" w:rsidRDefault="00142E5B" w:rsidP="001231A3">
            <w:proofErr w:type="spellStart"/>
            <w:r w:rsidRPr="00580C0D">
              <w:t>Tilverking</w:t>
            </w:r>
            <w:proofErr w:type="spellEnd"/>
            <w:r w:rsidRPr="00580C0D">
              <w:t xml:space="preserve"> av sjømat</w:t>
            </w:r>
          </w:p>
        </w:tc>
        <w:tc>
          <w:tcPr>
            <w:tcW w:w="1660" w:type="dxa"/>
            <w:tcBorders>
              <w:top w:val="nil"/>
              <w:left w:val="nil"/>
              <w:bottom w:val="nil"/>
              <w:right w:val="nil"/>
            </w:tcBorders>
            <w:tcMar>
              <w:top w:w="128" w:type="dxa"/>
              <w:left w:w="43" w:type="dxa"/>
              <w:bottom w:w="43" w:type="dxa"/>
              <w:right w:w="43" w:type="dxa"/>
            </w:tcMar>
            <w:vAlign w:val="bottom"/>
          </w:tcPr>
          <w:p w14:paraId="5E2EE94E" w14:textId="77777777" w:rsidR="00F7113A" w:rsidRPr="00580C0D" w:rsidRDefault="00142E5B" w:rsidP="001231A3">
            <w:pPr>
              <w:jc w:val="right"/>
            </w:pPr>
            <w:r w:rsidRPr="00580C0D">
              <w:t>Ja</w:t>
            </w:r>
          </w:p>
        </w:tc>
      </w:tr>
      <w:tr w:rsidR="00F7113A" w:rsidRPr="00580C0D" w14:paraId="7F0CCAE7" w14:textId="77777777">
        <w:trPr>
          <w:trHeight w:val="380"/>
        </w:trPr>
        <w:tc>
          <w:tcPr>
            <w:tcW w:w="1220" w:type="dxa"/>
            <w:tcBorders>
              <w:top w:val="nil"/>
              <w:left w:val="nil"/>
              <w:bottom w:val="nil"/>
              <w:right w:val="nil"/>
            </w:tcBorders>
            <w:tcMar>
              <w:top w:w="128" w:type="dxa"/>
              <w:left w:w="43" w:type="dxa"/>
              <w:bottom w:w="43" w:type="dxa"/>
              <w:right w:w="43" w:type="dxa"/>
            </w:tcMar>
          </w:tcPr>
          <w:p w14:paraId="04A6EAC4"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1289179B" w14:textId="77777777" w:rsidR="00F7113A" w:rsidRPr="00580C0D" w:rsidRDefault="00142E5B" w:rsidP="001231A3">
            <w:pPr>
              <w:ind w:right="284"/>
              <w:jc w:val="right"/>
            </w:pPr>
            <w:r w:rsidRPr="00580C0D">
              <w:t>716-7</w:t>
            </w:r>
          </w:p>
        </w:tc>
        <w:tc>
          <w:tcPr>
            <w:tcW w:w="5540" w:type="dxa"/>
            <w:tcBorders>
              <w:top w:val="nil"/>
              <w:left w:val="nil"/>
              <w:bottom w:val="nil"/>
              <w:right w:val="nil"/>
            </w:tcBorders>
            <w:tcMar>
              <w:top w:w="128" w:type="dxa"/>
              <w:left w:w="43" w:type="dxa"/>
              <w:bottom w:w="43" w:type="dxa"/>
              <w:right w:w="43" w:type="dxa"/>
            </w:tcMar>
          </w:tcPr>
          <w:p w14:paraId="305B43D7" w14:textId="77777777" w:rsidR="00F7113A" w:rsidRPr="00580C0D" w:rsidRDefault="00142E5B" w:rsidP="001231A3">
            <w:r w:rsidRPr="00580C0D">
              <w:t>Overføring til Havbruksfondet</w:t>
            </w:r>
          </w:p>
        </w:tc>
        <w:tc>
          <w:tcPr>
            <w:tcW w:w="1660" w:type="dxa"/>
            <w:tcBorders>
              <w:top w:val="nil"/>
              <w:left w:val="nil"/>
              <w:bottom w:val="nil"/>
              <w:right w:val="nil"/>
            </w:tcBorders>
            <w:tcMar>
              <w:top w:w="128" w:type="dxa"/>
              <w:left w:w="43" w:type="dxa"/>
              <w:bottom w:w="43" w:type="dxa"/>
              <w:right w:w="43" w:type="dxa"/>
            </w:tcMar>
            <w:vAlign w:val="bottom"/>
          </w:tcPr>
          <w:p w14:paraId="3846613A" w14:textId="77777777" w:rsidR="00F7113A" w:rsidRPr="00580C0D" w:rsidRDefault="00142E5B" w:rsidP="001231A3">
            <w:pPr>
              <w:jc w:val="right"/>
            </w:pPr>
            <w:r w:rsidRPr="00580C0D">
              <w:t>Ja</w:t>
            </w:r>
          </w:p>
        </w:tc>
      </w:tr>
      <w:tr w:rsidR="00F7113A" w:rsidRPr="00580C0D" w14:paraId="3EF6F81E" w14:textId="77777777">
        <w:trPr>
          <w:trHeight w:val="640"/>
        </w:trPr>
        <w:tc>
          <w:tcPr>
            <w:tcW w:w="1220" w:type="dxa"/>
            <w:tcBorders>
              <w:top w:val="nil"/>
              <w:left w:val="nil"/>
              <w:bottom w:val="nil"/>
              <w:right w:val="nil"/>
            </w:tcBorders>
            <w:tcMar>
              <w:top w:w="128" w:type="dxa"/>
              <w:left w:w="43" w:type="dxa"/>
              <w:bottom w:w="43" w:type="dxa"/>
              <w:right w:w="43" w:type="dxa"/>
            </w:tcMar>
          </w:tcPr>
          <w:p w14:paraId="28D10225"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754C1397" w14:textId="77777777" w:rsidR="00F7113A" w:rsidRPr="00580C0D" w:rsidRDefault="00142E5B" w:rsidP="001231A3">
            <w:pPr>
              <w:ind w:right="284"/>
              <w:jc w:val="right"/>
            </w:pPr>
            <w:r w:rsidRPr="00580C0D">
              <w:t>719</w:t>
            </w:r>
          </w:p>
        </w:tc>
        <w:tc>
          <w:tcPr>
            <w:tcW w:w="5540" w:type="dxa"/>
            <w:tcBorders>
              <w:top w:val="nil"/>
              <w:left w:val="nil"/>
              <w:bottom w:val="nil"/>
              <w:right w:val="nil"/>
            </w:tcBorders>
            <w:tcMar>
              <w:top w:w="128" w:type="dxa"/>
              <w:left w:w="43" w:type="dxa"/>
              <w:bottom w:w="43" w:type="dxa"/>
              <w:right w:w="43" w:type="dxa"/>
            </w:tcMar>
          </w:tcPr>
          <w:p w14:paraId="02987302" w14:textId="77777777" w:rsidR="00F7113A" w:rsidRPr="00580C0D" w:rsidRDefault="00142E5B" w:rsidP="001231A3">
            <w:r w:rsidRPr="00580C0D">
              <w:t xml:space="preserve">Arbeidsgruppe om </w:t>
            </w:r>
            <w:proofErr w:type="spellStart"/>
            <w:r w:rsidRPr="00580C0D">
              <w:t>fripolisar</w:t>
            </w:r>
            <w:proofErr w:type="spellEnd"/>
            <w:r w:rsidRPr="00580C0D">
              <w:t xml:space="preserve"> og </w:t>
            </w:r>
            <w:proofErr w:type="spellStart"/>
            <w:r w:rsidRPr="00580C0D">
              <w:t>annan</w:t>
            </w:r>
            <w:proofErr w:type="spellEnd"/>
            <w:r w:rsidRPr="00580C0D">
              <w:t xml:space="preserve"> privat </w:t>
            </w:r>
            <w:r w:rsidRPr="00580C0D">
              <w:br/>
              <w:t>tjenestepensjon</w:t>
            </w:r>
          </w:p>
        </w:tc>
        <w:tc>
          <w:tcPr>
            <w:tcW w:w="1660" w:type="dxa"/>
            <w:tcBorders>
              <w:top w:val="nil"/>
              <w:left w:val="nil"/>
              <w:bottom w:val="nil"/>
              <w:right w:val="nil"/>
            </w:tcBorders>
            <w:tcMar>
              <w:top w:w="128" w:type="dxa"/>
              <w:left w:w="43" w:type="dxa"/>
              <w:bottom w:w="43" w:type="dxa"/>
              <w:right w:w="43" w:type="dxa"/>
            </w:tcMar>
            <w:vAlign w:val="bottom"/>
          </w:tcPr>
          <w:p w14:paraId="2D80BD9D" w14:textId="77777777" w:rsidR="00F7113A" w:rsidRPr="00580C0D" w:rsidRDefault="00142E5B" w:rsidP="001231A3">
            <w:pPr>
              <w:jc w:val="right"/>
            </w:pPr>
            <w:r w:rsidRPr="00580C0D">
              <w:t>Nei</w:t>
            </w:r>
          </w:p>
        </w:tc>
      </w:tr>
      <w:tr w:rsidR="00F7113A" w:rsidRPr="00580C0D" w14:paraId="15C6EED6" w14:textId="77777777">
        <w:trPr>
          <w:trHeight w:val="640"/>
        </w:trPr>
        <w:tc>
          <w:tcPr>
            <w:tcW w:w="1220" w:type="dxa"/>
            <w:tcBorders>
              <w:top w:val="nil"/>
              <w:left w:val="nil"/>
              <w:bottom w:val="nil"/>
              <w:right w:val="nil"/>
            </w:tcBorders>
            <w:tcMar>
              <w:top w:w="128" w:type="dxa"/>
              <w:left w:w="43" w:type="dxa"/>
              <w:bottom w:w="43" w:type="dxa"/>
              <w:right w:w="43" w:type="dxa"/>
            </w:tcMar>
          </w:tcPr>
          <w:p w14:paraId="23997DB4"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52781DF5" w14:textId="77777777" w:rsidR="00F7113A" w:rsidRPr="00580C0D" w:rsidRDefault="00142E5B" w:rsidP="001231A3">
            <w:pPr>
              <w:ind w:right="284"/>
              <w:jc w:val="right"/>
            </w:pPr>
            <w:r w:rsidRPr="00580C0D">
              <w:t>747</w:t>
            </w:r>
          </w:p>
        </w:tc>
        <w:tc>
          <w:tcPr>
            <w:tcW w:w="5540" w:type="dxa"/>
            <w:tcBorders>
              <w:top w:val="nil"/>
              <w:left w:val="nil"/>
              <w:bottom w:val="nil"/>
              <w:right w:val="nil"/>
            </w:tcBorders>
            <w:tcMar>
              <w:top w:w="128" w:type="dxa"/>
              <w:left w:w="43" w:type="dxa"/>
              <w:bottom w:w="43" w:type="dxa"/>
              <w:right w:w="43" w:type="dxa"/>
            </w:tcMar>
          </w:tcPr>
          <w:p w14:paraId="6522295A" w14:textId="77777777" w:rsidR="00F7113A" w:rsidRPr="00580C0D" w:rsidRDefault="00142E5B" w:rsidP="001231A3">
            <w:proofErr w:type="spellStart"/>
            <w:r w:rsidRPr="00580C0D">
              <w:t>Meirverdiavgiftskompensasjon</w:t>
            </w:r>
            <w:proofErr w:type="spellEnd"/>
            <w:r w:rsidRPr="00580C0D">
              <w:t xml:space="preserve">, kommunale </w:t>
            </w:r>
            <w:r w:rsidRPr="00580C0D">
              <w:br/>
            </w:r>
            <w:proofErr w:type="spellStart"/>
            <w:r w:rsidRPr="00580C0D">
              <w:t>svømmehallar</w:t>
            </w:r>
            <w:proofErr w:type="spellEnd"/>
            <w:r w:rsidRPr="00580C0D">
              <w:t>, økonomisk aktivitet</w:t>
            </w:r>
          </w:p>
        </w:tc>
        <w:tc>
          <w:tcPr>
            <w:tcW w:w="1660" w:type="dxa"/>
            <w:tcBorders>
              <w:top w:val="nil"/>
              <w:left w:val="nil"/>
              <w:bottom w:val="nil"/>
              <w:right w:val="nil"/>
            </w:tcBorders>
            <w:tcMar>
              <w:top w:w="128" w:type="dxa"/>
              <w:left w:w="43" w:type="dxa"/>
              <w:bottom w:w="43" w:type="dxa"/>
              <w:right w:w="43" w:type="dxa"/>
            </w:tcMar>
            <w:vAlign w:val="bottom"/>
          </w:tcPr>
          <w:p w14:paraId="6A994A5E" w14:textId="77777777" w:rsidR="00F7113A" w:rsidRPr="00580C0D" w:rsidRDefault="00142E5B" w:rsidP="001231A3">
            <w:pPr>
              <w:jc w:val="right"/>
            </w:pPr>
            <w:r w:rsidRPr="00580C0D">
              <w:t>Ja</w:t>
            </w:r>
          </w:p>
        </w:tc>
      </w:tr>
      <w:tr w:rsidR="00F7113A" w:rsidRPr="00580C0D" w14:paraId="6162C735" w14:textId="77777777">
        <w:trPr>
          <w:trHeight w:val="640"/>
        </w:trPr>
        <w:tc>
          <w:tcPr>
            <w:tcW w:w="1220" w:type="dxa"/>
            <w:tcBorders>
              <w:top w:val="nil"/>
              <w:left w:val="nil"/>
              <w:bottom w:val="nil"/>
              <w:right w:val="nil"/>
            </w:tcBorders>
            <w:tcMar>
              <w:top w:w="128" w:type="dxa"/>
              <w:left w:w="43" w:type="dxa"/>
              <w:bottom w:w="43" w:type="dxa"/>
              <w:right w:w="43" w:type="dxa"/>
            </w:tcMar>
          </w:tcPr>
          <w:p w14:paraId="0BC556CC"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2C9F756D" w14:textId="77777777" w:rsidR="00F7113A" w:rsidRPr="00580C0D" w:rsidRDefault="00142E5B" w:rsidP="001231A3">
            <w:pPr>
              <w:ind w:right="284"/>
              <w:jc w:val="right"/>
            </w:pPr>
            <w:r w:rsidRPr="00580C0D">
              <w:t>857</w:t>
            </w:r>
          </w:p>
        </w:tc>
        <w:tc>
          <w:tcPr>
            <w:tcW w:w="5540" w:type="dxa"/>
            <w:tcBorders>
              <w:top w:val="nil"/>
              <w:left w:val="nil"/>
              <w:bottom w:val="nil"/>
              <w:right w:val="nil"/>
            </w:tcBorders>
            <w:tcMar>
              <w:top w:w="128" w:type="dxa"/>
              <w:left w:w="43" w:type="dxa"/>
              <w:bottom w:w="43" w:type="dxa"/>
              <w:right w:w="43" w:type="dxa"/>
            </w:tcMar>
          </w:tcPr>
          <w:p w14:paraId="7C689B9A" w14:textId="77777777" w:rsidR="00F7113A" w:rsidRPr="00580C0D" w:rsidRDefault="00142E5B" w:rsidP="001231A3">
            <w:proofErr w:type="spellStart"/>
            <w:r w:rsidRPr="00580C0D">
              <w:t>Representantordningsutvalet</w:t>
            </w:r>
            <w:proofErr w:type="spellEnd"/>
            <w:r w:rsidRPr="00580C0D">
              <w:t xml:space="preserve">, folkeregisterlova, skattelova, Stortingets </w:t>
            </w:r>
            <w:proofErr w:type="spellStart"/>
            <w:r w:rsidRPr="00580C0D">
              <w:t>pendlarbustadordning</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54266E50" w14:textId="77777777" w:rsidR="00F7113A" w:rsidRPr="00580C0D" w:rsidRDefault="00142E5B" w:rsidP="001231A3">
            <w:pPr>
              <w:jc w:val="right"/>
            </w:pPr>
            <w:r w:rsidRPr="00580C0D">
              <w:t>Nei</w:t>
            </w:r>
          </w:p>
        </w:tc>
      </w:tr>
      <w:tr w:rsidR="00F7113A" w:rsidRPr="00580C0D" w14:paraId="01F36DFA" w14:textId="77777777">
        <w:trPr>
          <w:trHeight w:val="380"/>
        </w:trPr>
        <w:tc>
          <w:tcPr>
            <w:tcW w:w="1220" w:type="dxa"/>
            <w:tcBorders>
              <w:top w:val="nil"/>
              <w:left w:val="nil"/>
              <w:bottom w:val="nil"/>
              <w:right w:val="nil"/>
            </w:tcBorders>
            <w:tcMar>
              <w:top w:w="128" w:type="dxa"/>
              <w:left w:w="43" w:type="dxa"/>
              <w:bottom w:w="43" w:type="dxa"/>
              <w:right w:w="43" w:type="dxa"/>
            </w:tcMar>
          </w:tcPr>
          <w:p w14:paraId="2581156C"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641F898D" w14:textId="77777777" w:rsidR="00F7113A" w:rsidRPr="00580C0D" w:rsidRDefault="00142E5B" w:rsidP="001231A3">
            <w:pPr>
              <w:ind w:right="284"/>
              <w:jc w:val="right"/>
            </w:pPr>
            <w:r w:rsidRPr="00580C0D">
              <w:t>927</w:t>
            </w:r>
          </w:p>
        </w:tc>
        <w:tc>
          <w:tcPr>
            <w:tcW w:w="5540" w:type="dxa"/>
            <w:tcBorders>
              <w:top w:val="nil"/>
              <w:left w:val="nil"/>
              <w:bottom w:val="nil"/>
              <w:right w:val="nil"/>
            </w:tcBorders>
            <w:tcMar>
              <w:top w:w="128" w:type="dxa"/>
              <w:left w:w="43" w:type="dxa"/>
              <w:bottom w:w="43" w:type="dxa"/>
              <w:right w:w="43" w:type="dxa"/>
            </w:tcMar>
          </w:tcPr>
          <w:p w14:paraId="28ECE4B4" w14:textId="77777777" w:rsidR="00F7113A" w:rsidRPr="00580C0D" w:rsidRDefault="00142E5B" w:rsidP="001231A3">
            <w:proofErr w:type="spellStart"/>
            <w:r w:rsidRPr="00580C0D">
              <w:t>Eingongsavgift</w:t>
            </w:r>
            <w:proofErr w:type="spellEnd"/>
            <w:r w:rsidRPr="00580C0D">
              <w:t xml:space="preserve"> for ladbare </w:t>
            </w:r>
            <w:proofErr w:type="spellStart"/>
            <w:r w:rsidRPr="00580C0D">
              <w:t>hybridbilar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230E983F" w14:textId="77777777" w:rsidR="00F7113A" w:rsidRPr="00580C0D" w:rsidRDefault="00142E5B" w:rsidP="001231A3">
            <w:pPr>
              <w:jc w:val="right"/>
            </w:pPr>
            <w:r w:rsidRPr="00580C0D">
              <w:t>Ja</w:t>
            </w:r>
          </w:p>
        </w:tc>
      </w:tr>
      <w:tr w:rsidR="00F7113A" w:rsidRPr="00580C0D" w14:paraId="6A4C744F" w14:textId="77777777">
        <w:trPr>
          <w:trHeight w:val="640"/>
        </w:trPr>
        <w:tc>
          <w:tcPr>
            <w:tcW w:w="1220" w:type="dxa"/>
            <w:tcBorders>
              <w:top w:val="nil"/>
              <w:left w:val="nil"/>
              <w:bottom w:val="nil"/>
              <w:right w:val="nil"/>
            </w:tcBorders>
            <w:tcMar>
              <w:top w:w="128" w:type="dxa"/>
              <w:left w:w="43" w:type="dxa"/>
              <w:bottom w:w="43" w:type="dxa"/>
              <w:right w:w="43" w:type="dxa"/>
            </w:tcMar>
          </w:tcPr>
          <w:p w14:paraId="72CEAF10" w14:textId="77777777" w:rsidR="00F7113A" w:rsidRPr="00580C0D" w:rsidRDefault="00142E5B" w:rsidP="001231A3">
            <w:r w:rsidRPr="00580C0D">
              <w:t>2022–2023</w:t>
            </w:r>
          </w:p>
        </w:tc>
        <w:tc>
          <w:tcPr>
            <w:tcW w:w="1100" w:type="dxa"/>
            <w:tcBorders>
              <w:top w:val="nil"/>
              <w:left w:val="nil"/>
              <w:bottom w:val="nil"/>
              <w:right w:val="nil"/>
            </w:tcBorders>
            <w:tcMar>
              <w:top w:w="128" w:type="dxa"/>
              <w:left w:w="43" w:type="dxa"/>
              <w:bottom w:w="43" w:type="dxa"/>
              <w:right w:w="43" w:type="dxa"/>
            </w:tcMar>
          </w:tcPr>
          <w:p w14:paraId="7E1EEF33" w14:textId="77777777" w:rsidR="00F7113A" w:rsidRPr="00580C0D" w:rsidRDefault="00142E5B" w:rsidP="001231A3">
            <w:pPr>
              <w:ind w:right="284"/>
              <w:jc w:val="right"/>
            </w:pPr>
            <w:r w:rsidRPr="00580C0D">
              <w:t>939</w:t>
            </w:r>
          </w:p>
        </w:tc>
        <w:tc>
          <w:tcPr>
            <w:tcW w:w="5540" w:type="dxa"/>
            <w:tcBorders>
              <w:top w:val="nil"/>
              <w:left w:val="nil"/>
              <w:bottom w:val="nil"/>
              <w:right w:val="nil"/>
            </w:tcBorders>
            <w:tcMar>
              <w:top w:w="128" w:type="dxa"/>
              <w:left w:w="43" w:type="dxa"/>
              <w:bottom w:w="43" w:type="dxa"/>
              <w:right w:w="43" w:type="dxa"/>
            </w:tcMar>
          </w:tcPr>
          <w:p w14:paraId="03CB6826" w14:textId="77777777" w:rsidR="00F7113A" w:rsidRPr="00580C0D" w:rsidRDefault="00142E5B" w:rsidP="001231A3">
            <w:r w:rsidRPr="00580C0D">
              <w:t xml:space="preserve">Differensiert </w:t>
            </w:r>
            <w:proofErr w:type="spellStart"/>
            <w:r w:rsidRPr="00580C0D">
              <w:t>verdsetjing</w:t>
            </w:r>
            <w:proofErr w:type="spellEnd"/>
            <w:r w:rsidRPr="00580C0D">
              <w:t xml:space="preserve"> av </w:t>
            </w:r>
            <w:proofErr w:type="spellStart"/>
            <w:r w:rsidRPr="00580C0D">
              <w:t>ikkje</w:t>
            </w:r>
            <w:proofErr w:type="spellEnd"/>
            <w:r w:rsidRPr="00580C0D">
              <w:t xml:space="preserve">-børsnoterte </w:t>
            </w:r>
            <w:proofErr w:type="spellStart"/>
            <w:r w:rsidRPr="00580C0D">
              <w:t>aksjar</w:t>
            </w:r>
            <w:proofErr w:type="spellEnd"/>
            <w:r w:rsidRPr="00580C0D">
              <w:t xml:space="preserve"> </w:t>
            </w:r>
            <w:r w:rsidRPr="00580C0D">
              <w:br/>
              <w:t>i formuesskatten</w:t>
            </w:r>
          </w:p>
        </w:tc>
        <w:tc>
          <w:tcPr>
            <w:tcW w:w="1660" w:type="dxa"/>
            <w:tcBorders>
              <w:top w:val="nil"/>
              <w:left w:val="nil"/>
              <w:bottom w:val="nil"/>
              <w:right w:val="nil"/>
            </w:tcBorders>
            <w:tcMar>
              <w:top w:w="128" w:type="dxa"/>
              <w:left w:w="43" w:type="dxa"/>
              <w:bottom w:w="43" w:type="dxa"/>
              <w:right w:w="43" w:type="dxa"/>
            </w:tcMar>
            <w:vAlign w:val="bottom"/>
          </w:tcPr>
          <w:p w14:paraId="2D672D95" w14:textId="77777777" w:rsidR="00F7113A" w:rsidRPr="00580C0D" w:rsidRDefault="00142E5B" w:rsidP="001231A3">
            <w:pPr>
              <w:jc w:val="right"/>
            </w:pPr>
            <w:r w:rsidRPr="00580C0D">
              <w:t>Nei</w:t>
            </w:r>
          </w:p>
        </w:tc>
      </w:tr>
      <w:tr w:rsidR="00F7113A" w:rsidRPr="00580C0D" w14:paraId="426BF4E5" w14:textId="77777777">
        <w:trPr>
          <w:trHeight w:val="380"/>
        </w:trPr>
        <w:tc>
          <w:tcPr>
            <w:tcW w:w="1220" w:type="dxa"/>
            <w:tcBorders>
              <w:top w:val="nil"/>
              <w:left w:val="nil"/>
              <w:bottom w:val="nil"/>
              <w:right w:val="nil"/>
            </w:tcBorders>
            <w:tcMar>
              <w:top w:w="128" w:type="dxa"/>
              <w:left w:w="43" w:type="dxa"/>
              <w:bottom w:w="43" w:type="dxa"/>
              <w:right w:w="43" w:type="dxa"/>
            </w:tcMar>
          </w:tcPr>
          <w:p w14:paraId="1216E9F9" w14:textId="77777777" w:rsidR="00F7113A" w:rsidRPr="00580C0D" w:rsidRDefault="00142E5B" w:rsidP="001231A3">
            <w:r w:rsidRPr="00580C0D">
              <w:t>2021–2022</w:t>
            </w:r>
          </w:p>
        </w:tc>
        <w:tc>
          <w:tcPr>
            <w:tcW w:w="1100" w:type="dxa"/>
            <w:tcBorders>
              <w:top w:val="nil"/>
              <w:left w:val="nil"/>
              <w:bottom w:val="nil"/>
              <w:right w:val="nil"/>
            </w:tcBorders>
            <w:tcMar>
              <w:top w:w="128" w:type="dxa"/>
              <w:left w:w="43" w:type="dxa"/>
              <w:bottom w:w="43" w:type="dxa"/>
              <w:right w:w="43" w:type="dxa"/>
            </w:tcMar>
          </w:tcPr>
          <w:p w14:paraId="141A9ED2" w14:textId="77777777" w:rsidR="00F7113A" w:rsidRPr="00580C0D" w:rsidRDefault="00142E5B" w:rsidP="001231A3">
            <w:pPr>
              <w:ind w:right="284"/>
              <w:jc w:val="right"/>
            </w:pPr>
            <w:r w:rsidRPr="00580C0D">
              <w:t>35-13</w:t>
            </w:r>
          </w:p>
        </w:tc>
        <w:tc>
          <w:tcPr>
            <w:tcW w:w="5540" w:type="dxa"/>
            <w:tcBorders>
              <w:top w:val="nil"/>
              <w:left w:val="nil"/>
              <w:bottom w:val="nil"/>
              <w:right w:val="nil"/>
            </w:tcBorders>
            <w:tcMar>
              <w:top w:w="128" w:type="dxa"/>
              <w:left w:w="43" w:type="dxa"/>
              <w:bottom w:w="43" w:type="dxa"/>
              <w:right w:w="43" w:type="dxa"/>
            </w:tcMar>
          </w:tcPr>
          <w:p w14:paraId="5C4B9BF4" w14:textId="77777777" w:rsidR="00F7113A" w:rsidRPr="00580C0D" w:rsidRDefault="00142E5B" w:rsidP="001231A3">
            <w:r w:rsidRPr="00580C0D">
              <w:t xml:space="preserve">Tiltak for </w:t>
            </w:r>
            <w:proofErr w:type="spellStart"/>
            <w:r w:rsidRPr="00580C0D">
              <w:t>auka</w:t>
            </w:r>
            <w:proofErr w:type="spellEnd"/>
            <w:r w:rsidRPr="00580C0D">
              <w:t xml:space="preserve"> elbildel i leasing- og </w:t>
            </w:r>
            <w:proofErr w:type="spellStart"/>
            <w:r w:rsidRPr="00580C0D">
              <w:t>varebilmarknaden</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5BAACC49" w14:textId="77777777" w:rsidR="00F7113A" w:rsidRPr="00580C0D" w:rsidRDefault="00142E5B" w:rsidP="001231A3">
            <w:pPr>
              <w:jc w:val="right"/>
            </w:pPr>
            <w:r w:rsidRPr="00580C0D">
              <w:t>Ja</w:t>
            </w:r>
          </w:p>
        </w:tc>
      </w:tr>
      <w:tr w:rsidR="00F7113A" w:rsidRPr="00580C0D" w14:paraId="64727C06" w14:textId="77777777">
        <w:trPr>
          <w:trHeight w:val="380"/>
        </w:trPr>
        <w:tc>
          <w:tcPr>
            <w:tcW w:w="1220" w:type="dxa"/>
            <w:tcBorders>
              <w:top w:val="nil"/>
              <w:left w:val="nil"/>
              <w:bottom w:val="nil"/>
              <w:right w:val="nil"/>
            </w:tcBorders>
            <w:tcMar>
              <w:top w:w="128" w:type="dxa"/>
              <w:left w:w="43" w:type="dxa"/>
              <w:bottom w:w="43" w:type="dxa"/>
              <w:right w:w="43" w:type="dxa"/>
            </w:tcMar>
          </w:tcPr>
          <w:p w14:paraId="429ED001" w14:textId="77777777" w:rsidR="00F7113A" w:rsidRPr="00580C0D" w:rsidRDefault="00142E5B" w:rsidP="001231A3">
            <w:r w:rsidRPr="00580C0D">
              <w:t>2021–2022</w:t>
            </w:r>
          </w:p>
        </w:tc>
        <w:tc>
          <w:tcPr>
            <w:tcW w:w="1100" w:type="dxa"/>
            <w:tcBorders>
              <w:top w:val="nil"/>
              <w:left w:val="nil"/>
              <w:bottom w:val="nil"/>
              <w:right w:val="nil"/>
            </w:tcBorders>
            <w:tcMar>
              <w:top w:w="128" w:type="dxa"/>
              <w:left w:w="43" w:type="dxa"/>
              <w:bottom w:w="43" w:type="dxa"/>
              <w:right w:w="43" w:type="dxa"/>
            </w:tcMar>
          </w:tcPr>
          <w:p w14:paraId="619E95E5" w14:textId="77777777" w:rsidR="00F7113A" w:rsidRPr="00580C0D" w:rsidRDefault="00142E5B" w:rsidP="001231A3">
            <w:pPr>
              <w:ind w:right="284"/>
              <w:jc w:val="right"/>
            </w:pPr>
            <w:r w:rsidRPr="00580C0D">
              <w:t>35-31</w:t>
            </w:r>
          </w:p>
        </w:tc>
        <w:tc>
          <w:tcPr>
            <w:tcW w:w="5540" w:type="dxa"/>
            <w:tcBorders>
              <w:top w:val="nil"/>
              <w:left w:val="nil"/>
              <w:bottom w:val="nil"/>
              <w:right w:val="nil"/>
            </w:tcBorders>
            <w:tcMar>
              <w:top w:w="128" w:type="dxa"/>
              <w:left w:w="43" w:type="dxa"/>
              <w:bottom w:w="43" w:type="dxa"/>
              <w:right w:w="43" w:type="dxa"/>
            </w:tcMar>
          </w:tcPr>
          <w:p w14:paraId="1BE962BC" w14:textId="77777777" w:rsidR="00F7113A" w:rsidRPr="00580C0D" w:rsidRDefault="00142E5B" w:rsidP="001231A3">
            <w:r w:rsidRPr="00580C0D">
              <w:t>Evaluering av NOKUS-</w:t>
            </w:r>
            <w:proofErr w:type="spellStart"/>
            <w:r w:rsidRPr="00580C0D">
              <w:t>reglane</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637D9964" w14:textId="77777777" w:rsidR="00F7113A" w:rsidRPr="00580C0D" w:rsidRDefault="00142E5B" w:rsidP="001231A3">
            <w:pPr>
              <w:jc w:val="right"/>
            </w:pPr>
            <w:r w:rsidRPr="00580C0D">
              <w:t>Nei</w:t>
            </w:r>
          </w:p>
        </w:tc>
      </w:tr>
      <w:tr w:rsidR="00F7113A" w:rsidRPr="00580C0D" w14:paraId="46178DC3" w14:textId="77777777">
        <w:trPr>
          <w:trHeight w:val="380"/>
        </w:trPr>
        <w:tc>
          <w:tcPr>
            <w:tcW w:w="1220" w:type="dxa"/>
            <w:tcBorders>
              <w:top w:val="nil"/>
              <w:left w:val="nil"/>
              <w:bottom w:val="nil"/>
              <w:right w:val="nil"/>
            </w:tcBorders>
            <w:tcMar>
              <w:top w:w="128" w:type="dxa"/>
              <w:left w:w="43" w:type="dxa"/>
              <w:bottom w:w="43" w:type="dxa"/>
              <w:right w:w="43" w:type="dxa"/>
            </w:tcMar>
          </w:tcPr>
          <w:p w14:paraId="170CE533" w14:textId="77777777" w:rsidR="00F7113A" w:rsidRPr="00580C0D" w:rsidRDefault="00142E5B" w:rsidP="001231A3">
            <w:r w:rsidRPr="00580C0D">
              <w:t>2021–2022</w:t>
            </w:r>
          </w:p>
        </w:tc>
        <w:tc>
          <w:tcPr>
            <w:tcW w:w="1100" w:type="dxa"/>
            <w:tcBorders>
              <w:top w:val="nil"/>
              <w:left w:val="nil"/>
              <w:bottom w:val="nil"/>
              <w:right w:val="nil"/>
            </w:tcBorders>
            <w:tcMar>
              <w:top w:w="128" w:type="dxa"/>
              <w:left w:w="43" w:type="dxa"/>
              <w:bottom w:w="43" w:type="dxa"/>
              <w:right w:w="43" w:type="dxa"/>
            </w:tcMar>
          </w:tcPr>
          <w:p w14:paraId="64C18208" w14:textId="77777777" w:rsidR="00F7113A" w:rsidRPr="00580C0D" w:rsidRDefault="00142E5B" w:rsidP="001231A3">
            <w:pPr>
              <w:ind w:right="284"/>
              <w:jc w:val="right"/>
            </w:pPr>
            <w:r w:rsidRPr="00580C0D">
              <w:t>35-32</w:t>
            </w:r>
          </w:p>
        </w:tc>
        <w:tc>
          <w:tcPr>
            <w:tcW w:w="5540" w:type="dxa"/>
            <w:tcBorders>
              <w:top w:val="nil"/>
              <w:left w:val="nil"/>
              <w:bottom w:val="nil"/>
              <w:right w:val="nil"/>
            </w:tcBorders>
            <w:tcMar>
              <w:top w:w="128" w:type="dxa"/>
              <w:left w:w="43" w:type="dxa"/>
              <w:bottom w:w="43" w:type="dxa"/>
              <w:right w:w="43" w:type="dxa"/>
            </w:tcMar>
          </w:tcPr>
          <w:p w14:paraId="6EA6690F" w14:textId="77777777" w:rsidR="00F7113A" w:rsidRPr="00580C0D" w:rsidRDefault="00142E5B" w:rsidP="001231A3">
            <w:r w:rsidRPr="00580C0D">
              <w:t>Rapportering på ulikskap</w:t>
            </w:r>
          </w:p>
        </w:tc>
        <w:tc>
          <w:tcPr>
            <w:tcW w:w="1660" w:type="dxa"/>
            <w:tcBorders>
              <w:top w:val="nil"/>
              <w:left w:val="nil"/>
              <w:bottom w:val="nil"/>
              <w:right w:val="nil"/>
            </w:tcBorders>
            <w:tcMar>
              <w:top w:w="128" w:type="dxa"/>
              <w:left w:w="43" w:type="dxa"/>
              <w:bottom w:w="43" w:type="dxa"/>
              <w:right w:w="43" w:type="dxa"/>
            </w:tcMar>
            <w:vAlign w:val="bottom"/>
          </w:tcPr>
          <w:p w14:paraId="011963D5" w14:textId="77777777" w:rsidR="00F7113A" w:rsidRPr="00580C0D" w:rsidRDefault="00142E5B" w:rsidP="001231A3">
            <w:pPr>
              <w:jc w:val="right"/>
            </w:pPr>
            <w:r w:rsidRPr="00580C0D">
              <w:t>Nei</w:t>
            </w:r>
          </w:p>
        </w:tc>
      </w:tr>
      <w:tr w:rsidR="00F7113A" w:rsidRPr="00580C0D" w14:paraId="769039E0" w14:textId="77777777">
        <w:trPr>
          <w:trHeight w:val="380"/>
        </w:trPr>
        <w:tc>
          <w:tcPr>
            <w:tcW w:w="1220" w:type="dxa"/>
            <w:tcBorders>
              <w:top w:val="nil"/>
              <w:left w:val="nil"/>
              <w:bottom w:val="nil"/>
              <w:right w:val="nil"/>
            </w:tcBorders>
            <w:tcMar>
              <w:top w:w="128" w:type="dxa"/>
              <w:left w:w="43" w:type="dxa"/>
              <w:bottom w:w="43" w:type="dxa"/>
              <w:right w:w="43" w:type="dxa"/>
            </w:tcMar>
          </w:tcPr>
          <w:p w14:paraId="10A65234" w14:textId="77777777" w:rsidR="00F7113A" w:rsidRPr="00580C0D" w:rsidRDefault="00142E5B" w:rsidP="001231A3">
            <w:r w:rsidRPr="00580C0D">
              <w:t>2021–2022</w:t>
            </w:r>
          </w:p>
        </w:tc>
        <w:tc>
          <w:tcPr>
            <w:tcW w:w="1100" w:type="dxa"/>
            <w:tcBorders>
              <w:top w:val="nil"/>
              <w:left w:val="nil"/>
              <w:bottom w:val="nil"/>
              <w:right w:val="nil"/>
            </w:tcBorders>
            <w:tcMar>
              <w:top w:w="128" w:type="dxa"/>
              <w:left w:w="43" w:type="dxa"/>
              <w:bottom w:w="43" w:type="dxa"/>
              <w:right w:w="43" w:type="dxa"/>
            </w:tcMar>
          </w:tcPr>
          <w:p w14:paraId="57AC4418" w14:textId="77777777" w:rsidR="00F7113A" w:rsidRPr="00580C0D" w:rsidRDefault="00142E5B" w:rsidP="001231A3">
            <w:pPr>
              <w:ind w:right="284"/>
              <w:jc w:val="right"/>
            </w:pPr>
            <w:r w:rsidRPr="00580C0D">
              <w:t>35-34</w:t>
            </w:r>
          </w:p>
        </w:tc>
        <w:tc>
          <w:tcPr>
            <w:tcW w:w="5540" w:type="dxa"/>
            <w:tcBorders>
              <w:top w:val="nil"/>
              <w:left w:val="nil"/>
              <w:bottom w:val="nil"/>
              <w:right w:val="nil"/>
            </w:tcBorders>
            <w:tcMar>
              <w:top w:w="128" w:type="dxa"/>
              <w:left w:w="43" w:type="dxa"/>
              <w:bottom w:w="43" w:type="dxa"/>
              <w:right w:w="43" w:type="dxa"/>
            </w:tcMar>
          </w:tcPr>
          <w:p w14:paraId="06BD3732" w14:textId="77777777" w:rsidR="00F7113A" w:rsidRPr="00580C0D" w:rsidRDefault="00142E5B" w:rsidP="001231A3">
            <w:proofErr w:type="spellStart"/>
            <w:r w:rsidRPr="00580C0D">
              <w:t>Verdsetjingsmetode</w:t>
            </w:r>
            <w:proofErr w:type="spellEnd"/>
            <w:r w:rsidRPr="00580C0D">
              <w:t xml:space="preserve"> for </w:t>
            </w:r>
            <w:proofErr w:type="spellStart"/>
            <w:r w:rsidRPr="00580C0D">
              <w:t>bustader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23FB30EA" w14:textId="77777777" w:rsidR="00F7113A" w:rsidRPr="00580C0D" w:rsidRDefault="00142E5B" w:rsidP="001231A3">
            <w:pPr>
              <w:jc w:val="right"/>
            </w:pPr>
            <w:r w:rsidRPr="00580C0D">
              <w:t>Nei</w:t>
            </w:r>
          </w:p>
        </w:tc>
      </w:tr>
      <w:tr w:rsidR="00F7113A" w:rsidRPr="00580C0D" w14:paraId="1310CD37" w14:textId="77777777">
        <w:trPr>
          <w:trHeight w:val="640"/>
        </w:trPr>
        <w:tc>
          <w:tcPr>
            <w:tcW w:w="1220" w:type="dxa"/>
            <w:tcBorders>
              <w:top w:val="nil"/>
              <w:left w:val="nil"/>
              <w:bottom w:val="nil"/>
              <w:right w:val="nil"/>
            </w:tcBorders>
            <w:tcMar>
              <w:top w:w="128" w:type="dxa"/>
              <w:left w:w="43" w:type="dxa"/>
              <w:bottom w:w="43" w:type="dxa"/>
              <w:right w:w="43" w:type="dxa"/>
            </w:tcMar>
          </w:tcPr>
          <w:p w14:paraId="16094169" w14:textId="77777777" w:rsidR="00F7113A" w:rsidRPr="00580C0D" w:rsidRDefault="00142E5B" w:rsidP="001231A3">
            <w:r w:rsidRPr="00580C0D">
              <w:t>2021–2022</w:t>
            </w:r>
          </w:p>
        </w:tc>
        <w:tc>
          <w:tcPr>
            <w:tcW w:w="1100" w:type="dxa"/>
            <w:tcBorders>
              <w:top w:val="nil"/>
              <w:left w:val="nil"/>
              <w:bottom w:val="nil"/>
              <w:right w:val="nil"/>
            </w:tcBorders>
            <w:tcMar>
              <w:top w:w="128" w:type="dxa"/>
              <w:left w:w="43" w:type="dxa"/>
              <w:bottom w:w="43" w:type="dxa"/>
              <w:right w:w="43" w:type="dxa"/>
            </w:tcMar>
          </w:tcPr>
          <w:p w14:paraId="7C1F1682" w14:textId="77777777" w:rsidR="00F7113A" w:rsidRPr="00580C0D" w:rsidRDefault="00142E5B" w:rsidP="001231A3">
            <w:pPr>
              <w:ind w:right="284"/>
              <w:jc w:val="right"/>
            </w:pPr>
            <w:r w:rsidRPr="00580C0D">
              <w:t>35-36</w:t>
            </w:r>
          </w:p>
        </w:tc>
        <w:tc>
          <w:tcPr>
            <w:tcW w:w="5540" w:type="dxa"/>
            <w:tcBorders>
              <w:top w:val="nil"/>
              <w:left w:val="nil"/>
              <w:bottom w:val="nil"/>
              <w:right w:val="nil"/>
            </w:tcBorders>
            <w:tcMar>
              <w:top w:w="128" w:type="dxa"/>
              <w:left w:w="43" w:type="dxa"/>
              <w:bottom w:w="43" w:type="dxa"/>
              <w:right w:w="43" w:type="dxa"/>
            </w:tcMar>
          </w:tcPr>
          <w:p w14:paraId="4FAF705D" w14:textId="77777777" w:rsidR="00F7113A" w:rsidRPr="00580C0D" w:rsidRDefault="00142E5B" w:rsidP="001231A3">
            <w:r w:rsidRPr="00580C0D">
              <w:t xml:space="preserve">Utvida land-for-land-rapportering (LLR) etter </w:t>
            </w:r>
            <w:proofErr w:type="spellStart"/>
            <w:r w:rsidRPr="00580C0D">
              <w:t>rekneskapslova</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1876726F" w14:textId="77777777" w:rsidR="00F7113A" w:rsidRPr="00580C0D" w:rsidRDefault="00142E5B" w:rsidP="001231A3">
            <w:pPr>
              <w:jc w:val="right"/>
            </w:pPr>
            <w:r w:rsidRPr="00580C0D">
              <w:t>Nei</w:t>
            </w:r>
          </w:p>
        </w:tc>
      </w:tr>
      <w:tr w:rsidR="00F7113A" w:rsidRPr="00580C0D" w14:paraId="5A8EDA0B" w14:textId="77777777">
        <w:trPr>
          <w:trHeight w:val="380"/>
        </w:trPr>
        <w:tc>
          <w:tcPr>
            <w:tcW w:w="1220" w:type="dxa"/>
            <w:tcBorders>
              <w:top w:val="nil"/>
              <w:left w:val="nil"/>
              <w:bottom w:val="nil"/>
              <w:right w:val="nil"/>
            </w:tcBorders>
            <w:tcMar>
              <w:top w:w="128" w:type="dxa"/>
              <w:left w:w="43" w:type="dxa"/>
              <w:bottom w:w="43" w:type="dxa"/>
              <w:right w:w="43" w:type="dxa"/>
            </w:tcMar>
          </w:tcPr>
          <w:p w14:paraId="069D7600" w14:textId="77777777" w:rsidR="00F7113A" w:rsidRPr="00580C0D" w:rsidRDefault="00142E5B" w:rsidP="001231A3">
            <w:r w:rsidRPr="00580C0D">
              <w:t>2021–2022</w:t>
            </w:r>
          </w:p>
        </w:tc>
        <w:tc>
          <w:tcPr>
            <w:tcW w:w="1100" w:type="dxa"/>
            <w:tcBorders>
              <w:top w:val="nil"/>
              <w:left w:val="nil"/>
              <w:bottom w:val="nil"/>
              <w:right w:val="nil"/>
            </w:tcBorders>
            <w:tcMar>
              <w:top w:w="128" w:type="dxa"/>
              <w:left w:w="43" w:type="dxa"/>
              <w:bottom w:w="43" w:type="dxa"/>
              <w:right w:w="43" w:type="dxa"/>
            </w:tcMar>
          </w:tcPr>
          <w:p w14:paraId="61C48842" w14:textId="77777777" w:rsidR="00F7113A" w:rsidRPr="00580C0D" w:rsidRDefault="00142E5B" w:rsidP="001231A3">
            <w:pPr>
              <w:ind w:right="284"/>
              <w:jc w:val="right"/>
            </w:pPr>
            <w:r w:rsidRPr="00580C0D">
              <w:t>35-40</w:t>
            </w:r>
          </w:p>
        </w:tc>
        <w:tc>
          <w:tcPr>
            <w:tcW w:w="5540" w:type="dxa"/>
            <w:tcBorders>
              <w:top w:val="nil"/>
              <w:left w:val="nil"/>
              <w:bottom w:val="nil"/>
              <w:right w:val="nil"/>
            </w:tcBorders>
            <w:tcMar>
              <w:top w:w="128" w:type="dxa"/>
              <w:left w:w="43" w:type="dxa"/>
              <w:bottom w:w="43" w:type="dxa"/>
              <w:right w:w="43" w:type="dxa"/>
            </w:tcMar>
          </w:tcPr>
          <w:p w14:paraId="4BAC36E6" w14:textId="77777777" w:rsidR="00F7113A" w:rsidRPr="00580C0D" w:rsidRDefault="00142E5B" w:rsidP="001231A3">
            <w:r w:rsidRPr="00580C0D">
              <w:t xml:space="preserve">Kompensasjonsordning for </w:t>
            </w:r>
            <w:proofErr w:type="spellStart"/>
            <w:r w:rsidRPr="00580C0D">
              <w:t>auka</w:t>
            </w:r>
            <w:proofErr w:type="spellEnd"/>
            <w:r w:rsidRPr="00580C0D">
              <w:t xml:space="preserve"> miljøavgifter</w:t>
            </w:r>
          </w:p>
        </w:tc>
        <w:tc>
          <w:tcPr>
            <w:tcW w:w="1660" w:type="dxa"/>
            <w:tcBorders>
              <w:top w:val="nil"/>
              <w:left w:val="nil"/>
              <w:bottom w:val="nil"/>
              <w:right w:val="nil"/>
            </w:tcBorders>
            <w:tcMar>
              <w:top w:w="128" w:type="dxa"/>
              <w:left w:w="43" w:type="dxa"/>
              <w:bottom w:w="43" w:type="dxa"/>
              <w:right w:w="43" w:type="dxa"/>
            </w:tcMar>
            <w:vAlign w:val="bottom"/>
          </w:tcPr>
          <w:p w14:paraId="28C2F71D" w14:textId="77777777" w:rsidR="00F7113A" w:rsidRPr="00580C0D" w:rsidRDefault="00142E5B" w:rsidP="001231A3">
            <w:pPr>
              <w:jc w:val="right"/>
            </w:pPr>
            <w:r w:rsidRPr="00580C0D">
              <w:t>Ja</w:t>
            </w:r>
          </w:p>
        </w:tc>
      </w:tr>
      <w:tr w:rsidR="00F7113A" w:rsidRPr="00580C0D" w14:paraId="6A30C904" w14:textId="77777777">
        <w:trPr>
          <w:trHeight w:val="640"/>
        </w:trPr>
        <w:tc>
          <w:tcPr>
            <w:tcW w:w="1220" w:type="dxa"/>
            <w:tcBorders>
              <w:top w:val="nil"/>
              <w:left w:val="nil"/>
              <w:bottom w:val="nil"/>
              <w:right w:val="nil"/>
            </w:tcBorders>
            <w:tcMar>
              <w:top w:w="128" w:type="dxa"/>
              <w:left w:w="43" w:type="dxa"/>
              <w:bottom w:w="43" w:type="dxa"/>
              <w:right w:w="43" w:type="dxa"/>
            </w:tcMar>
          </w:tcPr>
          <w:p w14:paraId="354FAEEA" w14:textId="77777777" w:rsidR="00F7113A" w:rsidRPr="00580C0D" w:rsidRDefault="00142E5B" w:rsidP="001231A3">
            <w:r w:rsidRPr="00580C0D">
              <w:t>2021–2022</w:t>
            </w:r>
          </w:p>
        </w:tc>
        <w:tc>
          <w:tcPr>
            <w:tcW w:w="1100" w:type="dxa"/>
            <w:tcBorders>
              <w:top w:val="nil"/>
              <w:left w:val="nil"/>
              <w:bottom w:val="nil"/>
              <w:right w:val="nil"/>
            </w:tcBorders>
            <w:tcMar>
              <w:top w:w="128" w:type="dxa"/>
              <w:left w:w="43" w:type="dxa"/>
              <w:bottom w:w="43" w:type="dxa"/>
              <w:right w:w="43" w:type="dxa"/>
            </w:tcMar>
          </w:tcPr>
          <w:p w14:paraId="4CF61575" w14:textId="77777777" w:rsidR="00F7113A" w:rsidRPr="00580C0D" w:rsidRDefault="00142E5B" w:rsidP="001231A3">
            <w:pPr>
              <w:ind w:right="284"/>
              <w:jc w:val="right"/>
            </w:pPr>
            <w:r w:rsidRPr="00580C0D">
              <w:t>782</w:t>
            </w:r>
          </w:p>
        </w:tc>
        <w:tc>
          <w:tcPr>
            <w:tcW w:w="5540" w:type="dxa"/>
            <w:tcBorders>
              <w:top w:val="nil"/>
              <w:left w:val="nil"/>
              <w:bottom w:val="nil"/>
              <w:right w:val="nil"/>
            </w:tcBorders>
            <w:tcMar>
              <w:top w:w="128" w:type="dxa"/>
              <w:left w:w="43" w:type="dxa"/>
              <w:bottom w:w="43" w:type="dxa"/>
              <w:right w:w="43" w:type="dxa"/>
            </w:tcMar>
          </w:tcPr>
          <w:p w14:paraId="17A20A2A" w14:textId="77777777" w:rsidR="00F7113A" w:rsidRPr="00580C0D" w:rsidRDefault="00142E5B" w:rsidP="001231A3">
            <w:r w:rsidRPr="00580C0D">
              <w:t xml:space="preserve">Vurdere kven som bør </w:t>
            </w:r>
            <w:proofErr w:type="spellStart"/>
            <w:r w:rsidRPr="00580C0D">
              <w:t>vere</w:t>
            </w:r>
            <w:proofErr w:type="spellEnd"/>
            <w:r w:rsidRPr="00580C0D">
              <w:t xml:space="preserve"> utelukka </w:t>
            </w:r>
            <w:proofErr w:type="spellStart"/>
            <w:r w:rsidRPr="00580C0D">
              <w:t>frå</w:t>
            </w:r>
            <w:proofErr w:type="spellEnd"/>
            <w:r w:rsidRPr="00580C0D">
              <w:t xml:space="preserve"> å </w:t>
            </w:r>
            <w:proofErr w:type="spellStart"/>
            <w:r w:rsidRPr="00580C0D">
              <w:t>sitje</w:t>
            </w:r>
            <w:proofErr w:type="spellEnd"/>
            <w:r w:rsidRPr="00580C0D">
              <w:t xml:space="preserve"> i </w:t>
            </w:r>
            <w:proofErr w:type="spellStart"/>
            <w:r w:rsidRPr="00580C0D">
              <w:t>Noregs</w:t>
            </w:r>
            <w:proofErr w:type="spellEnd"/>
            <w:r w:rsidRPr="00580C0D">
              <w:t xml:space="preserve"> Banks </w:t>
            </w:r>
            <w:proofErr w:type="spellStart"/>
            <w:r w:rsidRPr="00580C0D">
              <w:t>styrande</w:t>
            </w:r>
            <w:proofErr w:type="spellEnd"/>
            <w:r w:rsidRPr="00580C0D">
              <w:t xml:space="preserve"> organ.</w:t>
            </w:r>
          </w:p>
        </w:tc>
        <w:tc>
          <w:tcPr>
            <w:tcW w:w="1660" w:type="dxa"/>
            <w:tcBorders>
              <w:top w:val="nil"/>
              <w:left w:val="nil"/>
              <w:bottom w:val="nil"/>
              <w:right w:val="nil"/>
            </w:tcBorders>
            <w:tcMar>
              <w:top w:w="128" w:type="dxa"/>
              <w:left w:w="43" w:type="dxa"/>
              <w:bottom w:w="43" w:type="dxa"/>
              <w:right w:w="43" w:type="dxa"/>
            </w:tcMar>
            <w:vAlign w:val="bottom"/>
          </w:tcPr>
          <w:p w14:paraId="3E6CACDF" w14:textId="77777777" w:rsidR="00F7113A" w:rsidRPr="00580C0D" w:rsidRDefault="00142E5B" w:rsidP="001231A3">
            <w:pPr>
              <w:jc w:val="right"/>
            </w:pPr>
            <w:r w:rsidRPr="00580C0D">
              <w:t>Nei</w:t>
            </w:r>
          </w:p>
        </w:tc>
      </w:tr>
      <w:tr w:rsidR="00F7113A" w:rsidRPr="00580C0D" w14:paraId="1861E769" w14:textId="77777777">
        <w:trPr>
          <w:trHeight w:val="380"/>
        </w:trPr>
        <w:tc>
          <w:tcPr>
            <w:tcW w:w="1220" w:type="dxa"/>
            <w:tcBorders>
              <w:top w:val="nil"/>
              <w:left w:val="nil"/>
              <w:bottom w:val="nil"/>
              <w:right w:val="nil"/>
            </w:tcBorders>
            <w:tcMar>
              <w:top w:w="128" w:type="dxa"/>
              <w:left w:w="43" w:type="dxa"/>
              <w:bottom w:w="43" w:type="dxa"/>
              <w:right w:w="43" w:type="dxa"/>
            </w:tcMar>
          </w:tcPr>
          <w:p w14:paraId="6C9C8EC5" w14:textId="77777777" w:rsidR="00F7113A" w:rsidRPr="00580C0D" w:rsidRDefault="00142E5B" w:rsidP="001231A3">
            <w:r w:rsidRPr="00580C0D">
              <w:t>2020–2021</w:t>
            </w:r>
          </w:p>
        </w:tc>
        <w:tc>
          <w:tcPr>
            <w:tcW w:w="1100" w:type="dxa"/>
            <w:tcBorders>
              <w:top w:val="nil"/>
              <w:left w:val="nil"/>
              <w:bottom w:val="nil"/>
              <w:right w:val="nil"/>
            </w:tcBorders>
            <w:tcMar>
              <w:top w:w="128" w:type="dxa"/>
              <w:left w:w="43" w:type="dxa"/>
              <w:bottom w:w="43" w:type="dxa"/>
              <w:right w:w="43" w:type="dxa"/>
            </w:tcMar>
          </w:tcPr>
          <w:p w14:paraId="4D1E001F" w14:textId="77777777" w:rsidR="00F7113A" w:rsidRPr="00580C0D" w:rsidRDefault="00142E5B" w:rsidP="001231A3">
            <w:pPr>
              <w:ind w:right="284"/>
              <w:jc w:val="right"/>
            </w:pPr>
            <w:r w:rsidRPr="00580C0D">
              <w:t>104</w:t>
            </w:r>
          </w:p>
        </w:tc>
        <w:tc>
          <w:tcPr>
            <w:tcW w:w="5540" w:type="dxa"/>
            <w:tcBorders>
              <w:top w:val="nil"/>
              <w:left w:val="nil"/>
              <w:bottom w:val="nil"/>
              <w:right w:val="nil"/>
            </w:tcBorders>
            <w:tcMar>
              <w:top w:w="128" w:type="dxa"/>
              <w:left w:w="43" w:type="dxa"/>
              <w:bottom w:w="43" w:type="dxa"/>
              <w:right w:w="43" w:type="dxa"/>
            </w:tcMar>
          </w:tcPr>
          <w:p w14:paraId="12F7761D" w14:textId="77777777" w:rsidR="00F7113A" w:rsidRPr="00580C0D" w:rsidRDefault="00142E5B" w:rsidP="001231A3">
            <w:r w:rsidRPr="00580C0D">
              <w:t xml:space="preserve">Vurdere den kommunale </w:t>
            </w:r>
            <w:proofErr w:type="spellStart"/>
            <w:r w:rsidRPr="00580C0D">
              <w:t>handlefridomen</w:t>
            </w:r>
            <w:proofErr w:type="spellEnd"/>
            <w:r w:rsidRPr="00580C0D">
              <w:t xml:space="preserve"> i formuesskatten</w:t>
            </w:r>
          </w:p>
        </w:tc>
        <w:tc>
          <w:tcPr>
            <w:tcW w:w="1660" w:type="dxa"/>
            <w:tcBorders>
              <w:top w:val="nil"/>
              <w:left w:val="nil"/>
              <w:bottom w:val="nil"/>
              <w:right w:val="nil"/>
            </w:tcBorders>
            <w:tcMar>
              <w:top w:w="128" w:type="dxa"/>
              <w:left w:w="43" w:type="dxa"/>
              <w:bottom w:w="43" w:type="dxa"/>
              <w:right w:w="43" w:type="dxa"/>
            </w:tcMar>
            <w:vAlign w:val="bottom"/>
          </w:tcPr>
          <w:p w14:paraId="3A7AE9A3" w14:textId="77777777" w:rsidR="00F7113A" w:rsidRPr="00580C0D" w:rsidRDefault="00142E5B" w:rsidP="001231A3">
            <w:pPr>
              <w:jc w:val="right"/>
            </w:pPr>
            <w:r w:rsidRPr="00580C0D">
              <w:t>Nei</w:t>
            </w:r>
          </w:p>
        </w:tc>
      </w:tr>
      <w:tr w:rsidR="00F7113A" w:rsidRPr="00580C0D" w14:paraId="3E66DB87" w14:textId="77777777">
        <w:trPr>
          <w:trHeight w:val="380"/>
        </w:trPr>
        <w:tc>
          <w:tcPr>
            <w:tcW w:w="1220" w:type="dxa"/>
            <w:tcBorders>
              <w:top w:val="nil"/>
              <w:left w:val="nil"/>
              <w:bottom w:val="nil"/>
              <w:right w:val="nil"/>
            </w:tcBorders>
            <w:tcMar>
              <w:top w:w="128" w:type="dxa"/>
              <w:left w:w="43" w:type="dxa"/>
              <w:bottom w:w="43" w:type="dxa"/>
              <w:right w:w="43" w:type="dxa"/>
            </w:tcMar>
          </w:tcPr>
          <w:p w14:paraId="7EF76EC6" w14:textId="77777777" w:rsidR="00F7113A" w:rsidRPr="00580C0D" w:rsidRDefault="00142E5B" w:rsidP="001231A3">
            <w:r w:rsidRPr="00580C0D">
              <w:t>2020–2021</w:t>
            </w:r>
          </w:p>
        </w:tc>
        <w:tc>
          <w:tcPr>
            <w:tcW w:w="1100" w:type="dxa"/>
            <w:tcBorders>
              <w:top w:val="nil"/>
              <w:left w:val="nil"/>
              <w:bottom w:val="nil"/>
              <w:right w:val="nil"/>
            </w:tcBorders>
            <w:tcMar>
              <w:top w:w="128" w:type="dxa"/>
              <w:left w:w="43" w:type="dxa"/>
              <w:bottom w:w="43" w:type="dxa"/>
              <w:right w:w="43" w:type="dxa"/>
            </w:tcMar>
          </w:tcPr>
          <w:p w14:paraId="756194A4" w14:textId="77777777" w:rsidR="00F7113A" w:rsidRPr="00580C0D" w:rsidRDefault="00142E5B" w:rsidP="001231A3">
            <w:pPr>
              <w:ind w:right="284"/>
              <w:jc w:val="right"/>
            </w:pPr>
            <w:r w:rsidRPr="00580C0D">
              <w:t>1174</w:t>
            </w:r>
          </w:p>
        </w:tc>
        <w:tc>
          <w:tcPr>
            <w:tcW w:w="5540" w:type="dxa"/>
            <w:tcBorders>
              <w:top w:val="nil"/>
              <w:left w:val="nil"/>
              <w:bottom w:val="nil"/>
              <w:right w:val="nil"/>
            </w:tcBorders>
            <w:tcMar>
              <w:top w:w="128" w:type="dxa"/>
              <w:left w:w="43" w:type="dxa"/>
              <w:bottom w:w="43" w:type="dxa"/>
              <w:right w:w="43" w:type="dxa"/>
            </w:tcMar>
          </w:tcPr>
          <w:p w14:paraId="3B905B61" w14:textId="77777777" w:rsidR="00F7113A" w:rsidRPr="00580C0D" w:rsidRDefault="00142E5B" w:rsidP="001231A3">
            <w:proofErr w:type="spellStart"/>
            <w:r w:rsidRPr="00580C0D">
              <w:t>Utval</w:t>
            </w:r>
            <w:proofErr w:type="spellEnd"/>
            <w:r w:rsidRPr="00580C0D">
              <w:t xml:space="preserve"> om </w:t>
            </w:r>
            <w:proofErr w:type="spellStart"/>
            <w:r w:rsidRPr="00580C0D">
              <w:t>kontantane</w:t>
            </w:r>
            <w:proofErr w:type="spellEnd"/>
            <w:r w:rsidRPr="00580C0D">
              <w:t xml:space="preserve"> </w:t>
            </w:r>
            <w:proofErr w:type="spellStart"/>
            <w:r w:rsidRPr="00580C0D">
              <w:t>si</w:t>
            </w:r>
            <w:proofErr w:type="spellEnd"/>
            <w:r w:rsidRPr="00580C0D">
              <w:t xml:space="preserve"> rolle i samfunnet</w:t>
            </w:r>
          </w:p>
        </w:tc>
        <w:tc>
          <w:tcPr>
            <w:tcW w:w="1660" w:type="dxa"/>
            <w:tcBorders>
              <w:top w:val="nil"/>
              <w:left w:val="nil"/>
              <w:bottom w:val="nil"/>
              <w:right w:val="nil"/>
            </w:tcBorders>
            <w:tcMar>
              <w:top w:w="128" w:type="dxa"/>
              <w:left w:w="43" w:type="dxa"/>
              <w:bottom w:w="43" w:type="dxa"/>
              <w:right w:w="43" w:type="dxa"/>
            </w:tcMar>
            <w:vAlign w:val="bottom"/>
          </w:tcPr>
          <w:p w14:paraId="2C0E5F32" w14:textId="77777777" w:rsidR="00F7113A" w:rsidRPr="00580C0D" w:rsidRDefault="00142E5B" w:rsidP="001231A3">
            <w:pPr>
              <w:jc w:val="right"/>
            </w:pPr>
            <w:r w:rsidRPr="00580C0D">
              <w:t>Ja</w:t>
            </w:r>
          </w:p>
        </w:tc>
      </w:tr>
      <w:tr w:rsidR="00F7113A" w:rsidRPr="00580C0D" w14:paraId="41E34547" w14:textId="77777777">
        <w:trPr>
          <w:trHeight w:val="640"/>
        </w:trPr>
        <w:tc>
          <w:tcPr>
            <w:tcW w:w="1220" w:type="dxa"/>
            <w:tcBorders>
              <w:top w:val="nil"/>
              <w:left w:val="nil"/>
              <w:bottom w:val="nil"/>
              <w:right w:val="nil"/>
            </w:tcBorders>
            <w:tcMar>
              <w:top w:w="128" w:type="dxa"/>
              <w:left w:w="43" w:type="dxa"/>
              <w:bottom w:w="43" w:type="dxa"/>
              <w:right w:w="43" w:type="dxa"/>
            </w:tcMar>
          </w:tcPr>
          <w:p w14:paraId="0B00A622" w14:textId="77777777" w:rsidR="00F7113A" w:rsidRPr="00580C0D" w:rsidRDefault="00142E5B" w:rsidP="001231A3">
            <w:r w:rsidRPr="00580C0D">
              <w:t>2020–2021</w:t>
            </w:r>
          </w:p>
        </w:tc>
        <w:tc>
          <w:tcPr>
            <w:tcW w:w="1100" w:type="dxa"/>
            <w:tcBorders>
              <w:top w:val="nil"/>
              <w:left w:val="nil"/>
              <w:bottom w:val="nil"/>
              <w:right w:val="nil"/>
            </w:tcBorders>
            <w:tcMar>
              <w:top w:w="128" w:type="dxa"/>
              <w:left w:w="43" w:type="dxa"/>
              <w:bottom w:w="43" w:type="dxa"/>
              <w:right w:w="43" w:type="dxa"/>
            </w:tcMar>
          </w:tcPr>
          <w:p w14:paraId="32F222E5" w14:textId="77777777" w:rsidR="00F7113A" w:rsidRPr="00580C0D" w:rsidRDefault="00142E5B" w:rsidP="001231A3">
            <w:pPr>
              <w:ind w:right="284"/>
              <w:jc w:val="right"/>
            </w:pPr>
            <w:r w:rsidRPr="00580C0D">
              <w:t>1250</w:t>
            </w:r>
          </w:p>
        </w:tc>
        <w:tc>
          <w:tcPr>
            <w:tcW w:w="5540" w:type="dxa"/>
            <w:tcBorders>
              <w:top w:val="nil"/>
              <w:left w:val="nil"/>
              <w:bottom w:val="nil"/>
              <w:right w:val="nil"/>
            </w:tcBorders>
            <w:tcMar>
              <w:top w:w="128" w:type="dxa"/>
              <w:left w:w="43" w:type="dxa"/>
              <w:bottom w:w="43" w:type="dxa"/>
              <w:right w:w="43" w:type="dxa"/>
            </w:tcMar>
          </w:tcPr>
          <w:p w14:paraId="0E317C0B" w14:textId="77777777" w:rsidR="00F7113A" w:rsidRPr="00580C0D" w:rsidRDefault="00142E5B" w:rsidP="001231A3">
            <w:proofErr w:type="spellStart"/>
            <w:r w:rsidRPr="00580C0D">
              <w:t>Eigedomsskatt</w:t>
            </w:r>
            <w:proofErr w:type="spellEnd"/>
            <w:r w:rsidRPr="00580C0D">
              <w:t xml:space="preserve">, utgreiing og vurdering av </w:t>
            </w:r>
            <w:proofErr w:type="spellStart"/>
            <w:r w:rsidRPr="00580C0D">
              <w:t>eit</w:t>
            </w:r>
            <w:proofErr w:type="spellEnd"/>
            <w:r w:rsidRPr="00580C0D">
              <w:t xml:space="preserve"> tak </w:t>
            </w:r>
            <w:r w:rsidRPr="00580C0D">
              <w:br/>
              <w:t xml:space="preserve">for </w:t>
            </w:r>
            <w:proofErr w:type="spellStart"/>
            <w:r w:rsidRPr="00580C0D">
              <w:t>bustader</w:t>
            </w:r>
            <w:proofErr w:type="spellEnd"/>
            <w:r w:rsidRPr="00580C0D">
              <w:t xml:space="preserve"> og </w:t>
            </w:r>
            <w:proofErr w:type="spellStart"/>
            <w:r w:rsidRPr="00580C0D">
              <w:t>fritidsbustader</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1B70651A" w14:textId="77777777" w:rsidR="00F7113A" w:rsidRPr="00580C0D" w:rsidRDefault="00142E5B" w:rsidP="001231A3">
            <w:pPr>
              <w:jc w:val="right"/>
            </w:pPr>
            <w:r w:rsidRPr="00580C0D">
              <w:t>Nei</w:t>
            </w:r>
          </w:p>
        </w:tc>
      </w:tr>
      <w:tr w:rsidR="00F7113A" w:rsidRPr="00580C0D" w14:paraId="68BA4007" w14:textId="77777777">
        <w:trPr>
          <w:trHeight w:val="640"/>
        </w:trPr>
        <w:tc>
          <w:tcPr>
            <w:tcW w:w="1220" w:type="dxa"/>
            <w:tcBorders>
              <w:top w:val="nil"/>
              <w:left w:val="nil"/>
              <w:bottom w:val="nil"/>
              <w:right w:val="nil"/>
            </w:tcBorders>
            <w:tcMar>
              <w:top w:w="128" w:type="dxa"/>
              <w:left w:w="43" w:type="dxa"/>
              <w:bottom w:w="43" w:type="dxa"/>
              <w:right w:w="43" w:type="dxa"/>
            </w:tcMar>
          </w:tcPr>
          <w:p w14:paraId="46E57C6D" w14:textId="77777777" w:rsidR="00F7113A" w:rsidRPr="00580C0D" w:rsidRDefault="00142E5B" w:rsidP="001231A3">
            <w:r w:rsidRPr="00580C0D">
              <w:t>2019–2020</w:t>
            </w:r>
          </w:p>
        </w:tc>
        <w:tc>
          <w:tcPr>
            <w:tcW w:w="1100" w:type="dxa"/>
            <w:tcBorders>
              <w:top w:val="nil"/>
              <w:left w:val="nil"/>
              <w:bottom w:val="nil"/>
              <w:right w:val="nil"/>
            </w:tcBorders>
            <w:tcMar>
              <w:top w:w="128" w:type="dxa"/>
              <w:left w:w="43" w:type="dxa"/>
              <w:bottom w:w="43" w:type="dxa"/>
              <w:right w:w="43" w:type="dxa"/>
            </w:tcMar>
          </w:tcPr>
          <w:p w14:paraId="6CE32DF2" w14:textId="77777777" w:rsidR="00F7113A" w:rsidRPr="00580C0D" w:rsidRDefault="00142E5B" w:rsidP="001231A3">
            <w:pPr>
              <w:ind w:right="284"/>
              <w:jc w:val="right"/>
            </w:pPr>
            <w:r w:rsidRPr="00580C0D">
              <w:t>707</w:t>
            </w:r>
          </w:p>
        </w:tc>
        <w:tc>
          <w:tcPr>
            <w:tcW w:w="5540" w:type="dxa"/>
            <w:tcBorders>
              <w:top w:val="nil"/>
              <w:left w:val="nil"/>
              <w:bottom w:val="nil"/>
              <w:right w:val="nil"/>
            </w:tcBorders>
            <w:tcMar>
              <w:top w:w="128" w:type="dxa"/>
              <w:left w:w="43" w:type="dxa"/>
              <w:bottom w:w="43" w:type="dxa"/>
              <w:right w:w="43" w:type="dxa"/>
            </w:tcMar>
          </w:tcPr>
          <w:p w14:paraId="6266A0A3" w14:textId="77777777" w:rsidR="00F7113A" w:rsidRPr="00580C0D" w:rsidRDefault="00142E5B" w:rsidP="001231A3">
            <w:r w:rsidRPr="00580C0D">
              <w:t xml:space="preserve">Kulturmiljømeldinga – </w:t>
            </w:r>
            <w:proofErr w:type="spellStart"/>
            <w:r w:rsidRPr="00580C0D">
              <w:t>vedlikehald</w:t>
            </w:r>
            <w:proofErr w:type="spellEnd"/>
            <w:r w:rsidRPr="00580C0D">
              <w:t xml:space="preserve"> av </w:t>
            </w:r>
            <w:proofErr w:type="spellStart"/>
            <w:r w:rsidRPr="00580C0D">
              <w:t>privateigde</w:t>
            </w:r>
            <w:proofErr w:type="spellEnd"/>
            <w:r w:rsidRPr="00580C0D">
              <w:t xml:space="preserve"> </w:t>
            </w:r>
            <w:r w:rsidRPr="00580C0D">
              <w:br/>
              <w:t>kulturminne og kulturmiljø</w:t>
            </w:r>
          </w:p>
        </w:tc>
        <w:tc>
          <w:tcPr>
            <w:tcW w:w="1660" w:type="dxa"/>
            <w:tcBorders>
              <w:top w:val="nil"/>
              <w:left w:val="nil"/>
              <w:bottom w:val="nil"/>
              <w:right w:val="nil"/>
            </w:tcBorders>
            <w:tcMar>
              <w:top w:w="128" w:type="dxa"/>
              <w:left w:w="43" w:type="dxa"/>
              <w:bottom w:w="43" w:type="dxa"/>
              <w:right w:w="43" w:type="dxa"/>
            </w:tcMar>
            <w:vAlign w:val="bottom"/>
          </w:tcPr>
          <w:p w14:paraId="162D73A5" w14:textId="77777777" w:rsidR="00F7113A" w:rsidRPr="00580C0D" w:rsidRDefault="00142E5B" w:rsidP="001231A3">
            <w:pPr>
              <w:jc w:val="right"/>
            </w:pPr>
            <w:r w:rsidRPr="00580C0D">
              <w:t>Nei</w:t>
            </w:r>
          </w:p>
        </w:tc>
      </w:tr>
      <w:tr w:rsidR="00F7113A" w:rsidRPr="00580C0D" w14:paraId="31E1A0EE" w14:textId="77777777">
        <w:trPr>
          <w:trHeight w:val="380"/>
        </w:trPr>
        <w:tc>
          <w:tcPr>
            <w:tcW w:w="1220" w:type="dxa"/>
            <w:tcBorders>
              <w:top w:val="nil"/>
              <w:left w:val="nil"/>
              <w:bottom w:val="nil"/>
              <w:right w:val="nil"/>
            </w:tcBorders>
            <w:tcMar>
              <w:top w:w="128" w:type="dxa"/>
              <w:left w:w="43" w:type="dxa"/>
              <w:bottom w:w="43" w:type="dxa"/>
              <w:right w:w="43" w:type="dxa"/>
            </w:tcMar>
          </w:tcPr>
          <w:p w14:paraId="4C374A7F" w14:textId="77777777" w:rsidR="00F7113A" w:rsidRPr="00580C0D" w:rsidRDefault="00142E5B" w:rsidP="001231A3">
            <w:r w:rsidRPr="00580C0D">
              <w:t>2019–2020</w:t>
            </w:r>
          </w:p>
        </w:tc>
        <w:tc>
          <w:tcPr>
            <w:tcW w:w="1100" w:type="dxa"/>
            <w:tcBorders>
              <w:top w:val="nil"/>
              <w:left w:val="nil"/>
              <w:bottom w:val="nil"/>
              <w:right w:val="nil"/>
            </w:tcBorders>
            <w:tcMar>
              <w:top w:w="128" w:type="dxa"/>
              <w:left w:w="43" w:type="dxa"/>
              <w:bottom w:w="43" w:type="dxa"/>
              <w:right w:w="43" w:type="dxa"/>
            </w:tcMar>
          </w:tcPr>
          <w:p w14:paraId="0031D0F1" w14:textId="77777777" w:rsidR="00F7113A" w:rsidRPr="00580C0D" w:rsidRDefault="00142E5B" w:rsidP="001231A3">
            <w:pPr>
              <w:ind w:right="284"/>
              <w:jc w:val="right"/>
            </w:pPr>
            <w:r w:rsidRPr="00580C0D">
              <w:t>784</w:t>
            </w:r>
          </w:p>
        </w:tc>
        <w:tc>
          <w:tcPr>
            <w:tcW w:w="5540" w:type="dxa"/>
            <w:tcBorders>
              <w:top w:val="nil"/>
              <w:left w:val="nil"/>
              <w:bottom w:val="nil"/>
              <w:right w:val="nil"/>
            </w:tcBorders>
            <w:tcMar>
              <w:top w:w="128" w:type="dxa"/>
              <w:left w:w="43" w:type="dxa"/>
              <w:bottom w:w="43" w:type="dxa"/>
              <w:right w:w="43" w:type="dxa"/>
            </w:tcMar>
          </w:tcPr>
          <w:p w14:paraId="1229691F" w14:textId="77777777" w:rsidR="00F7113A" w:rsidRPr="00580C0D" w:rsidRDefault="00142E5B" w:rsidP="001231A3">
            <w:proofErr w:type="spellStart"/>
            <w:r w:rsidRPr="00580C0D">
              <w:t>Reiarlagskatteordninga</w:t>
            </w:r>
            <w:proofErr w:type="spellEnd"/>
          </w:p>
        </w:tc>
        <w:tc>
          <w:tcPr>
            <w:tcW w:w="1660" w:type="dxa"/>
            <w:tcBorders>
              <w:top w:val="nil"/>
              <w:left w:val="nil"/>
              <w:bottom w:val="nil"/>
              <w:right w:val="nil"/>
            </w:tcBorders>
            <w:tcMar>
              <w:top w:w="128" w:type="dxa"/>
              <w:left w:w="43" w:type="dxa"/>
              <w:bottom w:w="43" w:type="dxa"/>
              <w:right w:w="43" w:type="dxa"/>
            </w:tcMar>
            <w:vAlign w:val="bottom"/>
          </w:tcPr>
          <w:p w14:paraId="59B28D3F" w14:textId="77777777" w:rsidR="00F7113A" w:rsidRPr="00580C0D" w:rsidRDefault="00142E5B" w:rsidP="001231A3">
            <w:pPr>
              <w:jc w:val="right"/>
            </w:pPr>
            <w:r w:rsidRPr="00580C0D">
              <w:t>Ja</w:t>
            </w:r>
          </w:p>
        </w:tc>
      </w:tr>
      <w:tr w:rsidR="00F7113A" w:rsidRPr="00580C0D" w14:paraId="25A412D4" w14:textId="77777777">
        <w:trPr>
          <w:trHeight w:val="380"/>
        </w:trPr>
        <w:tc>
          <w:tcPr>
            <w:tcW w:w="1220" w:type="dxa"/>
            <w:tcBorders>
              <w:top w:val="nil"/>
              <w:left w:val="nil"/>
              <w:bottom w:val="nil"/>
              <w:right w:val="nil"/>
            </w:tcBorders>
            <w:tcMar>
              <w:top w:w="128" w:type="dxa"/>
              <w:left w:w="43" w:type="dxa"/>
              <w:bottom w:w="43" w:type="dxa"/>
              <w:right w:w="43" w:type="dxa"/>
            </w:tcMar>
          </w:tcPr>
          <w:p w14:paraId="37E79DDB" w14:textId="77777777" w:rsidR="00F7113A" w:rsidRPr="00580C0D" w:rsidRDefault="00142E5B" w:rsidP="001231A3">
            <w:r w:rsidRPr="00580C0D">
              <w:t>2016–2017</w:t>
            </w:r>
          </w:p>
        </w:tc>
        <w:tc>
          <w:tcPr>
            <w:tcW w:w="1100" w:type="dxa"/>
            <w:tcBorders>
              <w:top w:val="nil"/>
              <w:left w:val="nil"/>
              <w:bottom w:val="nil"/>
              <w:right w:val="nil"/>
            </w:tcBorders>
            <w:tcMar>
              <w:top w:w="128" w:type="dxa"/>
              <w:left w:w="43" w:type="dxa"/>
              <w:bottom w:w="43" w:type="dxa"/>
              <w:right w:w="43" w:type="dxa"/>
            </w:tcMar>
          </w:tcPr>
          <w:p w14:paraId="4B9FBAC4" w14:textId="77777777" w:rsidR="00F7113A" w:rsidRPr="00580C0D" w:rsidRDefault="00142E5B" w:rsidP="001231A3">
            <w:pPr>
              <w:ind w:right="284"/>
              <w:jc w:val="right"/>
            </w:pPr>
            <w:r w:rsidRPr="00580C0D">
              <w:t>48</w:t>
            </w:r>
          </w:p>
        </w:tc>
        <w:tc>
          <w:tcPr>
            <w:tcW w:w="5540" w:type="dxa"/>
            <w:tcBorders>
              <w:top w:val="nil"/>
              <w:left w:val="nil"/>
              <w:bottom w:val="nil"/>
              <w:right w:val="nil"/>
            </w:tcBorders>
            <w:tcMar>
              <w:top w:w="128" w:type="dxa"/>
              <w:left w:w="43" w:type="dxa"/>
              <w:bottom w:w="43" w:type="dxa"/>
              <w:right w:w="43" w:type="dxa"/>
            </w:tcMar>
          </w:tcPr>
          <w:p w14:paraId="49CCD3BC" w14:textId="77777777" w:rsidR="00F7113A" w:rsidRPr="00580C0D" w:rsidRDefault="00142E5B" w:rsidP="001231A3">
            <w:r w:rsidRPr="00580C0D">
              <w:t>Land-for-land rapportering</w:t>
            </w:r>
          </w:p>
        </w:tc>
        <w:tc>
          <w:tcPr>
            <w:tcW w:w="1660" w:type="dxa"/>
            <w:tcBorders>
              <w:top w:val="nil"/>
              <w:left w:val="nil"/>
              <w:bottom w:val="nil"/>
              <w:right w:val="nil"/>
            </w:tcBorders>
            <w:tcMar>
              <w:top w:w="128" w:type="dxa"/>
              <w:left w:w="43" w:type="dxa"/>
              <w:bottom w:w="43" w:type="dxa"/>
              <w:right w:w="43" w:type="dxa"/>
            </w:tcMar>
            <w:vAlign w:val="bottom"/>
          </w:tcPr>
          <w:p w14:paraId="51E3A7AA" w14:textId="77777777" w:rsidR="00F7113A" w:rsidRPr="00580C0D" w:rsidRDefault="00142E5B" w:rsidP="001231A3">
            <w:pPr>
              <w:jc w:val="right"/>
            </w:pPr>
            <w:r w:rsidRPr="00580C0D">
              <w:t>Nei</w:t>
            </w:r>
          </w:p>
        </w:tc>
      </w:tr>
      <w:tr w:rsidR="00F7113A" w:rsidRPr="00580C0D" w14:paraId="65FF9563" w14:textId="77777777">
        <w:trPr>
          <w:trHeight w:val="640"/>
        </w:trPr>
        <w:tc>
          <w:tcPr>
            <w:tcW w:w="1220" w:type="dxa"/>
            <w:tcBorders>
              <w:top w:val="nil"/>
              <w:left w:val="nil"/>
              <w:bottom w:val="single" w:sz="4" w:space="0" w:color="000000"/>
              <w:right w:val="nil"/>
            </w:tcBorders>
            <w:tcMar>
              <w:top w:w="128" w:type="dxa"/>
              <w:left w:w="43" w:type="dxa"/>
              <w:bottom w:w="43" w:type="dxa"/>
              <w:right w:w="43" w:type="dxa"/>
            </w:tcMar>
          </w:tcPr>
          <w:p w14:paraId="22732257" w14:textId="77777777" w:rsidR="00F7113A" w:rsidRPr="00580C0D" w:rsidRDefault="00142E5B" w:rsidP="001231A3">
            <w:r w:rsidRPr="00580C0D">
              <w:t>2016–2017</w:t>
            </w:r>
          </w:p>
        </w:tc>
        <w:tc>
          <w:tcPr>
            <w:tcW w:w="1100" w:type="dxa"/>
            <w:tcBorders>
              <w:top w:val="nil"/>
              <w:left w:val="nil"/>
              <w:bottom w:val="single" w:sz="4" w:space="0" w:color="000000"/>
              <w:right w:val="nil"/>
            </w:tcBorders>
            <w:tcMar>
              <w:top w:w="128" w:type="dxa"/>
              <w:left w:w="43" w:type="dxa"/>
              <w:bottom w:w="43" w:type="dxa"/>
              <w:right w:w="43" w:type="dxa"/>
            </w:tcMar>
          </w:tcPr>
          <w:p w14:paraId="35F9167C" w14:textId="77777777" w:rsidR="00F7113A" w:rsidRPr="00580C0D" w:rsidRDefault="00142E5B" w:rsidP="001231A3">
            <w:pPr>
              <w:ind w:right="284"/>
              <w:jc w:val="right"/>
            </w:pPr>
            <w:r w:rsidRPr="00580C0D">
              <w:t>1040</w:t>
            </w:r>
          </w:p>
        </w:tc>
        <w:tc>
          <w:tcPr>
            <w:tcW w:w="5540" w:type="dxa"/>
            <w:tcBorders>
              <w:top w:val="nil"/>
              <w:left w:val="nil"/>
              <w:bottom w:val="single" w:sz="4" w:space="0" w:color="000000"/>
              <w:right w:val="nil"/>
            </w:tcBorders>
            <w:tcMar>
              <w:top w:w="128" w:type="dxa"/>
              <w:left w:w="43" w:type="dxa"/>
              <w:bottom w:w="43" w:type="dxa"/>
              <w:right w:w="43" w:type="dxa"/>
            </w:tcMar>
          </w:tcPr>
          <w:p w14:paraId="2FE05356" w14:textId="77777777" w:rsidR="00F7113A" w:rsidRPr="00580C0D" w:rsidRDefault="00142E5B" w:rsidP="001231A3">
            <w:r w:rsidRPr="00580C0D">
              <w:t xml:space="preserve">Sikre behovet hos </w:t>
            </w:r>
            <w:proofErr w:type="spellStart"/>
            <w:r w:rsidRPr="00580C0D">
              <w:t>bustadkjøparar</w:t>
            </w:r>
            <w:proofErr w:type="spellEnd"/>
            <w:r w:rsidRPr="00580C0D">
              <w:t xml:space="preserve"> for </w:t>
            </w:r>
            <w:proofErr w:type="spellStart"/>
            <w:r w:rsidRPr="00580C0D">
              <w:t>meir</w:t>
            </w:r>
            <w:proofErr w:type="spellEnd"/>
            <w:r w:rsidRPr="00580C0D">
              <w:t xml:space="preserve"> tid </w:t>
            </w:r>
            <w:r w:rsidRPr="00580C0D">
              <w:br/>
              <w:t>i bustadhandelen</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4BE9DE3D" w14:textId="77777777" w:rsidR="00F7113A" w:rsidRPr="00580C0D" w:rsidRDefault="00142E5B" w:rsidP="001231A3">
            <w:pPr>
              <w:jc w:val="right"/>
            </w:pPr>
            <w:r w:rsidRPr="00580C0D">
              <w:t>Nei</w:t>
            </w:r>
          </w:p>
        </w:tc>
      </w:tr>
    </w:tbl>
    <w:p w14:paraId="03FDA833" w14:textId="77777777" w:rsidR="00F7113A" w:rsidRPr="00580C0D" w:rsidRDefault="00142E5B" w:rsidP="001A1B0B">
      <w:pPr>
        <w:pStyle w:val="Overskrift2"/>
        <w:numPr>
          <w:ilvl w:val="1"/>
          <w:numId w:val="25"/>
        </w:numPr>
      </w:pPr>
      <w:r w:rsidRPr="00580C0D">
        <w:t>Stortingssesjon 2022–2023</w:t>
      </w:r>
    </w:p>
    <w:p w14:paraId="352A5810" w14:textId="77777777" w:rsidR="00F7113A" w:rsidRPr="00580C0D" w:rsidRDefault="00142E5B" w:rsidP="00580C0D">
      <w:pPr>
        <w:pStyle w:val="avsnitt-tittel"/>
      </w:pPr>
      <w:r w:rsidRPr="00580C0D">
        <w:t>Utflyttingsskatt</w:t>
      </w:r>
    </w:p>
    <w:p w14:paraId="348125BF" w14:textId="77777777" w:rsidR="00F7113A" w:rsidRPr="00580C0D" w:rsidRDefault="00142E5B" w:rsidP="00580C0D">
      <w:pPr>
        <w:pStyle w:val="avsnitt-undertittel"/>
      </w:pPr>
      <w:r w:rsidRPr="00580C0D">
        <w:t>Vedtak nr. 82, 1. desember 2022</w:t>
      </w:r>
    </w:p>
    <w:p w14:paraId="5991D23F" w14:textId="77777777" w:rsidR="00F7113A" w:rsidRPr="00580C0D" w:rsidRDefault="00142E5B" w:rsidP="00580C0D">
      <w:pPr>
        <w:pStyle w:val="blokksit"/>
        <w:rPr>
          <w:rStyle w:val="kursiv"/>
        </w:rPr>
      </w:pPr>
      <w:r w:rsidRPr="00580C0D">
        <w:rPr>
          <w:rStyle w:val="kursiv"/>
        </w:rPr>
        <w:t>«Stortinget ber regjeringen utrede og foreslå en utflyttingsskatt som sikrer at urealiserte gevinster opparbeidet i Norge frem til utflyttingstidspunktet, faktisk skattlegges her.»</w:t>
      </w:r>
    </w:p>
    <w:p w14:paraId="4A3BAE20"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1 (2022–2023), jf. </w:t>
      </w:r>
      <w:proofErr w:type="spellStart"/>
      <w:r w:rsidRPr="00580C0D">
        <w:t>Innst</w:t>
      </w:r>
      <w:proofErr w:type="spellEnd"/>
      <w:r w:rsidRPr="00580C0D">
        <w:t xml:space="preserve">. 2 S (2022–2023). Finansdepartementet vil </w:t>
      </w:r>
      <w:proofErr w:type="spellStart"/>
      <w:r w:rsidRPr="00580C0D">
        <w:t>følgje</w:t>
      </w:r>
      <w:proofErr w:type="spellEnd"/>
      <w:r w:rsidRPr="00580C0D">
        <w:t xml:space="preserve"> opp vedtaket og vil sende framlegg til </w:t>
      </w:r>
      <w:proofErr w:type="spellStart"/>
      <w:r w:rsidRPr="00580C0D">
        <w:t>endringar</w:t>
      </w:r>
      <w:proofErr w:type="spellEnd"/>
      <w:r w:rsidRPr="00580C0D">
        <w:t xml:space="preserve"> på </w:t>
      </w:r>
      <w:proofErr w:type="spellStart"/>
      <w:r w:rsidRPr="00580C0D">
        <w:t>høyring</w:t>
      </w:r>
      <w:proofErr w:type="spellEnd"/>
      <w:r w:rsidRPr="00580C0D">
        <w:t xml:space="preserve"> når saka er ferdig </w:t>
      </w:r>
      <w:proofErr w:type="spellStart"/>
      <w:r w:rsidRPr="00580C0D">
        <w:t>utreidd</w:t>
      </w:r>
      <w:proofErr w:type="spellEnd"/>
      <w:r w:rsidRPr="00580C0D">
        <w:t xml:space="preserve"> i departementet.</w:t>
      </w:r>
    </w:p>
    <w:p w14:paraId="6E93E966" w14:textId="77777777" w:rsidR="00F7113A" w:rsidRPr="00580C0D" w:rsidRDefault="00142E5B" w:rsidP="00580C0D">
      <w:pPr>
        <w:pStyle w:val="avsnitt-tittel"/>
      </w:pPr>
      <w:r w:rsidRPr="00580C0D">
        <w:t>Turistskatt</w:t>
      </w:r>
    </w:p>
    <w:p w14:paraId="3B6DDDD9" w14:textId="77777777" w:rsidR="00F7113A" w:rsidRPr="00580C0D" w:rsidRDefault="00142E5B" w:rsidP="00580C0D">
      <w:pPr>
        <w:pStyle w:val="avsnitt-undertittel"/>
      </w:pPr>
      <w:r w:rsidRPr="00580C0D">
        <w:t>Vedtak nr. 83, 1. desember 2022</w:t>
      </w:r>
    </w:p>
    <w:p w14:paraId="00E4A7FA" w14:textId="77777777" w:rsidR="00F7113A" w:rsidRPr="00580C0D" w:rsidRDefault="00142E5B" w:rsidP="00580C0D">
      <w:pPr>
        <w:pStyle w:val="blokksit"/>
        <w:rPr>
          <w:rStyle w:val="kursiv"/>
        </w:rPr>
      </w:pPr>
      <w:r w:rsidRPr="00580C0D">
        <w:rPr>
          <w:rStyle w:val="kursiv"/>
        </w:rPr>
        <w:t>«Stortinget ber regjeringen fremme forslag om en kommunal/statlig turistskatt senest i forbindelse med statsbudsjettet for 2024.»</w:t>
      </w:r>
    </w:p>
    <w:p w14:paraId="5F0CC2A3"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Endring av </w:t>
      </w:r>
      <w:proofErr w:type="spellStart"/>
      <w:r w:rsidRPr="00580C0D">
        <w:t>Prop</w:t>
      </w:r>
      <w:proofErr w:type="spellEnd"/>
      <w:r w:rsidRPr="00580C0D">
        <w:t xml:space="preserve">. 1 S (2022–2023) og </w:t>
      </w:r>
      <w:proofErr w:type="spellStart"/>
      <w:r w:rsidRPr="00580C0D">
        <w:t>Prop</w:t>
      </w:r>
      <w:proofErr w:type="spellEnd"/>
      <w:r w:rsidRPr="00580C0D">
        <w:t xml:space="preserve">. 1 LS (2022–2023), jf. </w:t>
      </w:r>
      <w:proofErr w:type="spellStart"/>
      <w:r w:rsidRPr="00580C0D">
        <w:t>Innst</w:t>
      </w:r>
      <w:proofErr w:type="spellEnd"/>
      <w:r w:rsidRPr="00580C0D">
        <w:t xml:space="preserve">. 5 S (2022–2023). Regjeringa treng </w:t>
      </w:r>
      <w:proofErr w:type="spellStart"/>
      <w:r w:rsidRPr="00580C0D">
        <w:t>meir</w:t>
      </w:r>
      <w:proofErr w:type="spellEnd"/>
      <w:r w:rsidRPr="00580C0D">
        <w:t xml:space="preserve"> tid på å vurdere </w:t>
      </w:r>
      <w:proofErr w:type="spellStart"/>
      <w:r w:rsidRPr="00580C0D">
        <w:t>mogleg</w:t>
      </w:r>
      <w:proofErr w:type="spellEnd"/>
      <w:r w:rsidRPr="00580C0D">
        <w:t xml:space="preserve"> innretting av </w:t>
      </w:r>
      <w:proofErr w:type="spellStart"/>
      <w:r w:rsidRPr="00580C0D">
        <w:t>ein</w:t>
      </w:r>
      <w:proofErr w:type="spellEnd"/>
      <w:r w:rsidRPr="00580C0D">
        <w:t xml:space="preserve"> lokal/</w:t>
      </w:r>
      <w:proofErr w:type="spellStart"/>
      <w:r w:rsidRPr="00580C0D">
        <w:t>statleg</w:t>
      </w:r>
      <w:proofErr w:type="spellEnd"/>
      <w:r w:rsidRPr="00580C0D">
        <w:t xml:space="preserve"> turistskatt og vil </w:t>
      </w:r>
      <w:proofErr w:type="spellStart"/>
      <w:r w:rsidRPr="00580C0D">
        <w:t>kome</w:t>
      </w:r>
      <w:proofErr w:type="spellEnd"/>
      <w:r w:rsidRPr="00580C0D">
        <w:t xml:space="preserve"> tilbake til Stortinget om saka. Vedtaket er òg </w:t>
      </w:r>
      <w:proofErr w:type="spellStart"/>
      <w:r w:rsidRPr="00580C0D">
        <w:t>omtala</w:t>
      </w:r>
      <w:proofErr w:type="spellEnd"/>
      <w:r w:rsidRPr="00580C0D">
        <w:t xml:space="preserve"> i </w:t>
      </w:r>
      <w:proofErr w:type="spellStart"/>
      <w:r w:rsidRPr="00580C0D">
        <w:t>Prop</w:t>
      </w:r>
      <w:proofErr w:type="spellEnd"/>
      <w:r w:rsidRPr="00580C0D">
        <w:t>. 1 LS (2023–2024), kapittel 17.</w:t>
      </w:r>
    </w:p>
    <w:p w14:paraId="0793D67D" w14:textId="77777777" w:rsidR="00F7113A" w:rsidRPr="00580C0D" w:rsidRDefault="00142E5B" w:rsidP="00580C0D">
      <w:pPr>
        <w:pStyle w:val="avsnitt-tittel"/>
      </w:pPr>
      <w:proofErr w:type="spellStart"/>
      <w:r w:rsidRPr="00580C0D">
        <w:t>Eingongsavgift</w:t>
      </w:r>
      <w:proofErr w:type="spellEnd"/>
      <w:r w:rsidRPr="00580C0D">
        <w:t xml:space="preserve"> på tunge </w:t>
      </w:r>
      <w:proofErr w:type="spellStart"/>
      <w:r w:rsidRPr="00580C0D">
        <w:t>køyretøy</w:t>
      </w:r>
      <w:proofErr w:type="spellEnd"/>
    </w:p>
    <w:p w14:paraId="4D982E3C" w14:textId="77777777" w:rsidR="00F7113A" w:rsidRPr="00580C0D" w:rsidRDefault="00142E5B" w:rsidP="00580C0D">
      <w:pPr>
        <w:pStyle w:val="avsnitt-undertittel"/>
      </w:pPr>
      <w:r w:rsidRPr="00580C0D">
        <w:t>Vedtak nr. 91, 1. desember 2022</w:t>
      </w:r>
    </w:p>
    <w:p w14:paraId="62328FCF" w14:textId="77777777" w:rsidR="00F7113A" w:rsidRPr="00580C0D" w:rsidRDefault="00142E5B" w:rsidP="00580C0D">
      <w:pPr>
        <w:pStyle w:val="blokksit"/>
        <w:rPr>
          <w:rStyle w:val="kursiv"/>
        </w:rPr>
      </w:pPr>
      <w:r w:rsidRPr="00580C0D">
        <w:rPr>
          <w:rStyle w:val="kursiv"/>
        </w:rPr>
        <w:t>«Stortinget ber regjeringen utrede engangsavgift på fossile lastebiler, busser og andre tunge kjøretøy i forbindelse med statsbudsjettet for 2024.»</w:t>
      </w:r>
    </w:p>
    <w:p w14:paraId="48C3D423"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 LS (2022–2023), jf. </w:t>
      </w:r>
      <w:proofErr w:type="spellStart"/>
      <w:r w:rsidRPr="00580C0D">
        <w:t>Innst</w:t>
      </w:r>
      <w:proofErr w:type="spellEnd"/>
      <w:r w:rsidRPr="00580C0D">
        <w:t xml:space="preserve">. 5 S (2022–2023).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w:t>
      </w:r>
      <w:proofErr w:type="spellStart"/>
      <w:r w:rsidRPr="00580C0D">
        <w:t>omtala</w:t>
      </w:r>
      <w:proofErr w:type="spellEnd"/>
      <w:r w:rsidRPr="00580C0D">
        <w:t xml:space="preserve"> i </w:t>
      </w:r>
      <w:proofErr w:type="spellStart"/>
      <w:r w:rsidRPr="00580C0D">
        <w:t>Prop</w:t>
      </w:r>
      <w:proofErr w:type="spellEnd"/>
      <w:r w:rsidRPr="00580C0D">
        <w:t>. 1 LS (2023–2024), kapittel 18.</w:t>
      </w:r>
    </w:p>
    <w:p w14:paraId="1BAE17B0" w14:textId="77777777" w:rsidR="00F7113A" w:rsidRPr="00580C0D" w:rsidRDefault="00142E5B" w:rsidP="00580C0D">
      <w:pPr>
        <w:pStyle w:val="avsnitt-tittel"/>
      </w:pPr>
      <w:proofErr w:type="spellStart"/>
      <w:r w:rsidRPr="00580C0D">
        <w:t>Eingongsavgift</w:t>
      </w:r>
      <w:proofErr w:type="spellEnd"/>
      <w:r w:rsidRPr="00580C0D">
        <w:t xml:space="preserve"> for ladbare </w:t>
      </w:r>
      <w:proofErr w:type="spellStart"/>
      <w:r w:rsidRPr="00580C0D">
        <w:t>hybridbilar</w:t>
      </w:r>
      <w:proofErr w:type="spellEnd"/>
    </w:p>
    <w:p w14:paraId="00CF6DAB" w14:textId="77777777" w:rsidR="00F7113A" w:rsidRPr="00580C0D" w:rsidRDefault="00142E5B" w:rsidP="00580C0D">
      <w:pPr>
        <w:pStyle w:val="avsnitt-undertittel"/>
      </w:pPr>
      <w:r w:rsidRPr="00580C0D">
        <w:t>Vedtak nr. 111, 1. desember 2022</w:t>
      </w:r>
    </w:p>
    <w:p w14:paraId="30AEEB79" w14:textId="77777777" w:rsidR="00F7113A" w:rsidRPr="00580C0D" w:rsidRDefault="00142E5B" w:rsidP="00580C0D">
      <w:pPr>
        <w:pStyle w:val="blokksit"/>
        <w:rPr>
          <w:rStyle w:val="kursiv"/>
        </w:rPr>
      </w:pPr>
      <w:r w:rsidRPr="00580C0D">
        <w:rPr>
          <w:rStyle w:val="kursiv"/>
        </w:rPr>
        <w:t>«Stortinget ber regjeringen foreslå utfasing av vektfradraget for ladbare hybridbiler senest innen 2025.»</w:t>
      </w:r>
    </w:p>
    <w:p w14:paraId="418C5D32"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 LS (2022–2023), jf. </w:t>
      </w:r>
      <w:proofErr w:type="spellStart"/>
      <w:r w:rsidRPr="00580C0D">
        <w:t>Innst</w:t>
      </w:r>
      <w:proofErr w:type="spellEnd"/>
      <w:r w:rsidRPr="00580C0D">
        <w:t xml:space="preserve">. 5 S (2022–2023).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forslag i </w:t>
      </w:r>
      <w:proofErr w:type="spellStart"/>
      <w:r w:rsidRPr="00580C0D">
        <w:t>Prop</w:t>
      </w:r>
      <w:proofErr w:type="spellEnd"/>
      <w:r w:rsidRPr="00580C0D">
        <w:t>. 1 LS (2023–2024), kapittel 7,4.</w:t>
      </w:r>
    </w:p>
    <w:p w14:paraId="40E01D25" w14:textId="77777777" w:rsidR="00F7113A" w:rsidRPr="00580C0D" w:rsidRDefault="00142E5B" w:rsidP="00580C0D">
      <w:pPr>
        <w:pStyle w:val="avsnitt-tittel"/>
      </w:pPr>
      <w:proofErr w:type="spellStart"/>
      <w:r w:rsidRPr="00580C0D">
        <w:t>Meirverdiavgiftsfritak</w:t>
      </w:r>
      <w:proofErr w:type="spellEnd"/>
      <w:r w:rsidRPr="00580C0D">
        <w:t xml:space="preserve"> elektroniske aviser</w:t>
      </w:r>
    </w:p>
    <w:p w14:paraId="70CAEBA8" w14:textId="77777777" w:rsidR="00F7113A" w:rsidRPr="00580C0D" w:rsidRDefault="00142E5B" w:rsidP="00580C0D">
      <w:pPr>
        <w:pStyle w:val="avsnitt-undertittel"/>
      </w:pPr>
      <w:r w:rsidRPr="00580C0D">
        <w:t>Vedtak nr. 120, 1. desember 2022</w:t>
      </w:r>
    </w:p>
    <w:p w14:paraId="33BF765B" w14:textId="77777777" w:rsidR="00F7113A" w:rsidRPr="00580C0D" w:rsidRDefault="00142E5B" w:rsidP="00580C0D">
      <w:pPr>
        <w:pStyle w:val="blokksit"/>
        <w:rPr>
          <w:rStyle w:val="kursiv"/>
        </w:rPr>
      </w:pPr>
      <w:r w:rsidRPr="00580C0D">
        <w:rPr>
          <w:rStyle w:val="kursiv"/>
        </w:rPr>
        <w:t>«Stortinget ber regjeringen frem mot revidert nasjonalbudsjett 2023 vurdere tiltak for å sikre at lokal- og regionalaviser ikke får begrensninger i muligheten til produksjon av video og lyd gjennom mva.-endringer.»</w:t>
      </w:r>
    </w:p>
    <w:p w14:paraId="532C514E"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 LS (2022–2023), jf. </w:t>
      </w:r>
      <w:proofErr w:type="spellStart"/>
      <w:r w:rsidRPr="00580C0D">
        <w:t>Innst</w:t>
      </w:r>
      <w:proofErr w:type="spellEnd"/>
      <w:r w:rsidRPr="00580C0D">
        <w:t xml:space="preserve">. 2 S (2022–2023).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i Meld. St. 2 (2022–2023) Revidert nasjonalbudsjett 2023 kapittel 4.3, jf. </w:t>
      </w:r>
      <w:proofErr w:type="spellStart"/>
      <w:r w:rsidRPr="00580C0D">
        <w:t>Innst</w:t>
      </w:r>
      <w:proofErr w:type="spellEnd"/>
      <w:r w:rsidRPr="00580C0D">
        <w:t xml:space="preserve">. 430 S (2022–2023), kapittel 4.3. Vedtaket er òg </w:t>
      </w:r>
      <w:proofErr w:type="spellStart"/>
      <w:r w:rsidRPr="00580C0D">
        <w:t>omtala</w:t>
      </w:r>
      <w:proofErr w:type="spellEnd"/>
      <w:r w:rsidRPr="00580C0D">
        <w:t xml:space="preserve"> i </w:t>
      </w:r>
      <w:proofErr w:type="spellStart"/>
      <w:r w:rsidRPr="00580C0D">
        <w:t>Prop</w:t>
      </w:r>
      <w:proofErr w:type="spellEnd"/>
      <w:r w:rsidRPr="00580C0D">
        <w:t>. 1 LS (2023–2024), kapittel 6.3.</w:t>
      </w:r>
    </w:p>
    <w:p w14:paraId="66380BC7" w14:textId="77777777" w:rsidR="00F7113A" w:rsidRPr="00580C0D" w:rsidRDefault="00142E5B" w:rsidP="00580C0D">
      <w:pPr>
        <w:pStyle w:val="avsnitt-tittel"/>
      </w:pPr>
      <w:proofErr w:type="spellStart"/>
      <w:r w:rsidRPr="00580C0D">
        <w:t>Miljøindikatorar</w:t>
      </w:r>
      <w:proofErr w:type="spellEnd"/>
    </w:p>
    <w:p w14:paraId="0F28C775" w14:textId="77777777" w:rsidR="00F7113A" w:rsidRPr="00580C0D" w:rsidRDefault="00142E5B" w:rsidP="00580C0D">
      <w:pPr>
        <w:pStyle w:val="avsnitt-undertittel"/>
      </w:pPr>
      <w:r w:rsidRPr="00580C0D">
        <w:t>Vedtak nr. 716-1, 31. mai 2023</w:t>
      </w:r>
    </w:p>
    <w:p w14:paraId="2A789824" w14:textId="77777777" w:rsidR="00F7113A" w:rsidRPr="00580C0D" w:rsidRDefault="00142E5B" w:rsidP="00580C0D">
      <w:pPr>
        <w:pStyle w:val="blokksit"/>
        <w:rPr>
          <w:rStyle w:val="kursiv"/>
        </w:rPr>
      </w:pPr>
      <w:r w:rsidRPr="00580C0D">
        <w:rPr>
          <w:rStyle w:val="kursiv"/>
        </w:rPr>
        <w:t>«Stortinget ber regjeringen sørge for at miljøindikatorer for trafikklyssystemet er på plass fra auksjonsrunden i 2024. Det skal utredes og vurderes indikatorer, som blant annet påvirkning på sjøørret, utslipp og dødelighet.»</w:t>
      </w:r>
    </w:p>
    <w:p w14:paraId="6F715F3D"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78 LS (2022–2023), jf. </w:t>
      </w:r>
      <w:proofErr w:type="spellStart"/>
      <w:r w:rsidRPr="00580C0D">
        <w:t>Innst</w:t>
      </w:r>
      <w:proofErr w:type="spellEnd"/>
      <w:r w:rsidRPr="00580C0D">
        <w:t>. 372 L (2022–2023).</w:t>
      </w:r>
    </w:p>
    <w:p w14:paraId="6B5F8FE8" w14:textId="77777777" w:rsidR="00F7113A" w:rsidRPr="00580C0D" w:rsidRDefault="00142E5B" w:rsidP="00580C0D">
      <w:r w:rsidRPr="00580C0D">
        <w:t xml:space="preserve">Regjeringa vil </w:t>
      </w:r>
      <w:proofErr w:type="spellStart"/>
      <w:r w:rsidRPr="00580C0D">
        <w:t>følgje</w:t>
      </w:r>
      <w:proofErr w:type="spellEnd"/>
      <w:r w:rsidRPr="00580C0D">
        <w:t xml:space="preserve"> opp vedtaket, men presiserer at nye </w:t>
      </w:r>
      <w:proofErr w:type="spellStart"/>
      <w:r w:rsidRPr="00580C0D">
        <w:t>miljøindikatorar</w:t>
      </w:r>
      <w:proofErr w:type="spellEnd"/>
      <w:r w:rsidRPr="00580C0D">
        <w:t xml:space="preserve"> fyrst må </w:t>
      </w:r>
      <w:proofErr w:type="spellStart"/>
      <w:r w:rsidRPr="00580C0D">
        <w:t>greiast</w:t>
      </w:r>
      <w:proofErr w:type="spellEnd"/>
      <w:r w:rsidRPr="00580C0D">
        <w:t xml:space="preserve"> ut grundig og deretter </w:t>
      </w:r>
      <w:proofErr w:type="spellStart"/>
      <w:r w:rsidRPr="00580C0D">
        <w:t>vurderast</w:t>
      </w:r>
      <w:proofErr w:type="spellEnd"/>
      <w:r w:rsidRPr="00580C0D">
        <w:t xml:space="preserve"> i to år før </w:t>
      </w:r>
      <w:proofErr w:type="spellStart"/>
      <w:r w:rsidRPr="00580C0D">
        <w:t>dei</w:t>
      </w:r>
      <w:proofErr w:type="spellEnd"/>
      <w:r w:rsidRPr="00580C0D">
        <w:t xml:space="preserve"> kan få </w:t>
      </w:r>
      <w:proofErr w:type="spellStart"/>
      <w:r w:rsidRPr="00580C0D">
        <w:t>innverknad</w:t>
      </w:r>
      <w:proofErr w:type="spellEnd"/>
      <w:r w:rsidRPr="00580C0D">
        <w:t xml:space="preserve"> på </w:t>
      </w:r>
      <w:proofErr w:type="spellStart"/>
      <w:r w:rsidRPr="00580C0D">
        <w:t>auksjonsrundane</w:t>
      </w:r>
      <w:proofErr w:type="spellEnd"/>
      <w:r w:rsidRPr="00580C0D">
        <w:t xml:space="preserve">. Det </w:t>
      </w:r>
      <w:proofErr w:type="spellStart"/>
      <w:r w:rsidRPr="00580C0D">
        <w:t>gjer</w:t>
      </w:r>
      <w:proofErr w:type="spellEnd"/>
      <w:r w:rsidRPr="00580C0D">
        <w:t xml:space="preserve"> det </w:t>
      </w:r>
      <w:proofErr w:type="spellStart"/>
      <w:r w:rsidRPr="00580C0D">
        <w:t>meir</w:t>
      </w:r>
      <w:proofErr w:type="spellEnd"/>
      <w:r w:rsidRPr="00580C0D">
        <w:t xml:space="preserve"> </w:t>
      </w:r>
      <w:proofErr w:type="spellStart"/>
      <w:r w:rsidRPr="00580C0D">
        <w:t>føreseieleg</w:t>
      </w:r>
      <w:proofErr w:type="spellEnd"/>
      <w:r w:rsidRPr="00580C0D">
        <w:t xml:space="preserve"> for næringa, slik at næringa veit kva </w:t>
      </w:r>
      <w:proofErr w:type="spellStart"/>
      <w:r w:rsidRPr="00580C0D">
        <w:t>dei</w:t>
      </w:r>
      <w:proofErr w:type="spellEnd"/>
      <w:r w:rsidRPr="00580C0D">
        <w:t xml:space="preserve"> skal </w:t>
      </w:r>
      <w:proofErr w:type="spellStart"/>
      <w:r w:rsidRPr="00580C0D">
        <w:t>vurderast</w:t>
      </w:r>
      <w:proofErr w:type="spellEnd"/>
      <w:r w:rsidRPr="00580C0D">
        <w:t xml:space="preserve"> etter før vurderingsperioden tar til.</w:t>
      </w:r>
    </w:p>
    <w:p w14:paraId="4C20B516" w14:textId="77777777" w:rsidR="00F7113A" w:rsidRPr="00580C0D" w:rsidRDefault="00142E5B" w:rsidP="00580C0D">
      <w:pPr>
        <w:pStyle w:val="avsnitt-tittel"/>
      </w:pPr>
      <w:r w:rsidRPr="00580C0D">
        <w:t>Grunnrenteskatt på havbruk til havs</w:t>
      </w:r>
    </w:p>
    <w:p w14:paraId="1DCFE5EF" w14:textId="77777777" w:rsidR="00F7113A" w:rsidRPr="00580C0D" w:rsidRDefault="00142E5B" w:rsidP="00580C0D">
      <w:pPr>
        <w:pStyle w:val="avsnitt-undertittel"/>
      </w:pPr>
      <w:r w:rsidRPr="00580C0D">
        <w:t>Vedtak nr. 716-2, 31. mai 2023</w:t>
      </w:r>
    </w:p>
    <w:p w14:paraId="4BB4CC9A" w14:textId="77777777" w:rsidR="00F7113A" w:rsidRPr="00580C0D" w:rsidRDefault="00142E5B" w:rsidP="00580C0D">
      <w:pPr>
        <w:pStyle w:val="blokksit"/>
        <w:rPr>
          <w:rStyle w:val="kursiv"/>
        </w:rPr>
      </w:pPr>
      <w:r w:rsidRPr="00580C0D">
        <w:rPr>
          <w:rStyle w:val="kursiv"/>
        </w:rPr>
        <w:t>«Stortinget ber regjeringen frem til statsbudsjettet for 2024 utrede forslag om å innføre grunnrenteskatt på havbruk til havs. Utredningen må gi en avklaring om det er grunnlag for grunnrente på havbruk til havs.»</w:t>
      </w:r>
    </w:p>
    <w:p w14:paraId="721A146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78 LS (2022–2023), jf. </w:t>
      </w:r>
      <w:proofErr w:type="spellStart"/>
      <w:r w:rsidRPr="00580C0D">
        <w:t>Innst</w:t>
      </w:r>
      <w:proofErr w:type="spellEnd"/>
      <w:r w:rsidRPr="00580C0D">
        <w:t xml:space="preserve">. 372 L (2022–2023).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vurderinga i </w:t>
      </w:r>
      <w:proofErr w:type="spellStart"/>
      <w:r w:rsidRPr="00580C0D">
        <w:t>Prop</w:t>
      </w:r>
      <w:proofErr w:type="spellEnd"/>
      <w:r w:rsidRPr="00580C0D">
        <w:t>. 1 LS (2023–2024), kapittel 19.</w:t>
      </w:r>
    </w:p>
    <w:p w14:paraId="6D8E6353" w14:textId="77777777" w:rsidR="00F7113A" w:rsidRPr="00580C0D" w:rsidRDefault="00142E5B" w:rsidP="00580C0D">
      <w:pPr>
        <w:pStyle w:val="avsnitt-tittel"/>
      </w:pPr>
      <w:proofErr w:type="spellStart"/>
      <w:r w:rsidRPr="00580C0D">
        <w:t>Nedtrekt</w:t>
      </w:r>
      <w:proofErr w:type="spellEnd"/>
      <w:r w:rsidRPr="00580C0D">
        <w:t xml:space="preserve"> produksjon</w:t>
      </w:r>
    </w:p>
    <w:p w14:paraId="0A855D2B" w14:textId="77777777" w:rsidR="00F7113A" w:rsidRPr="00580C0D" w:rsidRDefault="00142E5B" w:rsidP="00580C0D">
      <w:pPr>
        <w:pStyle w:val="avsnitt-undertittel"/>
      </w:pPr>
      <w:r w:rsidRPr="00580C0D">
        <w:t>Vedtak nr. 716-3, 31. mai 2023</w:t>
      </w:r>
    </w:p>
    <w:p w14:paraId="3953F165" w14:textId="77777777" w:rsidR="00F7113A" w:rsidRPr="00580C0D" w:rsidRDefault="00142E5B" w:rsidP="00580C0D">
      <w:pPr>
        <w:pStyle w:val="blokksit"/>
        <w:rPr>
          <w:rStyle w:val="kursiv"/>
        </w:rPr>
      </w:pPr>
      <w:r w:rsidRPr="00580C0D">
        <w:rPr>
          <w:rStyle w:val="kursiv"/>
        </w:rPr>
        <w:t xml:space="preserve">«Stortinget ber regjeringen innføre en ordning som gjør at </w:t>
      </w:r>
      <w:proofErr w:type="gramStart"/>
      <w:r w:rsidRPr="00580C0D">
        <w:rPr>
          <w:rStyle w:val="kursiv"/>
        </w:rPr>
        <w:t>nedtrukket produksjon</w:t>
      </w:r>
      <w:proofErr w:type="gramEnd"/>
      <w:r w:rsidRPr="00580C0D">
        <w:rPr>
          <w:rStyle w:val="kursiv"/>
        </w:rPr>
        <w:t xml:space="preserve"> som følge av trafikklyssystemet kan produseres i lukket teknologi.»</w:t>
      </w:r>
    </w:p>
    <w:p w14:paraId="64608110"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78 LS (2022–2023), jf. </w:t>
      </w:r>
      <w:proofErr w:type="spellStart"/>
      <w:r w:rsidRPr="00580C0D">
        <w:t>Innst</w:t>
      </w:r>
      <w:proofErr w:type="spellEnd"/>
      <w:r w:rsidRPr="00580C0D">
        <w:t xml:space="preserve">. 372 L (2022–2023). Regjeringa vil greie ut dette vedtaket og vil </w:t>
      </w:r>
      <w:proofErr w:type="spellStart"/>
      <w:r w:rsidRPr="00580C0D">
        <w:t>kome</w:t>
      </w:r>
      <w:proofErr w:type="spellEnd"/>
      <w:r w:rsidRPr="00580C0D">
        <w:t xml:space="preserve"> tilbake til Stortinget ved </w:t>
      </w:r>
      <w:proofErr w:type="spellStart"/>
      <w:r w:rsidRPr="00580C0D">
        <w:t>eit</w:t>
      </w:r>
      <w:proofErr w:type="spellEnd"/>
      <w:r w:rsidRPr="00580C0D">
        <w:t xml:space="preserve"> </w:t>
      </w:r>
      <w:proofErr w:type="spellStart"/>
      <w:r w:rsidRPr="00580C0D">
        <w:t>passande</w:t>
      </w:r>
      <w:proofErr w:type="spellEnd"/>
      <w:r w:rsidRPr="00580C0D">
        <w:t xml:space="preserve"> høve.</w:t>
      </w:r>
    </w:p>
    <w:p w14:paraId="654426B1" w14:textId="77777777" w:rsidR="00F7113A" w:rsidRPr="00580C0D" w:rsidRDefault="00142E5B" w:rsidP="00580C0D">
      <w:pPr>
        <w:pStyle w:val="avsnitt-tittel"/>
      </w:pPr>
      <w:r w:rsidRPr="00580C0D">
        <w:t>Miljøteknologiordning</w:t>
      </w:r>
    </w:p>
    <w:p w14:paraId="028D3304" w14:textId="77777777" w:rsidR="00F7113A" w:rsidRPr="00580C0D" w:rsidRDefault="00142E5B" w:rsidP="00580C0D">
      <w:pPr>
        <w:pStyle w:val="avsnitt-undertittel"/>
      </w:pPr>
      <w:r w:rsidRPr="00580C0D">
        <w:t>Vedtak nr. 716-4, 31. mai 2023</w:t>
      </w:r>
    </w:p>
    <w:p w14:paraId="7DEAC457" w14:textId="77777777" w:rsidR="00F7113A" w:rsidRPr="00580C0D" w:rsidRDefault="00142E5B" w:rsidP="00580C0D">
      <w:pPr>
        <w:pStyle w:val="blokksit"/>
        <w:rPr>
          <w:rStyle w:val="kursiv"/>
        </w:rPr>
      </w:pPr>
      <w:r w:rsidRPr="00580C0D">
        <w:rPr>
          <w:rStyle w:val="kursiv"/>
        </w:rPr>
        <w:t>«Stortinget ber regjeringen legge frem forslag om en miljøteknologiordning i løpet av 2023.»</w:t>
      </w:r>
    </w:p>
    <w:p w14:paraId="327B3E09"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78 LS (2022–2023), jf. </w:t>
      </w:r>
      <w:proofErr w:type="spellStart"/>
      <w:r w:rsidRPr="00580C0D">
        <w:t>Innst</w:t>
      </w:r>
      <w:proofErr w:type="spellEnd"/>
      <w:r w:rsidRPr="00580C0D">
        <w:t>. 372 L (2022–2023).</w:t>
      </w:r>
    </w:p>
    <w:p w14:paraId="3D07B690" w14:textId="77777777" w:rsidR="00F7113A" w:rsidRPr="00580C0D" w:rsidRDefault="00142E5B" w:rsidP="00580C0D">
      <w:r w:rsidRPr="00580C0D">
        <w:t xml:space="preserve">Regjeringa har gjeve </w:t>
      </w:r>
      <w:proofErr w:type="spellStart"/>
      <w:r w:rsidRPr="00580C0D">
        <w:t>Havbruksutvalet</w:t>
      </w:r>
      <w:proofErr w:type="spellEnd"/>
      <w:r w:rsidRPr="00580C0D">
        <w:t xml:space="preserve"> </w:t>
      </w:r>
      <w:proofErr w:type="spellStart"/>
      <w:r w:rsidRPr="00580C0D">
        <w:t>eit</w:t>
      </w:r>
      <w:proofErr w:type="spellEnd"/>
      <w:r w:rsidRPr="00580C0D">
        <w:t xml:space="preserve"> tilleggsmandat om å vurdere ulike tiltak for å </w:t>
      </w:r>
      <w:proofErr w:type="spellStart"/>
      <w:r w:rsidRPr="00580C0D">
        <w:t>fremje</w:t>
      </w:r>
      <w:proofErr w:type="spellEnd"/>
      <w:r w:rsidRPr="00580C0D">
        <w:t xml:space="preserve"> teknologiutvikling som gjev </w:t>
      </w:r>
      <w:proofErr w:type="spellStart"/>
      <w:r w:rsidRPr="00580C0D">
        <w:t>meir</w:t>
      </w:r>
      <w:proofErr w:type="spellEnd"/>
      <w:r w:rsidRPr="00580C0D">
        <w:t xml:space="preserve"> </w:t>
      </w:r>
      <w:proofErr w:type="spellStart"/>
      <w:r w:rsidRPr="00580C0D">
        <w:t>berekraftig</w:t>
      </w:r>
      <w:proofErr w:type="spellEnd"/>
      <w:r w:rsidRPr="00580C0D">
        <w:t xml:space="preserve"> vekst. </w:t>
      </w:r>
      <w:proofErr w:type="spellStart"/>
      <w:r w:rsidRPr="00580C0D">
        <w:t>Utvalet</w:t>
      </w:r>
      <w:proofErr w:type="spellEnd"/>
      <w:r w:rsidRPr="00580C0D">
        <w:t xml:space="preserve"> skal mellom anna vurdere ei ordning med miljøteknologiløyver med definert volum, og </w:t>
      </w:r>
      <w:proofErr w:type="spellStart"/>
      <w:r w:rsidRPr="00580C0D">
        <w:t>verkemiddel</w:t>
      </w:r>
      <w:proofErr w:type="spellEnd"/>
      <w:r w:rsidRPr="00580C0D">
        <w:t xml:space="preserve"> </w:t>
      </w:r>
      <w:proofErr w:type="spellStart"/>
      <w:r w:rsidRPr="00580C0D">
        <w:t>innanfor</w:t>
      </w:r>
      <w:proofErr w:type="spellEnd"/>
      <w:r w:rsidRPr="00580C0D">
        <w:t xml:space="preserve"> rammene av trafikklyssystemet. Når </w:t>
      </w:r>
      <w:proofErr w:type="spellStart"/>
      <w:r w:rsidRPr="00580C0D">
        <w:t>utvalet</w:t>
      </w:r>
      <w:proofErr w:type="spellEnd"/>
      <w:r w:rsidRPr="00580C0D">
        <w:t xml:space="preserve"> har levert anbefalinga si, vil regjeringa </w:t>
      </w:r>
      <w:proofErr w:type="spellStart"/>
      <w:r w:rsidRPr="00580C0D">
        <w:t>følgje</w:t>
      </w:r>
      <w:proofErr w:type="spellEnd"/>
      <w:r w:rsidRPr="00580C0D">
        <w:t xml:space="preserve"> opp dette vedtaket og </w:t>
      </w:r>
      <w:proofErr w:type="spellStart"/>
      <w:r w:rsidRPr="00580C0D">
        <w:t>kome</w:t>
      </w:r>
      <w:proofErr w:type="spellEnd"/>
      <w:r w:rsidRPr="00580C0D">
        <w:t xml:space="preserve"> tilbake til Stortinget ved </w:t>
      </w:r>
      <w:proofErr w:type="spellStart"/>
      <w:r w:rsidRPr="00580C0D">
        <w:t>eit</w:t>
      </w:r>
      <w:proofErr w:type="spellEnd"/>
      <w:r w:rsidRPr="00580C0D">
        <w:t xml:space="preserve"> </w:t>
      </w:r>
      <w:proofErr w:type="spellStart"/>
      <w:r w:rsidRPr="00580C0D">
        <w:t>passande</w:t>
      </w:r>
      <w:proofErr w:type="spellEnd"/>
      <w:r w:rsidRPr="00580C0D">
        <w:t xml:space="preserve"> høve.</w:t>
      </w:r>
    </w:p>
    <w:p w14:paraId="6BF37D3D" w14:textId="77777777" w:rsidR="00F7113A" w:rsidRPr="00580C0D" w:rsidRDefault="00142E5B" w:rsidP="00580C0D">
      <w:pPr>
        <w:pStyle w:val="avsnitt-tittel"/>
      </w:pPr>
      <w:r w:rsidRPr="00580C0D">
        <w:t xml:space="preserve">Betre organisering av samarbeidet mellom </w:t>
      </w:r>
      <w:proofErr w:type="spellStart"/>
      <w:r w:rsidRPr="00580C0D">
        <w:t>myndigheitene</w:t>
      </w:r>
      <w:proofErr w:type="spellEnd"/>
      <w:r w:rsidRPr="00580C0D">
        <w:t xml:space="preserve"> og oppdrettsnæringa</w:t>
      </w:r>
    </w:p>
    <w:p w14:paraId="77187F93" w14:textId="77777777" w:rsidR="00F7113A" w:rsidRPr="00580C0D" w:rsidRDefault="00142E5B" w:rsidP="00580C0D">
      <w:pPr>
        <w:pStyle w:val="avsnitt-undertittel"/>
      </w:pPr>
      <w:r w:rsidRPr="00580C0D">
        <w:t>Vedtak nr. 716-5, 31. mai 2023</w:t>
      </w:r>
    </w:p>
    <w:p w14:paraId="01E31255" w14:textId="77777777" w:rsidR="00F7113A" w:rsidRPr="00580C0D" w:rsidRDefault="00142E5B" w:rsidP="00580C0D">
      <w:pPr>
        <w:pStyle w:val="blokksit"/>
        <w:rPr>
          <w:rStyle w:val="kursiv"/>
        </w:rPr>
      </w:pPr>
      <w:r w:rsidRPr="00580C0D">
        <w:rPr>
          <w:rStyle w:val="kursiv"/>
        </w:rPr>
        <w:t>«Stortinget ber regjeringen i løpet av våren 2024 legge frem en sak om bedre organisering av samarbeidet mellom myndigheter og oppdrettsnæringen for å sikre en mer helhetlig forvaltning, bedre bærekraft og bedre fiskevelferd.»</w:t>
      </w:r>
    </w:p>
    <w:p w14:paraId="7F42F7F4"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78 LS (2022–2023), jf. </w:t>
      </w:r>
      <w:proofErr w:type="spellStart"/>
      <w:r w:rsidRPr="00580C0D">
        <w:t>Innst</w:t>
      </w:r>
      <w:proofErr w:type="spellEnd"/>
      <w:r w:rsidRPr="00580C0D">
        <w:t xml:space="preserve">. 372 L (2022–2023). Regjeringa vil </w:t>
      </w:r>
      <w:proofErr w:type="spellStart"/>
      <w:r w:rsidRPr="00580C0D">
        <w:t>følgje</w:t>
      </w:r>
      <w:proofErr w:type="spellEnd"/>
      <w:r w:rsidRPr="00580C0D">
        <w:t xml:space="preserve"> opp dette vedtaket og vil </w:t>
      </w:r>
      <w:proofErr w:type="spellStart"/>
      <w:r w:rsidRPr="00580C0D">
        <w:t>kome</w:t>
      </w:r>
      <w:proofErr w:type="spellEnd"/>
      <w:r w:rsidRPr="00580C0D">
        <w:t xml:space="preserve"> tilbake til Stortinget ved </w:t>
      </w:r>
      <w:proofErr w:type="spellStart"/>
      <w:r w:rsidRPr="00580C0D">
        <w:t>eit</w:t>
      </w:r>
      <w:proofErr w:type="spellEnd"/>
      <w:r w:rsidRPr="00580C0D">
        <w:t xml:space="preserve"> </w:t>
      </w:r>
      <w:proofErr w:type="spellStart"/>
      <w:r w:rsidRPr="00580C0D">
        <w:t>passande</w:t>
      </w:r>
      <w:proofErr w:type="spellEnd"/>
      <w:r w:rsidRPr="00580C0D">
        <w:t xml:space="preserve"> høve.</w:t>
      </w:r>
    </w:p>
    <w:p w14:paraId="472F4ADF" w14:textId="77777777" w:rsidR="00F7113A" w:rsidRPr="00580C0D" w:rsidRDefault="00142E5B" w:rsidP="00580C0D">
      <w:pPr>
        <w:pStyle w:val="avsnitt-tittel"/>
      </w:pPr>
      <w:proofErr w:type="spellStart"/>
      <w:r w:rsidRPr="00580C0D">
        <w:t>Tilverking</w:t>
      </w:r>
      <w:proofErr w:type="spellEnd"/>
      <w:r w:rsidRPr="00580C0D">
        <w:t xml:space="preserve"> av sjømat</w:t>
      </w:r>
    </w:p>
    <w:p w14:paraId="7C5827E5" w14:textId="77777777" w:rsidR="00F7113A" w:rsidRPr="00580C0D" w:rsidRDefault="00142E5B" w:rsidP="00580C0D">
      <w:pPr>
        <w:pStyle w:val="avsnitt-undertittel"/>
      </w:pPr>
      <w:r w:rsidRPr="00580C0D">
        <w:t>Vedtak nr. 716-6, 31. mai 2023</w:t>
      </w:r>
    </w:p>
    <w:p w14:paraId="5CFF890E" w14:textId="77777777" w:rsidR="00F7113A" w:rsidRPr="00580C0D" w:rsidRDefault="00142E5B" w:rsidP="00580C0D">
      <w:pPr>
        <w:pStyle w:val="blokksit"/>
        <w:rPr>
          <w:rStyle w:val="kursiv"/>
        </w:rPr>
      </w:pPr>
      <w:r w:rsidRPr="00580C0D">
        <w:rPr>
          <w:rStyle w:val="kursiv"/>
        </w:rPr>
        <w:t>«Stortinget ber regjeringen i løpet av våren 2024 legge frem tiltak for økt bearbeiding av sjømat i Norge.»</w:t>
      </w:r>
    </w:p>
    <w:p w14:paraId="5239CA82"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78 LS (2022–2023), jf. </w:t>
      </w:r>
      <w:proofErr w:type="spellStart"/>
      <w:r w:rsidRPr="00580C0D">
        <w:t>Innst</w:t>
      </w:r>
      <w:proofErr w:type="spellEnd"/>
      <w:r w:rsidRPr="00580C0D">
        <w:t>. 372 L (2022–2023).</w:t>
      </w:r>
    </w:p>
    <w:p w14:paraId="0E1AB0B3" w14:textId="77777777" w:rsidR="00F7113A" w:rsidRPr="00580C0D" w:rsidRDefault="00142E5B" w:rsidP="00580C0D">
      <w:r w:rsidRPr="00580C0D">
        <w:t xml:space="preserve">Tiltak for </w:t>
      </w:r>
      <w:proofErr w:type="spellStart"/>
      <w:r w:rsidRPr="00580C0D">
        <w:t>auka</w:t>
      </w:r>
      <w:proofErr w:type="spellEnd"/>
      <w:r w:rsidRPr="00580C0D">
        <w:t xml:space="preserve"> </w:t>
      </w:r>
      <w:proofErr w:type="spellStart"/>
      <w:r w:rsidRPr="00580C0D">
        <w:t>tilverking</w:t>
      </w:r>
      <w:proofErr w:type="spellEnd"/>
      <w:r w:rsidRPr="00580C0D">
        <w:t xml:space="preserve"> av sjømat i </w:t>
      </w:r>
      <w:proofErr w:type="spellStart"/>
      <w:r w:rsidRPr="00580C0D">
        <w:t>Noreg</w:t>
      </w:r>
      <w:proofErr w:type="spellEnd"/>
      <w:r w:rsidRPr="00580C0D">
        <w:t xml:space="preserve"> vert </w:t>
      </w:r>
      <w:proofErr w:type="spellStart"/>
      <w:r w:rsidRPr="00580C0D">
        <w:t>følgt</w:t>
      </w:r>
      <w:proofErr w:type="spellEnd"/>
      <w:r w:rsidRPr="00580C0D">
        <w:t xml:space="preserve"> opp gjennom </w:t>
      </w:r>
      <w:proofErr w:type="spellStart"/>
      <w:r w:rsidRPr="00580C0D">
        <w:t>fleire</w:t>
      </w:r>
      <w:proofErr w:type="spellEnd"/>
      <w:r w:rsidRPr="00580C0D">
        <w:t xml:space="preserve"> ulike </w:t>
      </w:r>
      <w:proofErr w:type="spellStart"/>
      <w:r w:rsidRPr="00580C0D">
        <w:t>prosessar</w:t>
      </w:r>
      <w:proofErr w:type="spellEnd"/>
      <w:r w:rsidRPr="00580C0D">
        <w:t xml:space="preserve">, mellom anna oppfølging av rapporten </w:t>
      </w:r>
      <w:proofErr w:type="spellStart"/>
      <w:r w:rsidRPr="00580C0D">
        <w:t>frå</w:t>
      </w:r>
      <w:proofErr w:type="spellEnd"/>
      <w:r w:rsidRPr="00580C0D">
        <w:t xml:space="preserve"> </w:t>
      </w:r>
      <w:proofErr w:type="spellStart"/>
      <w:r w:rsidRPr="00580C0D">
        <w:t>Tveiteråsutvalet</w:t>
      </w:r>
      <w:proofErr w:type="spellEnd"/>
      <w:r w:rsidRPr="00580C0D">
        <w:t xml:space="preserve"> </w:t>
      </w:r>
      <w:proofErr w:type="spellStart"/>
      <w:r w:rsidRPr="00580C0D">
        <w:t>frå</w:t>
      </w:r>
      <w:proofErr w:type="spellEnd"/>
      <w:r w:rsidRPr="00580C0D">
        <w:t xml:space="preserve"> 2022. </w:t>
      </w:r>
      <w:proofErr w:type="spellStart"/>
      <w:r w:rsidRPr="00580C0D">
        <w:t>Utvalet</w:t>
      </w:r>
      <w:proofErr w:type="spellEnd"/>
      <w:r w:rsidRPr="00580C0D">
        <w:t xml:space="preserve"> har beskrive 32 ulike tiltak som kan bidra til </w:t>
      </w:r>
      <w:proofErr w:type="spellStart"/>
      <w:r w:rsidRPr="00580C0D">
        <w:t>auka</w:t>
      </w:r>
      <w:proofErr w:type="spellEnd"/>
      <w:r w:rsidRPr="00580C0D">
        <w:t xml:space="preserve"> </w:t>
      </w:r>
      <w:proofErr w:type="spellStart"/>
      <w:r w:rsidRPr="00580C0D">
        <w:t>tilverking</w:t>
      </w:r>
      <w:proofErr w:type="spellEnd"/>
      <w:r w:rsidRPr="00580C0D">
        <w:t xml:space="preserve"> og </w:t>
      </w:r>
      <w:proofErr w:type="spellStart"/>
      <w:r w:rsidRPr="00580C0D">
        <w:t>tilarbeiding</w:t>
      </w:r>
      <w:proofErr w:type="spellEnd"/>
      <w:r w:rsidRPr="00580C0D">
        <w:t xml:space="preserve"> av sjømat i </w:t>
      </w:r>
      <w:proofErr w:type="spellStart"/>
      <w:r w:rsidRPr="00580C0D">
        <w:t>Noreg</w:t>
      </w:r>
      <w:proofErr w:type="spellEnd"/>
      <w:r w:rsidRPr="00580C0D">
        <w:t xml:space="preserve">, og </w:t>
      </w:r>
      <w:proofErr w:type="spellStart"/>
      <w:r w:rsidRPr="00580C0D">
        <w:t>styrkje</w:t>
      </w:r>
      <w:proofErr w:type="spellEnd"/>
      <w:r w:rsidRPr="00580C0D">
        <w:t xml:space="preserve"> konkurransekrafta til norsk sjømatindustri. Forslaga </w:t>
      </w:r>
      <w:proofErr w:type="spellStart"/>
      <w:r w:rsidRPr="00580C0D">
        <w:t>frå</w:t>
      </w:r>
      <w:proofErr w:type="spellEnd"/>
      <w:r w:rsidRPr="00580C0D">
        <w:t xml:space="preserve"> </w:t>
      </w:r>
      <w:proofErr w:type="spellStart"/>
      <w:r w:rsidRPr="00580C0D">
        <w:t>utvalet</w:t>
      </w:r>
      <w:proofErr w:type="spellEnd"/>
      <w:r w:rsidRPr="00580C0D">
        <w:t xml:space="preserve"> er knytta til ressursforvaltning og kvotesystem, </w:t>
      </w:r>
      <w:proofErr w:type="spellStart"/>
      <w:r w:rsidRPr="00580C0D">
        <w:t>førstehandomsetning</w:t>
      </w:r>
      <w:proofErr w:type="spellEnd"/>
      <w:r w:rsidRPr="00580C0D">
        <w:t xml:space="preserve"> og </w:t>
      </w:r>
      <w:proofErr w:type="spellStart"/>
      <w:r w:rsidRPr="00580C0D">
        <w:t>salslag</w:t>
      </w:r>
      <w:proofErr w:type="spellEnd"/>
      <w:r w:rsidRPr="00580C0D">
        <w:t xml:space="preserve">, teknologi og innovasjon, </w:t>
      </w:r>
      <w:proofErr w:type="spellStart"/>
      <w:r w:rsidRPr="00580C0D">
        <w:t>marknadsføring</w:t>
      </w:r>
      <w:proofErr w:type="spellEnd"/>
      <w:r w:rsidRPr="00580C0D">
        <w:t xml:space="preserve"> og </w:t>
      </w:r>
      <w:proofErr w:type="spellStart"/>
      <w:r w:rsidRPr="00580C0D">
        <w:t>marknadstilgang</w:t>
      </w:r>
      <w:proofErr w:type="spellEnd"/>
      <w:r w:rsidRPr="00580C0D">
        <w:t xml:space="preserve"> og arbeidsliv, utdanning og kystsamfunn.</w:t>
      </w:r>
    </w:p>
    <w:p w14:paraId="30F983D7" w14:textId="77777777" w:rsidR="00F7113A" w:rsidRPr="00580C0D" w:rsidRDefault="00142E5B" w:rsidP="00580C0D">
      <w:r w:rsidRPr="00580C0D">
        <w:t xml:space="preserve">Forslaga som gjeld kvotesystemet vert </w:t>
      </w:r>
      <w:proofErr w:type="spellStart"/>
      <w:r w:rsidRPr="00580C0D">
        <w:t>følgt</w:t>
      </w:r>
      <w:proofErr w:type="spellEnd"/>
      <w:r w:rsidRPr="00580C0D">
        <w:t xml:space="preserve"> opp gjennom det </w:t>
      </w:r>
      <w:proofErr w:type="spellStart"/>
      <w:r w:rsidRPr="00580C0D">
        <w:t>pågåande</w:t>
      </w:r>
      <w:proofErr w:type="spellEnd"/>
      <w:r w:rsidRPr="00580C0D">
        <w:t xml:space="preserve"> arbeidet med Kvotemeldinga. Andre forslag til tiltak vert vurdert og </w:t>
      </w:r>
      <w:proofErr w:type="spellStart"/>
      <w:r w:rsidRPr="00580C0D">
        <w:t>følgt</w:t>
      </w:r>
      <w:proofErr w:type="spellEnd"/>
      <w:r w:rsidRPr="00580C0D">
        <w:t xml:space="preserve"> opp enkeltvis. Tiltak som </w:t>
      </w:r>
      <w:proofErr w:type="spellStart"/>
      <w:r w:rsidRPr="00580C0D">
        <w:t>allereie</w:t>
      </w:r>
      <w:proofErr w:type="spellEnd"/>
      <w:r w:rsidRPr="00580C0D">
        <w:t xml:space="preserve"> er sett i verk er utviding av Sjømatrådet si generiske </w:t>
      </w:r>
      <w:proofErr w:type="spellStart"/>
      <w:r w:rsidRPr="00580C0D">
        <w:t>marknadsføring</w:t>
      </w:r>
      <w:proofErr w:type="spellEnd"/>
      <w:r w:rsidRPr="00580C0D">
        <w:t xml:space="preserve"> mot nye produkt, slik at tang og tare vert inkludert. </w:t>
      </w:r>
      <w:proofErr w:type="spellStart"/>
      <w:r w:rsidRPr="00580C0D">
        <w:t>Vidare</w:t>
      </w:r>
      <w:proofErr w:type="spellEnd"/>
      <w:r w:rsidRPr="00580C0D">
        <w:t xml:space="preserve"> har Nærings- og fiskeridepartementet gjeve </w:t>
      </w:r>
      <w:proofErr w:type="spellStart"/>
      <w:r w:rsidRPr="00580C0D">
        <w:t>Nofima</w:t>
      </w:r>
      <w:proofErr w:type="spellEnd"/>
      <w:r w:rsidRPr="00580C0D">
        <w:t xml:space="preserve"> i oppdrag å evaluere Ferskfiskordninga.</w:t>
      </w:r>
    </w:p>
    <w:p w14:paraId="6F43AD83" w14:textId="77777777" w:rsidR="00F7113A" w:rsidRPr="00580C0D" w:rsidRDefault="00142E5B" w:rsidP="00580C0D">
      <w:pPr>
        <w:pStyle w:val="avsnitt-tittel"/>
      </w:pPr>
      <w:r w:rsidRPr="00580C0D">
        <w:t>Overføring til Havbruksfondet</w:t>
      </w:r>
    </w:p>
    <w:p w14:paraId="126475B3" w14:textId="77777777" w:rsidR="00F7113A" w:rsidRPr="00580C0D" w:rsidRDefault="00142E5B" w:rsidP="00580C0D">
      <w:pPr>
        <w:pStyle w:val="avsnitt-undertittel"/>
      </w:pPr>
      <w:r w:rsidRPr="00580C0D">
        <w:t>Vedtak nr. 716-7, 31. mai 2023</w:t>
      </w:r>
    </w:p>
    <w:p w14:paraId="3304184A" w14:textId="77777777" w:rsidR="00F7113A" w:rsidRPr="00580C0D" w:rsidRDefault="00142E5B" w:rsidP="00580C0D">
      <w:pPr>
        <w:pStyle w:val="blokksit"/>
        <w:rPr>
          <w:rStyle w:val="kursiv"/>
        </w:rPr>
      </w:pPr>
      <w:r w:rsidRPr="00580C0D">
        <w:rPr>
          <w:rStyle w:val="kursiv"/>
        </w:rPr>
        <w:t>«Stortinget ber regjeringen sikre at Havbruksfondet tilføres midler som om produksjonsavgiften ble økt fra 56 øre til 90 øre fra 1. januar 2023.»</w:t>
      </w:r>
    </w:p>
    <w:p w14:paraId="3F249491"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78 LS (2022–2023), jf. </w:t>
      </w:r>
      <w:proofErr w:type="spellStart"/>
      <w:r w:rsidRPr="00580C0D">
        <w:t>Innst</w:t>
      </w:r>
      <w:proofErr w:type="spellEnd"/>
      <w:r w:rsidRPr="00580C0D">
        <w:t xml:space="preserve">. 372 L (2022–2023). Vedtaket er </w:t>
      </w:r>
      <w:proofErr w:type="spellStart"/>
      <w:r w:rsidRPr="00580C0D">
        <w:t>følgt</w:t>
      </w:r>
      <w:proofErr w:type="spellEnd"/>
      <w:r w:rsidRPr="00580C0D">
        <w:t xml:space="preserve"> opp gjennom omtale og forslag til løyving i </w:t>
      </w:r>
      <w:proofErr w:type="spellStart"/>
      <w:r w:rsidRPr="00580C0D">
        <w:t>Prop</w:t>
      </w:r>
      <w:proofErr w:type="spellEnd"/>
      <w:r w:rsidRPr="00580C0D">
        <w:t>. 1 S (2023–2024) for Nærings- og fiskeridepartementet.</w:t>
      </w:r>
    </w:p>
    <w:p w14:paraId="796455AA" w14:textId="77777777" w:rsidR="00F7113A" w:rsidRPr="00580C0D" w:rsidRDefault="00142E5B" w:rsidP="00580C0D">
      <w:pPr>
        <w:pStyle w:val="avsnitt-tittel"/>
      </w:pPr>
      <w:r w:rsidRPr="00580C0D">
        <w:t xml:space="preserve">Arbeidsgruppe om </w:t>
      </w:r>
      <w:proofErr w:type="spellStart"/>
      <w:r w:rsidRPr="00580C0D">
        <w:t>fripolisar</w:t>
      </w:r>
      <w:proofErr w:type="spellEnd"/>
      <w:r w:rsidRPr="00580C0D">
        <w:t xml:space="preserve"> og </w:t>
      </w:r>
      <w:proofErr w:type="spellStart"/>
      <w:r w:rsidRPr="00580C0D">
        <w:t>annan</w:t>
      </w:r>
      <w:proofErr w:type="spellEnd"/>
      <w:r w:rsidRPr="00580C0D">
        <w:t xml:space="preserve"> privat tjenestepensjon</w:t>
      </w:r>
    </w:p>
    <w:p w14:paraId="1937568B" w14:textId="77777777" w:rsidR="00F7113A" w:rsidRPr="00580C0D" w:rsidRDefault="00142E5B" w:rsidP="00580C0D">
      <w:pPr>
        <w:pStyle w:val="avsnitt-undertittel"/>
      </w:pPr>
      <w:r w:rsidRPr="00580C0D">
        <w:t>Vedtak nr. 719, 1. juni 2023</w:t>
      </w:r>
    </w:p>
    <w:p w14:paraId="7AFFC8AA" w14:textId="77777777" w:rsidR="00F7113A" w:rsidRPr="00580C0D" w:rsidRDefault="00142E5B" w:rsidP="00580C0D">
      <w:pPr>
        <w:pStyle w:val="blokksit"/>
        <w:rPr>
          <w:rStyle w:val="kursiv"/>
        </w:rPr>
      </w:pPr>
      <w:r w:rsidRPr="00580C0D">
        <w:rPr>
          <w:rStyle w:val="kursiv"/>
        </w:rPr>
        <w:t>«Stortinget ber regjeringen nedsette et hurtigarbeidende utvalg med representasjon fra berørte parter, med mandat til å se på mulige regelendringer for ytterligere å sikre verdiene i og reguleringene av fripoliser.»</w:t>
      </w:r>
    </w:p>
    <w:p w14:paraId="41C22E79"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83 L (2022–2023), jf. </w:t>
      </w:r>
      <w:proofErr w:type="spellStart"/>
      <w:r w:rsidRPr="00580C0D">
        <w:t>Innst</w:t>
      </w:r>
      <w:proofErr w:type="spellEnd"/>
      <w:r w:rsidRPr="00580C0D">
        <w:t xml:space="preserve">. 401 L (2022–2023). Finansdepartementet vil </w:t>
      </w:r>
      <w:proofErr w:type="spellStart"/>
      <w:r w:rsidRPr="00580C0D">
        <w:t>hausten</w:t>
      </w:r>
      <w:proofErr w:type="spellEnd"/>
      <w:r w:rsidRPr="00580C0D">
        <w:t xml:space="preserve"> 2023 </w:t>
      </w:r>
      <w:proofErr w:type="spellStart"/>
      <w:r w:rsidRPr="00580C0D">
        <w:t>setje</w:t>
      </w:r>
      <w:proofErr w:type="spellEnd"/>
      <w:r w:rsidRPr="00580C0D">
        <w:t xml:space="preserve"> i gang </w:t>
      </w:r>
      <w:proofErr w:type="spellStart"/>
      <w:r w:rsidRPr="00580C0D">
        <w:t>eit</w:t>
      </w:r>
      <w:proofErr w:type="spellEnd"/>
      <w:r w:rsidRPr="00580C0D">
        <w:t xml:space="preserve"> utgreiingsarbeid for å </w:t>
      </w:r>
      <w:proofErr w:type="spellStart"/>
      <w:r w:rsidRPr="00580C0D">
        <w:t>følgje</w:t>
      </w:r>
      <w:proofErr w:type="spellEnd"/>
      <w:r w:rsidRPr="00580C0D">
        <w:t xml:space="preserve"> opp oppmodingsvedtaket.</w:t>
      </w:r>
    </w:p>
    <w:p w14:paraId="517DB697" w14:textId="77777777" w:rsidR="00F7113A" w:rsidRPr="00580C0D" w:rsidRDefault="00142E5B" w:rsidP="00580C0D">
      <w:pPr>
        <w:pStyle w:val="avsnitt-tittel"/>
      </w:pPr>
      <w:proofErr w:type="spellStart"/>
      <w:r w:rsidRPr="00580C0D">
        <w:t>Meirverdiavgiftskompensasjon</w:t>
      </w:r>
      <w:proofErr w:type="spellEnd"/>
      <w:r w:rsidRPr="00580C0D">
        <w:t xml:space="preserve">, kommunale </w:t>
      </w:r>
      <w:proofErr w:type="spellStart"/>
      <w:r w:rsidRPr="00580C0D">
        <w:t>svømmehallar</w:t>
      </w:r>
      <w:proofErr w:type="spellEnd"/>
      <w:r w:rsidRPr="00580C0D">
        <w:t>, økonomisk aktivitet</w:t>
      </w:r>
    </w:p>
    <w:p w14:paraId="5ED2A881" w14:textId="77777777" w:rsidR="00F7113A" w:rsidRPr="00580C0D" w:rsidRDefault="00142E5B" w:rsidP="00580C0D">
      <w:pPr>
        <w:pStyle w:val="avsnitt-undertittel"/>
      </w:pPr>
      <w:r w:rsidRPr="00580C0D">
        <w:t>Vedtak nr. 747, 5. juni 2023</w:t>
      </w:r>
    </w:p>
    <w:p w14:paraId="52973B0C" w14:textId="77777777" w:rsidR="00F7113A" w:rsidRPr="00580C0D" w:rsidRDefault="00142E5B" w:rsidP="00580C0D">
      <w:pPr>
        <w:pStyle w:val="blokksit"/>
        <w:rPr>
          <w:rStyle w:val="kursiv"/>
        </w:rPr>
      </w:pPr>
      <w:r w:rsidRPr="00580C0D">
        <w:rPr>
          <w:rStyle w:val="kursiv"/>
        </w:rPr>
        <w:t>«Stortinget ber regjeringen klargjøre i regelverket for merverdiavgift at svømmehaller som drives av kommuner, herunder interkommunale selskap, på ikke-kommersiell basis, er berettiget kompensasjon for merverdiavgift.»</w:t>
      </w:r>
    </w:p>
    <w:p w14:paraId="0EC12191"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15 (2022–2023), jf. </w:t>
      </w:r>
      <w:proofErr w:type="spellStart"/>
      <w:r w:rsidRPr="00580C0D">
        <w:t>Innst</w:t>
      </w:r>
      <w:proofErr w:type="spellEnd"/>
      <w:r w:rsidRPr="00580C0D">
        <w:t xml:space="preserve">. 398 S (2022–2023).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w:t>
      </w:r>
      <w:proofErr w:type="spellStart"/>
      <w:r w:rsidRPr="00580C0D">
        <w:t>omtala</w:t>
      </w:r>
      <w:proofErr w:type="spellEnd"/>
      <w:r w:rsidRPr="00580C0D">
        <w:t xml:space="preserve"> i </w:t>
      </w:r>
      <w:proofErr w:type="spellStart"/>
      <w:r w:rsidRPr="00580C0D">
        <w:t>Prop</w:t>
      </w:r>
      <w:proofErr w:type="spellEnd"/>
      <w:r w:rsidRPr="00580C0D">
        <w:t>. 1 LS (2023–2024), kapittel 20.</w:t>
      </w:r>
    </w:p>
    <w:p w14:paraId="223161DD" w14:textId="77777777" w:rsidR="00F7113A" w:rsidRPr="00580C0D" w:rsidRDefault="00142E5B" w:rsidP="00580C0D">
      <w:pPr>
        <w:pStyle w:val="avsnitt-tittel"/>
      </w:pPr>
      <w:proofErr w:type="spellStart"/>
      <w:r w:rsidRPr="00580C0D">
        <w:t>Representantordningsutvalet</w:t>
      </w:r>
      <w:proofErr w:type="spellEnd"/>
      <w:r w:rsidRPr="00580C0D">
        <w:t xml:space="preserve">, folkeregisterlova, skattelova, Stortingets </w:t>
      </w:r>
      <w:proofErr w:type="spellStart"/>
      <w:r w:rsidRPr="00580C0D">
        <w:t>pendlarbustadordning</w:t>
      </w:r>
      <w:proofErr w:type="spellEnd"/>
    </w:p>
    <w:p w14:paraId="5B8418E0" w14:textId="77777777" w:rsidR="00F7113A" w:rsidRPr="00580C0D" w:rsidRDefault="00142E5B" w:rsidP="00580C0D">
      <w:pPr>
        <w:pStyle w:val="avsnitt-undertittel"/>
      </w:pPr>
      <w:r w:rsidRPr="00580C0D">
        <w:t>Vedtak nr. 857, 15. juni 2023</w:t>
      </w:r>
    </w:p>
    <w:p w14:paraId="75BB2F0D" w14:textId="77777777" w:rsidR="00F7113A" w:rsidRPr="00580C0D" w:rsidRDefault="00142E5B" w:rsidP="00580C0D">
      <w:pPr>
        <w:pStyle w:val="blokksit"/>
        <w:rPr>
          <w:rStyle w:val="kursiv"/>
        </w:rPr>
      </w:pPr>
      <w:r w:rsidRPr="00580C0D">
        <w:rPr>
          <w:rStyle w:val="kursiv"/>
        </w:rPr>
        <w:t>«Stortinget ber regjeringen vurdere Representantordningsutvalgets forslag til endring av folkeregisterloven § 5-4 og skatteloven § 3-1, herunder klargjøre aktuelle tolkningsspørsmål samt utrede forslag til regler for grupper som har særlige behov for unntak eller overgangsordninger.»</w:t>
      </w:r>
    </w:p>
    <w:p w14:paraId="2908F238"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18 (2021–2022) og Dokument 18 (2022–2023) jf. </w:t>
      </w:r>
      <w:proofErr w:type="spellStart"/>
      <w:r w:rsidRPr="00580C0D">
        <w:t>Innst</w:t>
      </w:r>
      <w:proofErr w:type="spellEnd"/>
      <w:r w:rsidRPr="00580C0D">
        <w:t xml:space="preserve">. 499 S (2022–2023). </w:t>
      </w:r>
    </w:p>
    <w:p w14:paraId="574128C8" w14:textId="77777777" w:rsidR="00F7113A" w:rsidRPr="00580C0D" w:rsidRDefault="00142E5B" w:rsidP="00580C0D">
      <w:r w:rsidRPr="00580C0D">
        <w:t xml:space="preserve">Finansdepartementet vil </w:t>
      </w:r>
      <w:proofErr w:type="spellStart"/>
      <w:r w:rsidRPr="00580C0D">
        <w:t>følgje</w:t>
      </w:r>
      <w:proofErr w:type="spellEnd"/>
      <w:r w:rsidRPr="00580C0D">
        <w:t xml:space="preserve"> opp vedtaket og vil sende framlegg til </w:t>
      </w:r>
      <w:proofErr w:type="spellStart"/>
      <w:r w:rsidRPr="00580C0D">
        <w:t>endringar</w:t>
      </w:r>
      <w:proofErr w:type="spellEnd"/>
      <w:r w:rsidRPr="00580C0D">
        <w:t xml:space="preserve"> på </w:t>
      </w:r>
      <w:proofErr w:type="spellStart"/>
      <w:r w:rsidRPr="00580C0D">
        <w:t>høyring</w:t>
      </w:r>
      <w:proofErr w:type="spellEnd"/>
      <w:r w:rsidRPr="00580C0D">
        <w:t xml:space="preserve"> når saka er ferdig </w:t>
      </w:r>
      <w:proofErr w:type="spellStart"/>
      <w:r w:rsidRPr="00580C0D">
        <w:t>utreidd</w:t>
      </w:r>
      <w:proofErr w:type="spellEnd"/>
      <w:r w:rsidRPr="00580C0D">
        <w:t xml:space="preserve"> i departementet.</w:t>
      </w:r>
    </w:p>
    <w:p w14:paraId="79C663B5" w14:textId="77777777" w:rsidR="00F7113A" w:rsidRPr="00580C0D" w:rsidRDefault="00142E5B" w:rsidP="00580C0D">
      <w:pPr>
        <w:pStyle w:val="avsnitt-tittel"/>
      </w:pPr>
      <w:proofErr w:type="spellStart"/>
      <w:r w:rsidRPr="00580C0D">
        <w:t>Eingongsavgift</w:t>
      </w:r>
      <w:proofErr w:type="spellEnd"/>
      <w:r w:rsidRPr="00580C0D">
        <w:t xml:space="preserve"> for ladbare </w:t>
      </w:r>
      <w:proofErr w:type="spellStart"/>
      <w:r w:rsidRPr="00580C0D">
        <w:t>hybridbilar</w:t>
      </w:r>
      <w:proofErr w:type="spellEnd"/>
    </w:p>
    <w:p w14:paraId="4AEC1BE7" w14:textId="77777777" w:rsidR="00F7113A" w:rsidRPr="00580C0D" w:rsidRDefault="00142E5B" w:rsidP="00580C0D">
      <w:pPr>
        <w:pStyle w:val="avsnitt-undertittel"/>
      </w:pPr>
      <w:r w:rsidRPr="00580C0D">
        <w:t>Vedtak nr. 927, 16. juni 2023</w:t>
      </w:r>
    </w:p>
    <w:p w14:paraId="5EF73E37" w14:textId="77777777" w:rsidR="00F7113A" w:rsidRPr="00580C0D" w:rsidRDefault="00142E5B" w:rsidP="00580C0D">
      <w:pPr>
        <w:pStyle w:val="blokksit"/>
        <w:rPr>
          <w:rStyle w:val="kursiv"/>
        </w:rPr>
      </w:pPr>
      <w:r w:rsidRPr="00580C0D">
        <w:rPr>
          <w:rStyle w:val="kursiv"/>
        </w:rPr>
        <w:t>«Stortinget ber regjeringen fremme forslag om å fjerne vektfradraget for ladbare hybrider i forbindelse med statsbudsjettet for 2024.»</w:t>
      </w:r>
    </w:p>
    <w:p w14:paraId="4E1AA0E4"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117 LS (2022–2023), jf. </w:t>
      </w:r>
      <w:proofErr w:type="spellStart"/>
      <w:r w:rsidRPr="00580C0D">
        <w:t>Innst</w:t>
      </w:r>
      <w:proofErr w:type="spellEnd"/>
      <w:r w:rsidRPr="00580C0D">
        <w:t xml:space="preserve">. 490 S (2022–2023).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forslag i </w:t>
      </w:r>
      <w:proofErr w:type="spellStart"/>
      <w:r w:rsidRPr="00580C0D">
        <w:t>Prop</w:t>
      </w:r>
      <w:proofErr w:type="spellEnd"/>
      <w:r w:rsidRPr="00580C0D">
        <w:t>. 1 LS (2023–2024), kapittel 7.4.</w:t>
      </w:r>
    </w:p>
    <w:p w14:paraId="6E9B2DA8" w14:textId="77777777" w:rsidR="00F7113A" w:rsidRPr="00580C0D" w:rsidRDefault="00142E5B" w:rsidP="00580C0D">
      <w:pPr>
        <w:pStyle w:val="avsnitt-tittel"/>
      </w:pPr>
      <w:r w:rsidRPr="00580C0D">
        <w:t xml:space="preserve">Differensiert </w:t>
      </w:r>
      <w:proofErr w:type="spellStart"/>
      <w:r w:rsidRPr="00580C0D">
        <w:t>verdsetjing</w:t>
      </w:r>
      <w:proofErr w:type="spellEnd"/>
      <w:r w:rsidRPr="00580C0D">
        <w:t xml:space="preserve"> av </w:t>
      </w:r>
      <w:proofErr w:type="spellStart"/>
      <w:r w:rsidRPr="00580C0D">
        <w:t>ikkje</w:t>
      </w:r>
      <w:proofErr w:type="spellEnd"/>
      <w:r w:rsidRPr="00580C0D">
        <w:t xml:space="preserve">-børsnoterte </w:t>
      </w:r>
      <w:proofErr w:type="spellStart"/>
      <w:r w:rsidRPr="00580C0D">
        <w:t>aksjar</w:t>
      </w:r>
      <w:proofErr w:type="spellEnd"/>
      <w:r w:rsidRPr="00580C0D">
        <w:t xml:space="preserve"> i formuesskatten</w:t>
      </w:r>
    </w:p>
    <w:p w14:paraId="52337646" w14:textId="77777777" w:rsidR="00F7113A" w:rsidRPr="00580C0D" w:rsidRDefault="00142E5B" w:rsidP="00580C0D">
      <w:pPr>
        <w:pStyle w:val="avsnitt-undertittel"/>
      </w:pPr>
      <w:r w:rsidRPr="00580C0D">
        <w:t>Vedtak nr. 939, 16. juni 2023</w:t>
      </w:r>
    </w:p>
    <w:p w14:paraId="1B4D392B" w14:textId="77777777" w:rsidR="00F7113A" w:rsidRPr="00580C0D" w:rsidRDefault="00142E5B" w:rsidP="00580C0D">
      <w:pPr>
        <w:pStyle w:val="blokksit"/>
        <w:rPr>
          <w:rStyle w:val="kursiv"/>
        </w:rPr>
      </w:pPr>
      <w:r w:rsidRPr="00580C0D">
        <w:rPr>
          <w:rStyle w:val="kursiv"/>
        </w:rPr>
        <w:t>«Stortinget ber regjeringen utrede differensiert verdsetting av ikke-børsnoterte aksjer i formuesskatten på grunnlag av egenskaper ved de enkelte aksjer, f.eks. ulik stemme- og utbytterett, og slik at verdsettelsen av de enkelte aksjer i større grad samsvarer med reell markedsverdi.»</w:t>
      </w:r>
    </w:p>
    <w:p w14:paraId="7C96E303"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117 LS (2022–2023), jf. </w:t>
      </w:r>
      <w:proofErr w:type="spellStart"/>
      <w:r w:rsidRPr="00580C0D">
        <w:t>Innst</w:t>
      </w:r>
      <w:proofErr w:type="spellEnd"/>
      <w:r w:rsidRPr="00580C0D">
        <w:t xml:space="preserve">. 490 S (2022–2023). Departementet vil </w:t>
      </w:r>
      <w:proofErr w:type="spellStart"/>
      <w:r w:rsidRPr="00580C0D">
        <w:t>kome</w:t>
      </w:r>
      <w:proofErr w:type="spellEnd"/>
      <w:r w:rsidRPr="00580C0D">
        <w:t xml:space="preserve"> tilbake til Stortinget ved </w:t>
      </w:r>
      <w:proofErr w:type="spellStart"/>
      <w:r w:rsidRPr="00580C0D">
        <w:t>eit</w:t>
      </w:r>
      <w:proofErr w:type="spellEnd"/>
      <w:r w:rsidRPr="00580C0D">
        <w:t xml:space="preserve"> </w:t>
      </w:r>
      <w:proofErr w:type="spellStart"/>
      <w:r w:rsidRPr="00580C0D">
        <w:t>passande</w:t>
      </w:r>
      <w:proofErr w:type="spellEnd"/>
      <w:r w:rsidRPr="00580C0D">
        <w:t xml:space="preserve"> høve.</w:t>
      </w:r>
    </w:p>
    <w:p w14:paraId="438FD35D" w14:textId="77777777" w:rsidR="00F7113A" w:rsidRPr="00580C0D" w:rsidRDefault="00142E5B" w:rsidP="00580C0D">
      <w:pPr>
        <w:pStyle w:val="Overskrift2"/>
      </w:pPr>
      <w:r w:rsidRPr="00580C0D">
        <w:t>Stortingssesjon 2021–2022</w:t>
      </w:r>
    </w:p>
    <w:p w14:paraId="7FAC7890" w14:textId="77777777" w:rsidR="00F7113A" w:rsidRPr="00580C0D" w:rsidRDefault="00142E5B" w:rsidP="00580C0D">
      <w:pPr>
        <w:pStyle w:val="avsnitt-tittel"/>
      </w:pPr>
      <w:r w:rsidRPr="00580C0D">
        <w:t xml:space="preserve">Tiltak for </w:t>
      </w:r>
      <w:proofErr w:type="spellStart"/>
      <w:r w:rsidRPr="00580C0D">
        <w:t>auka</w:t>
      </w:r>
      <w:proofErr w:type="spellEnd"/>
      <w:r w:rsidRPr="00580C0D">
        <w:t xml:space="preserve"> elbildel i leasing- og </w:t>
      </w:r>
      <w:proofErr w:type="spellStart"/>
      <w:r w:rsidRPr="00580C0D">
        <w:t>varebilmarknaden</w:t>
      </w:r>
      <w:proofErr w:type="spellEnd"/>
    </w:p>
    <w:p w14:paraId="169A2E17" w14:textId="77777777" w:rsidR="00F7113A" w:rsidRPr="00580C0D" w:rsidRDefault="00142E5B" w:rsidP="00580C0D">
      <w:pPr>
        <w:pStyle w:val="avsnitt-undertittel"/>
      </w:pPr>
      <w:r w:rsidRPr="00580C0D">
        <w:t>Vedtak nr. 35-13, 2. desember 2021</w:t>
      </w:r>
    </w:p>
    <w:p w14:paraId="33E6F2E9" w14:textId="77777777" w:rsidR="00F7113A" w:rsidRPr="00580C0D" w:rsidRDefault="00142E5B" w:rsidP="00580C0D">
      <w:pPr>
        <w:pStyle w:val="blokksit"/>
        <w:rPr>
          <w:rStyle w:val="kursiv"/>
        </w:rPr>
      </w:pPr>
      <w:r w:rsidRPr="00580C0D">
        <w:rPr>
          <w:rStyle w:val="kursiv"/>
        </w:rPr>
        <w:t xml:space="preserve">«Stortinget ber regjeringen, i revidert nasjonalbudsjett 2022, foreslå tiltak for å øke elbilandelen i </w:t>
      </w:r>
      <w:proofErr w:type="spellStart"/>
      <w:r w:rsidRPr="00580C0D">
        <w:rPr>
          <w:rStyle w:val="kursiv"/>
        </w:rPr>
        <w:t>leasingmarkedet</w:t>
      </w:r>
      <w:proofErr w:type="spellEnd"/>
      <w:r w:rsidRPr="00580C0D">
        <w:rPr>
          <w:rStyle w:val="kursiv"/>
        </w:rPr>
        <w:t xml:space="preserve"> og innenfor varebilmarkedet, herunder konkrete forslag som vil ha umiddelbar effekt i 2022, for å hindre at disse markedene blir en barriere for å nå målet om at alle nye personbiler og lette varebiler i 2025 skal være nullutslippsbiler. Utredningen skal se på fjerning av skattefordeler til biler med utslipp i </w:t>
      </w:r>
      <w:proofErr w:type="spellStart"/>
      <w:r w:rsidRPr="00580C0D">
        <w:rPr>
          <w:rStyle w:val="kursiv"/>
        </w:rPr>
        <w:t>leasingmarkedet</w:t>
      </w:r>
      <w:proofErr w:type="spellEnd"/>
      <w:r w:rsidRPr="00580C0D">
        <w:rPr>
          <w:rStyle w:val="kursiv"/>
        </w:rPr>
        <w:t xml:space="preserve">, støtteordninger til </w:t>
      </w:r>
      <w:proofErr w:type="spellStart"/>
      <w:r w:rsidRPr="00580C0D">
        <w:rPr>
          <w:rStyle w:val="kursiv"/>
        </w:rPr>
        <w:t>elvarebiler</w:t>
      </w:r>
      <w:proofErr w:type="spellEnd"/>
      <w:r w:rsidRPr="00580C0D">
        <w:rPr>
          <w:rStyle w:val="kursiv"/>
        </w:rPr>
        <w:t>, og CO</w:t>
      </w:r>
      <w:r w:rsidRPr="00580C0D">
        <w:rPr>
          <w:rStyle w:val="skrift-senket"/>
        </w:rPr>
        <w:t>2</w:t>
      </w:r>
      <w:r w:rsidRPr="00580C0D">
        <w:rPr>
          <w:rStyle w:val="kursiv"/>
        </w:rPr>
        <w:t>-komponenten i engangsavgiften for nyttekjøretøyer med forbrenningsmotor, den skal videre se på om det kan gjøres grep i støtteordningene til elbil som kan gi næringsdrivende styrkede og mer like fordeler som privatpersoner»</w:t>
      </w:r>
    </w:p>
    <w:p w14:paraId="3E01A438"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nasjonalbudsjettet for 2022 og framlegg til statsbudsjett for 2022, jf. </w:t>
      </w:r>
      <w:proofErr w:type="spellStart"/>
      <w:r w:rsidRPr="00580C0D">
        <w:t>Innst</w:t>
      </w:r>
      <w:proofErr w:type="spellEnd"/>
      <w:r w:rsidRPr="00580C0D">
        <w:t xml:space="preserve">. 2 S (2021–2022).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w:t>
      </w:r>
      <w:proofErr w:type="spellStart"/>
      <w:r w:rsidRPr="00580C0D">
        <w:t>omtala</w:t>
      </w:r>
      <w:proofErr w:type="spellEnd"/>
      <w:r w:rsidRPr="00580C0D">
        <w:t xml:space="preserve"> i </w:t>
      </w:r>
      <w:proofErr w:type="spellStart"/>
      <w:r w:rsidRPr="00580C0D">
        <w:t>Prop</w:t>
      </w:r>
      <w:proofErr w:type="spellEnd"/>
      <w:r w:rsidRPr="00580C0D">
        <w:t>. 1 LS (2023–2024), kapittel 15.</w:t>
      </w:r>
    </w:p>
    <w:p w14:paraId="6005CE6F" w14:textId="77777777" w:rsidR="00F7113A" w:rsidRPr="00580C0D" w:rsidRDefault="00142E5B" w:rsidP="00580C0D">
      <w:pPr>
        <w:pStyle w:val="avsnitt-tittel"/>
      </w:pPr>
      <w:r w:rsidRPr="00580C0D">
        <w:t>Evaluering av NOKUS-</w:t>
      </w:r>
      <w:proofErr w:type="spellStart"/>
      <w:r w:rsidRPr="00580C0D">
        <w:t>reglane</w:t>
      </w:r>
      <w:proofErr w:type="spellEnd"/>
    </w:p>
    <w:p w14:paraId="59CD6D36" w14:textId="77777777" w:rsidR="00F7113A" w:rsidRPr="00580C0D" w:rsidRDefault="00142E5B" w:rsidP="00580C0D">
      <w:pPr>
        <w:pStyle w:val="avsnitt-undertittel"/>
      </w:pPr>
      <w:r w:rsidRPr="00580C0D">
        <w:t>Vedtak nr. 35-31, 2. desember 2021</w:t>
      </w:r>
    </w:p>
    <w:p w14:paraId="38E3983E" w14:textId="77777777" w:rsidR="00F7113A" w:rsidRPr="00580C0D" w:rsidRDefault="00142E5B" w:rsidP="00580C0D">
      <w:pPr>
        <w:pStyle w:val="blokksit"/>
        <w:rPr>
          <w:rStyle w:val="kursiv"/>
        </w:rPr>
      </w:pPr>
      <w:r w:rsidRPr="00580C0D">
        <w:rPr>
          <w:rStyle w:val="kursiv"/>
        </w:rPr>
        <w:t>«Stortinget ber regjeringen om i løpet av 2022 å gjennomføre en grundig evaluering av dagens skatteordning for NOKUS-selskap, herunder også vurdere hvordan denne ordningen samvirker med kildeskatt»</w:t>
      </w:r>
    </w:p>
    <w:p w14:paraId="0E546462"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 LS (2021–2022), jf. </w:t>
      </w:r>
      <w:proofErr w:type="spellStart"/>
      <w:r w:rsidRPr="00580C0D">
        <w:t>Innst</w:t>
      </w:r>
      <w:proofErr w:type="spellEnd"/>
      <w:r w:rsidRPr="00580C0D">
        <w:t xml:space="preserve">. 2 S (2021–2022). Finansdepartementet vil </w:t>
      </w:r>
      <w:proofErr w:type="spellStart"/>
      <w:r w:rsidRPr="00580C0D">
        <w:t>kome</w:t>
      </w:r>
      <w:proofErr w:type="spellEnd"/>
      <w:r w:rsidRPr="00580C0D">
        <w:t xml:space="preserve"> </w:t>
      </w:r>
      <w:proofErr w:type="spellStart"/>
      <w:r w:rsidRPr="00580C0D">
        <w:t>nærare</w:t>
      </w:r>
      <w:proofErr w:type="spellEnd"/>
      <w:r w:rsidRPr="00580C0D">
        <w:t xml:space="preserve"> tilbake til ei vurdering av NOKUS-</w:t>
      </w:r>
      <w:proofErr w:type="spellStart"/>
      <w:r w:rsidRPr="00580C0D">
        <w:t>reglane</w:t>
      </w:r>
      <w:proofErr w:type="spellEnd"/>
      <w:r w:rsidRPr="00580C0D">
        <w:t xml:space="preserve"> når to-pilarløysinga for </w:t>
      </w:r>
      <w:proofErr w:type="spellStart"/>
      <w:r w:rsidRPr="00580C0D">
        <w:t>skattleggjng</w:t>
      </w:r>
      <w:proofErr w:type="spellEnd"/>
      <w:r w:rsidRPr="00580C0D">
        <w:t xml:space="preserve"> av store multinasjonale konsern er innført i norsk rett.</w:t>
      </w:r>
    </w:p>
    <w:p w14:paraId="569BBF9E" w14:textId="77777777" w:rsidR="00F7113A" w:rsidRPr="00580C0D" w:rsidRDefault="00142E5B" w:rsidP="00580C0D">
      <w:pPr>
        <w:pStyle w:val="avsnitt-tittel"/>
      </w:pPr>
      <w:r w:rsidRPr="00580C0D">
        <w:t>Rapportering på ulikskap</w:t>
      </w:r>
    </w:p>
    <w:p w14:paraId="3012FD32" w14:textId="77777777" w:rsidR="00F7113A" w:rsidRPr="00580C0D" w:rsidRDefault="00142E5B" w:rsidP="00580C0D">
      <w:pPr>
        <w:pStyle w:val="avsnitt-undertittel"/>
      </w:pPr>
      <w:r w:rsidRPr="00580C0D">
        <w:t>Vedtak nr. 35-32, 2. desember 2021</w:t>
      </w:r>
    </w:p>
    <w:p w14:paraId="6388371C" w14:textId="77777777" w:rsidR="00F7113A" w:rsidRPr="00580C0D" w:rsidRDefault="00142E5B" w:rsidP="00580C0D">
      <w:pPr>
        <w:pStyle w:val="blokksit"/>
        <w:rPr>
          <w:rStyle w:val="kursiv"/>
        </w:rPr>
      </w:pPr>
      <w:r w:rsidRPr="00580C0D">
        <w:rPr>
          <w:rStyle w:val="kursiv"/>
        </w:rPr>
        <w:t>«Stortinget ber regjeringen fra og med statsbudsjettet 2023 rapportere om fordeling og ulikhet på grunnlag av flere parametere enn i dag. Eierinntekter skal inngå i rapporteringen så snart det er praktisk mulig. Rapporteringen skal bidra til å nå målet om å redusere økonomisk ulikhet.»</w:t>
      </w:r>
    </w:p>
    <w:p w14:paraId="7BB7261A"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nasjonalbudsjettet for 2022 og framlegg til statsbudsjett for 2022, jf. </w:t>
      </w:r>
      <w:proofErr w:type="spellStart"/>
      <w:r w:rsidRPr="00580C0D">
        <w:t>Innst</w:t>
      </w:r>
      <w:proofErr w:type="spellEnd"/>
      <w:r w:rsidRPr="00580C0D">
        <w:t xml:space="preserve">. 2 S (2021–2022). Departementet la til grunn at vedtaket er </w:t>
      </w:r>
      <w:proofErr w:type="spellStart"/>
      <w:r w:rsidRPr="00580C0D">
        <w:t>følgt</w:t>
      </w:r>
      <w:proofErr w:type="spellEnd"/>
      <w:r w:rsidRPr="00580C0D">
        <w:t xml:space="preserve"> opp i Meld. St. 1 (2022–2023) Nasjonalbudsjettet 2023, kapittel 6. I </w:t>
      </w:r>
      <w:proofErr w:type="spellStart"/>
      <w:r w:rsidRPr="00580C0D">
        <w:t>Innst</w:t>
      </w:r>
      <w:proofErr w:type="spellEnd"/>
      <w:r w:rsidRPr="00580C0D">
        <w:t xml:space="preserve">. 186 S (2022–2023) </w:t>
      </w:r>
      <w:proofErr w:type="spellStart"/>
      <w:r w:rsidRPr="00580C0D">
        <w:t>frå</w:t>
      </w:r>
      <w:proofErr w:type="spellEnd"/>
      <w:r w:rsidRPr="00580C0D">
        <w:t xml:space="preserve"> kontroll- og konstitusjonskomiteen om Meld. St. 4 (2022–2023) viste </w:t>
      </w:r>
      <w:proofErr w:type="spellStart"/>
      <w:r w:rsidRPr="00580C0D">
        <w:t>flertalet</w:t>
      </w:r>
      <w:proofErr w:type="spellEnd"/>
      <w:r w:rsidRPr="00580C0D">
        <w:t xml:space="preserve"> til at «anmodningsvedtaket ikke er oppfylt før eierinntekter inngår i rapporteringen, og at dette skal skje så snart det er praktisk mulig».</w:t>
      </w:r>
    </w:p>
    <w:p w14:paraId="3C3DBA18" w14:textId="77777777" w:rsidR="00F7113A" w:rsidRPr="00580C0D" w:rsidRDefault="00142E5B" w:rsidP="00580C0D">
      <w:r w:rsidRPr="00580C0D">
        <w:t xml:space="preserve">Regjeringa vil </w:t>
      </w:r>
      <w:proofErr w:type="spellStart"/>
      <w:r w:rsidRPr="00580C0D">
        <w:t>kome</w:t>
      </w:r>
      <w:proofErr w:type="spellEnd"/>
      <w:r w:rsidRPr="00580C0D">
        <w:t xml:space="preserve"> tilbake til Stortinget på </w:t>
      </w:r>
      <w:proofErr w:type="spellStart"/>
      <w:r w:rsidRPr="00580C0D">
        <w:t>eit</w:t>
      </w:r>
      <w:proofErr w:type="spellEnd"/>
      <w:r w:rsidRPr="00580C0D">
        <w:t xml:space="preserve"> eigna tidspunkt når det </w:t>
      </w:r>
      <w:proofErr w:type="spellStart"/>
      <w:r w:rsidRPr="00580C0D">
        <w:t>faglege</w:t>
      </w:r>
      <w:proofErr w:type="spellEnd"/>
      <w:r w:rsidRPr="00580C0D">
        <w:t xml:space="preserve"> grunnlaget for ei rapportering er greidd ut og avklara i samråd med Statistisk sentralbyrå.</w:t>
      </w:r>
    </w:p>
    <w:p w14:paraId="2718EDEE" w14:textId="77777777" w:rsidR="00F7113A" w:rsidRPr="00580C0D" w:rsidRDefault="00142E5B" w:rsidP="00580C0D">
      <w:pPr>
        <w:pStyle w:val="avsnitt-tittel"/>
      </w:pPr>
      <w:proofErr w:type="spellStart"/>
      <w:r w:rsidRPr="00580C0D">
        <w:t>Verdsetjingsmetode</w:t>
      </w:r>
      <w:proofErr w:type="spellEnd"/>
      <w:r w:rsidRPr="00580C0D">
        <w:t xml:space="preserve"> for </w:t>
      </w:r>
      <w:proofErr w:type="spellStart"/>
      <w:r w:rsidRPr="00580C0D">
        <w:t>bustadar</w:t>
      </w:r>
      <w:proofErr w:type="spellEnd"/>
    </w:p>
    <w:p w14:paraId="026C9AAE" w14:textId="77777777" w:rsidR="00F7113A" w:rsidRPr="00580C0D" w:rsidRDefault="00142E5B" w:rsidP="00580C0D">
      <w:pPr>
        <w:pStyle w:val="avsnitt-undertittel"/>
      </w:pPr>
      <w:r w:rsidRPr="00580C0D">
        <w:t>Vedtak nr. 35-34, 2. desember 2021</w:t>
      </w:r>
    </w:p>
    <w:p w14:paraId="1B76C92C" w14:textId="77777777" w:rsidR="00F7113A" w:rsidRPr="00580C0D" w:rsidRDefault="00142E5B" w:rsidP="00580C0D">
      <w:pPr>
        <w:pStyle w:val="blokksit"/>
        <w:rPr>
          <w:rStyle w:val="kursiv"/>
        </w:rPr>
      </w:pPr>
      <w:r w:rsidRPr="00580C0D">
        <w:rPr>
          <w:rStyle w:val="kursiv"/>
        </w:rPr>
        <w:t>«Stortinget ber regjeringen endre metoden for verdsetting av dyre boliger slik at verdsettingen bedre samsvarer med eiendommenes reelle markedsverdi»</w:t>
      </w:r>
    </w:p>
    <w:p w14:paraId="37106D29"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nasjonalbudsjettet for 2022 og framlegg til statsbudsjett for 2022, jf. </w:t>
      </w:r>
      <w:proofErr w:type="spellStart"/>
      <w:r w:rsidRPr="00580C0D">
        <w:t>Innst</w:t>
      </w:r>
      <w:proofErr w:type="spellEnd"/>
      <w:r w:rsidRPr="00580C0D">
        <w:t xml:space="preserve">. 2 S (2021–2022). Departementet vil </w:t>
      </w:r>
      <w:proofErr w:type="spellStart"/>
      <w:r w:rsidRPr="00580C0D">
        <w:t>kome</w:t>
      </w:r>
      <w:proofErr w:type="spellEnd"/>
      <w:r w:rsidRPr="00580C0D">
        <w:t xml:space="preserve"> tilbake til Stortinget ved </w:t>
      </w:r>
      <w:proofErr w:type="spellStart"/>
      <w:r w:rsidRPr="00580C0D">
        <w:t>eit</w:t>
      </w:r>
      <w:proofErr w:type="spellEnd"/>
      <w:r w:rsidRPr="00580C0D">
        <w:t xml:space="preserve"> </w:t>
      </w:r>
      <w:proofErr w:type="spellStart"/>
      <w:r w:rsidRPr="00580C0D">
        <w:t>passande</w:t>
      </w:r>
      <w:proofErr w:type="spellEnd"/>
      <w:r w:rsidRPr="00580C0D">
        <w:t xml:space="preserve"> høve.</w:t>
      </w:r>
    </w:p>
    <w:p w14:paraId="0C389604" w14:textId="77777777" w:rsidR="00F7113A" w:rsidRPr="00580C0D" w:rsidRDefault="00142E5B" w:rsidP="00580C0D">
      <w:pPr>
        <w:pStyle w:val="avsnitt-tittel"/>
      </w:pPr>
      <w:r w:rsidRPr="00580C0D">
        <w:t xml:space="preserve">Utvida land-for-land-rapportering (LLR) etter </w:t>
      </w:r>
      <w:proofErr w:type="spellStart"/>
      <w:r w:rsidRPr="00580C0D">
        <w:t>rekneskapslova</w:t>
      </w:r>
      <w:proofErr w:type="spellEnd"/>
    </w:p>
    <w:p w14:paraId="71DFBBF1" w14:textId="77777777" w:rsidR="00F7113A" w:rsidRPr="00580C0D" w:rsidRDefault="00142E5B" w:rsidP="00580C0D">
      <w:pPr>
        <w:pStyle w:val="avsnitt-undertittel"/>
      </w:pPr>
      <w:r w:rsidRPr="00580C0D">
        <w:t>Vedtak nr. 35-36, 2. desember 2021</w:t>
      </w:r>
    </w:p>
    <w:p w14:paraId="2F39F800" w14:textId="77777777" w:rsidR="00F7113A" w:rsidRPr="00580C0D" w:rsidRDefault="00142E5B" w:rsidP="00580C0D">
      <w:pPr>
        <w:pStyle w:val="blokksit"/>
        <w:rPr>
          <w:rStyle w:val="kursiv"/>
        </w:rPr>
      </w:pPr>
      <w:r w:rsidRPr="00580C0D">
        <w:rPr>
          <w:rStyle w:val="kursiv"/>
        </w:rPr>
        <w:t xml:space="preserve">«Stortinget ber regjeringen om at en forskrift om utvidet land-for-land-rapportering blir utformet slik at selskaper blir pliktige til å opplyse om regnskapsstørrelser for alle land, inkludert </w:t>
      </w:r>
      <w:proofErr w:type="spellStart"/>
      <w:r w:rsidRPr="00580C0D">
        <w:rPr>
          <w:rStyle w:val="kursiv"/>
        </w:rPr>
        <w:t>støtteland</w:t>
      </w:r>
      <w:proofErr w:type="spellEnd"/>
      <w:r w:rsidRPr="00580C0D">
        <w:rPr>
          <w:rStyle w:val="kursiv"/>
        </w:rPr>
        <w:t xml:space="preserve"> hvor skatt ikke betales.»</w:t>
      </w:r>
    </w:p>
    <w:p w14:paraId="5DEBDDC2"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nasjonalbudsjettet for 2022 og framlegg til statsbudsjett for 2022, jf. </w:t>
      </w:r>
      <w:proofErr w:type="spellStart"/>
      <w:r w:rsidRPr="00580C0D">
        <w:t>Innst</w:t>
      </w:r>
      <w:proofErr w:type="spellEnd"/>
      <w:r w:rsidRPr="00580C0D">
        <w:t xml:space="preserve">. 2 S (2021–2022). Departementet </w:t>
      </w:r>
      <w:proofErr w:type="spellStart"/>
      <w:r w:rsidRPr="00580C0D">
        <w:t>tek</w:t>
      </w:r>
      <w:proofErr w:type="spellEnd"/>
      <w:r w:rsidRPr="00580C0D">
        <w:t xml:space="preserve"> sikte på å utarbeide og høyre framlegg til </w:t>
      </w:r>
      <w:proofErr w:type="spellStart"/>
      <w:r w:rsidRPr="00580C0D">
        <w:t>lovendringar</w:t>
      </w:r>
      <w:proofErr w:type="spellEnd"/>
      <w:r w:rsidRPr="00580C0D">
        <w:t>, med utgangspunkt i nye EU-</w:t>
      </w:r>
      <w:proofErr w:type="spellStart"/>
      <w:r w:rsidRPr="00580C0D">
        <w:t>reglar</w:t>
      </w:r>
      <w:proofErr w:type="spellEnd"/>
      <w:r w:rsidRPr="00580C0D">
        <w:t xml:space="preserve"> (direktiv (EU) 2021/2101). Vedtaket vil </w:t>
      </w:r>
      <w:proofErr w:type="spellStart"/>
      <w:r w:rsidRPr="00580C0D">
        <w:t>verte</w:t>
      </w:r>
      <w:proofErr w:type="spellEnd"/>
      <w:r w:rsidRPr="00580C0D">
        <w:t xml:space="preserve"> </w:t>
      </w:r>
      <w:proofErr w:type="spellStart"/>
      <w:r w:rsidRPr="00580C0D">
        <w:t>følgt</w:t>
      </w:r>
      <w:proofErr w:type="spellEnd"/>
      <w:r w:rsidRPr="00580C0D">
        <w:t xml:space="preserve"> opp i samband med vedtak nr. 48 av 15. november 2016.</w:t>
      </w:r>
    </w:p>
    <w:p w14:paraId="3CA73970" w14:textId="77777777" w:rsidR="00F7113A" w:rsidRPr="00580C0D" w:rsidRDefault="00142E5B" w:rsidP="00580C0D">
      <w:pPr>
        <w:pStyle w:val="avsnitt-tittel"/>
      </w:pPr>
      <w:r w:rsidRPr="00580C0D">
        <w:t xml:space="preserve">Kompensasjonsordning for </w:t>
      </w:r>
      <w:proofErr w:type="spellStart"/>
      <w:r w:rsidRPr="00580C0D">
        <w:t>auka</w:t>
      </w:r>
      <w:proofErr w:type="spellEnd"/>
      <w:r w:rsidRPr="00580C0D">
        <w:t xml:space="preserve"> miljøavgifter</w:t>
      </w:r>
    </w:p>
    <w:p w14:paraId="76534EFB" w14:textId="77777777" w:rsidR="00F7113A" w:rsidRPr="00580C0D" w:rsidRDefault="00142E5B" w:rsidP="00580C0D">
      <w:pPr>
        <w:pStyle w:val="avsnitt-undertittel"/>
      </w:pPr>
      <w:r w:rsidRPr="00580C0D">
        <w:t>Vedtak nr. 35-40, 2. desember 2021</w:t>
      </w:r>
    </w:p>
    <w:p w14:paraId="7509F674" w14:textId="77777777" w:rsidR="00F7113A" w:rsidRPr="00580C0D" w:rsidRDefault="00142E5B" w:rsidP="00580C0D">
      <w:pPr>
        <w:pStyle w:val="blokksit"/>
        <w:rPr>
          <w:rStyle w:val="kursiv"/>
        </w:rPr>
      </w:pPr>
      <w:r w:rsidRPr="00580C0D">
        <w:rPr>
          <w:rStyle w:val="kursiv"/>
        </w:rPr>
        <w:t>«Stortinget ber regjeringen utrede en modell for omfordelende kompensasjon for økte miljøavgifter innen statsbudsjettet for 2023.»</w:t>
      </w:r>
    </w:p>
    <w:p w14:paraId="1A40C956"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 LS Tillegg 1 (2021–2022) </w:t>
      </w:r>
      <w:r w:rsidRPr="00580C0D">
        <w:rPr>
          <w:rStyle w:val="kursiv"/>
        </w:rPr>
        <w:t xml:space="preserve">Endring av </w:t>
      </w:r>
      <w:proofErr w:type="spellStart"/>
      <w:r w:rsidRPr="00580C0D">
        <w:rPr>
          <w:rStyle w:val="kursiv"/>
        </w:rPr>
        <w:t>Prop</w:t>
      </w:r>
      <w:proofErr w:type="spellEnd"/>
      <w:r w:rsidRPr="00580C0D">
        <w:rPr>
          <w:rStyle w:val="kursiv"/>
        </w:rPr>
        <w:t>. 1 LS (2021–2022) Skatter, avgifter og toll 2022</w:t>
      </w:r>
      <w:r w:rsidRPr="00580C0D">
        <w:t xml:space="preserve">. Departementet la til grunn at oppmodingsvedtaket er </w:t>
      </w:r>
      <w:proofErr w:type="spellStart"/>
      <w:r w:rsidRPr="00580C0D">
        <w:t>følgd</w:t>
      </w:r>
      <w:proofErr w:type="spellEnd"/>
      <w:r w:rsidRPr="00580C0D">
        <w:t xml:space="preserve"> opp gjennom vurderinga i </w:t>
      </w:r>
      <w:proofErr w:type="spellStart"/>
      <w:r w:rsidRPr="00580C0D">
        <w:t>Prop</w:t>
      </w:r>
      <w:proofErr w:type="spellEnd"/>
      <w:r w:rsidRPr="00580C0D">
        <w:t>. 1 LS (2022–2023), kapittel 21.</w:t>
      </w:r>
    </w:p>
    <w:p w14:paraId="4278B232" w14:textId="77777777" w:rsidR="00F7113A" w:rsidRPr="00580C0D" w:rsidRDefault="00142E5B" w:rsidP="00580C0D">
      <w:r w:rsidRPr="00580C0D">
        <w:t xml:space="preserve">I </w:t>
      </w:r>
      <w:proofErr w:type="spellStart"/>
      <w:r w:rsidRPr="00580C0D">
        <w:t>Innst</w:t>
      </w:r>
      <w:proofErr w:type="spellEnd"/>
      <w:r w:rsidRPr="00580C0D">
        <w:t xml:space="preserve">. 186 S (2022–2023) </w:t>
      </w:r>
      <w:proofErr w:type="spellStart"/>
      <w:r w:rsidRPr="00580C0D">
        <w:t>frå</w:t>
      </w:r>
      <w:proofErr w:type="spellEnd"/>
      <w:r w:rsidRPr="00580C0D">
        <w:t xml:space="preserve"> kontroll- og konstitusjonskomiteen om Meld. St. 4 (2022–2023) ba </w:t>
      </w:r>
      <w:proofErr w:type="spellStart"/>
      <w:r w:rsidRPr="00580C0D">
        <w:t>fleirtalet</w:t>
      </w:r>
      <w:proofErr w:type="spellEnd"/>
      <w:r w:rsidRPr="00580C0D">
        <w:t xml:space="preserve"> i kontroll- og konstitusjonskomiteen regjeringa </w:t>
      </w:r>
      <w:proofErr w:type="spellStart"/>
      <w:r w:rsidRPr="00580C0D">
        <w:t>kome</w:t>
      </w:r>
      <w:proofErr w:type="spellEnd"/>
      <w:r w:rsidRPr="00580C0D">
        <w:t xml:space="preserve"> tilbake med ei «drøfting av mulige ordninger for omfordelende kompensasjon for økte miljøavgifter i 2024, i lys av Skatteutvalgets arbeid med en grønn skatte- og avgiftspolitikk og tidligere utredninger.»</w:t>
      </w:r>
    </w:p>
    <w:p w14:paraId="2B590CB8"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vurderinga i </w:t>
      </w:r>
      <w:proofErr w:type="spellStart"/>
      <w:r w:rsidRPr="00580C0D">
        <w:t>Prop</w:t>
      </w:r>
      <w:proofErr w:type="spellEnd"/>
      <w:r w:rsidRPr="00580C0D">
        <w:t>. 1 LS (2023–2024), kapittel 16.</w:t>
      </w:r>
    </w:p>
    <w:p w14:paraId="1249BF8B" w14:textId="77777777" w:rsidR="00F7113A" w:rsidRPr="00580C0D" w:rsidRDefault="00142E5B" w:rsidP="00580C0D">
      <w:pPr>
        <w:pStyle w:val="avsnitt-tittel"/>
      </w:pPr>
      <w:r w:rsidRPr="00580C0D">
        <w:t xml:space="preserve">Vurdere kven som bør </w:t>
      </w:r>
      <w:proofErr w:type="spellStart"/>
      <w:r w:rsidRPr="00580C0D">
        <w:t>vere</w:t>
      </w:r>
      <w:proofErr w:type="spellEnd"/>
      <w:r w:rsidRPr="00580C0D">
        <w:t xml:space="preserve"> utelukka </w:t>
      </w:r>
      <w:proofErr w:type="spellStart"/>
      <w:r w:rsidRPr="00580C0D">
        <w:t>frå</w:t>
      </w:r>
      <w:proofErr w:type="spellEnd"/>
      <w:r w:rsidRPr="00580C0D">
        <w:t xml:space="preserve"> å </w:t>
      </w:r>
      <w:proofErr w:type="spellStart"/>
      <w:r w:rsidRPr="00580C0D">
        <w:t>sitje</w:t>
      </w:r>
      <w:proofErr w:type="spellEnd"/>
      <w:r w:rsidRPr="00580C0D">
        <w:t xml:space="preserve"> i </w:t>
      </w:r>
      <w:proofErr w:type="spellStart"/>
      <w:r w:rsidRPr="00580C0D">
        <w:t>Noregs</w:t>
      </w:r>
      <w:proofErr w:type="spellEnd"/>
      <w:r w:rsidRPr="00580C0D">
        <w:t xml:space="preserve"> Banks </w:t>
      </w:r>
      <w:proofErr w:type="spellStart"/>
      <w:r w:rsidRPr="00580C0D">
        <w:t>styrande</w:t>
      </w:r>
      <w:proofErr w:type="spellEnd"/>
      <w:r w:rsidRPr="00580C0D">
        <w:t xml:space="preserve"> organ.</w:t>
      </w:r>
    </w:p>
    <w:p w14:paraId="32460306" w14:textId="77777777" w:rsidR="00F7113A" w:rsidRPr="00580C0D" w:rsidRDefault="00142E5B" w:rsidP="00580C0D">
      <w:pPr>
        <w:pStyle w:val="avsnitt-undertittel"/>
      </w:pPr>
      <w:r w:rsidRPr="00580C0D">
        <w:t>Vedtak nr. 782, 13. juni 2022</w:t>
      </w:r>
    </w:p>
    <w:p w14:paraId="42EEDA9E" w14:textId="77777777" w:rsidR="00F7113A" w:rsidRPr="00580C0D" w:rsidRDefault="00142E5B" w:rsidP="00580C0D">
      <w:pPr>
        <w:pStyle w:val="blokksit"/>
        <w:rPr>
          <w:rStyle w:val="kursiv"/>
        </w:rPr>
      </w:pPr>
      <w:r w:rsidRPr="00580C0D">
        <w:rPr>
          <w:rStyle w:val="kursiv"/>
        </w:rPr>
        <w:t>«Stortinget ber regjeringen på egnet måte komme tilbake til Stortinget med en vurdering av hvem som bør være utelukket fra å sitte i Norges Banks styrende organer, jf. sentralbankloven § 2-3 fjerde ledd og § 2-6 tredje ledd.»</w:t>
      </w:r>
    </w:p>
    <w:p w14:paraId="6045A647"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eit</w:t>
      </w:r>
      <w:proofErr w:type="spellEnd"/>
      <w:r w:rsidRPr="00580C0D">
        <w:t xml:space="preserve">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Sveinung Rotevatn og Sofie </w:t>
      </w:r>
      <w:proofErr w:type="spellStart"/>
      <w:r w:rsidRPr="00580C0D">
        <w:t>Høgestøl</w:t>
      </w:r>
      <w:proofErr w:type="spellEnd"/>
      <w:r w:rsidRPr="00580C0D">
        <w:t xml:space="preserve"> om å flytte </w:t>
      </w:r>
      <w:proofErr w:type="spellStart"/>
      <w:r w:rsidRPr="00580C0D">
        <w:t>Noregs</w:t>
      </w:r>
      <w:proofErr w:type="spellEnd"/>
      <w:r w:rsidRPr="00580C0D">
        <w:t xml:space="preserve"> Bank Investment Management (NBIM) ut av </w:t>
      </w:r>
      <w:proofErr w:type="spellStart"/>
      <w:r w:rsidRPr="00580C0D">
        <w:t>Noregs</w:t>
      </w:r>
      <w:proofErr w:type="spellEnd"/>
      <w:r w:rsidRPr="00580C0D">
        <w:t xml:space="preserve"> Bank og innføre </w:t>
      </w:r>
      <w:proofErr w:type="spellStart"/>
      <w:r w:rsidRPr="00580C0D">
        <w:t>strengare</w:t>
      </w:r>
      <w:proofErr w:type="spellEnd"/>
      <w:r w:rsidRPr="00580C0D">
        <w:t xml:space="preserve"> </w:t>
      </w:r>
      <w:proofErr w:type="spellStart"/>
      <w:r w:rsidRPr="00580C0D">
        <w:t>habilitetsreglar</w:t>
      </w:r>
      <w:proofErr w:type="spellEnd"/>
      <w:r w:rsidRPr="00580C0D">
        <w:t xml:space="preserve"> rundt </w:t>
      </w:r>
      <w:proofErr w:type="spellStart"/>
      <w:r w:rsidRPr="00580C0D">
        <w:t>utnemningar</w:t>
      </w:r>
      <w:proofErr w:type="spellEnd"/>
      <w:r w:rsidRPr="00580C0D">
        <w:t xml:space="preserve"> i banken, jf. Dokument 8:149 S (2021–2022) og </w:t>
      </w:r>
      <w:proofErr w:type="spellStart"/>
      <w:r w:rsidRPr="00580C0D">
        <w:t>Innst</w:t>
      </w:r>
      <w:proofErr w:type="spellEnd"/>
      <w:r w:rsidRPr="00580C0D">
        <w:t xml:space="preserve">. 353 S (2021–2022). Departementet vil </w:t>
      </w:r>
      <w:proofErr w:type="spellStart"/>
      <w:r w:rsidRPr="00580C0D">
        <w:t>kome</w:t>
      </w:r>
      <w:proofErr w:type="spellEnd"/>
      <w:r w:rsidRPr="00580C0D">
        <w:t xml:space="preserve"> tilbake til Stortinget med ei vurdering.</w:t>
      </w:r>
    </w:p>
    <w:p w14:paraId="6B08EB8D" w14:textId="77777777" w:rsidR="00F7113A" w:rsidRPr="00580C0D" w:rsidRDefault="00142E5B" w:rsidP="00580C0D">
      <w:pPr>
        <w:pStyle w:val="Overskrift2"/>
      </w:pPr>
      <w:r w:rsidRPr="00580C0D">
        <w:t>Stortingssesjon 2020–2021</w:t>
      </w:r>
    </w:p>
    <w:p w14:paraId="5041606E" w14:textId="77777777" w:rsidR="00F7113A" w:rsidRPr="00580C0D" w:rsidRDefault="00142E5B" w:rsidP="00580C0D">
      <w:pPr>
        <w:pStyle w:val="avsnitt-tittel"/>
      </w:pPr>
      <w:r w:rsidRPr="00580C0D">
        <w:t xml:space="preserve">Vurdere den kommunale </w:t>
      </w:r>
      <w:proofErr w:type="spellStart"/>
      <w:r w:rsidRPr="00580C0D">
        <w:t>handlefridomen</w:t>
      </w:r>
      <w:proofErr w:type="spellEnd"/>
      <w:r w:rsidRPr="00580C0D">
        <w:t xml:space="preserve"> i formuesskatten</w:t>
      </w:r>
    </w:p>
    <w:p w14:paraId="771D3E7D" w14:textId="77777777" w:rsidR="00F7113A" w:rsidRPr="00580C0D" w:rsidRDefault="00142E5B" w:rsidP="00580C0D">
      <w:pPr>
        <w:pStyle w:val="avsnitt-undertittel"/>
      </w:pPr>
      <w:r w:rsidRPr="00580C0D">
        <w:t>Vedtak nr. 104, 26. november 2020</w:t>
      </w:r>
    </w:p>
    <w:p w14:paraId="37F33C25" w14:textId="77777777" w:rsidR="00F7113A" w:rsidRPr="00580C0D" w:rsidRDefault="00142E5B" w:rsidP="00580C0D">
      <w:pPr>
        <w:pStyle w:val="blokksit"/>
        <w:rPr>
          <w:rStyle w:val="kursiv"/>
        </w:rPr>
      </w:pPr>
      <w:r w:rsidRPr="00580C0D">
        <w:rPr>
          <w:rStyle w:val="kursiv"/>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09571F4D"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5 (2019–2020), </w:t>
      </w:r>
      <w:r w:rsidRPr="00580C0D">
        <w:rPr>
          <w:rStyle w:val="kursiv"/>
        </w:rPr>
        <w:t xml:space="preserve">Levende lokalsamfunn for fremtiden – </w:t>
      </w:r>
      <w:proofErr w:type="spellStart"/>
      <w:r w:rsidRPr="00580C0D">
        <w:rPr>
          <w:rStyle w:val="kursiv"/>
        </w:rPr>
        <w:t>Distriktsmeldingen</w:t>
      </w:r>
      <w:proofErr w:type="spellEnd"/>
      <w:r w:rsidRPr="00580C0D">
        <w:t xml:space="preserve">, jf. </w:t>
      </w:r>
      <w:proofErr w:type="spellStart"/>
      <w:r w:rsidRPr="00580C0D">
        <w:t>Innst</w:t>
      </w:r>
      <w:proofErr w:type="spellEnd"/>
      <w:r w:rsidRPr="00580C0D">
        <w:t xml:space="preserve">. 88 S (2020–2021). Oppmodingsvedtaket </w:t>
      </w:r>
      <w:proofErr w:type="spellStart"/>
      <w:r w:rsidRPr="00580C0D">
        <w:t>vart</w:t>
      </w:r>
      <w:proofErr w:type="spellEnd"/>
      <w:r w:rsidRPr="00580C0D">
        <w:t xml:space="preserve"> kort omtalt i </w:t>
      </w:r>
      <w:proofErr w:type="spellStart"/>
      <w:r w:rsidRPr="00580C0D">
        <w:t>Prop</w:t>
      </w:r>
      <w:proofErr w:type="spellEnd"/>
      <w:r w:rsidRPr="00580C0D">
        <w:t xml:space="preserve">. 1 LS (2021–2022). Der kjem det fram at svaret </w:t>
      </w:r>
      <w:proofErr w:type="spellStart"/>
      <w:r w:rsidRPr="00580C0D">
        <w:t>frå</w:t>
      </w:r>
      <w:proofErr w:type="spellEnd"/>
      <w:r w:rsidRPr="00580C0D">
        <w:t xml:space="preserve"> departementet på oppmodingsvedtaket vil vente til etter at </w:t>
      </w:r>
      <w:r w:rsidRPr="00580C0D">
        <w:rPr>
          <w:rStyle w:val="kursiv"/>
        </w:rPr>
        <w:t>Inntektssystemutvalget</w:t>
      </w:r>
      <w:r w:rsidRPr="00580C0D">
        <w:t xml:space="preserve"> har </w:t>
      </w:r>
      <w:proofErr w:type="spellStart"/>
      <w:r w:rsidRPr="00580C0D">
        <w:t>kome</w:t>
      </w:r>
      <w:proofErr w:type="spellEnd"/>
      <w:r w:rsidRPr="00580C0D">
        <w:t xml:space="preserve"> med innstillinga si. </w:t>
      </w:r>
      <w:proofErr w:type="spellStart"/>
      <w:r w:rsidRPr="00580C0D">
        <w:t>Utvalet</w:t>
      </w:r>
      <w:proofErr w:type="spellEnd"/>
      <w:r w:rsidRPr="00580C0D">
        <w:t xml:space="preserve"> la 29. august 2022 fram NOU 2022: 10 </w:t>
      </w:r>
      <w:r w:rsidRPr="00580C0D">
        <w:rPr>
          <w:rStyle w:val="kursiv"/>
        </w:rPr>
        <w:t>Inntektssystemet for kommunene</w:t>
      </w:r>
      <w:r w:rsidRPr="00580C0D">
        <w:t xml:space="preserve">. Rapporten har </w:t>
      </w:r>
      <w:proofErr w:type="spellStart"/>
      <w:r w:rsidRPr="00580C0D">
        <w:t>vore</w:t>
      </w:r>
      <w:proofErr w:type="spellEnd"/>
      <w:r w:rsidRPr="00580C0D">
        <w:t xml:space="preserve"> på </w:t>
      </w:r>
      <w:proofErr w:type="spellStart"/>
      <w:r w:rsidRPr="00580C0D">
        <w:t>høyring</w:t>
      </w:r>
      <w:proofErr w:type="spellEnd"/>
      <w:r w:rsidRPr="00580C0D">
        <w:t xml:space="preserve">. Regjeringa vil </w:t>
      </w:r>
      <w:proofErr w:type="spellStart"/>
      <w:r w:rsidRPr="00580C0D">
        <w:t>kome</w:t>
      </w:r>
      <w:proofErr w:type="spellEnd"/>
      <w:r w:rsidRPr="00580C0D">
        <w:t xml:space="preserve"> tilbake til Stortinget ved </w:t>
      </w:r>
      <w:proofErr w:type="spellStart"/>
      <w:r w:rsidRPr="00580C0D">
        <w:t>eit</w:t>
      </w:r>
      <w:proofErr w:type="spellEnd"/>
      <w:r w:rsidRPr="00580C0D">
        <w:t xml:space="preserve"> </w:t>
      </w:r>
      <w:proofErr w:type="spellStart"/>
      <w:r w:rsidRPr="00580C0D">
        <w:t>passande</w:t>
      </w:r>
      <w:proofErr w:type="spellEnd"/>
      <w:r w:rsidRPr="00580C0D">
        <w:t xml:space="preserve"> høve.</w:t>
      </w:r>
    </w:p>
    <w:p w14:paraId="6E5887DD" w14:textId="77777777" w:rsidR="00F7113A" w:rsidRPr="00580C0D" w:rsidRDefault="00142E5B" w:rsidP="00580C0D">
      <w:pPr>
        <w:pStyle w:val="avsnitt-tittel"/>
      </w:pPr>
      <w:proofErr w:type="spellStart"/>
      <w:r w:rsidRPr="00580C0D">
        <w:t>Utval</w:t>
      </w:r>
      <w:proofErr w:type="spellEnd"/>
      <w:r w:rsidRPr="00580C0D">
        <w:t xml:space="preserve"> om </w:t>
      </w:r>
      <w:proofErr w:type="spellStart"/>
      <w:r w:rsidRPr="00580C0D">
        <w:t>kontantane</w:t>
      </w:r>
      <w:proofErr w:type="spellEnd"/>
      <w:r w:rsidRPr="00580C0D">
        <w:t xml:space="preserve"> </w:t>
      </w:r>
      <w:proofErr w:type="spellStart"/>
      <w:r w:rsidRPr="00580C0D">
        <w:t>si</w:t>
      </w:r>
      <w:proofErr w:type="spellEnd"/>
      <w:r w:rsidRPr="00580C0D">
        <w:t xml:space="preserve"> rolle i samfunnet</w:t>
      </w:r>
    </w:p>
    <w:p w14:paraId="556120A5" w14:textId="77777777" w:rsidR="00F7113A" w:rsidRPr="00580C0D" w:rsidRDefault="00142E5B" w:rsidP="00580C0D">
      <w:pPr>
        <w:pStyle w:val="avsnitt-undertittel"/>
      </w:pPr>
      <w:r w:rsidRPr="00580C0D">
        <w:t>Vedtak nr. 1174, 9. juni 2021</w:t>
      </w:r>
    </w:p>
    <w:p w14:paraId="0A2E416C" w14:textId="77777777" w:rsidR="00F7113A" w:rsidRPr="00580C0D" w:rsidRDefault="00142E5B" w:rsidP="00580C0D">
      <w:pPr>
        <w:pStyle w:val="blokksit"/>
        <w:rPr>
          <w:rStyle w:val="kursiv"/>
        </w:rPr>
      </w:pPr>
      <w:r w:rsidRPr="00580C0D">
        <w:rPr>
          <w:rStyle w:val="kursiv"/>
        </w:rPr>
        <w:t>«Stortinget ber regjeringen nedsette et offentlig utvalg som skal vurdere kontantenes rolle i samfunnet fremover.»</w:t>
      </w:r>
    </w:p>
    <w:p w14:paraId="2B9079CB"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31 (2020–2021) </w:t>
      </w:r>
      <w:r w:rsidRPr="00580C0D">
        <w:rPr>
          <w:rStyle w:val="kursiv"/>
        </w:rPr>
        <w:t>Finansmarkedsmeldingen 2020</w:t>
      </w:r>
      <w:r w:rsidRPr="00580C0D">
        <w:t xml:space="preserve">, jf. </w:t>
      </w:r>
      <w:proofErr w:type="spellStart"/>
      <w:r w:rsidRPr="00580C0D">
        <w:t>Innst</w:t>
      </w:r>
      <w:proofErr w:type="spellEnd"/>
      <w:r w:rsidRPr="00580C0D">
        <w:t xml:space="preserve">. 582 S (2020–2021). </w:t>
      </w:r>
      <w:proofErr w:type="spellStart"/>
      <w:r w:rsidRPr="00580C0D">
        <w:t>Eit</w:t>
      </w:r>
      <w:proofErr w:type="spellEnd"/>
      <w:r w:rsidRPr="00580C0D">
        <w:t xml:space="preserve"> </w:t>
      </w:r>
      <w:proofErr w:type="spellStart"/>
      <w:r w:rsidRPr="00580C0D">
        <w:t>utval</w:t>
      </w:r>
      <w:proofErr w:type="spellEnd"/>
      <w:r w:rsidRPr="00580C0D">
        <w:t xml:space="preserve"> som skal sjå på trygge og enkle </w:t>
      </w:r>
      <w:proofErr w:type="spellStart"/>
      <w:r w:rsidRPr="00580C0D">
        <w:t>betalingar</w:t>
      </w:r>
      <w:proofErr w:type="spellEnd"/>
      <w:r w:rsidRPr="00580C0D">
        <w:t xml:space="preserve"> for alle vart sett ned av regjeringa 26. mai 2023. </w:t>
      </w:r>
      <w:proofErr w:type="spellStart"/>
      <w:r w:rsidRPr="00580C0D">
        <w:t>Utvalet</w:t>
      </w:r>
      <w:proofErr w:type="spellEnd"/>
      <w:r w:rsidRPr="00580C0D">
        <w:t xml:space="preserve"> skal mellom anna vurdere </w:t>
      </w:r>
      <w:proofErr w:type="spellStart"/>
      <w:r w:rsidRPr="00580C0D">
        <w:t>kontantane</w:t>
      </w:r>
      <w:proofErr w:type="spellEnd"/>
      <w:r w:rsidRPr="00580C0D">
        <w:t xml:space="preserve"> </w:t>
      </w:r>
      <w:proofErr w:type="spellStart"/>
      <w:r w:rsidRPr="00580C0D">
        <w:t>si</w:t>
      </w:r>
      <w:proofErr w:type="spellEnd"/>
      <w:r w:rsidRPr="00580C0D">
        <w:t xml:space="preserve"> rolle i samfunnet framover.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dette.</w:t>
      </w:r>
    </w:p>
    <w:p w14:paraId="609D2501" w14:textId="77777777" w:rsidR="00F7113A" w:rsidRPr="00580C0D" w:rsidRDefault="00142E5B" w:rsidP="00580C0D">
      <w:pPr>
        <w:pStyle w:val="avsnitt-tittel"/>
      </w:pPr>
      <w:proofErr w:type="spellStart"/>
      <w:r w:rsidRPr="00580C0D">
        <w:t>Eigedomsskatt</w:t>
      </w:r>
      <w:proofErr w:type="spellEnd"/>
      <w:r w:rsidRPr="00580C0D">
        <w:t xml:space="preserve">, utgreiing og vurdering av </w:t>
      </w:r>
      <w:proofErr w:type="spellStart"/>
      <w:r w:rsidRPr="00580C0D">
        <w:t>eit</w:t>
      </w:r>
      <w:proofErr w:type="spellEnd"/>
      <w:r w:rsidRPr="00580C0D">
        <w:t xml:space="preserve"> tak for </w:t>
      </w:r>
      <w:proofErr w:type="spellStart"/>
      <w:r w:rsidRPr="00580C0D">
        <w:t>bustader</w:t>
      </w:r>
      <w:proofErr w:type="spellEnd"/>
      <w:r w:rsidRPr="00580C0D">
        <w:t xml:space="preserve"> og </w:t>
      </w:r>
      <w:proofErr w:type="spellStart"/>
      <w:r w:rsidRPr="00580C0D">
        <w:t>fritidsbustader</w:t>
      </w:r>
      <w:proofErr w:type="spellEnd"/>
    </w:p>
    <w:p w14:paraId="07A1836A" w14:textId="77777777" w:rsidR="00F7113A" w:rsidRPr="00580C0D" w:rsidRDefault="00142E5B" w:rsidP="00580C0D">
      <w:pPr>
        <w:pStyle w:val="avsnitt-undertittel"/>
      </w:pPr>
      <w:r w:rsidRPr="00580C0D">
        <w:t>Vedtak nr. 1250, 16. juni 2021</w:t>
      </w:r>
    </w:p>
    <w:p w14:paraId="5A3B2A23" w14:textId="77777777" w:rsidR="00F7113A" w:rsidRPr="00580C0D" w:rsidRDefault="00142E5B" w:rsidP="00580C0D">
      <w:pPr>
        <w:pStyle w:val="blokksit"/>
        <w:rPr>
          <w:rStyle w:val="kursiv"/>
        </w:rPr>
      </w:pPr>
      <w:r w:rsidRPr="00580C0D">
        <w:rPr>
          <w:rStyle w:val="kursiv"/>
        </w:rPr>
        <w:t>«Stortinget ber regjeringen legge fram en helhetlig utredning om eiendomsskatten og herunder utrede et tak for eiendomsskatt på ordinære boliger og hytter, og komme tilbake til Stortinget på eigna måte.»</w:t>
      </w:r>
    </w:p>
    <w:p w14:paraId="2ACC5622"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192 S (2020–2021) </w:t>
      </w:r>
      <w:r w:rsidRPr="00580C0D">
        <w:rPr>
          <w:rStyle w:val="kursiv"/>
        </w:rPr>
        <w:t>Kommuneproposisjonen for 2022,</w:t>
      </w:r>
      <w:r w:rsidRPr="00580C0D">
        <w:t xml:space="preserve"> jf. </w:t>
      </w:r>
      <w:proofErr w:type="spellStart"/>
      <w:r w:rsidRPr="00580C0D">
        <w:t>Innst</w:t>
      </w:r>
      <w:proofErr w:type="spellEnd"/>
      <w:r w:rsidRPr="00580C0D">
        <w:t xml:space="preserve">. 660 S (2020–2021). Regjeringa vil vurdere korleis vedtaket skal </w:t>
      </w:r>
      <w:proofErr w:type="spellStart"/>
      <w:r w:rsidRPr="00580C0D">
        <w:t>følgjast</w:t>
      </w:r>
      <w:proofErr w:type="spellEnd"/>
      <w:r w:rsidRPr="00580C0D">
        <w:t xml:space="preserve"> opp og vil </w:t>
      </w:r>
      <w:proofErr w:type="spellStart"/>
      <w:r w:rsidRPr="00580C0D">
        <w:t>kome</w:t>
      </w:r>
      <w:proofErr w:type="spellEnd"/>
      <w:r w:rsidRPr="00580C0D">
        <w:t xml:space="preserve"> tilbake til Stortinget om saka.</w:t>
      </w:r>
    </w:p>
    <w:p w14:paraId="7C1132E2" w14:textId="77777777" w:rsidR="00F7113A" w:rsidRPr="00580C0D" w:rsidRDefault="00142E5B" w:rsidP="00580C0D">
      <w:pPr>
        <w:pStyle w:val="Overskrift2"/>
      </w:pPr>
      <w:r w:rsidRPr="00580C0D">
        <w:t>Stortingssesjon 2019–2020</w:t>
      </w:r>
    </w:p>
    <w:p w14:paraId="3ADA14D1" w14:textId="77777777" w:rsidR="00F7113A" w:rsidRPr="00580C0D" w:rsidRDefault="00142E5B" w:rsidP="00580C0D">
      <w:pPr>
        <w:pStyle w:val="avsnitt-tittel"/>
      </w:pPr>
      <w:r w:rsidRPr="00580C0D">
        <w:t xml:space="preserve">Kulturmiljømeldinga – </w:t>
      </w:r>
      <w:proofErr w:type="spellStart"/>
      <w:r w:rsidRPr="00580C0D">
        <w:t>vedlikehald</w:t>
      </w:r>
      <w:proofErr w:type="spellEnd"/>
      <w:r w:rsidRPr="00580C0D">
        <w:t xml:space="preserve"> av </w:t>
      </w:r>
      <w:proofErr w:type="spellStart"/>
      <w:r w:rsidRPr="00580C0D">
        <w:t>privateigde</w:t>
      </w:r>
      <w:proofErr w:type="spellEnd"/>
      <w:r w:rsidRPr="00580C0D">
        <w:t xml:space="preserve"> kulturminne og kulturmiljø</w:t>
      </w:r>
    </w:p>
    <w:p w14:paraId="5B5D748F" w14:textId="77777777" w:rsidR="00F7113A" w:rsidRPr="00580C0D" w:rsidRDefault="00142E5B" w:rsidP="00580C0D">
      <w:pPr>
        <w:pStyle w:val="avsnitt-undertittel"/>
      </w:pPr>
      <w:r w:rsidRPr="00580C0D">
        <w:t>Vedtak nr. 707, 16. juni 2020</w:t>
      </w:r>
    </w:p>
    <w:p w14:paraId="2B4D7B9A" w14:textId="77777777" w:rsidR="00F7113A" w:rsidRPr="00580C0D" w:rsidRDefault="00142E5B" w:rsidP="00580C0D">
      <w:pPr>
        <w:pStyle w:val="blokksit"/>
        <w:rPr>
          <w:rStyle w:val="kursiv"/>
        </w:rPr>
      </w:pPr>
      <w:r w:rsidRPr="00580C0D">
        <w:rPr>
          <w:rStyle w:val="kursiv"/>
        </w:rPr>
        <w:t xml:space="preserve">«Stortinget ber regjeringen i samband med bevaringsstrategiene, fremme forslag om hvordan staten kan stimulere private eiere av kulturminner og kulturmiljøer til jevnt, godt vedlikehold gjennom skatte- og </w:t>
      </w:r>
      <w:proofErr w:type="spellStart"/>
      <w:r w:rsidRPr="00580C0D">
        <w:rPr>
          <w:rStyle w:val="kursiv"/>
        </w:rPr>
        <w:t>avgiftsinsentiver</w:t>
      </w:r>
      <w:proofErr w:type="spellEnd"/>
      <w:r w:rsidRPr="00580C0D">
        <w:rPr>
          <w:rStyle w:val="kursiv"/>
        </w:rPr>
        <w:t>.»</w:t>
      </w:r>
    </w:p>
    <w:p w14:paraId="568B7AC4"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16 (2019–2020) – </w:t>
      </w:r>
      <w:r w:rsidRPr="00580C0D">
        <w:rPr>
          <w:rStyle w:val="kursiv"/>
        </w:rPr>
        <w:t>Nye mål i kulturmiljøpolitikken – Engasjement, bærekraft og mangfold</w:t>
      </w:r>
      <w:r w:rsidRPr="00580C0D">
        <w:t xml:space="preserve">, jf. </w:t>
      </w:r>
      <w:proofErr w:type="spellStart"/>
      <w:r w:rsidRPr="00580C0D">
        <w:t>Innst</w:t>
      </w:r>
      <w:proofErr w:type="spellEnd"/>
      <w:r w:rsidRPr="00580C0D">
        <w:t xml:space="preserve">. 379 S (2019–2020). Oppmodingsvedtaket vil </w:t>
      </w:r>
      <w:proofErr w:type="spellStart"/>
      <w:r w:rsidRPr="00580C0D">
        <w:t>verte</w:t>
      </w:r>
      <w:proofErr w:type="spellEnd"/>
      <w:r w:rsidRPr="00580C0D">
        <w:t xml:space="preserve"> </w:t>
      </w:r>
      <w:proofErr w:type="spellStart"/>
      <w:r w:rsidRPr="00580C0D">
        <w:t>følgt</w:t>
      </w:r>
      <w:proofErr w:type="spellEnd"/>
      <w:r w:rsidRPr="00580C0D">
        <w:t xml:space="preserve"> opp i samråd med Klima- og miljødepartementet og i samsvar med nye </w:t>
      </w:r>
      <w:proofErr w:type="spellStart"/>
      <w:r w:rsidRPr="00580C0D">
        <w:t>bevaringsstrategiar</w:t>
      </w:r>
      <w:proofErr w:type="spellEnd"/>
      <w:r w:rsidRPr="00580C0D">
        <w:t xml:space="preserve"> som Klima- og miljødepartementet førebur. Sjå omtale i </w:t>
      </w:r>
      <w:proofErr w:type="spellStart"/>
      <w:r w:rsidRPr="00580C0D">
        <w:t>Prop</w:t>
      </w:r>
      <w:proofErr w:type="spellEnd"/>
      <w:r w:rsidRPr="00580C0D">
        <w:t xml:space="preserve">. 1 S (2023–2024) for Klima- og miljødepartementet. Finansdepartementet vil </w:t>
      </w:r>
      <w:proofErr w:type="spellStart"/>
      <w:r w:rsidRPr="00580C0D">
        <w:t>kome</w:t>
      </w:r>
      <w:proofErr w:type="spellEnd"/>
      <w:r w:rsidRPr="00580C0D">
        <w:t xml:space="preserve"> tilbake til Stortinget om saka.</w:t>
      </w:r>
    </w:p>
    <w:p w14:paraId="3FF19768" w14:textId="77777777" w:rsidR="00F7113A" w:rsidRPr="00580C0D" w:rsidRDefault="00142E5B" w:rsidP="00580C0D">
      <w:pPr>
        <w:pStyle w:val="avsnitt-tittel"/>
      </w:pPr>
      <w:proofErr w:type="spellStart"/>
      <w:r w:rsidRPr="00580C0D">
        <w:t>Reiarlagskatteordninga</w:t>
      </w:r>
      <w:proofErr w:type="spellEnd"/>
    </w:p>
    <w:p w14:paraId="324A4155" w14:textId="77777777" w:rsidR="00F7113A" w:rsidRPr="00580C0D" w:rsidRDefault="00142E5B" w:rsidP="00580C0D">
      <w:pPr>
        <w:pStyle w:val="avsnitt-undertittel"/>
      </w:pPr>
      <w:r w:rsidRPr="00580C0D">
        <w:t>Vedtak nr. 784, 19. juni 2020</w:t>
      </w:r>
    </w:p>
    <w:p w14:paraId="65B91778" w14:textId="77777777" w:rsidR="00F7113A" w:rsidRPr="00580C0D" w:rsidRDefault="00142E5B" w:rsidP="00580C0D">
      <w:pPr>
        <w:pStyle w:val="blokksit"/>
        <w:rPr>
          <w:rStyle w:val="kursiv"/>
        </w:rPr>
      </w:pPr>
      <w:r w:rsidRPr="00580C0D">
        <w:rPr>
          <w:rStyle w:val="kursiv"/>
        </w:rPr>
        <w:t>«Stortinget ber regjeringen å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statsbudsjettet for 2021.»</w:t>
      </w:r>
    </w:p>
    <w:p w14:paraId="08C63C46"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2 (2019–2020), jf. </w:t>
      </w:r>
      <w:proofErr w:type="spellStart"/>
      <w:r w:rsidRPr="00580C0D">
        <w:t>Innst</w:t>
      </w:r>
      <w:proofErr w:type="spellEnd"/>
      <w:r w:rsidRPr="00580C0D">
        <w:t xml:space="preserve">. 360 S (2019–2020). 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w:t>
      </w:r>
      <w:proofErr w:type="spellStart"/>
      <w:r w:rsidRPr="00580C0D">
        <w:t>omtala</w:t>
      </w:r>
      <w:proofErr w:type="spellEnd"/>
      <w:r w:rsidRPr="00580C0D">
        <w:t xml:space="preserve"> i </w:t>
      </w:r>
      <w:proofErr w:type="spellStart"/>
      <w:r w:rsidRPr="00580C0D">
        <w:t>Prop</w:t>
      </w:r>
      <w:proofErr w:type="spellEnd"/>
      <w:r w:rsidRPr="00580C0D">
        <w:t>. 1 LS (2023–2024), kapittel 14.</w:t>
      </w:r>
    </w:p>
    <w:p w14:paraId="38030F90" w14:textId="77777777" w:rsidR="00F7113A" w:rsidRPr="00580C0D" w:rsidRDefault="00142E5B" w:rsidP="00580C0D">
      <w:pPr>
        <w:pStyle w:val="Overskrift2"/>
      </w:pPr>
      <w:r w:rsidRPr="00580C0D">
        <w:t>Stortingssesjon 2016–2017</w:t>
      </w:r>
    </w:p>
    <w:p w14:paraId="6878E1C0" w14:textId="77777777" w:rsidR="00F7113A" w:rsidRPr="00580C0D" w:rsidRDefault="00142E5B" w:rsidP="00580C0D">
      <w:pPr>
        <w:pStyle w:val="avsnitt-tittel"/>
      </w:pPr>
      <w:r w:rsidRPr="00580C0D">
        <w:t>Land-for-land rapportering</w:t>
      </w:r>
    </w:p>
    <w:p w14:paraId="007965CF" w14:textId="77777777" w:rsidR="00F7113A" w:rsidRPr="00580C0D" w:rsidRDefault="00142E5B" w:rsidP="00580C0D">
      <w:pPr>
        <w:pStyle w:val="avsnitt-undertittel"/>
      </w:pPr>
      <w:r w:rsidRPr="00580C0D">
        <w:t>Vedtak nr. 48, 15. november 2016</w:t>
      </w:r>
    </w:p>
    <w:p w14:paraId="4C436E9F" w14:textId="77777777" w:rsidR="00F7113A" w:rsidRPr="00580C0D" w:rsidRDefault="00142E5B" w:rsidP="00580C0D">
      <w:pPr>
        <w:pStyle w:val="blokksit"/>
        <w:rPr>
          <w:rStyle w:val="kursiv"/>
        </w:rPr>
      </w:pPr>
      <w:r w:rsidRPr="00580C0D">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51F79AF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Prop</w:t>
      </w:r>
      <w:proofErr w:type="spellEnd"/>
      <w:r w:rsidRPr="00580C0D">
        <w:t xml:space="preserve">. 120 L (2015–2016) </w:t>
      </w:r>
      <w:r w:rsidRPr="00580C0D">
        <w:rPr>
          <w:rStyle w:val="kursiv"/>
        </w:rPr>
        <w:t>Endringer i ligningsloven (land-for-land-rapportering til skattemyndighetene)</w:t>
      </w:r>
      <w:r w:rsidRPr="00580C0D">
        <w:t xml:space="preserve"> og </w:t>
      </w:r>
      <w:proofErr w:type="spellStart"/>
      <w:r w:rsidRPr="00580C0D">
        <w:t>tilhøyrande</w:t>
      </w:r>
      <w:proofErr w:type="spellEnd"/>
      <w:r w:rsidRPr="00580C0D">
        <w:t xml:space="preserve"> </w:t>
      </w:r>
      <w:proofErr w:type="spellStart"/>
      <w:r w:rsidRPr="00580C0D">
        <w:t>Innst</w:t>
      </w:r>
      <w:proofErr w:type="spellEnd"/>
      <w:r w:rsidRPr="00580C0D">
        <w:t xml:space="preserve">. 42 L (2016–2017). Departementet tar sikte på å utarbeide og høyre framlegg til </w:t>
      </w:r>
      <w:proofErr w:type="spellStart"/>
      <w:r w:rsidRPr="00580C0D">
        <w:t>lovendringar</w:t>
      </w:r>
      <w:proofErr w:type="spellEnd"/>
      <w:r w:rsidRPr="00580C0D">
        <w:t>, med utgangspunkt i nye EU-</w:t>
      </w:r>
      <w:proofErr w:type="spellStart"/>
      <w:r w:rsidRPr="00580C0D">
        <w:t>reglar</w:t>
      </w:r>
      <w:proofErr w:type="spellEnd"/>
      <w:r w:rsidRPr="00580C0D">
        <w:t xml:space="preserve"> (direktiv (EU) 2021/2101), der òg oppmodingsvedtaket vil </w:t>
      </w:r>
      <w:proofErr w:type="spellStart"/>
      <w:r w:rsidRPr="00580C0D">
        <w:t>verte</w:t>
      </w:r>
      <w:proofErr w:type="spellEnd"/>
      <w:r w:rsidRPr="00580C0D">
        <w:t xml:space="preserve"> </w:t>
      </w:r>
      <w:proofErr w:type="spellStart"/>
      <w:r w:rsidRPr="00580C0D">
        <w:t>følgt</w:t>
      </w:r>
      <w:proofErr w:type="spellEnd"/>
      <w:r w:rsidRPr="00580C0D">
        <w:t xml:space="preserve"> opp. Vedtaket vil </w:t>
      </w:r>
      <w:proofErr w:type="spellStart"/>
      <w:r w:rsidRPr="00580C0D">
        <w:t>verte</w:t>
      </w:r>
      <w:proofErr w:type="spellEnd"/>
      <w:r w:rsidRPr="00580C0D">
        <w:t xml:space="preserve"> </w:t>
      </w:r>
      <w:proofErr w:type="spellStart"/>
      <w:r w:rsidRPr="00580C0D">
        <w:t>følgt</w:t>
      </w:r>
      <w:proofErr w:type="spellEnd"/>
      <w:r w:rsidRPr="00580C0D">
        <w:t xml:space="preserve"> opp i samband med vedtak nr. 35-36 av 2. desember 2021.</w:t>
      </w:r>
    </w:p>
    <w:p w14:paraId="230196F5" w14:textId="77777777" w:rsidR="00F7113A" w:rsidRPr="00580C0D" w:rsidRDefault="00142E5B" w:rsidP="00580C0D">
      <w:pPr>
        <w:pStyle w:val="avsnitt-tittel"/>
      </w:pPr>
      <w:r w:rsidRPr="00580C0D">
        <w:t xml:space="preserve">Sikre behovet hos </w:t>
      </w:r>
      <w:proofErr w:type="spellStart"/>
      <w:r w:rsidRPr="00580C0D">
        <w:t>bustadkjøparar</w:t>
      </w:r>
      <w:proofErr w:type="spellEnd"/>
      <w:r w:rsidRPr="00580C0D">
        <w:t xml:space="preserve"> for </w:t>
      </w:r>
      <w:proofErr w:type="spellStart"/>
      <w:r w:rsidRPr="00580C0D">
        <w:t>meir</w:t>
      </w:r>
      <w:proofErr w:type="spellEnd"/>
      <w:r w:rsidRPr="00580C0D">
        <w:t xml:space="preserve"> tid i bustadhandelen</w:t>
      </w:r>
    </w:p>
    <w:p w14:paraId="0F08ED94" w14:textId="77777777" w:rsidR="00F7113A" w:rsidRPr="00580C0D" w:rsidRDefault="00142E5B" w:rsidP="00580C0D">
      <w:pPr>
        <w:pStyle w:val="avsnitt-undertittel"/>
      </w:pPr>
      <w:r w:rsidRPr="00580C0D">
        <w:t>Vedtak nr. 1040, 20. juni 2017</w:t>
      </w:r>
    </w:p>
    <w:p w14:paraId="648EFF8F" w14:textId="77777777" w:rsidR="00F7113A" w:rsidRPr="00580C0D" w:rsidRDefault="00142E5B" w:rsidP="00580C0D">
      <w:pPr>
        <w:pStyle w:val="blokksit"/>
        <w:rPr>
          <w:rStyle w:val="kursiv"/>
        </w:rPr>
      </w:pPr>
      <w:r w:rsidRPr="00580C0D">
        <w:rPr>
          <w:rStyle w:val="kursiv"/>
        </w:rPr>
        <w:t>«Stortinget ber regjeringen sikre boligkjøpernes behov for mer tid i bolighandelen gjennom forskriftene til eiendomsmeglingsloven eller ved å fremme forslag for Stortinget om endringer i avhendingsloven»</w:t>
      </w:r>
    </w:p>
    <w:p w14:paraId="5CEF0503"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8:123 S (2016–2017) </w:t>
      </w:r>
      <w:r w:rsidRPr="00580C0D">
        <w:rPr>
          <w:rStyle w:val="kursiv"/>
        </w:rPr>
        <w:t xml:space="preserve">Representantforslag fra stortingsrepresentantene Hans Olav Syversen, Line Henriette Hjemdal, Hans Fredrik Grøvan, Kjell Ingolf Ropstad og Geir Sigbjørn </w:t>
      </w:r>
      <w:proofErr w:type="spellStart"/>
      <w:r w:rsidRPr="00580C0D">
        <w:rPr>
          <w:rStyle w:val="kursiv"/>
        </w:rPr>
        <w:t>Toskedal</w:t>
      </w:r>
      <w:proofErr w:type="spellEnd"/>
      <w:r w:rsidRPr="00580C0D">
        <w:rPr>
          <w:rStyle w:val="kursiv"/>
        </w:rPr>
        <w:t xml:space="preserve"> om tiltak for å styrke forbrukernes rettigheter i handel med bolig</w:t>
      </w:r>
      <w:r w:rsidRPr="00580C0D">
        <w:t xml:space="preserve">, jf. </w:t>
      </w:r>
      <w:proofErr w:type="spellStart"/>
      <w:r w:rsidRPr="00580C0D">
        <w:t>Innst</w:t>
      </w:r>
      <w:proofErr w:type="spellEnd"/>
      <w:r w:rsidRPr="00580C0D">
        <w:t>. 477 S (2016–2017).</w:t>
      </w:r>
    </w:p>
    <w:p w14:paraId="58A02BCA" w14:textId="77777777" w:rsidR="00F7113A" w:rsidRPr="00580C0D" w:rsidRDefault="00142E5B" w:rsidP="00580C0D">
      <w:proofErr w:type="spellStart"/>
      <w:r w:rsidRPr="00580C0D">
        <w:t>Eit</w:t>
      </w:r>
      <w:proofErr w:type="spellEnd"/>
      <w:r w:rsidRPr="00580C0D">
        <w:t xml:space="preserve"> </w:t>
      </w:r>
      <w:proofErr w:type="spellStart"/>
      <w:r w:rsidRPr="00580C0D">
        <w:t>utval</w:t>
      </w:r>
      <w:proofErr w:type="spellEnd"/>
      <w:r w:rsidRPr="00580C0D">
        <w:t xml:space="preserve"> vart sett ned 11. oktober 2019 for å revidere </w:t>
      </w:r>
      <w:proofErr w:type="spellStart"/>
      <w:r w:rsidRPr="00580C0D">
        <w:t>eigedomsmeklingslova</w:t>
      </w:r>
      <w:proofErr w:type="spellEnd"/>
      <w:r w:rsidRPr="00580C0D">
        <w:t xml:space="preserve">. </w:t>
      </w:r>
      <w:proofErr w:type="spellStart"/>
      <w:r w:rsidRPr="00580C0D">
        <w:t>Utvalet</w:t>
      </w:r>
      <w:proofErr w:type="spellEnd"/>
      <w:r w:rsidRPr="00580C0D">
        <w:t xml:space="preserve"> overleverte si utgreiing, NOU 2021: 7 </w:t>
      </w:r>
      <w:r w:rsidRPr="00580C0D">
        <w:rPr>
          <w:rStyle w:val="kursiv"/>
        </w:rPr>
        <w:t>Trygg og enkel eiendomsmegling — Evaluering av eiendomsmeglingsloven og forslag til en fremtidsrettet regulering</w:t>
      </w:r>
      <w:r w:rsidRPr="00580C0D">
        <w:t xml:space="preserve">, 4. juni 2021. Utgreiinga </w:t>
      </w:r>
      <w:proofErr w:type="spellStart"/>
      <w:r w:rsidRPr="00580C0D">
        <w:t>inneheld</w:t>
      </w:r>
      <w:proofErr w:type="spellEnd"/>
      <w:r w:rsidRPr="00580C0D">
        <w:t xml:space="preserve"> mellom anna framlegg til </w:t>
      </w:r>
      <w:proofErr w:type="spellStart"/>
      <w:r w:rsidRPr="00580C0D">
        <w:t>endringar</w:t>
      </w:r>
      <w:proofErr w:type="spellEnd"/>
      <w:r w:rsidRPr="00580C0D">
        <w:t xml:space="preserve"> som skal sikre </w:t>
      </w:r>
      <w:proofErr w:type="spellStart"/>
      <w:r w:rsidRPr="00580C0D">
        <w:t>forbrukarar</w:t>
      </w:r>
      <w:proofErr w:type="spellEnd"/>
      <w:r w:rsidRPr="00580C0D">
        <w:t xml:space="preserve"> </w:t>
      </w:r>
      <w:proofErr w:type="spellStart"/>
      <w:r w:rsidRPr="00580C0D">
        <w:t>meir</w:t>
      </w:r>
      <w:proofErr w:type="spellEnd"/>
      <w:r w:rsidRPr="00580C0D">
        <w:t xml:space="preserve"> tid i bustadhandelen. Utgreiinga har </w:t>
      </w:r>
      <w:proofErr w:type="spellStart"/>
      <w:r w:rsidRPr="00580C0D">
        <w:t>vore</w:t>
      </w:r>
      <w:proofErr w:type="spellEnd"/>
      <w:r w:rsidRPr="00580C0D">
        <w:t xml:space="preserve"> på </w:t>
      </w:r>
      <w:proofErr w:type="spellStart"/>
      <w:r w:rsidRPr="00580C0D">
        <w:t>høyring</w:t>
      </w:r>
      <w:proofErr w:type="spellEnd"/>
      <w:r w:rsidRPr="00580C0D">
        <w:t xml:space="preserve"> til oktober 2021 og ligg </w:t>
      </w:r>
      <w:proofErr w:type="spellStart"/>
      <w:r w:rsidRPr="00580C0D">
        <w:t>no</w:t>
      </w:r>
      <w:proofErr w:type="spellEnd"/>
      <w:r w:rsidRPr="00580C0D">
        <w:t xml:space="preserve"> til vurdering i departementet.</w:t>
      </w:r>
    </w:p>
    <w:p w14:paraId="13BCCD36" w14:textId="77777777" w:rsidR="00F7113A" w:rsidRPr="00580C0D" w:rsidRDefault="00142E5B" w:rsidP="00580C0D">
      <w:pPr>
        <w:pStyle w:val="Overskrift1"/>
      </w:pPr>
      <w:r w:rsidRPr="00580C0D">
        <w:t>Forsvarsdepartementet</w:t>
      </w:r>
    </w:p>
    <w:p w14:paraId="4D194883" w14:textId="7C209501" w:rsidR="00F7113A" w:rsidRDefault="00142E5B" w:rsidP="00580C0D">
      <w:r w:rsidRPr="00580C0D">
        <w:t xml:space="preserve">Nedenfor gis en oversikt over oppfølging av anmodnings- og utredningsvedtak under Forsvarsdepartementet. Oversikten inkluderer alle vedtak fra stortingssesjonen 2022–2023, samt de vedtak fra tidligere stortingssesjoner som kontroll- og konstitusjonskomiteen i </w:t>
      </w:r>
      <w:proofErr w:type="spellStart"/>
      <w:r w:rsidRPr="00580C0D">
        <w:t>Innst</w:t>
      </w:r>
      <w:proofErr w:type="spellEnd"/>
      <w:r w:rsidRPr="00580C0D">
        <w:t>. 186 S (2022–2023) mente ikke var kvittert ut. I tabellen nedenfor angis det også om Forsvarsdepartementet planlegger at rapporteringen knyttet til anmodningsvedtaket nå avsluttes eller om departementet vil rapportere konkret på vedtaket også i neste års budsjettproposisjon.</w:t>
      </w:r>
    </w:p>
    <w:p w14:paraId="090148C5" w14:textId="1151555B" w:rsidR="001231A3" w:rsidRPr="00580C0D" w:rsidRDefault="001231A3" w:rsidP="001231A3">
      <w:pPr>
        <w:pStyle w:val="tabell-tittel"/>
      </w:pPr>
      <w:r w:rsidRPr="00580C0D">
        <w:t>Oversikt over anmodnings- og utredningsvedtak, ordnet etter sesjon og nummer</w:t>
      </w:r>
    </w:p>
    <w:p w14:paraId="5DFFB6C2" w14:textId="77777777" w:rsidR="00F7113A" w:rsidRPr="00580C0D" w:rsidRDefault="00142E5B" w:rsidP="00580C0D">
      <w:pPr>
        <w:pStyle w:val="Tabellnavn"/>
      </w:pPr>
      <w:r w:rsidRPr="00580C0D">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260"/>
        <w:gridCol w:w="1107"/>
        <w:gridCol w:w="5670"/>
        <w:gridCol w:w="1523"/>
      </w:tblGrid>
      <w:tr w:rsidR="00F7113A" w:rsidRPr="00580C0D" w14:paraId="6E23CD96" w14:textId="77777777" w:rsidTr="001231A3">
        <w:trPr>
          <w:trHeight w:val="600"/>
        </w:trPr>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6C3111" w14:textId="77777777" w:rsidR="00F7113A" w:rsidRPr="00580C0D" w:rsidRDefault="00142E5B" w:rsidP="001231A3">
            <w:r w:rsidRPr="00580C0D">
              <w:t>Sesjon</w:t>
            </w:r>
          </w:p>
        </w:tc>
        <w:tc>
          <w:tcPr>
            <w:tcW w:w="11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A30AB4" w14:textId="77777777" w:rsidR="00F7113A" w:rsidRPr="00580C0D" w:rsidRDefault="00142E5B" w:rsidP="001231A3">
            <w:pPr>
              <w:jc w:val="center"/>
            </w:pPr>
            <w:r w:rsidRPr="00580C0D">
              <w:t>Vedtak nr.</w:t>
            </w:r>
          </w:p>
        </w:tc>
        <w:tc>
          <w:tcPr>
            <w:tcW w:w="56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DE77B4" w14:textId="77777777" w:rsidR="00F7113A" w:rsidRPr="00580C0D" w:rsidRDefault="00142E5B" w:rsidP="001231A3">
            <w:r w:rsidRPr="00580C0D">
              <w:t>Stikkord</w:t>
            </w:r>
          </w:p>
        </w:tc>
        <w:tc>
          <w:tcPr>
            <w:tcW w:w="15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305D7" w14:textId="77777777" w:rsidR="00F7113A" w:rsidRPr="00580C0D" w:rsidRDefault="00142E5B" w:rsidP="001231A3">
            <w:pPr>
              <w:jc w:val="right"/>
            </w:pPr>
            <w:r w:rsidRPr="00580C0D">
              <w:t>Rapportering avsluttes</w:t>
            </w:r>
          </w:p>
        </w:tc>
      </w:tr>
      <w:tr w:rsidR="00F7113A" w:rsidRPr="00580C0D" w14:paraId="397504CD" w14:textId="77777777" w:rsidTr="001231A3">
        <w:trPr>
          <w:trHeight w:val="380"/>
        </w:trPr>
        <w:tc>
          <w:tcPr>
            <w:tcW w:w="1260" w:type="dxa"/>
            <w:tcBorders>
              <w:top w:val="single" w:sz="4" w:space="0" w:color="000000"/>
              <w:left w:val="nil"/>
              <w:bottom w:val="nil"/>
              <w:right w:val="nil"/>
            </w:tcBorders>
            <w:tcMar>
              <w:top w:w="128" w:type="dxa"/>
              <w:left w:w="43" w:type="dxa"/>
              <w:bottom w:w="43" w:type="dxa"/>
              <w:right w:w="43" w:type="dxa"/>
            </w:tcMar>
          </w:tcPr>
          <w:p w14:paraId="6E92F471" w14:textId="77777777" w:rsidR="00F7113A" w:rsidRPr="00580C0D" w:rsidRDefault="00142E5B" w:rsidP="001231A3">
            <w:r w:rsidRPr="00580C0D">
              <w:t>2022–2023</w:t>
            </w:r>
          </w:p>
        </w:tc>
        <w:tc>
          <w:tcPr>
            <w:tcW w:w="1107" w:type="dxa"/>
            <w:tcBorders>
              <w:top w:val="single" w:sz="4" w:space="0" w:color="000000"/>
              <w:left w:val="nil"/>
              <w:bottom w:val="nil"/>
              <w:right w:val="nil"/>
            </w:tcBorders>
            <w:tcMar>
              <w:top w:w="128" w:type="dxa"/>
              <w:left w:w="43" w:type="dxa"/>
              <w:bottom w:w="43" w:type="dxa"/>
              <w:right w:w="43" w:type="dxa"/>
            </w:tcMar>
          </w:tcPr>
          <w:p w14:paraId="16B8841F" w14:textId="77777777" w:rsidR="00F7113A" w:rsidRPr="00580C0D" w:rsidRDefault="00142E5B" w:rsidP="001231A3">
            <w:pPr>
              <w:ind w:right="340"/>
              <w:jc w:val="right"/>
            </w:pPr>
            <w:r w:rsidRPr="00580C0D">
              <w:t>154</w:t>
            </w:r>
          </w:p>
        </w:tc>
        <w:tc>
          <w:tcPr>
            <w:tcW w:w="5670" w:type="dxa"/>
            <w:tcBorders>
              <w:top w:val="single" w:sz="4" w:space="0" w:color="000000"/>
              <w:left w:val="nil"/>
              <w:bottom w:val="nil"/>
              <w:right w:val="nil"/>
            </w:tcBorders>
            <w:tcMar>
              <w:top w:w="128" w:type="dxa"/>
              <w:left w:w="43" w:type="dxa"/>
              <w:bottom w:w="43" w:type="dxa"/>
              <w:right w:w="43" w:type="dxa"/>
            </w:tcMar>
          </w:tcPr>
          <w:p w14:paraId="3FB1507C" w14:textId="77777777" w:rsidR="00F7113A" w:rsidRPr="00580C0D" w:rsidRDefault="00142E5B" w:rsidP="001231A3">
            <w:r w:rsidRPr="00580C0D">
              <w:t>Forsvarsloven – kontrakt om tjenesteplikt</w:t>
            </w:r>
          </w:p>
        </w:tc>
        <w:tc>
          <w:tcPr>
            <w:tcW w:w="1523" w:type="dxa"/>
            <w:tcBorders>
              <w:top w:val="single" w:sz="4" w:space="0" w:color="000000"/>
              <w:left w:val="nil"/>
              <w:bottom w:val="nil"/>
              <w:right w:val="nil"/>
            </w:tcBorders>
            <w:tcMar>
              <w:top w:w="128" w:type="dxa"/>
              <w:left w:w="43" w:type="dxa"/>
              <w:bottom w:w="43" w:type="dxa"/>
              <w:right w:w="43" w:type="dxa"/>
            </w:tcMar>
          </w:tcPr>
          <w:p w14:paraId="106979DE" w14:textId="77777777" w:rsidR="00F7113A" w:rsidRPr="00580C0D" w:rsidRDefault="00142E5B" w:rsidP="001231A3">
            <w:pPr>
              <w:jc w:val="right"/>
            </w:pPr>
            <w:r w:rsidRPr="00580C0D">
              <w:t>Nei</w:t>
            </w:r>
          </w:p>
        </w:tc>
      </w:tr>
      <w:tr w:rsidR="00F7113A" w:rsidRPr="00580C0D" w14:paraId="16B99211" w14:textId="77777777" w:rsidTr="001231A3">
        <w:trPr>
          <w:trHeight w:val="380"/>
        </w:trPr>
        <w:tc>
          <w:tcPr>
            <w:tcW w:w="1260" w:type="dxa"/>
            <w:tcBorders>
              <w:top w:val="nil"/>
              <w:left w:val="nil"/>
              <w:bottom w:val="nil"/>
              <w:right w:val="nil"/>
            </w:tcBorders>
            <w:tcMar>
              <w:top w:w="128" w:type="dxa"/>
              <w:left w:w="43" w:type="dxa"/>
              <w:bottom w:w="43" w:type="dxa"/>
              <w:right w:w="43" w:type="dxa"/>
            </w:tcMar>
          </w:tcPr>
          <w:p w14:paraId="59460D6E" w14:textId="77777777" w:rsidR="00F7113A" w:rsidRPr="00580C0D" w:rsidRDefault="00142E5B" w:rsidP="001231A3">
            <w:r w:rsidRPr="00580C0D">
              <w:t>2020–2021</w:t>
            </w:r>
          </w:p>
        </w:tc>
        <w:tc>
          <w:tcPr>
            <w:tcW w:w="1107" w:type="dxa"/>
            <w:tcBorders>
              <w:top w:val="nil"/>
              <w:left w:val="nil"/>
              <w:bottom w:val="nil"/>
              <w:right w:val="nil"/>
            </w:tcBorders>
            <w:tcMar>
              <w:top w:w="128" w:type="dxa"/>
              <w:left w:w="43" w:type="dxa"/>
              <w:bottom w:w="43" w:type="dxa"/>
              <w:right w:w="43" w:type="dxa"/>
            </w:tcMar>
          </w:tcPr>
          <w:p w14:paraId="6F7E1072" w14:textId="77777777" w:rsidR="00F7113A" w:rsidRPr="00580C0D" w:rsidRDefault="00142E5B" w:rsidP="001231A3">
            <w:pPr>
              <w:ind w:right="340"/>
              <w:jc w:val="right"/>
            </w:pPr>
            <w:r w:rsidRPr="00580C0D">
              <w:t>124</w:t>
            </w:r>
          </w:p>
        </w:tc>
        <w:tc>
          <w:tcPr>
            <w:tcW w:w="5670" w:type="dxa"/>
            <w:tcBorders>
              <w:top w:val="nil"/>
              <w:left w:val="nil"/>
              <w:bottom w:val="nil"/>
              <w:right w:val="nil"/>
            </w:tcBorders>
            <w:tcMar>
              <w:top w:w="128" w:type="dxa"/>
              <w:left w:w="43" w:type="dxa"/>
              <w:bottom w:w="43" w:type="dxa"/>
              <w:right w:w="43" w:type="dxa"/>
            </w:tcMar>
          </w:tcPr>
          <w:p w14:paraId="5249DD4C" w14:textId="77777777" w:rsidR="00F7113A" w:rsidRPr="00580C0D" w:rsidRDefault="00142E5B" w:rsidP="001231A3">
            <w:r w:rsidRPr="00580C0D">
              <w:t xml:space="preserve">Vurderinger om standardisert fartøyklasse </w:t>
            </w:r>
          </w:p>
        </w:tc>
        <w:tc>
          <w:tcPr>
            <w:tcW w:w="1523" w:type="dxa"/>
            <w:tcBorders>
              <w:top w:val="nil"/>
              <w:left w:val="nil"/>
              <w:bottom w:val="nil"/>
              <w:right w:val="nil"/>
            </w:tcBorders>
            <w:tcMar>
              <w:top w:w="128" w:type="dxa"/>
              <w:left w:w="43" w:type="dxa"/>
              <w:bottom w:w="43" w:type="dxa"/>
              <w:right w:w="43" w:type="dxa"/>
            </w:tcMar>
          </w:tcPr>
          <w:p w14:paraId="76BB9E6C" w14:textId="77777777" w:rsidR="00F7113A" w:rsidRPr="00580C0D" w:rsidRDefault="00142E5B" w:rsidP="001231A3">
            <w:pPr>
              <w:jc w:val="right"/>
            </w:pPr>
            <w:r w:rsidRPr="00580C0D">
              <w:t xml:space="preserve">Nei </w:t>
            </w:r>
          </w:p>
        </w:tc>
      </w:tr>
      <w:tr w:rsidR="00F7113A" w:rsidRPr="00580C0D" w14:paraId="06545997" w14:textId="77777777" w:rsidTr="001231A3">
        <w:trPr>
          <w:trHeight w:val="380"/>
        </w:trPr>
        <w:tc>
          <w:tcPr>
            <w:tcW w:w="1260" w:type="dxa"/>
            <w:tcBorders>
              <w:top w:val="nil"/>
              <w:left w:val="nil"/>
              <w:bottom w:val="nil"/>
              <w:right w:val="nil"/>
            </w:tcBorders>
            <w:tcMar>
              <w:top w:w="128" w:type="dxa"/>
              <w:left w:w="43" w:type="dxa"/>
              <w:bottom w:w="43" w:type="dxa"/>
              <w:right w:w="43" w:type="dxa"/>
            </w:tcMar>
          </w:tcPr>
          <w:p w14:paraId="68256154" w14:textId="77777777" w:rsidR="00F7113A" w:rsidRPr="00580C0D" w:rsidRDefault="00142E5B" w:rsidP="001231A3">
            <w:r w:rsidRPr="00580C0D">
              <w:t>2020–2021</w:t>
            </w:r>
          </w:p>
        </w:tc>
        <w:tc>
          <w:tcPr>
            <w:tcW w:w="1107" w:type="dxa"/>
            <w:tcBorders>
              <w:top w:val="nil"/>
              <w:left w:val="nil"/>
              <w:bottom w:val="nil"/>
              <w:right w:val="nil"/>
            </w:tcBorders>
            <w:tcMar>
              <w:top w:w="128" w:type="dxa"/>
              <w:left w:w="43" w:type="dxa"/>
              <w:bottom w:w="43" w:type="dxa"/>
              <w:right w:w="43" w:type="dxa"/>
            </w:tcMar>
          </w:tcPr>
          <w:p w14:paraId="7D13B478" w14:textId="77777777" w:rsidR="00F7113A" w:rsidRPr="00580C0D" w:rsidRDefault="00142E5B" w:rsidP="001231A3">
            <w:pPr>
              <w:ind w:right="340"/>
              <w:jc w:val="right"/>
            </w:pPr>
            <w:r w:rsidRPr="00580C0D">
              <w:t>128</w:t>
            </w:r>
          </w:p>
        </w:tc>
        <w:tc>
          <w:tcPr>
            <w:tcW w:w="5670" w:type="dxa"/>
            <w:tcBorders>
              <w:top w:val="nil"/>
              <w:left w:val="nil"/>
              <w:bottom w:val="nil"/>
              <w:right w:val="nil"/>
            </w:tcBorders>
            <w:tcMar>
              <w:top w:w="128" w:type="dxa"/>
              <w:left w:w="43" w:type="dxa"/>
              <w:bottom w:w="43" w:type="dxa"/>
              <w:right w:w="43" w:type="dxa"/>
            </w:tcMar>
          </w:tcPr>
          <w:p w14:paraId="77FF6171" w14:textId="77777777" w:rsidR="00F7113A" w:rsidRPr="00580C0D" w:rsidRDefault="00142E5B" w:rsidP="001231A3">
            <w:r w:rsidRPr="00580C0D">
              <w:t>Nye helikoptre til dedikert helikopterstøtte for Hæren</w:t>
            </w:r>
          </w:p>
        </w:tc>
        <w:tc>
          <w:tcPr>
            <w:tcW w:w="1523" w:type="dxa"/>
            <w:tcBorders>
              <w:top w:val="nil"/>
              <w:left w:val="nil"/>
              <w:bottom w:val="nil"/>
              <w:right w:val="nil"/>
            </w:tcBorders>
            <w:tcMar>
              <w:top w:w="128" w:type="dxa"/>
              <w:left w:w="43" w:type="dxa"/>
              <w:bottom w:w="43" w:type="dxa"/>
              <w:right w:w="43" w:type="dxa"/>
            </w:tcMar>
          </w:tcPr>
          <w:p w14:paraId="1B4A2403" w14:textId="77777777" w:rsidR="00F7113A" w:rsidRPr="00580C0D" w:rsidRDefault="00142E5B" w:rsidP="001231A3">
            <w:pPr>
              <w:jc w:val="right"/>
            </w:pPr>
            <w:r w:rsidRPr="00580C0D">
              <w:t>Nei</w:t>
            </w:r>
          </w:p>
        </w:tc>
      </w:tr>
      <w:tr w:rsidR="00F7113A" w:rsidRPr="00580C0D" w14:paraId="378D4667" w14:textId="77777777" w:rsidTr="001231A3">
        <w:trPr>
          <w:trHeight w:val="380"/>
        </w:trPr>
        <w:tc>
          <w:tcPr>
            <w:tcW w:w="1260" w:type="dxa"/>
            <w:tcBorders>
              <w:top w:val="nil"/>
              <w:left w:val="nil"/>
              <w:bottom w:val="nil"/>
              <w:right w:val="nil"/>
            </w:tcBorders>
            <w:tcMar>
              <w:top w:w="128" w:type="dxa"/>
              <w:left w:w="43" w:type="dxa"/>
              <w:bottom w:w="43" w:type="dxa"/>
              <w:right w:w="43" w:type="dxa"/>
            </w:tcMar>
          </w:tcPr>
          <w:p w14:paraId="6CFDA8CE" w14:textId="77777777" w:rsidR="00F7113A" w:rsidRPr="00580C0D" w:rsidRDefault="00142E5B" w:rsidP="001231A3">
            <w:r w:rsidRPr="00580C0D">
              <w:t>2020–2021</w:t>
            </w:r>
          </w:p>
        </w:tc>
        <w:tc>
          <w:tcPr>
            <w:tcW w:w="1107" w:type="dxa"/>
            <w:tcBorders>
              <w:top w:val="nil"/>
              <w:left w:val="nil"/>
              <w:bottom w:val="nil"/>
              <w:right w:val="nil"/>
            </w:tcBorders>
            <w:tcMar>
              <w:top w:w="128" w:type="dxa"/>
              <w:left w:w="43" w:type="dxa"/>
              <w:bottom w:w="43" w:type="dxa"/>
              <w:right w:w="43" w:type="dxa"/>
            </w:tcMar>
          </w:tcPr>
          <w:p w14:paraId="5A41D474" w14:textId="77777777" w:rsidR="00F7113A" w:rsidRPr="00580C0D" w:rsidRDefault="00142E5B" w:rsidP="001231A3">
            <w:pPr>
              <w:ind w:right="340"/>
              <w:jc w:val="right"/>
            </w:pPr>
            <w:r w:rsidRPr="00580C0D">
              <w:t>131</w:t>
            </w:r>
          </w:p>
        </w:tc>
        <w:tc>
          <w:tcPr>
            <w:tcW w:w="5670" w:type="dxa"/>
            <w:tcBorders>
              <w:top w:val="nil"/>
              <w:left w:val="nil"/>
              <w:bottom w:val="nil"/>
              <w:right w:val="nil"/>
            </w:tcBorders>
            <w:tcMar>
              <w:top w:w="128" w:type="dxa"/>
              <w:left w:w="43" w:type="dxa"/>
              <w:bottom w:w="43" w:type="dxa"/>
              <w:right w:w="43" w:type="dxa"/>
            </w:tcMar>
          </w:tcPr>
          <w:p w14:paraId="2A805C74" w14:textId="77777777" w:rsidR="00F7113A" w:rsidRPr="00580C0D" w:rsidRDefault="00142E5B" w:rsidP="001231A3">
            <w:r w:rsidRPr="00580C0D">
              <w:t>Utrede å benytte Haslemoen og Drevjamoen</w:t>
            </w:r>
          </w:p>
        </w:tc>
        <w:tc>
          <w:tcPr>
            <w:tcW w:w="1523" w:type="dxa"/>
            <w:tcBorders>
              <w:top w:val="nil"/>
              <w:left w:val="nil"/>
              <w:bottom w:val="nil"/>
              <w:right w:val="nil"/>
            </w:tcBorders>
            <w:tcMar>
              <w:top w:w="128" w:type="dxa"/>
              <w:left w:w="43" w:type="dxa"/>
              <w:bottom w:w="43" w:type="dxa"/>
              <w:right w:w="43" w:type="dxa"/>
            </w:tcMar>
          </w:tcPr>
          <w:p w14:paraId="1967A0B7" w14:textId="77777777" w:rsidR="00F7113A" w:rsidRPr="00580C0D" w:rsidRDefault="00142E5B" w:rsidP="001231A3">
            <w:pPr>
              <w:jc w:val="right"/>
            </w:pPr>
            <w:r w:rsidRPr="00580C0D">
              <w:t>Nei</w:t>
            </w:r>
          </w:p>
        </w:tc>
      </w:tr>
      <w:tr w:rsidR="00F7113A" w:rsidRPr="00580C0D" w14:paraId="05F890C7" w14:textId="77777777" w:rsidTr="001231A3">
        <w:trPr>
          <w:trHeight w:val="380"/>
        </w:trPr>
        <w:tc>
          <w:tcPr>
            <w:tcW w:w="1260" w:type="dxa"/>
            <w:tcBorders>
              <w:top w:val="nil"/>
              <w:left w:val="nil"/>
              <w:bottom w:val="nil"/>
              <w:right w:val="nil"/>
            </w:tcBorders>
            <w:tcMar>
              <w:top w:w="128" w:type="dxa"/>
              <w:left w:w="43" w:type="dxa"/>
              <w:bottom w:w="43" w:type="dxa"/>
              <w:right w:w="43" w:type="dxa"/>
            </w:tcMar>
          </w:tcPr>
          <w:p w14:paraId="41D2A08E" w14:textId="77777777" w:rsidR="00F7113A" w:rsidRPr="00580C0D" w:rsidRDefault="00142E5B" w:rsidP="001231A3">
            <w:r w:rsidRPr="00580C0D">
              <w:t>2020–2021</w:t>
            </w:r>
          </w:p>
        </w:tc>
        <w:tc>
          <w:tcPr>
            <w:tcW w:w="1107" w:type="dxa"/>
            <w:tcBorders>
              <w:top w:val="nil"/>
              <w:left w:val="nil"/>
              <w:bottom w:val="nil"/>
              <w:right w:val="nil"/>
            </w:tcBorders>
            <w:tcMar>
              <w:top w:w="128" w:type="dxa"/>
              <w:left w:w="43" w:type="dxa"/>
              <w:bottom w:w="43" w:type="dxa"/>
              <w:right w:w="43" w:type="dxa"/>
            </w:tcMar>
          </w:tcPr>
          <w:p w14:paraId="486637D5" w14:textId="77777777" w:rsidR="00F7113A" w:rsidRPr="00580C0D" w:rsidRDefault="00142E5B" w:rsidP="001231A3">
            <w:pPr>
              <w:ind w:right="340"/>
              <w:jc w:val="right"/>
            </w:pPr>
            <w:r w:rsidRPr="00580C0D">
              <w:t>133</w:t>
            </w:r>
          </w:p>
        </w:tc>
        <w:tc>
          <w:tcPr>
            <w:tcW w:w="5670" w:type="dxa"/>
            <w:tcBorders>
              <w:top w:val="nil"/>
              <w:left w:val="nil"/>
              <w:bottom w:val="nil"/>
              <w:right w:val="nil"/>
            </w:tcBorders>
            <w:tcMar>
              <w:top w:w="128" w:type="dxa"/>
              <w:left w:w="43" w:type="dxa"/>
              <w:bottom w:w="43" w:type="dxa"/>
              <w:right w:w="43" w:type="dxa"/>
            </w:tcMar>
          </w:tcPr>
          <w:p w14:paraId="1478D4D4" w14:textId="77777777" w:rsidR="00F7113A" w:rsidRPr="00580C0D" w:rsidRDefault="00142E5B" w:rsidP="001231A3">
            <w:r w:rsidRPr="00580C0D">
              <w:t>Utredning om bruk av ikke-militært ansatte</w:t>
            </w:r>
          </w:p>
        </w:tc>
        <w:tc>
          <w:tcPr>
            <w:tcW w:w="1523" w:type="dxa"/>
            <w:tcBorders>
              <w:top w:val="nil"/>
              <w:left w:val="nil"/>
              <w:bottom w:val="nil"/>
              <w:right w:val="nil"/>
            </w:tcBorders>
            <w:tcMar>
              <w:top w:w="128" w:type="dxa"/>
              <w:left w:w="43" w:type="dxa"/>
              <w:bottom w:w="43" w:type="dxa"/>
              <w:right w:w="43" w:type="dxa"/>
            </w:tcMar>
          </w:tcPr>
          <w:p w14:paraId="7A897273" w14:textId="77777777" w:rsidR="00F7113A" w:rsidRPr="00580C0D" w:rsidRDefault="00142E5B" w:rsidP="001231A3">
            <w:pPr>
              <w:jc w:val="right"/>
            </w:pPr>
            <w:r w:rsidRPr="00580C0D">
              <w:t>Nei</w:t>
            </w:r>
          </w:p>
        </w:tc>
      </w:tr>
      <w:tr w:rsidR="00F7113A" w:rsidRPr="00580C0D" w14:paraId="0102DBBA" w14:textId="77777777" w:rsidTr="001231A3">
        <w:trPr>
          <w:trHeight w:val="380"/>
        </w:trPr>
        <w:tc>
          <w:tcPr>
            <w:tcW w:w="1260" w:type="dxa"/>
            <w:tcBorders>
              <w:top w:val="nil"/>
              <w:left w:val="nil"/>
              <w:bottom w:val="nil"/>
              <w:right w:val="nil"/>
            </w:tcBorders>
            <w:tcMar>
              <w:top w:w="128" w:type="dxa"/>
              <w:left w:w="43" w:type="dxa"/>
              <w:bottom w:w="43" w:type="dxa"/>
              <w:right w:w="43" w:type="dxa"/>
            </w:tcMar>
          </w:tcPr>
          <w:p w14:paraId="2BD6E475" w14:textId="77777777" w:rsidR="00F7113A" w:rsidRPr="00580C0D" w:rsidRDefault="00142E5B" w:rsidP="001231A3">
            <w:r w:rsidRPr="00580C0D">
              <w:t>2020–2021</w:t>
            </w:r>
          </w:p>
        </w:tc>
        <w:tc>
          <w:tcPr>
            <w:tcW w:w="1107" w:type="dxa"/>
            <w:tcBorders>
              <w:top w:val="nil"/>
              <w:left w:val="nil"/>
              <w:bottom w:val="nil"/>
              <w:right w:val="nil"/>
            </w:tcBorders>
            <w:tcMar>
              <w:top w:w="128" w:type="dxa"/>
              <w:left w:w="43" w:type="dxa"/>
              <w:bottom w:w="43" w:type="dxa"/>
              <w:right w:w="43" w:type="dxa"/>
            </w:tcMar>
          </w:tcPr>
          <w:p w14:paraId="6E071EE3" w14:textId="77777777" w:rsidR="00F7113A" w:rsidRPr="00580C0D" w:rsidRDefault="00142E5B" w:rsidP="001231A3">
            <w:pPr>
              <w:ind w:right="340"/>
              <w:jc w:val="right"/>
            </w:pPr>
            <w:r w:rsidRPr="00580C0D">
              <w:t>1099</w:t>
            </w:r>
          </w:p>
        </w:tc>
        <w:tc>
          <w:tcPr>
            <w:tcW w:w="5670" w:type="dxa"/>
            <w:tcBorders>
              <w:top w:val="nil"/>
              <w:left w:val="nil"/>
              <w:bottom w:val="nil"/>
              <w:right w:val="nil"/>
            </w:tcBorders>
            <w:tcMar>
              <w:top w:w="128" w:type="dxa"/>
              <w:left w:w="43" w:type="dxa"/>
              <w:bottom w:w="43" w:type="dxa"/>
              <w:right w:w="43" w:type="dxa"/>
            </w:tcMar>
          </w:tcPr>
          <w:p w14:paraId="2238E81F" w14:textId="77777777" w:rsidR="00F7113A" w:rsidRPr="00580C0D" w:rsidRDefault="00142E5B" w:rsidP="001231A3">
            <w:r w:rsidRPr="00580C0D">
              <w:t>Ivaretakelse av de nasjonale kulturhistoriske verdiene på Kjeller</w:t>
            </w:r>
          </w:p>
        </w:tc>
        <w:tc>
          <w:tcPr>
            <w:tcW w:w="1523" w:type="dxa"/>
            <w:tcBorders>
              <w:top w:val="nil"/>
              <w:left w:val="nil"/>
              <w:bottom w:val="nil"/>
              <w:right w:val="nil"/>
            </w:tcBorders>
            <w:tcMar>
              <w:top w:w="128" w:type="dxa"/>
              <w:left w:w="43" w:type="dxa"/>
              <w:bottom w:w="43" w:type="dxa"/>
              <w:right w:w="43" w:type="dxa"/>
            </w:tcMar>
          </w:tcPr>
          <w:p w14:paraId="7C2DB843" w14:textId="77777777" w:rsidR="00F7113A" w:rsidRPr="00580C0D" w:rsidRDefault="00142E5B" w:rsidP="001231A3">
            <w:pPr>
              <w:jc w:val="right"/>
            </w:pPr>
            <w:r w:rsidRPr="00580C0D">
              <w:t>Nei</w:t>
            </w:r>
          </w:p>
        </w:tc>
      </w:tr>
      <w:tr w:rsidR="00F7113A" w:rsidRPr="00580C0D" w14:paraId="5C9B4479" w14:textId="77777777" w:rsidTr="001231A3">
        <w:trPr>
          <w:trHeight w:val="380"/>
        </w:trPr>
        <w:tc>
          <w:tcPr>
            <w:tcW w:w="1260" w:type="dxa"/>
            <w:tcBorders>
              <w:top w:val="nil"/>
              <w:left w:val="nil"/>
              <w:bottom w:val="nil"/>
              <w:right w:val="nil"/>
            </w:tcBorders>
            <w:tcMar>
              <w:top w:w="128" w:type="dxa"/>
              <w:left w:w="43" w:type="dxa"/>
              <w:bottom w:w="43" w:type="dxa"/>
              <w:right w:w="43" w:type="dxa"/>
            </w:tcMar>
          </w:tcPr>
          <w:p w14:paraId="65B42BEF" w14:textId="77777777" w:rsidR="00F7113A" w:rsidRPr="00580C0D" w:rsidRDefault="00142E5B" w:rsidP="001231A3">
            <w:r w:rsidRPr="00580C0D">
              <w:t>2020–2021</w:t>
            </w:r>
          </w:p>
        </w:tc>
        <w:tc>
          <w:tcPr>
            <w:tcW w:w="1107" w:type="dxa"/>
            <w:tcBorders>
              <w:top w:val="nil"/>
              <w:left w:val="nil"/>
              <w:bottom w:val="nil"/>
              <w:right w:val="nil"/>
            </w:tcBorders>
            <w:tcMar>
              <w:top w:w="128" w:type="dxa"/>
              <w:left w:w="43" w:type="dxa"/>
              <w:bottom w:w="43" w:type="dxa"/>
              <w:right w:w="43" w:type="dxa"/>
            </w:tcMar>
          </w:tcPr>
          <w:p w14:paraId="4C0666F6" w14:textId="77777777" w:rsidR="00F7113A" w:rsidRPr="00580C0D" w:rsidRDefault="00142E5B" w:rsidP="001231A3">
            <w:pPr>
              <w:ind w:right="340"/>
              <w:jc w:val="right"/>
            </w:pPr>
            <w:r w:rsidRPr="00580C0D">
              <w:t>1187</w:t>
            </w:r>
          </w:p>
        </w:tc>
        <w:tc>
          <w:tcPr>
            <w:tcW w:w="5670" w:type="dxa"/>
            <w:tcBorders>
              <w:top w:val="nil"/>
              <w:left w:val="nil"/>
              <w:bottom w:val="nil"/>
              <w:right w:val="nil"/>
            </w:tcBorders>
            <w:tcMar>
              <w:top w:w="128" w:type="dxa"/>
              <w:left w:w="43" w:type="dxa"/>
              <w:bottom w:w="43" w:type="dxa"/>
              <w:right w:w="43" w:type="dxa"/>
            </w:tcMar>
          </w:tcPr>
          <w:p w14:paraId="2CA8C954" w14:textId="77777777" w:rsidR="00F7113A" w:rsidRPr="00580C0D" w:rsidRDefault="00142E5B" w:rsidP="001231A3">
            <w:r w:rsidRPr="00580C0D">
              <w:t>Statlig bidrag til istandsettelsen av Den gamle krigsskole</w:t>
            </w:r>
          </w:p>
        </w:tc>
        <w:tc>
          <w:tcPr>
            <w:tcW w:w="1523" w:type="dxa"/>
            <w:tcBorders>
              <w:top w:val="nil"/>
              <w:left w:val="nil"/>
              <w:bottom w:val="nil"/>
              <w:right w:val="nil"/>
            </w:tcBorders>
            <w:tcMar>
              <w:top w:w="128" w:type="dxa"/>
              <w:left w:w="43" w:type="dxa"/>
              <w:bottom w:w="43" w:type="dxa"/>
              <w:right w:w="43" w:type="dxa"/>
            </w:tcMar>
          </w:tcPr>
          <w:p w14:paraId="62406CD0" w14:textId="77777777" w:rsidR="00F7113A" w:rsidRPr="00580C0D" w:rsidRDefault="00142E5B" w:rsidP="001231A3">
            <w:pPr>
              <w:jc w:val="right"/>
            </w:pPr>
            <w:r w:rsidRPr="00580C0D">
              <w:t>Ja</w:t>
            </w:r>
          </w:p>
        </w:tc>
      </w:tr>
      <w:tr w:rsidR="00F7113A" w:rsidRPr="00580C0D" w14:paraId="5081DC86" w14:textId="77777777" w:rsidTr="001231A3">
        <w:trPr>
          <w:trHeight w:val="380"/>
        </w:trPr>
        <w:tc>
          <w:tcPr>
            <w:tcW w:w="1260" w:type="dxa"/>
            <w:tcBorders>
              <w:top w:val="nil"/>
              <w:left w:val="nil"/>
              <w:bottom w:val="nil"/>
              <w:right w:val="nil"/>
            </w:tcBorders>
            <w:tcMar>
              <w:top w:w="128" w:type="dxa"/>
              <w:left w:w="43" w:type="dxa"/>
              <w:bottom w:w="43" w:type="dxa"/>
              <w:right w:w="43" w:type="dxa"/>
            </w:tcMar>
          </w:tcPr>
          <w:p w14:paraId="4B9EB8C9" w14:textId="77777777" w:rsidR="00F7113A" w:rsidRPr="00580C0D" w:rsidRDefault="00142E5B" w:rsidP="001231A3">
            <w:r w:rsidRPr="00580C0D">
              <w:t>2019–2020</w:t>
            </w:r>
          </w:p>
        </w:tc>
        <w:tc>
          <w:tcPr>
            <w:tcW w:w="1107" w:type="dxa"/>
            <w:tcBorders>
              <w:top w:val="nil"/>
              <w:left w:val="nil"/>
              <w:bottom w:val="nil"/>
              <w:right w:val="nil"/>
            </w:tcBorders>
            <w:tcMar>
              <w:top w:w="128" w:type="dxa"/>
              <w:left w:w="43" w:type="dxa"/>
              <w:bottom w:w="43" w:type="dxa"/>
              <w:right w:w="43" w:type="dxa"/>
            </w:tcMar>
          </w:tcPr>
          <w:p w14:paraId="2323E744" w14:textId="77777777" w:rsidR="00F7113A" w:rsidRPr="00580C0D" w:rsidRDefault="00142E5B" w:rsidP="001231A3">
            <w:pPr>
              <w:ind w:right="340"/>
              <w:jc w:val="right"/>
            </w:pPr>
            <w:r w:rsidRPr="00580C0D">
              <w:t>676</w:t>
            </w:r>
          </w:p>
        </w:tc>
        <w:tc>
          <w:tcPr>
            <w:tcW w:w="5670" w:type="dxa"/>
            <w:tcBorders>
              <w:top w:val="nil"/>
              <w:left w:val="nil"/>
              <w:bottom w:val="nil"/>
              <w:right w:val="nil"/>
            </w:tcBorders>
            <w:tcMar>
              <w:top w:w="128" w:type="dxa"/>
              <w:left w:w="43" w:type="dxa"/>
              <w:bottom w:w="43" w:type="dxa"/>
              <w:right w:w="43" w:type="dxa"/>
            </w:tcMar>
          </w:tcPr>
          <w:p w14:paraId="336BD2ED" w14:textId="77777777" w:rsidR="00F7113A" w:rsidRPr="00580C0D" w:rsidRDefault="00142E5B" w:rsidP="001231A3">
            <w:r w:rsidRPr="00580C0D">
              <w:t>Evaluering av ny etterretningstjenestelov</w:t>
            </w:r>
          </w:p>
        </w:tc>
        <w:tc>
          <w:tcPr>
            <w:tcW w:w="1523" w:type="dxa"/>
            <w:tcBorders>
              <w:top w:val="nil"/>
              <w:left w:val="nil"/>
              <w:bottom w:val="nil"/>
              <w:right w:val="nil"/>
            </w:tcBorders>
            <w:tcMar>
              <w:top w:w="128" w:type="dxa"/>
              <w:left w:w="43" w:type="dxa"/>
              <w:bottom w:w="43" w:type="dxa"/>
              <w:right w:w="43" w:type="dxa"/>
            </w:tcMar>
          </w:tcPr>
          <w:p w14:paraId="4A87A2EB" w14:textId="77777777" w:rsidR="00F7113A" w:rsidRPr="00580C0D" w:rsidRDefault="00142E5B" w:rsidP="001231A3">
            <w:pPr>
              <w:jc w:val="right"/>
            </w:pPr>
            <w:r w:rsidRPr="00580C0D">
              <w:t>Nei</w:t>
            </w:r>
          </w:p>
        </w:tc>
      </w:tr>
      <w:tr w:rsidR="00F7113A" w:rsidRPr="00580C0D" w14:paraId="74C72455" w14:textId="77777777" w:rsidTr="001231A3">
        <w:trPr>
          <w:trHeight w:val="380"/>
        </w:trPr>
        <w:tc>
          <w:tcPr>
            <w:tcW w:w="1260" w:type="dxa"/>
            <w:tcBorders>
              <w:top w:val="nil"/>
              <w:left w:val="nil"/>
              <w:bottom w:val="single" w:sz="4" w:space="0" w:color="000000"/>
              <w:right w:val="nil"/>
            </w:tcBorders>
            <w:tcMar>
              <w:top w:w="128" w:type="dxa"/>
              <w:left w:w="43" w:type="dxa"/>
              <w:bottom w:w="43" w:type="dxa"/>
              <w:right w:w="43" w:type="dxa"/>
            </w:tcMar>
          </w:tcPr>
          <w:p w14:paraId="20F5E1A4" w14:textId="77777777" w:rsidR="00F7113A" w:rsidRPr="00580C0D" w:rsidRDefault="00142E5B" w:rsidP="001231A3">
            <w:r w:rsidRPr="00580C0D">
              <w:t>2016–2017</w:t>
            </w:r>
          </w:p>
        </w:tc>
        <w:tc>
          <w:tcPr>
            <w:tcW w:w="1107" w:type="dxa"/>
            <w:tcBorders>
              <w:top w:val="nil"/>
              <w:left w:val="nil"/>
              <w:bottom w:val="single" w:sz="4" w:space="0" w:color="000000"/>
              <w:right w:val="nil"/>
            </w:tcBorders>
            <w:tcMar>
              <w:top w:w="128" w:type="dxa"/>
              <w:left w:w="43" w:type="dxa"/>
              <w:bottom w:w="43" w:type="dxa"/>
              <w:right w:w="43" w:type="dxa"/>
            </w:tcMar>
          </w:tcPr>
          <w:p w14:paraId="13DE05B5" w14:textId="77777777" w:rsidR="00F7113A" w:rsidRPr="00580C0D" w:rsidRDefault="00142E5B" w:rsidP="001231A3">
            <w:pPr>
              <w:ind w:right="340"/>
              <w:jc w:val="right"/>
            </w:pPr>
            <w:r w:rsidRPr="00580C0D">
              <w:t>576</w:t>
            </w:r>
          </w:p>
        </w:tc>
        <w:tc>
          <w:tcPr>
            <w:tcW w:w="5670" w:type="dxa"/>
            <w:tcBorders>
              <w:top w:val="nil"/>
              <w:left w:val="nil"/>
              <w:bottom w:val="single" w:sz="4" w:space="0" w:color="000000"/>
              <w:right w:val="nil"/>
            </w:tcBorders>
            <w:tcMar>
              <w:top w:w="128" w:type="dxa"/>
              <w:left w:w="43" w:type="dxa"/>
              <w:bottom w:w="43" w:type="dxa"/>
              <w:right w:w="43" w:type="dxa"/>
            </w:tcMar>
          </w:tcPr>
          <w:p w14:paraId="478D9BEA" w14:textId="77777777" w:rsidR="00F7113A" w:rsidRPr="00580C0D" w:rsidRDefault="00142E5B" w:rsidP="001231A3">
            <w:r w:rsidRPr="00580C0D">
              <w:t>Lovhjemmel for å ivareta rettighetene for fanger</w:t>
            </w:r>
          </w:p>
        </w:tc>
        <w:tc>
          <w:tcPr>
            <w:tcW w:w="1523" w:type="dxa"/>
            <w:tcBorders>
              <w:top w:val="nil"/>
              <w:left w:val="nil"/>
              <w:bottom w:val="single" w:sz="4" w:space="0" w:color="000000"/>
              <w:right w:val="nil"/>
            </w:tcBorders>
            <w:tcMar>
              <w:top w:w="128" w:type="dxa"/>
              <w:left w:w="43" w:type="dxa"/>
              <w:bottom w:w="43" w:type="dxa"/>
              <w:right w:w="43" w:type="dxa"/>
            </w:tcMar>
          </w:tcPr>
          <w:p w14:paraId="1EA32B77" w14:textId="77777777" w:rsidR="00F7113A" w:rsidRPr="00580C0D" w:rsidRDefault="00142E5B" w:rsidP="001231A3">
            <w:pPr>
              <w:jc w:val="right"/>
            </w:pPr>
            <w:r w:rsidRPr="00580C0D">
              <w:t>Nei</w:t>
            </w:r>
          </w:p>
        </w:tc>
      </w:tr>
    </w:tbl>
    <w:p w14:paraId="552DBDFB" w14:textId="5CC7C81D" w:rsidR="00F7113A" w:rsidRPr="00580C0D" w:rsidRDefault="00D665D9" w:rsidP="001A1B0B">
      <w:pPr>
        <w:pStyle w:val="Overskrift2"/>
        <w:numPr>
          <w:ilvl w:val="1"/>
          <w:numId w:val="26"/>
        </w:numPr>
      </w:pPr>
      <w:r>
        <w:softHyphen/>
      </w:r>
      <w:r w:rsidR="00142E5B" w:rsidRPr="00580C0D">
        <w:t>Stortingssesjon 2022–2023</w:t>
      </w:r>
    </w:p>
    <w:p w14:paraId="56DE30E1" w14:textId="77777777" w:rsidR="00F7113A" w:rsidRPr="00580C0D" w:rsidRDefault="00142E5B" w:rsidP="00580C0D">
      <w:pPr>
        <w:pStyle w:val="avsnitt-tittel"/>
      </w:pPr>
      <w:r w:rsidRPr="00580C0D">
        <w:t>Forsvarsloven – kontrakt om tjenesteplikt</w:t>
      </w:r>
    </w:p>
    <w:p w14:paraId="25061AC1" w14:textId="77777777" w:rsidR="00F7113A" w:rsidRPr="00580C0D" w:rsidRDefault="00142E5B" w:rsidP="00580C0D">
      <w:pPr>
        <w:pStyle w:val="avsnitt-undertittel"/>
      </w:pPr>
      <w:r w:rsidRPr="00580C0D">
        <w:t>Vedtak nr. 154, 8. desember 2022</w:t>
      </w:r>
    </w:p>
    <w:p w14:paraId="763D30FB" w14:textId="77777777" w:rsidR="00F7113A" w:rsidRPr="00580C0D" w:rsidRDefault="00142E5B" w:rsidP="00580C0D">
      <w:pPr>
        <w:pStyle w:val="blokksit"/>
        <w:rPr>
          <w:rStyle w:val="kursiv"/>
        </w:rPr>
      </w:pPr>
      <w:r w:rsidRPr="00580C0D">
        <w:rPr>
          <w:rStyle w:val="kursiv"/>
        </w:rPr>
        <w:t xml:space="preserve">«Stortinget ber regjeringen komme tilbake til Stortinget og på egnet vis innen utgangen av 2023 og innen utgangen av 2024, eksempelvis i budsjettproposisjonene for 2024 og 2025, og redegjøre om erfaringer med og konsekvensene av endringene i forsvarsloven, som vedtas ved behandlingen av </w:t>
      </w:r>
      <w:proofErr w:type="spellStart"/>
      <w:r w:rsidRPr="00580C0D">
        <w:rPr>
          <w:rStyle w:val="kursiv"/>
        </w:rPr>
        <w:t>Innst</w:t>
      </w:r>
      <w:proofErr w:type="spellEnd"/>
      <w:r w:rsidRPr="00580C0D">
        <w:rPr>
          <w:rStyle w:val="kursiv"/>
        </w:rPr>
        <w:t>. 74 L (2022–2023), for personell i Forsvaret, herunder omfanget av bruk av kontrakt om tjenesteplikt og hvilket personell i hvilke funksjoner som får kontrakt om tjenesteplikt.»</w:t>
      </w:r>
    </w:p>
    <w:p w14:paraId="248D0957" w14:textId="77777777" w:rsidR="00F7113A" w:rsidRPr="00580C0D" w:rsidRDefault="00142E5B" w:rsidP="00580C0D">
      <w:r w:rsidRPr="00580C0D">
        <w:t xml:space="preserve">Vedtaket ble truffet under behandlingen av </w:t>
      </w:r>
      <w:proofErr w:type="spellStart"/>
      <w:r w:rsidRPr="00580C0D">
        <w:t>Innst</w:t>
      </w:r>
      <w:proofErr w:type="spellEnd"/>
      <w:r w:rsidRPr="00580C0D">
        <w:t xml:space="preserve">. 74 L (2022–2023) til </w:t>
      </w:r>
      <w:proofErr w:type="spellStart"/>
      <w:r w:rsidRPr="00580C0D">
        <w:t>Prop</w:t>
      </w:r>
      <w:proofErr w:type="spellEnd"/>
      <w:r w:rsidRPr="00580C0D">
        <w:t xml:space="preserve">. 134 L (2022–2023) </w:t>
      </w:r>
      <w:r w:rsidRPr="00580C0D">
        <w:rPr>
          <w:rStyle w:val="kursiv"/>
        </w:rPr>
        <w:t>Endringer i forsvarsloven (utvidet adgang til å inngå kontrakt om tjenesteplikt mv.) og lovvedtak 20 (2022–2023)</w:t>
      </w:r>
      <w:r w:rsidRPr="00580C0D">
        <w:t>.</w:t>
      </w:r>
    </w:p>
    <w:p w14:paraId="51AC27B2" w14:textId="77777777" w:rsidR="00F7113A" w:rsidRPr="00580C0D" w:rsidRDefault="00142E5B" w:rsidP="00580C0D">
      <w:r w:rsidRPr="00580C0D">
        <w:t xml:space="preserve">Endringene i forsvarsloven, som ble vedtatt gjennom behandlingen av </w:t>
      </w:r>
      <w:proofErr w:type="spellStart"/>
      <w:r w:rsidRPr="00580C0D">
        <w:t>Innst</w:t>
      </w:r>
      <w:proofErr w:type="spellEnd"/>
      <w:r w:rsidRPr="00580C0D">
        <w:t xml:space="preserve">. 74 L (2022–2023), har ikke </w:t>
      </w:r>
      <w:proofErr w:type="gramStart"/>
      <w:r w:rsidRPr="00580C0D">
        <w:t>trådt</w:t>
      </w:r>
      <w:proofErr w:type="gramEnd"/>
      <w:r w:rsidRPr="00580C0D">
        <w:t xml:space="preserve"> i kraft. Det er derfor for tidlig å redegjøre for erfaringer og konsekvenser av endringene i forsvarsloven. Det fremtidige omfanget av kontrakter om tjenesteplikt vil avhenge av videre utvikling av Forsvaret, herunder styrkestrukturens fremtidige størrelse samt Forsvarets kompetansebehov. Inngåelsen av kontrakter om tjenesteplikt må gjøres innenfor rammen av folkerettslige forpliktelser i krig. Forsvarsdepartementet har på nåværende tidspunkt ikke oversikt over hvor mye omfanget av kontrakt om tjenesteplikt vil øke, og hvilket personell og funksjoner som vil få tilbud om kontrakt om tjenesteplikt. Forsvarsdepartementet vil kunne redegjøre for erfaringer og konsekvenser av endringene i forsvarsloven når endringene har </w:t>
      </w:r>
      <w:proofErr w:type="gramStart"/>
      <w:r w:rsidRPr="00580C0D">
        <w:t>trådt</w:t>
      </w:r>
      <w:proofErr w:type="gramEnd"/>
      <w:r w:rsidRPr="00580C0D">
        <w:t xml:space="preserve"> i kraft og har hatt noe virketid.</w:t>
      </w:r>
    </w:p>
    <w:p w14:paraId="547BB061" w14:textId="77777777" w:rsidR="00F7113A" w:rsidRPr="00580C0D" w:rsidRDefault="00142E5B" w:rsidP="00580C0D">
      <w:pPr>
        <w:pStyle w:val="avsnitt-tittel"/>
      </w:pPr>
      <w:r w:rsidRPr="00580C0D">
        <w:t>Vurderinger om standardisert fartøyklasse</w:t>
      </w:r>
    </w:p>
    <w:p w14:paraId="282A557A" w14:textId="77777777" w:rsidR="00F7113A" w:rsidRPr="00580C0D" w:rsidRDefault="00142E5B" w:rsidP="00580C0D">
      <w:pPr>
        <w:pStyle w:val="avsnitt-undertittel"/>
      </w:pPr>
      <w:r w:rsidRPr="00580C0D">
        <w:t>Vedtak nr. 124, 1. desember 2020</w:t>
      </w:r>
    </w:p>
    <w:p w14:paraId="7B1DF3CC" w14:textId="77777777" w:rsidR="00F7113A" w:rsidRPr="00580C0D" w:rsidRDefault="00142E5B" w:rsidP="00580C0D">
      <w:pPr>
        <w:pStyle w:val="blokksit"/>
        <w:rPr>
          <w:rStyle w:val="kursiv"/>
        </w:rPr>
      </w:pPr>
      <w:r w:rsidRPr="00580C0D">
        <w:rPr>
          <w:rStyle w:val="kursiv"/>
        </w:rPr>
        <w:t xml:space="preserve">«Stortinget ber regjeringen på egnet vis fremme en sak om erstatning av dagens kystvakt- og støttefartøy, herunder en vurdering av en fremtidig standardisert fartøyklasse, og komme tilbake med mulige forseringer i </w:t>
      </w:r>
      <w:proofErr w:type="spellStart"/>
      <w:r w:rsidRPr="00580C0D">
        <w:rPr>
          <w:rStyle w:val="kursiv"/>
        </w:rPr>
        <w:t>Prop</w:t>
      </w:r>
      <w:proofErr w:type="spellEnd"/>
      <w:r w:rsidRPr="00580C0D">
        <w:rPr>
          <w:rStyle w:val="kursiv"/>
        </w:rPr>
        <w:t>. 1 S (2021–2022).»</w:t>
      </w:r>
    </w:p>
    <w:p w14:paraId="471EC814" w14:textId="77777777" w:rsidR="00F7113A" w:rsidRPr="00580C0D" w:rsidRDefault="00142E5B" w:rsidP="00580C0D">
      <w:r w:rsidRPr="00580C0D">
        <w:t xml:space="preserve">Vedtaket ble truffet under behandling av </w:t>
      </w:r>
      <w:proofErr w:type="spellStart"/>
      <w:r w:rsidRPr="00580C0D">
        <w:t>Innst</w:t>
      </w:r>
      <w:proofErr w:type="spellEnd"/>
      <w:r w:rsidRPr="00580C0D">
        <w:t xml:space="preserve">. 87 S (2020–2021) til </w:t>
      </w:r>
      <w:proofErr w:type="spellStart"/>
      <w:r w:rsidRPr="00580C0D">
        <w:t>Prop</w:t>
      </w:r>
      <w:proofErr w:type="spellEnd"/>
      <w:r w:rsidRPr="00580C0D">
        <w:t xml:space="preserve">. 14 S (2020–2021) </w:t>
      </w:r>
      <w:r w:rsidRPr="00580C0D">
        <w:rPr>
          <w:rStyle w:val="kursiv"/>
        </w:rPr>
        <w:t>Evne til forsvar – vilje til beredskap. Langtidsplan for forsvarssektoren</w:t>
      </w:r>
      <w:r w:rsidRPr="00580C0D">
        <w:t>.</w:t>
      </w:r>
    </w:p>
    <w:p w14:paraId="02EE818F" w14:textId="77777777" w:rsidR="00F7113A" w:rsidRPr="00580C0D" w:rsidRDefault="00142E5B" w:rsidP="00580C0D">
      <w:bookmarkStart w:id="1" w:name="RTF5f486c6b3133383233353638"/>
      <w:r w:rsidRPr="00580C0D">
        <w:t>Forsvarsdepartementet har gitt Forsvaret i op</w:t>
      </w:r>
      <w:bookmarkEnd w:id="1"/>
      <w:r w:rsidRPr="00580C0D">
        <w:t>pdrag å gjennomføre en konseptvalgutredning etter statens prosjektmodell for å vurdere muligheten for en standardisert fartøyklasse. Utgangspunktet for utredningen var å vurdere et mulig standardisert fartøy som erstatning for dagens kystvakt- og støttefartøyer når disse faller for levetid, eller når leiekontrakter går ut. Ny fartøystruktur for Sjøforsvaret, inkludert muligheten for en standardisert fartøyklasse og eventuelle forseringer, vil bli vurdert og behandlet i forbindelse med den kommende langtidsplanen for forsvarssektoren.</w:t>
      </w:r>
    </w:p>
    <w:p w14:paraId="12ECF9B5" w14:textId="77777777" w:rsidR="00F7113A" w:rsidRPr="00580C0D" w:rsidRDefault="00142E5B" w:rsidP="00580C0D">
      <w:pPr>
        <w:pStyle w:val="avsnitt-tittel"/>
      </w:pPr>
      <w:r w:rsidRPr="00580C0D">
        <w:t>Nye helikoptre til dedikert helikopterstøtte for Hæren</w:t>
      </w:r>
    </w:p>
    <w:p w14:paraId="2834556C" w14:textId="77777777" w:rsidR="00F7113A" w:rsidRPr="00580C0D" w:rsidRDefault="00142E5B" w:rsidP="00580C0D">
      <w:pPr>
        <w:pStyle w:val="avsnitt-undertittel"/>
      </w:pPr>
      <w:r w:rsidRPr="00580C0D">
        <w:t>Vedtak nr. 128, 1. desember 2020</w:t>
      </w:r>
    </w:p>
    <w:p w14:paraId="7ABDD158" w14:textId="77777777" w:rsidR="00F7113A" w:rsidRPr="00580C0D" w:rsidRDefault="00142E5B" w:rsidP="00580C0D">
      <w:pPr>
        <w:pStyle w:val="blokksit"/>
        <w:rPr>
          <w:rStyle w:val="kursiv"/>
        </w:rPr>
      </w:pPr>
      <w:r w:rsidRPr="00580C0D">
        <w:rPr>
          <w:rStyle w:val="kursiv"/>
        </w:rPr>
        <w:t>«Stortinget ber regjeringen i forbindelse med den planlagte anskaffelsen av nye helikoptre til spesialstyrkene fra 2024, også anskaffe nye helikoptre til dedikert helikopterstøtte for Hæren. De nye helikoptrene skal organiseres i en skvadron på Rygge, og en skvadron på Bardufoss for å understøtte og samvirke med Hæren. Det henstilles til regjeringen å komme tilbake til Stortinget med en egen sak om anskaffelsen av helikoptrene, herunder antall.»</w:t>
      </w:r>
    </w:p>
    <w:p w14:paraId="5F151740" w14:textId="77777777" w:rsidR="00F7113A" w:rsidRPr="00580C0D" w:rsidRDefault="00142E5B" w:rsidP="00580C0D">
      <w:r w:rsidRPr="00580C0D">
        <w:t xml:space="preserve">Vedtaket ble truffet under behandling av </w:t>
      </w:r>
      <w:proofErr w:type="spellStart"/>
      <w:r w:rsidRPr="00580C0D">
        <w:t>Innst</w:t>
      </w:r>
      <w:proofErr w:type="spellEnd"/>
      <w:r w:rsidRPr="00580C0D">
        <w:t xml:space="preserve">. 87 S (2020–2021) til </w:t>
      </w:r>
      <w:proofErr w:type="spellStart"/>
      <w:r w:rsidRPr="00580C0D">
        <w:t>Prop</w:t>
      </w:r>
      <w:proofErr w:type="spellEnd"/>
      <w:r w:rsidRPr="00580C0D">
        <w:t xml:space="preserve">. 14 S (2020–2021) </w:t>
      </w:r>
      <w:r w:rsidRPr="00580C0D">
        <w:rPr>
          <w:rStyle w:val="kursiv"/>
        </w:rPr>
        <w:t>Evne til forsvar – vilje til beredskap. Langtidsplan for forsvarssektoren</w:t>
      </w:r>
      <w:r w:rsidRPr="00580C0D">
        <w:t>.</w:t>
      </w:r>
    </w:p>
    <w:p w14:paraId="4729DCDF" w14:textId="77777777" w:rsidR="00F7113A" w:rsidRPr="00580C0D" w:rsidRDefault="00142E5B" w:rsidP="00580C0D">
      <w:bookmarkStart w:id="2" w:name="RTF5f486c6b3133353734313030"/>
      <w:r w:rsidRPr="00580C0D">
        <w:t>Regjeringen har iverksatt flere tiltak for å øke de</w:t>
      </w:r>
      <w:bookmarkEnd w:id="2"/>
      <w:r w:rsidRPr="00580C0D">
        <w:t xml:space="preserve">n generelle helikopterkapasiteten til Hæren. Forsvaret etablerer en skvadronsledelse på Bardufoss som er operativ fra første kvartal 2024. Forsvaret skal også etablere to </w:t>
      </w:r>
      <w:proofErr w:type="spellStart"/>
      <w:r w:rsidRPr="00580C0D">
        <w:t>vedlikeholdsdokker</w:t>
      </w:r>
      <w:proofErr w:type="spellEnd"/>
      <w:r w:rsidRPr="00580C0D">
        <w:t xml:space="preserve"> for Bell 412 på Bardufoss i 2023 og 2024, for teknisk støtte. Disse tiltakene vil tilrettelegge for helikopteraktivitet i nord og øke flytimeproduksjonen. Regjeringen har i tillegg iverksatt forprosjekt for oppgradering av ni Bell 412 tiltenkt Hæren, og skilt det ut av prosjekt for ny helikopterkapasitet. Prosjekt for oppgradering av Bell 412 vil fremmes for Stortinget etter gjennomført forprosjekt. Nye helikoptre til Forsvarets spesialstyrker skal vurderes i forbindelse med ny langtidsplan for Forsvaret.</w:t>
      </w:r>
    </w:p>
    <w:p w14:paraId="2C0B430F" w14:textId="77777777" w:rsidR="00F7113A" w:rsidRPr="00580C0D" w:rsidRDefault="00142E5B" w:rsidP="00580C0D">
      <w:pPr>
        <w:pStyle w:val="avsnitt-tittel"/>
      </w:pPr>
      <w:r w:rsidRPr="00580C0D">
        <w:t>Utrede å benytte Haslemoen og Drevjamoen</w:t>
      </w:r>
    </w:p>
    <w:p w14:paraId="47186D71" w14:textId="77777777" w:rsidR="00F7113A" w:rsidRPr="00580C0D" w:rsidRDefault="00142E5B" w:rsidP="00580C0D">
      <w:pPr>
        <w:pStyle w:val="avsnitt-undertittel"/>
      </w:pPr>
      <w:r w:rsidRPr="00580C0D">
        <w:t>Vedtak nr. 131, 1. desember 2020</w:t>
      </w:r>
    </w:p>
    <w:p w14:paraId="0F2B5D79" w14:textId="77777777" w:rsidR="00F7113A" w:rsidRPr="00580C0D" w:rsidRDefault="00142E5B" w:rsidP="00580C0D">
      <w:pPr>
        <w:pStyle w:val="blokksit"/>
        <w:rPr>
          <w:rStyle w:val="kursiv"/>
        </w:rPr>
      </w:pPr>
      <w:r w:rsidRPr="00580C0D">
        <w:rPr>
          <w:rStyle w:val="kursiv"/>
        </w:rPr>
        <w:t xml:space="preserve">«Stortinget ber regjeringen utrede å benytte Haslemoen og Drevjamoen som supplement til rekruttskolen som lokaliseres på </w:t>
      </w:r>
      <w:proofErr w:type="spellStart"/>
      <w:r w:rsidRPr="00580C0D">
        <w:rPr>
          <w:rStyle w:val="kursiv"/>
        </w:rPr>
        <w:t>Terningmoen</w:t>
      </w:r>
      <w:proofErr w:type="spellEnd"/>
      <w:r w:rsidRPr="00580C0D">
        <w:rPr>
          <w:rStyle w:val="kursiv"/>
        </w:rPr>
        <w:t xml:space="preserve">, og på egnet måte komme tilbake til dette i forbindelse med </w:t>
      </w:r>
      <w:proofErr w:type="spellStart"/>
      <w:r w:rsidRPr="00580C0D">
        <w:rPr>
          <w:rStyle w:val="kursiv"/>
        </w:rPr>
        <w:t>Prop</w:t>
      </w:r>
      <w:proofErr w:type="spellEnd"/>
      <w:r w:rsidRPr="00580C0D">
        <w:rPr>
          <w:rStyle w:val="kursiv"/>
        </w:rPr>
        <w:t>. 1 S (2021–2022).»</w:t>
      </w:r>
    </w:p>
    <w:p w14:paraId="0DADA122" w14:textId="77777777" w:rsidR="00F7113A" w:rsidRPr="00580C0D" w:rsidRDefault="00142E5B" w:rsidP="00580C0D">
      <w:r w:rsidRPr="00580C0D">
        <w:t xml:space="preserve">Vedtaket ble truffet under behandling av </w:t>
      </w:r>
      <w:proofErr w:type="spellStart"/>
      <w:r w:rsidRPr="00580C0D">
        <w:t>Innst</w:t>
      </w:r>
      <w:proofErr w:type="spellEnd"/>
      <w:r w:rsidRPr="00580C0D">
        <w:t xml:space="preserve">. 87 S (2020–2021) til </w:t>
      </w:r>
      <w:proofErr w:type="spellStart"/>
      <w:r w:rsidRPr="00580C0D">
        <w:t>Prop</w:t>
      </w:r>
      <w:proofErr w:type="spellEnd"/>
      <w:r w:rsidRPr="00580C0D">
        <w:t xml:space="preserve">. 14 S (2020–2021) </w:t>
      </w:r>
      <w:r w:rsidRPr="00580C0D">
        <w:rPr>
          <w:rStyle w:val="kursiv"/>
        </w:rPr>
        <w:t>Evne til forsvar – vilje til beredskap. Langtidsplan for forsvarssektoren</w:t>
      </w:r>
      <w:r w:rsidRPr="00580C0D">
        <w:t>.</w:t>
      </w:r>
    </w:p>
    <w:p w14:paraId="590B5557" w14:textId="77777777" w:rsidR="00F7113A" w:rsidRPr="00580C0D" w:rsidRDefault="00142E5B" w:rsidP="00580C0D">
      <w:r w:rsidRPr="00580C0D">
        <w:t xml:space="preserve">Forsvarsdepartementet har i tråd med </w:t>
      </w:r>
      <w:proofErr w:type="spellStart"/>
      <w:r w:rsidRPr="00580C0D">
        <w:t>Innst</w:t>
      </w:r>
      <w:proofErr w:type="spellEnd"/>
      <w:r w:rsidRPr="00580C0D">
        <w:t xml:space="preserve">. 87 S (2020–2021) til </w:t>
      </w:r>
      <w:proofErr w:type="spellStart"/>
      <w:r w:rsidRPr="00580C0D">
        <w:t>Prop</w:t>
      </w:r>
      <w:proofErr w:type="spellEnd"/>
      <w:r w:rsidRPr="00580C0D">
        <w:t xml:space="preserve">. 14 S (2020–2021) utredet bruk av Drevjamoen eller Haslemoen som supplement i rekruttutdanningen i Forsvaret, jf. omtalen av oppfølging av vedtak nr. 131 i </w:t>
      </w:r>
      <w:proofErr w:type="spellStart"/>
      <w:r w:rsidRPr="00580C0D">
        <w:t>Prop</w:t>
      </w:r>
      <w:proofErr w:type="spellEnd"/>
      <w:r w:rsidRPr="00580C0D">
        <w:t xml:space="preserve">. 1 S (2022–2023). Gjennom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informerte regjeringen Stortinget om det videre arbeidet med å avklare den fremtidige innretningen av rekruttutdanningen i Forsvaret.</w:t>
      </w:r>
    </w:p>
    <w:p w14:paraId="22D5C918" w14:textId="77777777" w:rsidR="00F7113A" w:rsidRPr="00580C0D" w:rsidRDefault="00142E5B" w:rsidP="00580C0D">
      <w:r w:rsidRPr="00580C0D">
        <w:t xml:space="preserve">Det ble lagt til grunn at det siden Stortingets vedtak om etableringen av en felles rekruttskole, jf. </w:t>
      </w:r>
      <w:proofErr w:type="spellStart"/>
      <w:r w:rsidRPr="00580C0D">
        <w:t>Innst</w:t>
      </w:r>
      <w:proofErr w:type="spellEnd"/>
      <w:r w:rsidRPr="00580C0D">
        <w:t xml:space="preserve">. 87 S (2020–2021) til </w:t>
      </w:r>
      <w:proofErr w:type="spellStart"/>
      <w:r w:rsidRPr="00580C0D">
        <w:t>Prop</w:t>
      </w:r>
      <w:proofErr w:type="spellEnd"/>
      <w:r w:rsidRPr="00580C0D">
        <w:t>. 14 S (2020–2021), har vært en betydelig utvikling som påvirker de opprinnelige forutsetningene. Regjeringen vil i lys av dette og anbefalingene fra forsvarssjefen komme tilbake til Stortinget om den fremtidige innretningen av rekruttutdanningen gjennom arbeidet med den kommende langtidsplanen for forsvarssektoren. Som en del av dette arbeidet vil også behovet for eventuelle ytterligere tiltak vurderes.</w:t>
      </w:r>
    </w:p>
    <w:p w14:paraId="7E905310" w14:textId="77777777" w:rsidR="00F7113A" w:rsidRPr="00580C0D" w:rsidRDefault="00142E5B" w:rsidP="00580C0D">
      <w:pPr>
        <w:pStyle w:val="avsnitt-tittel"/>
      </w:pPr>
      <w:bookmarkStart w:id="3" w:name="RTF5f486c6b3133373830393437"/>
      <w:r w:rsidRPr="00580C0D">
        <w:t>Utredning om bruk av ikke-militært ansatte</w:t>
      </w:r>
      <w:bookmarkEnd w:id="3"/>
    </w:p>
    <w:p w14:paraId="01CF999B" w14:textId="77777777" w:rsidR="00F7113A" w:rsidRPr="00580C0D" w:rsidRDefault="00142E5B" w:rsidP="00580C0D">
      <w:pPr>
        <w:pStyle w:val="avsnitt-undertittel"/>
      </w:pPr>
      <w:r w:rsidRPr="00580C0D">
        <w:t>Vedtak nr. 133, 1. desember 2020</w:t>
      </w:r>
    </w:p>
    <w:p w14:paraId="14448E7A" w14:textId="77777777" w:rsidR="00F7113A" w:rsidRPr="00580C0D" w:rsidRDefault="00142E5B" w:rsidP="00580C0D">
      <w:pPr>
        <w:pStyle w:val="blokksit"/>
        <w:rPr>
          <w:rStyle w:val="kursiv"/>
        </w:rPr>
      </w:pPr>
      <w:r w:rsidRPr="00580C0D">
        <w:rPr>
          <w:rStyle w:val="kursiv"/>
        </w:rPr>
        <w:t>«Stortinget ber regjeringen innen 2022 legge fram en utredning om bruk av ikke-militært ansatte og forhold knyttet til krigens folkerett og ikke-militært personell som legitime militære mål.»</w:t>
      </w:r>
    </w:p>
    <w:p w14:paraId="251A9685" w14:textId="77777777" w:rsidR="00F7113A" w:rsidRPr="00580C0D" w:rsidRDefault="00142E5B" w:rsidP="00580C0D">
      <w:r w:rsidRPr="00580C0D">
        <w:t xml:space="preserve">Vedtaket ble truffet under behandling av </w:t>
      </w:r>
      <w:proofErr w:type="spellStart"/>
      <w:r w:rsidRPr="00580C0D">
        <w:t>Innst</w:t>
      </w:r>
      <w:proofErr w:type="spellEnd"/>
      <w:r w:rsidRPr="00580C0D">
        <w:t xml:space="preserve">. 87 S (2020–2021) til </w:t>
      </w:r>
      <w:proofErr w:type="spellStart"/>
      <w:r w:rsidRPr="00580C0D">
        <w:t>Prop</w:t>
      </w:r>
      <w:proofErr w:type="spellEnd"/>
      <w:r w:rsidRPr="00580C0D">
        <w:t xml:space="preserve">. 14 S (2020–2021) </w:t>
      </w:r>
      <w:r w:rsidRPr="00580C0D">
        <w:rPr>
          <w:rStyle w:val="kursiv"/>
        </w:rPr>
        <w:t>Evne til forsvar – vilje til beredskap. Langtidsplan for forsvarssektoren</w:t>
      </w:r>
      <w:r w:rsidRPr="00580C0D">
        <w:t>.</w:t>
      </w:r>
    </w:p>
    <w:p w14:paraId="080D3FA4" w14:textId="77777777" w:rsidR="00F7113A" w:rsidRPr="00580C0D" w:rsidRDefault="00142E5B" w:rsidP="00580C0D">
      <w:bookmarkStart w:id="4" w:name="RTF5f486c6b3133383935303539"/>
      <w:r w:rsidRPr="00580C0D">
        <w:t>Forsvarsdepartementet har gjennomført en ka</w:t>
      </w:r>
      <w:bookmarkEnd w:id="4"/>
      <w:r w:rsidRPr="00580C0D">
        <w:t>rtlegging om bruk av ikke-militært ansatte og forhold knyttet til krigens folkerett og ikke-militært personell som legitime militære mål, og sett dette opp mot ikke-militært ansatte både i Forsvaret, totalforsvaret og hos sivile leverandører/kontraktører. Forsvarsdepartementet vil komme tilbake til Stortinget med en mer utfyllende redegjørelse rundt dette temaet før sommeren 2024.</w:t>
      </w:r>
    </w:p>
    <w:p w14:paraId="7F4F2973" w14:textId="77777777" w:rsidR="00F7113A" w:rsidRPr="00580C0D" w:rsidRDefault="00142E5B" w:rsidP="00580C0D">
      <w:pPr>
        <w:pStyle w:val="avsnitt-tittel"/>
      </w:pPr>
      <w:r w:rsidRPr="00580C0D">
        <w:t>Ivaretakelse av de nasjonale kulturhistoriske verdiene på Kjeller</w:t>
      </w:r>
    </w:p>
    <w:p w14:paraId="1AF62DCC" w14:textId="77777777" w:rsidR="00F7113A" w:rsidRPr="00580C0D" w:rsidRDefault="00142E5B" w:rsidP="00580C0D">
      <w:pPr>
        <w:pStyle w:val="avsnitt-undertittel"/>
      </w:pPr>
      <w:r w:rsidRPr="00580C0D">
        <w:t>Vedtak nr. 1099, 2. juni 2021</w:t>
      </w:r>
    </w:p>
    <w:p w14:paraId="714798E3" w14:textId="77777777" w:rsidR="00F7113A" w:rsidRPr="00580C0D" w:rsidRDefault="00142E5B" w:rsidP="00580C0D">
      <w:pPr>
        <w:pStyle w:val="blokksit"/>
        <w:rPr>
          <w:rStyle w:val="kursiv"/>
        </w:rPr>
      </w:pPr>
      <w:r w:rsidRPr="00580C0D">
        <w:rPr>
          <w:rStyle w:val="kursiv"/>
        </w:rPr>
        <w:t>«Stortinget ber regjeringen legge frem en sak for Stortinget med en plan for hvordan staten kan bidra til at de nasjonale kulturhistoriske verdiene på Kjeller blir ivaretatt.»</w:t>
      </w:r>
    </w:p>
    <w:p w14:paraId="62C13BFE" w14:textId="77777777" w:rsidR="00F7113A" w:rsidRPr="00580C0D" w:rsidRDefault="00142E5B" w:rsidP="00580C0D">
      <w:r w:rsidRPr="00580C0D">
        <w:t xml:space="preserve">Vedtaket ble truffet ved behandling av </w:t>
      </w:r>
      <w:proofErr w:type="spellStart"/>
      <w:r w:rsidRPr="00580C0D">
        <w:t>Innst</w:t>
      </w:r>
      <w:proofErr w:type="spellEnd"/>
      <w:r w:rsidRPr="00580C0D">
        <w:t xml:space="preserve">. 543 S (2020–2021) til Dokument 8:241 S (2020–2021) </w:t>
      </w:r>
      <w:r w:rsidRPr="00580C0D">
        <w:rPr>
          <w:rStyle w:val="kursiv"/>
        </w:rPr>
        <w:t>Representantforslag om en permanent løsning for småflyaktiviteten i Oslo-området og luftfartøyvernsenter på Kjeller</w:t>
      </w:r>
      <w:r w:rsidRPr="00580C0D">
        <w:t>.</w:t>
      </w:r>
    </w:p>
    <w:p w14:paraId="2A275F1C" w14:textId="77777777" w:rsidR="00F7113A" w:rsidRPr="00580C0D" w:rsidRDefault="00142E5B" w:rsidP="00580C0D">
      <w:r w:rsidRPr="00580C0D">
        <w:t xml:space="preserve">Ivaretakelse av nasjonale, kulturhistoriske verdier på Kjeller ses i sammenheng med arbeidet knyttet til avhendingen av Kjeller base. For å legge til rette for at de kulturhistoriske verdiene blir ivaretatt, koordinerer vi arbeidet med pågående prosesser hos Riksantikvaren og Lillestrøm kommune. Det vises også til informasjonssak om avviklingen av Kjeller base i </w:t>
      </w:r>
      <w:proofErr w:type="spellStart"/>
      <w:r w:rsidRPr="00580C0D">
        <w:t>Prop</w:t>
      </w:r>
      <w:proofErr w:type="spellEnd"/>
      <w:r w:rsidRPr="00580C0D">
        <w:t>. 1 S (2021–2022) Del III, 6.8 Avhending av Kjeller base. Fremdriften i Lillestrøm kommunes planprosess tilsier at planen som skal danne grunnlag for etterbruk av Kjeller ikke blir ferdig behandlet før nærmere utgangen av 2026. Riksantikvaren vil samkjøre fredningsprosessen med dette arbeidet. Regjeringen vil komme tilbake til Stortinget om oppfølging av vedtaket.</w:t>
      </w:r>
    </w:p>
    <w:p w14:paraId="437874DC" w14:textId="77777777" w:rsidR="00F7113A" w:rsidRPr="00580C0D" w:rsidRDefault="00142E5B" w:rsidP="00580C0D">
      <w:pPr>
        <w:pStyle w:val="avsnitt-tittel"/>
      </w:pPr>
      <w:r w:rsidRPr="00580C0D">
        <w:t>Statlig bidrag til istandsettelsen av Den gamle krigsskole</w:t>
      </w:r>
    </w:p>
    <w:p w14:paraId="7F2804E5" w14:textId="77777777" w:rsidR="00F7113A" w:rsidRPr="00580C0D" w:rsidRDefault="00142E5B" w:rsidP="00580C0D">
      <w:pPr>
        <w:pStyle w:val="avsnitt-undertittel"/>
      </w:pPr>
      <w:r w:rsidRPr="00580C0D">
        <w:t>Vedtak nr. 1187, 9. juni 2021</w:t>
      </w:r>
    </w:p>
    <w:p w14:paraId="3D50B163" w14:textId="77777777" w:rsidR="00F7113A" w:rsidRPr="00580C0D" w:rsidRDefault="00142E5B" w:rsidP="00580C0D">
      <w:pPr>
        <w:pStyle w:val="blokksit"/>
        <w:rPr>
          <w:rStyle w:val="kursiv"/>
        </w:rPr>
      </w:pPr>
      <w:r w:rsidRPr="00580C0D">
        <w:rPr>
          <w:rStyle w:val="kursiv"/>
        </w:rPr>
        <w:t>«Stortinget ber regjeringen utrede og avklare hvorvidt eventuelle fremtidige tilskudd og/eller driftsmidler til Stiftelsen Den Gamle Krigsskole i forbindelse med bygningsmassen i Tollbugata 10 i Oslo bør utløses via Kulturdepartementet.»</w:t>
      </w:r>
    </w:p>
    <w:p w14:paraId="5BB207E4" w14:textId="77777777" w:rsidR="00F7113A" w:rsidRPr="00580C0D" w:rsidRDefault="00142E5B" w:rsidP="00580C0D">
      <w:r w:rsidRPr="00580C0D">
        <w:t xml:space="preserve">Vedtaket ble truffet ved behandling av </w:t>
      </w:r>
      <w:proofErr w:type="spellStart"/>
      <w:r w:rsidRPr="00580C0D">
        <w:t>Innst</w:t>
      </w:r>
      <w:proofErr w:type="spellEnd"/>
      <w:r w:rsidRPr="00580C0D">
        <w:t xml:space="preserve">. 494 S (2020–2021) til Dokument 8:278 S (2020–2021) </w:t>
      </w:r>
      <w:r w:rsidRPr="00580C0D">
        <w:rPr>
          <w:rStyle w:val="kursiv"/>
        </w:rPr>
        <w:t>Representantforslag om statlig bidrag til istandsettelsen av Den Gamle Krigsskole i Oslo</w:t>
      </w:r>
      <w:r w:rsidRPr="00580C0D">
        <w:t>.</w:t>
      </w:r>
    </w:p>
    <w:p w14:paraId="57E5A95E" w14:textId="77777777" w:rsidR="00F7113A" w:rsidRPr="00580C0D" w:rsidRDefault="00142E5B" w:rsidP="00580C0D">
      <w:r w:rsidRPr="00580C0D">
        <w:t xml:space="preserve">Forsvarsdepartementet igangsatte i 2021 et tverrsektorielt arbeid for å utrede alternativer for fremtidig forvaltning av forsvarssektorens kulturhistoriske eiendommer. Utredningen ble utført av en arbeidsgruppe ledet av Forsvarsbygg, og med representanter fra Kommunal- og </w:t>
      </w:r>
      <w:proofErr w:type="spellStart"/>
      <w:r w:rsidRPr="00580C0D">
        <w:t>distriktsdepartementet</w:t>
      </w:r>
      <w:proofErr w:type="spellEnd"/>
      <w:r w:rsidRPr="00580C0D">
        <w:t>, Kultur- og likestillingsdepartementet, Riksantikvaren og Statsbygg. Rapporten ble levert til Forsvarsdepartementet 15. juni 2022, og har vært på offentlig høring. Utredningen belyser hvordan man eventuelt kan sørge for finansiering innenfor rammen av sektorprinsippet, selv om man eksempelvis avhender slike eiendommer eller velger andre organisasjonsformer for eierskapet.</w:t>
      </w:r>
    </w:p>
    <w:p w14:paraId="209F5870" w14:textId="77777777" w:rsidR="00F7113A" w:rsidRPr="00580C0D" w:rsidRDefault="00142E5B" w:rsidP="00580C0D">
      <w:r w:rsidRPr="00580C0D">
        <w:t xml:space="preserve">Ut fra funnene i dette arbeidet er det konkludert med at det ikke vil være aktuelt å vurdere støtte til tiltaket fra Kultur- og likestillingsdepartementets budsjett. Det som gjelder ved avhending av en kulturhistorisk eiendom, er at staten skal sikre nødvendige klausuler, som bestemmelser, betingelser eller vilkår, for å ivareta gitte føringer. Dette vil sikre at ny eier må ivareta vern i sin videre forvaltning. Dersom ikke annet </w:t>
      </w:r>
      <w:proofErr w:type="gramStart"/>
      <w:r w:rsidRPr="00580C0D">
        <w:t>fremgår</w:t>
      </w:r>
      <w:proofErr w:type="gramEnd"/>
      <w:r w:rsidRPr="00580C0D">
        <w:t xml:space="preserve"> av avtalen vil ansvaret for oppfølging av avtalen fra statens side ligge til den som har inngått avtalen på vegne av staten. Dersom det i forbindelse med avhendingen ikke er inngått avtalerettslige forpliktelser som tilsier noe annet, innebærer avhendingen at staten er fritatt for alle forpliktelser. Det er ikke inngått avtalerettslige forpliktelser fra statens side i avtalen om Den Gamle Krigsskole i Oslo.</w:t>
      </w:r>
    </w:p>
    <w:p w14:paraId="1C1079A3" w14:textId="77777777" w:rsidR="00F7113A" w:rsidRPr="00580C0D" w:rsidRDefault="00142E5B" w:rsidP="00580C0D">
      <w:r w:rsidRPr="00580C0D">
        <w:t>Det er eieren av et kulturminne som er ansvarlig for å ta vare på det. Staten, ved Klima- og miljødepartementet, har søkbare tilskuddsordninger som fordeles av fylkeskommunene (Byantikvaren i Oslo). Tilskuddsordningene skal bidra til å bevare fredete kulturminner og kulturmiljø i privat eie og til at slike settes i stand etter antikvariske retningslinjer. De dekker ikke drift. Drift av lokaler for utleie til private arrangementer i regi av bedrifter, foreninger, organisasjoner e.l. er ikke et offentlig ansvar. At eieren av en fredet bygning også ønsker å legge til rette for utstillinger, kammermusikk og liknende kulturtiltak endrer ikke den vurderingen. Kultur- og likestillingsdepartementets ansvar for drift av lokaler til kunst- og kulturformål er avgrenset til de institusjonene som mottar årlige driftstilskudd fra dette departement, slik som Nasjonalmuseet, Nationaltheatret, Den Norske Opera &amp; Ballett etc.</w:t>
      </w:r>
    </w:p>
    <w:p w14:paraId="3F17177D" w14:textId="77777777" w:rsidR="00F7113A" w:rsidRPr="00580C0D" w:rsidRDefault="00142E5B" w:rsidP="00580C0D">
      <w:r w:rsidRPr="00580C0D">
        <w:t>Når det gjelder investeringer, forvalter Kultur- og likestillingsdepartementet en tilskuddsordning for nasjonale kulturbygg. Denne er begrenset til delfinansiering av bygninger for «institusjoner og tiltak som har en nasjonal oppgave, en landsomfattende funksjon eller en viktig landsdelsfunksjon». Den faktiske eller planlagte bruken av den gamle krigsskolen har ikke en karakter som tilsier at tilskudd kan vurderes innenfor denne ordningen over Kultur- og likestillingsdepartementets budsjett.</w:t>
      </w:r>
    </w:p>
    <w:p w14:paraId="73ECF5DE" w14:textId="77777777" w:rsidR="00F7113A" w:rsidRPr="00580C0D" w:rsidRDefault="00142E5B" w:rsidP="00580C0D">
      <w:r w:rsidRPr="00580C0D">
        <w:t>For investeringsstøtte til lokale og regionale kulturtiltak finnes en desentralisert ordning basert på spillemidler. I dette tilfellet vil Oslo kommune være adressat for en eventuell søknad fra eierstiftelsen.</w:t>
      </w:r>
    </w:p>
    <w:p w14:paraId="64A12F38" w14:textId="77777777" w:rsidR="00F7113A" w:rsidRPr="00580C0D" w:rsidRDefault="00142E5B" w:rsidP="00580C0D">
      <w:r w:rsidRPr="00580C0D">
        <w:t>Dersom det oppstår en situasjon med stor risiko for varig tap av kulturhistorisk verdi, kan kulturmiljømyndigheten stille krav til utbedring og vedlikehold, jf. kulturminneloven §§ 16 og 17. Staten vil også på eget initiativ kunne ta opp spørsmålet om å iverksette avhjelpende tiltak. Et slikt tiltak kan eksempelvis være å gå inn med økonomisk støtte/tilskudd, men det kan også være et forslag om at staten skal kjøpe tilbake eiendommen. Tiltaket vil som hovedregel være begrunnet i statens overordnede ansvar for å sikre kulturmiljøverdier og vil være et politisk vedtak. Dette tilsier at statens faglige ansvar for oppfølging av kulturhistorisk eiendom som er utenfor statens eie, vil kunne følges opp av Klima- og miljødepartementet som har et hovedansvar for strategi- og politikkutvikling for kulturminner og kulturmiljø.</w:t>
      </w:r>
    </w:p>
    <w:p w14:paraId="169D7500" w14:textId="77777777" w:rsidR="00F7113A" w:rsidRPr="00580C0D" w:rsidRDefault="00142E5B" w:rsidP="00580C0D">
      <w:pPr>
        <w:pStyle w:val="Overskrift2"/>
      </w:pPr>
      <w:r w:rsidRPr="00580C0D">
        <w:t>Stortingssesjon 2019–2020</w:t>
      </w:r>
    </w:p>
    <w:p w14:paraId="319E4BEE" w14:textId="77777777" w:rsidR="00F7113A" w:rsidRPr="00580C0D" w:rsidRDefault="00142E5B" w:rsidP="00580C0D">
      <w:pPr>
        <w:pStyle w:val="avsnitt-tittel"/>
      </w:pPr>
      <w:r w:rsidRPr="00580C0D">
        <w:t>Evaluering av ny etterretningstjenestelov</w:t>
      </w:r>
    </w:p>
    <w:p w14:paraId="20D3B584" w14:textId="77777777" w:rsidR="00F7113A" w:rsidRPr="00580C0D" w:rsidRDefault="00142E5B" w:rsidP="00580C0D">
      <w:pPr>
        <w:pStyle w:val="avsnitt-undertittel"/>
      </w:pPr>
      <w:r w:rsidRPr="00580C0D">
        <w:t>Vedtak nr. 676, 11. juni 2020</w:t>
      </w:r>
    </w:p>
    <w:p w14:paraId="74E74A70" w14:textId="77777777" w:rsidR="00F7113A" w:rsidRPr="00580C0D" w:rsidRDefault="00142E5B" w:rsidP="00580C0D">
      <w:pPr>
        <w:pStyle w:val="blokksit"/>
        <w:rPr>
          <w:rStyle w:val="kursiv"/>
        </w:rPr>
      </w:pPr>
      <w:r w:rsidRPr="00580C0D">
        <w:rPr>
          <w:rStyle w:val="kursiv"/>
        </w:rP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EOS-utvalget og domstolene.»</w:t>
      </w:r>
    </w:p>
    <w:p w14:paraId="681FA172" w14:textId="77777777" w:rsidR="00F7113A" w:rsidRPr="00580C0D" w:rsidRDefault="00142E5B" w:rsidP="00580C0D">
      <w:r w:rsidRPr="00580C0D">
        <w:t xml:space="preserve">Vedtaket ble truffet ved behandling av </w:t>
      </w:r>
      <w:proofErr w:type="spellStart"/>
      <w:r w:rsidRPr="00580C0D">
        <w:t>Innst</w:t>
      </w:r>
      <w:proofErr w:type="spellEnd"/>
      <w:r w:rsidRPr="00580C0D">
        <w:t xml:space="preserve">. 357 L (2019–2020) til </w:t>
      </w:r>
      <w:proofErr w:type="spellStart"/>
      <w:r w:rsidRPr="00580C0D">
        <w:t>Prop</w:t>
      </w:r>
      <w:proofErr w:type="spellEnd"/>
      <w:r w:rsidRPr="00580C0D">
        <w:t xml:space="preserve">. 80 L (2019–2020) </w:t>
      </w:r>
      <w:r w:rsidRPr="00580C0D">
        <w:rPr>
          <w:rStyle w:val="kursiv"/>
        </w:rPr>
        <w:t>Lov om Etterretningstjenesten (etterretningstjenesteloven)</w:t>
      </w:r>
      <w:r w:rsidRPr="00580C0D">
        <w:t xml:space="preserve"> og Lovvedtak 134 (2019–2020).</w:t>
      </w:r>
    </w:p>
    <w:p w14:paraId="20818EDF" w14:textId="77777777" w:rsidR="00F7113A" w:rsidRPr="00580C0D" w:rsidRDefault="00142E5B" w:rsidP="00580C0D">
      <w:r w:rsidRPr="00580C0D">
        <w:t xml:space="preserve">Regjeringen vil sørge for en uavhengig evaluering av etterretningstjenesteloven fra full ikrafttredelse slik Stortinget ber om. Etterretningstjenesteloven har </w:t>
      </w:r>
      <w:proofErr w:type="gramStart"/>
      <w:r w:rsidRPr="00580C0D">
        <w:t>trådt</w:t>
      </w:r>
      <w:proofErr w:type="gramEnd"/>
      <w:r w:rsidRPr="00580C0D">
        <w:t xml:space="preserve"> i kraft trinnvis. Den siste bestemmelsen, paragraf 7-3, ble satt i kraft 2. september 2022, slik at systemet for tilrettelagt innhenting kunne testes og utvikles på trygt juridisk grunnlag. Ikrafttredelsen av bestemmelsen 2. september 2022 innebærer at hele etterretningstjenesteloven er ikraftsatt, og at evalueringen vil foreligge senest 2. september 2026.</w:t>
      </w:r>
      <w:bookmarkStart w:id="5" w:name="RTF5f486c6b3133383136393239"/>
    </w:p>
    <w:bookmarkEnd w:id="5"/>
    <w:p w14:paraId="2552CF8A" w14:textId="77777777" w:rsidR="00F7113A" w:rsidRPr="00580C0D" w:rsidRDefault="00142E5B" w:rsidP="00580C0D">
      <w:pPr>
        <w:pStyle w:val="Overskrift2"/>
      </w:pPr>
      <w:r w:rsidRPr="00580C0D">
        <w:t>Stortingssesjon 2016–2017</w:t>
      </w:r>
    </w:p>
    <w:p w14:paraId="74F0A264" w14:textId="77777777" w:rsidR="00F7113A" w:rsidRPr="00580C0D" w:rsidRDefault="00142E5B" w:rsidP="00580C0D">
      <w:pPr>
        <w:pStyle w:val="avsnitt-tittel"/>
      </w:pPr>
      <w:r w:rsidRPr="00580C0D">
        <w:t>Lovhjemmel for å ivareta rettighetene for fanger</w:t>
      </w:r>
    </w:p>
    <w:p w14:paraId="4E92DE8C" w14:textId="77777777" w:rsidR="00F7113A" w:rsidRPr="00580C0D" w:rsidRDefault="00142E5B" w:rsidP="00580C0D">
      <w:pPr>
        <w:pStyle w:val="avsnitt-undertittel"/>
      </w:pPr>
      <w:r w:rsidRPr="00580C0D">
        <w:t>Vedtak nr. 576, 18. april 2017:</w:t>
      </w:r>
    </w:p>
    <w:p w14:paraId="73708363" w14:textId="77777777" w:rsidR="00F7113A" w:rsidRPr="00580C0D" w:rsidRDefault="00142E5B" w:rsidP="00580C0D">
      <w:pPr>
        <w:pStyle w:val="blokksit"/>
        <w:rPr>
          <w:rStyle w:val="kursiv"/>
        </w:rPr>
      </w:pPr>
      <w:r w:rsidRPr="00580C0D">
        <w:rPr>
          <w:rStyle w:val="kursiv"/>
        </w:rP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14:paraId="3E6D67B3" w14:textId="77777777" w:rsidR="00F7113A" w:rsidRPr="00580C0D" w:rsidRDefault="00142E5B" w:rsidP="00580C0D">
      <w:r w:rsidRPr="00580C0D">
        <w:t xml:space="preserve">Vedtaket ble truffet ved behandling av </w:t>
      </w:r>
      <w:proofErr w:type="spellStart"/>
      <w:r w:rsidRPr="00580C0D">
        <w:t>Innst</w:t>
      </w:r>
      <w:proofErr w:type="spellEnd"/>
      <w:r w:rsidRPr="00580C0D">
        <w:t xml:space="preserve">. 248 S (2016–2017) om </w:t>
      </w:r>
      <w:r w:rsidRPr="00580C0D">
        <w:rPr>
          <w:rStyle w:val="kursiv"/>
        </w:rPr>
        <w:t>Redegjørelse av utenriksministeren og forsvarsministeren om Afghanistan, inkludert rapporten fra det regjeringsoppnevnte utvalget som har evaluert og trukket lærdommer av Norges sivile og militære innsats i Afghanistan for perioden 2001–2014</w:t>
      </w:r>
      <w:r w:rsidRPr="00580C0D">
        <w:t>. Forslaget ble fremmet av Miljøpartiet De Grønne etter at innstillingen var fremmet for Stortinget.</w:t>
      </w:r>
    </w:p>
    <w:p w14:paraId="063005E3" w14:textId="77777777" w:rsidR="00F7113A" w:rsidRPr="00580C0D" w:rsidRDefault="00142E5B" w:rsidP="00580C0D">
      <w:r w:rsidRPr="00580C0D">
        <w:t xml:space="preserve">Forsvaret har på oppdrag fra Forsvarsdepartementet utført en utredning av temaet frihetsberøvelse i militære operasjoner, som et grunnlag for det videre arbeidet med problemstillingen. Saken har vist seg noe mer kompleks enn hva først var antatt. Det pågår nå et arbeid i Forsvarsdepartementet med å utrede behovet for </w:t>
      </w:r>
      <w:proofErr w:type="spellStart"/>
      <w:r w:rsidRPr="00580C0D">
        <w:t>lovforankring</w:t>
      </w:r>
      <w:proofErr w:type="spellEnd"/>
      <w:r w:rsidRPr="00580C0D">
        <w:t>, i dialog med Utenriksdepartementet og Justis- og beredskapsdepartementet. Forsvarsdepartementet tar sikte på å ferdigstille denne utredningen innen utgangen av 2023. Regjeringen tar sikte på å informere Stortinget om saken i løpet av 2024.</w:t>
      </w:r>
    </w:p>
    <w:p w14:paraId="7B5E905B" w14:textId="77777777" w:rsidR="00F7113A" w:rsidRPr="00580C0D" w:rsidRDefault="00142E5B" w:rsidP="00580C0D">
      <w:pPr>
        <w:pStyle w:val="Overskrift1"/>
      </w:pPr>
      <w:r w:rsidRPr="00580C0D">
        <w:t>Helse- og omsorgsdepartementet</w:t>
      </w:r>
    </w:p>
    <w:p w14:paraId="75D4EA6B" w14:textId="01604BC8" w:rsidR="00F7113A" w:rsidRDefault="00142E5B" w:rsidP="00580C0D">
      <w:r w:rsidRPr="00580C0D">
        <w:t xml:space="preserve">Nedenfor gis en oversikt over oppfølging av anmodnings- og utredningsvedtak under Helse- og omsorgsdepartementet. Oversikten inkluderer alle vedtak fra stortingssesjonen 2022–2023, samt de vedtakene som kontroll- og konstitusjonskomiteen i </w:t>
      </w:r>
      <w:proofErr w:type="spellStart"/>
      <w:r w:rsidRPr="00580C0D">
        <w:t>Innst</w:t>
      </w:r>
      <w:proofErr w:type="spellEnd"/>
      <w:r w:rsidRPr="00580C0D">
        <w:t>. 186 S (2022–2023) mente ikke var kvittert ut. I tabell 3.1 angis det også hvorvidt departementet planlegger at rapporteringen knyttet til anmodningsvedtaket nå avsluttes eller om departementet vil rapportere konkret på vedtaket også i neste års budsjettproposisjon.</w:t>
      </w:r>
    </w:p>
    <w:p w14:paraId="6647E8BB" w14:textId="6FB84D29" w:rsidR="001231A3" w:rsidRPr="00580C0D" w:rsidRDefault="001231A3" w:rsidP="001231A3">
      <w:pPr>
        <w:pStyle w:val="tabell-tittel"/>
      </w:pPr>
      <w:r w:rsidRPr="00580C0D">
        <w:t>Oversikt over anmodnings- og utredningsvedtak, ordnet etter sesjon og nummer.</w:t>
      </w:r>
    </w:p>
    <w:p w14:paraId="0431F25A" w14:textId="77777777" w:rsidR="00F7113A" w:rsidRPr="00580C0D" w:rsidRDefault="00142E5B" w:rsidP="00580C0D">
      <w:pPr>
        <w:pStyle w:val="Tabellnavn"/>
      </w:pPr>
      <w:r w:rsidRPr="00580C0D">
        <w:t>04N1xx2</w:t>
      </w:r>
    </w:p>
    <w:tbl>
      <w:tblPr>
        <w:tblW w:w="9600" w:type="dxa"/>
        <w:tblInd w:w="43" w:type="dxa"/>
        <w:tblLayout w:type="fixed"/>
        <w:tblCellMar>
          <w:top w:w="128" w:type="dxa"/>
          <w:left w:w="43" w:type="dxa"/>
          <w:bottom w:w="43" w:type="dxa"/>
          <w:right w:w="43" w:type="dxa"/>
        </w:tblCellMar>
        <w:tblLook w:val="0000" w:firstRow="0" w:lastRow="0" w:firstColumn="0" w:lastColumn="0" w:noHBand="0" w:noVBand="0"/>
      </w:tblPr>
      <w:tblGrid>
        <w:gridCol w:w="1233"/>
        <w:gridCol w:w="1134"/>
        <w:gridCol w:w="4961"/>
        <w:gridCol w:w="2272"/>
      </w:tblGrid>
      <w:tr w:rsidR="00F7113A" w:rsidRPr="00580C0D" w14:paraId="70D5CA7E" w14:textId="77777777" w:rsidTr="001231A3">
        <w:trPr>
          <w:trHeight w:val="860"/>
        </w:trPr>
        <w:tc>
          <w:tcPr>
            <w:tcW w:w="12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5E51F3" w14:textId="77777777" w:rsidR="00F7113A" w:rsidRPr="00580C0D" w:rsidRDefault="00142E5B" w:rsidP="001231A3">
            <w:r w:rsidRPr="00580C0D">
              <w:t xml:space="preserve">Sesjon </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AAEA4" w14:textId="77777777" w:rsidR="00F7113A" w:rsidRPr="00580C0D" w:rsidRDefault="00142E5B" w:rsidP="001231A3">
            <w:pPr>
              <w:jc w:val="center"/>
            </w:pPr>
            <w:r w:rsidRPr="00580C0D">
              <w:t>Vedtak nr.</w:t>
            </w:r>
          </w:p>
        </w:tc>
        <w:tc>
          <w:tcPr>
            <w:tcW w:w="49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8AC1D7" w14:textId="77777777" w:rsidR="00F7113A" w:rsidRPr="00580C0D" w:rsidRDefault="00142E5B" w:rsidP="001231A3">
            <w:r w:rsidRPr="00580C0D">
              <w:t>Stikkord</w:t>
            </w:r>
          </w:p>
        </w:tc>
        <w:tc>
          <w:tcPr>
            <w:tcW w:w="227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3B1D09" w14:textId="77777777" w:rsidR="00F7113A" w:rsidRPr="00580C0D" w:rsidRDefault="00142E5B" w:rsidP="001231A3">
            <w:pPr>
              <w:jc w:val="right"/>
            </w:pPr>
            <w:r w:rsidRPr="00580C0D">
              <w:t xml:space="preserve">Rapportering avsluttes (Ja/Nei) i </w:t>
            </w:r>
            <w:proofErr w:type="spellStart"/>
            <w:r w:rsidRPr="00580C0D">
              <w:t>Prop</w:t>
            </w:r>
            <w:proofErr w:type="spellEnd"/>
            <w:r w:rsidRPr="00580C0D">
              <w:t>. 1 S (2023–2024)</w:t>
            </w:r>
          </w:p>
        </w:tc>
      </w:tr>
      <w:tr w:rsidR="00F7113A" w:rsidRPr="00580C0D" w14:paraId="13B2795F" w14:textId="77777777" w:rsidTr="001231A3">
        <w:trPr>
          <w:trHeight w:val="380"/>
        </w:trPr>
        <w:tc>
          <w:tcPr>
            <w:tcW w:w="1233" w:type="dxa"/>
            <w:tcBorders>
              <w:top w:val="single" w:sz="4" w:space="0" w:color="000000"/>
              <w:left w:val="nil"/>
              <w:bottom w:val="nil"/>
              <w:right w:val="nil"/>
            </w:tcBorders>
            <w:tcMar>
              <w:top w:w="128" w:type="dxa"/>
              <w:left w:w="43" w:type="dxa"/>
              <w:bottom w:w="43" w:type="dxa"/>
              <w:right w:w="43" w:type="dxa"/>
            </w:tcMar>
          </w:tcPr>
          <w:p w14:paraId="54C63703" w14:textId="77777777" w:rsidR="00F7113A" w:rsidRPr="00580C0D" w:rsidRDefault="00142E5B" w:rsidP="001231A3">
            <w:r w:rsidRPr="00580C0D">
              <w:t>2022–2023</w:t>
            </w:r>
          </w:p>
        </w:tc>
        <w:tc>
          <w:tcPr>
            <w:tcW w:w="1134" w:type="dxa"/>
            <w:tcBorders>
              <w:top w:val="single" w:sz="4" w:space="0" w:color="000000"/>
              <w:left w:val="nil"/>
              <w:bottom w:val="nil"/>
              <w:right w:val="nil"/>
            </w:tcBorders>
            <w:tcMar>
              <w:top w:w="128" w:type="dxa"/>
              <w:left w:w="43" w:type="dxa"/>
              <w:bottom w:w="43" w:type="dxa"/>
              <w:right w:w="43" w:type="dxa"/>
            </w:tcMar>
          </w:tcPr>
          <w:p w14:paraId="53395604" w14:textId="77777777" w:rsidR="00F7113A" w:rsidRPr="00580C0D" w:rsidRDefault="00142E5B" w:rsidP="001231A3">
            <w:pPr>
              <w:ind w:right="340"/>
              <w:jc w:val="right"/>
            </w:pPr>
            <w:r w:rsidRPr="00580C0D">
              <w:t>1</w:t>
            </w:r>
          </w:p>
        </w:tc>
        <w:tc>
          <w:tcPr>
            <w:tcW w:w="4961" w:type="dxa"/>
            <w:tcBorders>
              <w:top w:val="single" w:sz="4" w:space="0" w:color="000000"/>
              <w:left w:val="nil"/>
              <w:bottom w:val="nil"/>
              <w:right w:val="nil"/>
            </w:tcBorders>
            <w:tcMar>
              <w:top w:w="128" w:type="dxa"/>
              <w:left w:w="43" w:type="dxa"/>
              <w:bottom w:w="43" w:type="dxa"/>
              <w:right w:w="43" w:type="dxa"/>
            </w:tcMar>
          </w:tcPr>
          <w:p w14:paraId="59A5AED1" w14:textId="77777777" w:rsidR="00F7113A" w:rsidRPr="00580C0D" w:rsidRDefault="00142E5B" w:rsidP="001231A3">
            <w:r w:rsidRPr="00580C0D">
              <w:t>Ideelle tilbud rusomsorgen</w:t>
            </w:r>
          </w:p>
        </w:tc>
        <w:tc>
          <w:tcPr>
            <w:tcW w:w="2272" w:type="dxa"/>
            <w:tcBorders>
              <w:top w:val="single" w:sz="4" w:space="0" w:color="000000"/>
              <w:left w:val="nil"/>
              <w:bottom w:val="nil"/>
              <w:right w:val="nil"/>
            </w:tcBorders>
            <w:tcMar>
              <w:top w:w="128" w:type="dxa"/>
              <w:left w:w="43" w:type="dxa"/>
              <w:bottom w:w="43" w:type="dxa"/>
              <w:right w:w="43" w:type="dxa"/>
            </w:tcMar>
          </w:tcPr>
          <w:p w14:paraId="44308030" w14:textId="77777777" w:rsidR="00F7113A" w:rsidRPr="00580C0D" w:rsidRDefault="00142E5B" w:rsidP="001231A3">
            <w:pPr>
              <w:jc w:val="right"/>
            </w:pPr>
            <w:r w:rsidRPr="00580C0D">
              <w:t>Nei</w:t>
            </w:r>
          </w:p>
        </w:tc>
      </w:tr>
      <w:tr w:rsidR="00F7113A" w:rsidRPr="00580C0D" w14:paraId="51BB72F7"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0E6F360"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771376C0" w14:textId="77777777" w:rsidR="00F7113A" w:rsidRPr="00580C0D" w:rsidRDefault="00142E5B" w:rsidP="001231A3">
            <w:pPr>
              <w:ind w:right="340"/>
              <w:jc w:val="right"/>
            </w:pPr>
            <w:r w:rsidRPr="00580C0D">
              <w:t>2</w:t>
            </w:r>
          </w:p>
        </w:tc>
        <w:tc>
          <w:tcPr>
            <w:tcW w:w="4961" w:type="dxa"/>
            <w:tcBorders>
              <w:top w:val="nil"/>
              <w:left w:val="nil"/>
              <w:bottom w:val="nil"/>
              <w:right w:val="nil"/>
            </w:tcBorders>
            <w:tcMar>
              <w:top w:w="128" w:type="dxa"/>
              <w:left w:w="43" w:type="dxa"/>
              <w:bottom w:w="43" w:type="dxa"/>
              <w:right w:w="43" w:type="dxa"/>
            </w:tcMar>
          </w:tcPr>
          <w:p w14:paraId="40BF8B87" w14:textId="77777777" w:rsidR="00F7113A" w:rsidRPr="00580C0D" w:rsidRDefault="00142E5B" w:rsidP="001231A3">
            <w:r w:rsidRPr="00580C0D">
              <w:t>Avlasting av fastleger</w:t>
            </w:r>
          </w:p>
        </w:tc>
        <w:tc>
          <w:tcPr>
            <w:tcW w:w="2272" w:type="dxa"/>
            <w:tcBorders>
              <w:top w:val="nil"/>
              <w:left w:val="nil"/>
              <w:bottom w:val="nil"/>
              <w:right w:val="nil"/>
            </w:tcBorders>
            <w:tcMar>
              <w:top w:w="128" w:type="dxa"/>
              <w:left w:w="43" w:type="dxa"/>
              <w:bottom w:w="43" w:type="dxa"/>
              <w:right w:w="43" w:type="dxa"/>
            </w:tcMar>
          </w:tcPr>
          <w:p w14:paraId="0F58838D" w14:textId="77777777" w:rsidR="00F7113A" w:rsidRPr="00580C0D" w:rsidRDefault="00142E5B" w:rsidP="001231A3">
            <w:pPr>
              <w:jc w:val="right"/>
            </w:pPr>
            <w:r w:rsidRPr="00580C0D">
              <w:t>Nei</w:t>
            </w:r>
          </w:p>
        </w:tc>
      </w:tr>
      <w:tr w:rsidR="00F7113A" w:rsidRPr="00580C0D" w14:paraId="405F8EA6"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F365728"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02BA62D1" w14:textId="77777777" w:rsidR="00F7113A" w:rsidRPr="00580C0D" w:rsidRDefault="00142E5B" w:rsidP="001231A3">
            <w:pPr>
              <w:ind w:right="340"/>
              <w:jc w:val="right"/>
            </w:pPr>
            <w:r w:rsidRPr="00580C0D">
              <w:t>43</w:t>
            </w:r>
          </w:p>
        </w:tc>
        <w:tc>
          <w:tcPr>
            <w:tcW w:w="4961" w:type="dxa"/>
            <w:tcBorders>
              <w:top w:val="nil"/>
              <w:left w:val="nil"/>
              <w:bottom w:val="nil"/>
              <w:right w:val="nil"/>
            </w:tcBorders>
            <w:tcMar>
              <w:top w:w="128" w:type="dxa"/>
              <w:left w:w="43" w:type="dxa"/>
              <w:bottom w:w="43" w:type="dxa"/>
              <w:right w:w="43" w:type="dxa"/>
            </w:tcMar>
          </w:tcPr>
          <w:p w14:paraId="436D91C4" w14:textId="77777777" w:rsidR="00F7113A" w:rsidRPr="00580C0D" w:rsidRDefault="00142E5B" w:rsidP="001231A3">
            <w:r w:rsidRPr="00580C0D">
              <w:t>Oppheve vedtak for CGRP-</w:t>
            </w:r>
            <w:proofErr w:type="spellStart"/>
            <w:r w:rsidRPr="00580C0D">
              <w:t>hemmere</w:t>
            </w:r>
            <w:proofErr w:type="spellEnd"/>
          </w:p>
        </w:tc>
        <w:tc>
          <w:tcPr>
            <w:tcW w:w="2272" w:type="dxa"/>
            <w:tcBorders>
              <w:top w:val="nil"/>
              <w:left w:val="nil"/>
              <w:bottom w:val="nil"/>
              <w:right w:val="nil"/>
            </w:tcBorders>
            <w:tcMar>
              <w:top w:w="128" w:type="dxa"/>
              <w:left w:w="43" w:type="dxa"/>
              <w:bottom w:w="43" w:type="dxa"/>
              <w:right w:w="43" w:type="dxa"/>
            </w:tcMar>
          </w:tcPr>
          <w:p w14:paraId="5D7DDBA1" w14:textId="77777777" w:rsidR="00F7113A" w:rsidRPr="00580C0D" w:rsidRDefault="00142E5B" w:rsidP="001231A3">
            <w:pPr>
              <w:jc w:val="right"/>
            </w:pPr>
            <w:r w:rsidRPr="00580C0D">
              <w:t>Ja</w:t>
            </w:r>
          </w:p>
        </w:tc>
      </w:tr>
      <w:tr w:rsidR="00F7113A" w:rsidRPr="00580C0D" w14:paraId="5E1C5620"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2CF04402"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186DC211" w14:textId="77777777" w:rsidR="00F7113A" w:rsidRPr="00580C0D" w:rsidRDefault="00142E5B" w:rsidP="001231A3">
            <w:pPr>
              <w:ind w:right="340"/>
              <w:jc w:val="right"/>
            </w:pPr>
            <w:r w:rsidRPr="00580C0D">
              <w:t>44</w:t>
            </w:r>
          </w:p>
        </w:tc>
        <w:tc>
          <w:tcPr>
            <w:tcW w:w="4961" w:type="dxa"/>
            <w:tcBorders>
              <w:top w:val="nil"/>
              <w:left w:val="nil"/>
              <w:bottom w:val="nil"/>
              <w:right w:val="nil"/>
            </w:tcBorders>
            <w:tcMar>
              <w:top w:w="128" w:type="dxa"/>
              <w:left w:w="43" w:type="dxa"/>
              <w:bottom w:w="43" w:type="dxa"/>
              <w:right w:w="43" w:type="dxa"/>
            </w:tcMar>
          </w:tcPr>
          <w:p w14:paraId="45BAC8A3" w14:textId="77777777" w:rsidR="00F7113A" w:rsidRPr="00580C0D" w:rsidRDefault="00142E5B" w:rsidP="001231A3">
            <w:r w:rsidRPr="00580C0D">
              <w:t xml:space="preserve">Nasjonal helse- og samhandlingsplan og </w:t>
            </w:r>
            <w:proofErr w:type="spellStart"/>
            <w:r w:rsidRPr="00580C0D">
              <w:t>barnepalliasjon</w:t>
            </w:r>
            <w:proofErr w:type="spellEnd"/>
          </w:p>
        </w:tc>
        <w:tc>
          <w:tcPr>
            <w:tcW w:w="2272" w:type="dxa"/>
            <w:tcBorders>
              <w:top w:val="nil"/>
              <w:left w:val="nil"/>
              <w:bottom w:val="nil"/>
              <w:right w:val="nil"/>
            </w:tcBorders>
            <w:tcMar>
              <w:top w:w="128" w:type="dxa"/>
              <w:left w:w="43" w:type="dxa"/>
              <w:bottom w:w="43" w:type="dxa"/>
              <w:right w:w="43" w:type="dxa"/>
            </w:tcMar>
          </w:tcPr>
          <w:p w14:paraId="29AFF37A" w14:textId="77777777" w:rsidR="00F7113A" w:rsidRPr="00580C0D" w:rsidRDefault="00142E5B" w:rsidP="001231A3">
            <w:pPr>
              <w:jc w:val="right"/>
            </w:pPr>
            <w:r w:rsidRPr="00580C0D">
              <w:t>Nei</w:t>
            </w:r>
          </w:p>
        </w:tc>
      </w:tr>
      <w:tr w:rsidR="00F7113A" w:rsidRPr="00580C0D" w14:paraId="6A7294EB"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0020FC6B"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0C8052D7" w14:textId="77777777" w:rsidR="00F7113A" w:rsidRPr="00580C0D" w:rsidRDefault="00142E5B" w:rsidP="001231A3">
            <w:pPr>
              <w:ind w:right="340"/>
              <w:jc w:val="right"/>
            </w:pPr>
            <w:r w:rsidRPr="00580C0D">
              <w:t>79</w:t>
            </w:r>
          </w:p>
        </w:tc>
        <w:tc>
          <w:tcPr>
            <w:tcW w:w="4961" w:type="dxa"/>
            <w:tcBorders>
              <w:top w:val="nil"/>
              <w:left w:val="nil"/>
              <w:bottom w:val="nil"/>
              <w:right w:val="nil"/>
            </w:tcBorders>
            <w:tcMar>
              <w:top w:w="128" w:type="dxa"/>
              <w:left w:w="43" w:type="dxa"/>
              <w:bottom w:w="43" w:type="dxa"/>
              <w:right w:w="43" w:type="dxa"/>
            </w:tcMar>
          </w:tcPr>
          <w:p w14:paraId="31F6BDE7" w14:textId="77777777" w:rsidR="00F7113A" w:rsidRPr="00580C0D" w:rsidRDefault="00142E5B" w:rsidP="001231A3">
            <w:r w:rsidRPr="00580C0D">
              <w:t>Styrke allmennlegetjenesten</w:t>
            </w:r>
          </w:p>
        </w:tc>
        <w:tc>
          <w:tcPr>
            <w:tcW w:w="2272" w:type="dxa"/>
            <w:tcBorders>
              <w:top w:val="nil"/>
              <w:left w:val="nil"/>
              <w:bottom w:val="nil"/>
              <w:right w:val="nil"/>
            </w:tcBorders>
            <w:tcMar>
              <w:top w:w="128" w:type="dxa"/>
              <w:left w:w="43" w:type="dxa"/>
              <w:bottom w:w="43" w:type="dxa"/>
              <w:right w:w="43" w:type="dxa"/>
            </w:tcMar>
          </w:tcPr>
          <w:p w14:paraId="61E006D2" w14:textId="77777777" w:rsidR="00F7113A" w:rsidRPr="00580C0D" w:rsidRDefault="00142E5B" w:rsidP="001231A3">
            <w:pPr>
              <w:jc w:val="right"/>
            </w:pPr>
            <w:r w:rsidRPr="00580C0D">
              <w:t>Nei</w:t>
            </w:r>
          </w:p>
        </w:tc>
      </w:tr>
      <w:tr w:rsidR="00F7113A" w:rsidRPr="00580C0D" w14:paraId="750CC1C6"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8C7EFCF"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3947BC61" w14:textId="77777777" w:rsidR="00F7113A" w:rsidRPr="00580C0D" w:rsidRDefault="00142E5B" w:rsidP="001231A3">
            <w:pPr>
              <w:ind w:right="340"/>
              <w:jc w:val="right"/>
            </w:pPr>
            <w:r w:rsidRPr="00580C0D">
              <w:t>86</w:t>
            </w:r>
          </w:p>
        </w:tc>
        <w:tc>
          <w:tcPr>
            <w:tcW w:w="4961" w:type="dxa"/>
            <w:tcBorders>
              <w:top w:val="nil"/>
              <w:left w:val="nil"/>
              <w:bottom w:val="nil"/>
              <w:right w:val="nil"/>
            </w:tcBorders>
            <w:tcMar>
              <w:top w:w="128" w:type="dxa"/>
              <w:left w:w="43" w:type="dxa"/>
              <w:bottom w:w="43" w:type="dxa"/>
              <w:right w:w="43" w:type="dxa"/>
            </w:tcMar>
          </w:tcPr>
          <w:p w14:paraId="1012A976" w14:textId="77777777" w:rsidR="00F7113A" w:rsidRPr="00580C0D" w:rsidRDefault="00142E5B" w:rsidP="001231A3">
            <w:r w:rsidRPr="00580C0D">
              <w:t>Endre tannhelseloven for personer 23–26 år</w:t>
            </w:r>
          </w:p>
        </w:tc>
        <w:tc>
          <w:tcPr>
            <w:tcW w:w="2272" w:type="dxa"/>
            <w:tcBorders>
              <w:top w:val="nil"/>
              <w:left w:val="nil"/>
              <w:bottom w:val="nil"/>
              <w:right w:val="nil"/>
            </w:tcBorders>
            <w:tcMar>
              <w:top w:w="128" w:type="dxa"/>
              <w:left w:w="43" w:type="dxa"/>
              <w:bottom w:w="43" w:type="dxa"/>
              <w:right w:w="43" w:type="dxa"/>
            </w:tcMar>
          </w:tcPr>
          <w:p w14:paraId="36FBCDA3" w14:textId="77777777" w:rsidR="00F7113A" w:rsidRPr="00580C0D" w:rsidRDefault="00142E5B" w:rsidP="001231A3">
            <w:pPr>
              <w:jc w:val="right"/>
            </w:pPr>
            <w:r w:rsidRPr="00580C0D">
              <w:t>Nei</w:t>
            </w:r>
          </w:p>
        </w:tc>
      </w:tr>
      <w:tr w:rsidR="00F7113A" w:rsidRPr="00580C0D" w14:paraId="33345D05"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0572C7CA"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1F67316E" w14:textId="77777777" w:rsidR="00F7113A" w:rsidRPr="00580C0D" w:rsidRDefault="00142E5B" w:rsidP="001231A3">
            <w:pPr>
              <w:ind w:right="340"/>
              <w:jc w:val="right"/>
            </w:pPr>
            <w:r w:rsidRPr="00580C0D">
              <w:t>123</w:t>
            </w:r>
          </w:p>
        </w:tc>
        <w:tc>
          <w:tcPr>
            <w:tcW w:w="4961" w:type="dxa"/>
            <w:tcBorders>
              <w:top w:val="nil"/>
              <w:left w:val="nil"/>
              <w:bottom w:val="nil"/>
              <w:right w:val="nil"/>
            </w:tcBorders>
            <w:tcMar>
              <w:top w:w="128" w:type="dxa"/>
              <w:left w:w="43" w:type="dxa"/>
              <w:bottom w:w="43" w:type="dxa"/>
              <w:right w:w="43" w:type="dxa"/>
            </w:tcMar>
          </w:tcPr>
          <w:p w14:paraId="54E00068" w14:textId="77777777" w:rsidR="00F7113A" w:rsidRPr="00580C0D" w:rsidRDefault="00142E5B" w:rsidP="001231A3">
            <w:r w:rsidRPr="00580C0D">
              <w:t>Fordeling av egenandel utover året</w:t>
            </w:r>
          </w:p>
        </w:tc>
        <w:tc>
          <w:tcPr>
            <w:tcW w:w="2272" w:type="dxa"/>
            <w:tcBorders>
              <w:top w:val="nil"/>
              <w:left w:val="nil"/>
              <w:bottom w:val="nil"/>
              <w:right w:val="nil"/>
            </w:tcBorders>
            <w:tcMar>
              <w:top w:w="128" w:type="dxa"/>
              <w:left w:w="43" w:type="dxa"/>
              <w:bottom w:w="43" w:type="dxa"/>
              <w:right w:w="43" w:type="dxa"/>
            </w:tcMar>
          </w:tcPr>
          <w:p w14:paraId="307C7F82" w14:textId="77777777" w:rsidR="00F7113A" w:rsidRPr="00580C0D" w:rsidRDefault="00142E5B" w:rsidP="001231A3">
            <w:pPr>
              <w:jc w:val="right"/>
            </w:pPr>
            <w:r w:rsidRPr="00580C0D">
              <w:t>Ja</w:t>
            </w:r>
          </w:p>
        </w:tc>
      </w:tr>
      <w:tr w:rsidR="00F7113A" w:rsidRPr="00580C0D" w14:paraId="21753FAB"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7AE14488"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2F0F0CB2" w14:textId="77777777" w:rsidR="00F7113A" w:rsidRPr="00580C0D" w:rsidRDefault="00142E5B" w:rsidP="001231A3">
            <w:pPr>
              <w:ind w:right="340"/>
              <w:jc w:val="right"/>
            </w:pPr>
            <w:r w:rsidRPr="00580C0D">
              <w:t>137</w:t>
            </w:r>
          </w:p>
        </w:tc>
        <w:tc>
          <w:tcPr>
            <w:tcW w:w="4961" w:type="dxa"/>
            <w:tcBorders>
              <w:top w:val="nil"/>
              <w:left w:val="nil"/>
              <w:bottom w:val="nil"/>
              <w:right w:val="nil"/>
            </w:tcBorders>
            <w:tcMar>
              <w:top w:w="128" w:type="dxa"/>
              <w:left w:w="43" w:type="dxa"/>
              <w:bottom w:w="43" w:type="dxa"/>
              <w:right w:w="43" w:type="dxa"/>
            </w:tcMar>
          </w:tcPr>
          <w:p w14:paraId="6F66C2BB" w14:textId="77777777" w:rsidR="00F7113A" w:rsidRPr="00580C0D" w:rsidRDefault="00142E5B" w:rsidP="001231A3">
            <w:r w:rsidRPr="00580C0D">
              <w:t>Akuttilbud til personer som er utsatt for vold i nære relasjoner</w:t>
            </w:r>
          </w:p>
        </w:tc>
        <w:tc>
          <w:tcPr>
            <w:tcW w:w="2272" w:type="dxa"/>
            <w:tcBorders>
              <w:top w:val="nil"/>
              <w:left w:val="nil"/>
              <w:bottom w:val="nil"/>
              <w:right w:val="nil"/>
            </w:tcBorders>
            <w:tcMar>
              <w:top w:w="128" w:type="dxa"/>
              <w:left w:w="43" w:type="dxa"/>
              <w:bottom w:w="43" w:type="dxa"/>
              <w:right w:w="43" w:type="dxa"/>
            </w:tcMar>
          </w:tcPr>
          <w:p w14:paraId="5449775E" w14:textId="77777777" w:rsidR="00F7113A" w:rsidRPr="00580C0D" w:rsidRDefault="00142E5B" w:rsidP="001231A3">
            <w:pPr>
              <w:jc w:val="right"/>
            </w:pPr>
            <w:r w:rsidRPr="00580C0D">
              <w:t>Nei</w:t>
            </w:r>
          </w:p>
        </w:tc>
      </w:tr>
      <w:tr w:rsidR="00F7113A" w:rsidRPr="00580C0D" w14:paraId="659CC668"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2A1859E4"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033D4058" w14:textId="77777777" w:rsidR="00F7113A" w:rsidRPr="00580C0D" w:rsidRDefault="00142E5B" w:rsidP="001231A3">
            <w:pPr>
              <w:ind w:right="340"/>
              <w:jc w:val="right"/>
            </w:pPr>
            <w:r w:rsidRPr="00580C0D">
              <w:t>263</w:t>
            </w:r>
          </w:p>
        </w:tc>
        <w:tc>
          <w:tcPr>
            <w:tcW w:w="4961" w:type="dxa"/>
            <w:tcBorders>
              <w:top w:val="nil"/>
              <w:left w:val="nil"/>
              <w:bottom w:val="nil"/>
              <w:right w:val="nil"/>
            </w:tcBorders>
            <w:tcMar>
              <w:top w:w="128" w:type="dxa"/>
              <w:left w:w="43" w:type="dxa"/>
              <w:bottom w:w="43" w:type="dxa"/>
              <w:right w:w="43" w:type="dxa"/>
            </w:tcMar>
          </w:tcPr>
          <w:p w14:paraId="5FDA3281" w14:textId="77777777" w:rsidR="00F7113A" w:rsidRPr="00580C0D" w:rsidRDefault="00142E5B" w:rsidP="001231A3">
            <w:r w:rsidRPr="00580C0D">
              <w:t>Ferdigstilling av Felles kommunal journal</w:t>
            </w:r>
          </w:p>
        </w:tc>
        <w:tc>
          <w:tcPr>
            <w:tcW w:w="2272" w:type="dxa"/>
            <w:tcBorders>
              <w:top w:val="nil"/>
              <w:left w:val="nil"/>
              <w:bottom w:val="nil"/>
              <w:right w:val="nil"/>
            </w:tcBorders>
            <w:tcMar>
              <w:top w:w="128" w:type="dxa"/>
              <w:left w:w="43" w:type="dxa"/>
              <w:bottom w:w="43" w:type="dxa"/>
              <w:right w:w="43" w:type="dxa"/>
            </w:tcMar>
          </w:tcPr>
          <w:p w14:paraId="50D06418" w14:textId="77777777" w:rsidR="00F7113A" w:rsidRPr="00580C0D" w:rsidRDefault="00142E5B" w:rsidP="001231A3">
            <w:pPr>
              <w:jc w:val="right"/>
            </w:pPr>
            <w:r w:rsidRPr="00580C0D">
              <w:t>Ja</w:t>
            </w:r>
          </w:p>
        </w:tc>
      </w:tr>
      <w:tr w:rsidR="00F7113A" w:rsidRPr="00580C0D" w14:paraId="44BC0552"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4A746DE1"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6FA8325E" w14:textId="77777777" w:rsidR="00F7113A" w:rsidRPr="00580C0D" w:rsidRDefault="00142E5B" w:rsidP="001231A3">
            <w:pPr>
              <w:ind w:right="340"/>
              <w:jc w:val="right"/>
            </w:pPr>
            <w:r w:rsidRPr="00580C0D">
              <w:t>486</w:t>
            </w:r>
          </w:p>
        </w:tc>
        <w:tc>
          <w:tcPr>
            <w:tcW w:w="4961" w:type="dxa"/>
            <w:tcBorders>
              <w:top w:val="nil"/>
              <w:left w:val="nil"/>
              <w:bottom w:val="nil"/>
              <w:right w:val="nil"/>
            </w:tcBorders>
            <w:tcMar>
              <w:top w:w="128" w:type="dxa"/>
              <w:left w:w="43" w:type="dxa"/>
              <w:bottom w:w="43" w:type="dxa"/>
              <w:right w:w="43" w:type="dxa"/>
            </w:tcMar>
          </w:tcPr>
          <w:p w14:paraId="22A133FD" w14:textId="77777777" w:rsidR="00F7113A" w:rsidRPr="00580C0D" w:rsidRDefault="00142E5B" w:rsidP="001231A3">
            <w:r w:rsidRPr="00580C0D">
              <w:t>Lovendring om å innhente opplysninger uten samtykke i pasientskadesaker</w:t>
            </w:r>
          </w:p>
        </w:tc>
        <w:tc>
          <w:tcPr>
            <w:tcW w:w="2272" w:type="dxa"/>
            <w:tcBorders>
              <w:top w:val="nil"/>
              <w:left w:val="nil"/>
              <w:bottom w:val="nil"/>
              <w:right w:val="nil"/>
            </w:tcBorders>
            <w:tcMar>
              <w:top w:w="128" w:type="dxa"/>
              <w:left w:w="43" w:type="dxa"/>
              <w:bottom w:w="43" w:type="dxa"/>
              <w:right w:w="43" w:type="dxa"/>
            </w:tcMar>
          </w:tcPr>
          <w:p w14:paraId="1D5443DC" w14:textId="77777777" w:rsidR="00F7113A" w:rsidRPr="00580C0D" w:rsidRDefault="00142E5B" w:rsidP="001231A3">
            <w:pPr>
              <w:jc w:val="right"/>
            </w:pPr>
            <w:r w:rsidRPr="00580C0D">
              <w:t>Nei</w:t>
            </w:r>
          </w:p>
        </w:tc>
      </w:tr>
      <w:tr w:rsidR="00F7113A" w:rsidRPr="00580C0D" w14:paraId="201546CA"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7C24EFAE"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300BDEB2" w14:textId="77777777" w:rsidR="00F7113A" w:rsidRPr="00580C0D" w:rsidRDefault="00142E5B" w:rsidP="001231A3">
            <w:pPr>
              <w:ind w:right="340"/>
              <w:jc w:val="right"/>
            </w:pPr>
            <w:r w:rsidRPr="00580C0D">
              <w:t>610</w:t>
            </w:r>
          </w:p>
        </w:tc>
        <w:tc>
          <w:tcPr>
            <w:tcW w:w="4961" w:type="dxa"/>
            <w:tcBorders>
              <w:top w:val="nil"/>
              <w:left w:val="nil"/>
              <w:bottom w:val="nil"/>
              <w:right w:val="nil"/>
            </w:tcBorders>
            <w:tcMar>
              <w:top w:w="128" w:type="dxa"/>
              <w:left w:w="43" w:type="dxa"/>
              <w:bottom w:w="43" w:type="dxa"/>
              <w:right w:w="43" w:type="dxa"/>
            </w:tcMar>
          </w:tcPr>
          <w:p w14:paraId="526B2F80" w14:textId="77777777" w:rsidR="00F7113A" w:rsidRPr="00580C0D" w:rsidRDefault="00142E5B" w:rsidP="001231A3">
            <w:r w:rsidRPr="00580C0D">
              <w:t>Evaluering av Norsk Pasientskadeerstatning</w:t>
            </w:r>
          </w:p>
        </w:tc>
        <w:tc>
          <w:tcPr>
            <w:tcW w:w="2272" w:type="dxa"/>
            <w:tcBorders>
              <w:top w:val="nil"/>
              <w:left w:val="nil"/>
              <w:bottom w:val="nil"/>
              <w:right w:val="nil"/>
            </w:tcBorders>
            <w:tcMar>
              <w:top w:w="128" w:type="dxa"/>
              <w:left w:w="43" w:type="dxa"/>
              <w:bottom w:w="43" w:type="dxa"/>
              <w:right w:w="43" w:type="dxa"/>
            </w:tcMar>
          </w:tcPr>
          <w:p w14:paraId="750A1D5C" w14:textId="77777777" w:rsidR="00F7113A" w:rsidRPr="00580C0D" w:rsidRDefault="00142E5B" w:rsidP="001231A3">
            <w:pPr>
              <w:jc w:val="right"/>
            </w:pPr>
            <w:r w:rsidRPr="00580C0D">
              <w:t>Nei</w:t>
            </w:r>
          </w:p>
        </w:tc>
      </w:tr>
      <w:tr w:rsidR="00F7113A" w:rsidRPr="00580C0D" w14:paraId="5A0D5F27"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6B496A4E"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7A8011A4" w14:textId="77777777" w:rsidR="00F7113A" w:rsidRPr="00580C0D" w:rsidRDefault="00142E5B" w:rsidP="001231A3">
            <w:pPr>
              <w:ind w:right="340"/>
              <w:jc w:val="right"/>
            </w:pPr>
            <w:r w:rsidRPr="00580C0D">
              <w:t>742</w:t>
            </w:r>
          </w:p>
        </w:tc>
        <w:tc>
          <w:tcPr>
            <w:tcW w:w="4961" w:type="dxa"/>
            <w:tcBorders>
              <w:top w:val="nil"/>
              <w:left w:val="nil"/>
              <w:bottom w:val="nil"/>
              <w:right w:val="nil"/>
            </w:tcBorders>
            <w:tcMar>
              <w:top w:w="128" w:type="dxa"/>
              <w:left w:w="43" w:type="dxa"/>
              <w:bottom w:w="43" w:type="dxa"/>
              <w:right w:w="43" w:type="dxa"/>
            </w:tcMar>
          </w:tcPr>
          <w:p w14:paraId="1E31C295" w14:textId="77777777" w:rsidR="00F7113A" w:rsidRPr="00580C0D" w:rsidRDefault="00142E5B" w:rsidP="001231A3">
            <w:r w:rsidRPr="00580C0D">
              <w:t>Brukerstyrt personlig assistanse</w:t>
            </w:r>
          </w:p>
        </w:tc>
        <w:tc>
          <w:tcPr>
            <w:tcW w:w="2272" w:type="dxa"/>
            <w:tcBorders>
              <w:top w:val="nil"/>
              <w:left w:val="nil"/>
              <w:bottom w:val="nil"/>
              <w:right w:val="nil"/>
            </w:tcBorders>
            <w:tcMar>
              <w:top w:w="128" w:type="dxa"/>
              <w:left w:w="43" w:type="dxa"/>
              <w:bottom w:w="43" w:type="dxa"/>
              <w:right w:w="43" w:type="dxa"/>
            </w:tcMar>
          </w:tcPr>
          <w:p w14:paraId="7602874C" w14:textId="77777777" w:rsidR="00F7113A" w:rsidRPr="00580C0D" w:rsidRDefault="00142E5B" w:rsidP="001231A3">
            <w:pPr>
              <w:jc w:val="right"/>
            </w:pPr>
            <w:r w:rsidRPr="00580C0D">
              <w:t>Nei</w:t>
            </w:r>
          </w:p>
        </w:tc>
      </w:tr>
      <w:tr w:rsidR="00F7113A" w:rsidRPr="00580C0D" w14:paraId="2C515ADC"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4E082E6A"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2AE96AC8" w14:textId="77777777" w:rsidR="00F7113A" w:rsidRPr="00580C0D" w:rsidRDefault="00142E5B" w:rsidP="001231A3">
            <w:pPr>
              <w:ind w:right="340"/>
              <w:jc w:val="right"/>
            </w:pPr>
            <w:r w:rsidRPr="00580C0D">
              <w:t>743</w:t>
            </w:r>
          </w:p>
        </w:tc>
        <w:tc>
          <w:tcPr>
            <w:tcW w:w="4961" w:type="dxa"/>
            <w:tcBorders>
              <w:top w:val="nil"/>
              <w:left w:val="nil"/>
              <w:bottom w:val="nil"/>
              <w:right w:val="nil"/>
            </w:tcBorders>
            <w:tcMar>
              <w:top w:w="128" w:type="dxa"/>
              <w:left w:w="43" w:type="dxa"/>
              <w:bottom w:w="43" w:type="dxa"/>
              <w:right w:w="43" w:type="dxa"/>
            </w:tcMar>
          </w:tcPr>
          <w:p w14:paraId="57B23F11" w14:textId="52B52732" w:rsidR="00F7113A" w:rsidRPr="00580C0D" w:rsidRDefault="00142E5B" w:rsidP="001231A3">
            <w:r w:rsidRPr="00580C0D">
              <w:t xml:space="preserve">Modellutviklingsprogrammet for klinisk </w:t>
            </w:r>
            <w:r w:rsidR="009A1051">
              <w:br/>
            </w:r>
            <w:r w:rsidRPr="00580C0D">
              <w:t>ernæringsfysiolog</w:t>
            </w:r>
          </w:p>
        </w:tc>
        <w:tc>
          <w:tcPr>
            <w:tcW w:w="2272" w:type="dxa"/>
            <w:tcBorders>
              <w:top w:val="nil"/>
              <w:left w:val="nil"/>
              <w:bottom w:val="nil"/>
              <w:right w:val="nil"/>
            </w:tcBorders>
            <w:tcMar>
              <w:top w:w="128" w:type="dxa"/>
              <w:left w:w="43" w:type="dxa"/>
              <w:bottom w:w="43" w:type="dxa"/>
              <w:right w:w="43" w:type="dxa"/>
            </w:tcMar>
          </w:tcPr>
          <w:p w14:paraId="6C2A42CB" w14:textId="77777777" w:rsidR="00F7113A" w:rsidRPr="00580C0D" w:rsidRDefault="00142E5B" w:rsidP="001231A3">
            <w:pPr>
              <w:jc w:val="right"/>
            </w:pPr>
            <w:r w:rsidRPr="00580C0D">
              <w:t>Ja</w:t>
            </w:r>
          </w:p>
        </w:tc>
      </w:tr>
      <w:tr w:rsidR="00F7113A" w:rsidRPr="00580C0D" w14:paraId="5541F42F"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817802A"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489CA7B8" w14:textId="77777777" w:rsidR="00F7113A" w:rsidRPr="00580C0D" w:rsidRDefault="00142E5B" w:rsidP="001231A3">
            <w:pPr>
              <w:ind w:right="340"/>
              <w:jc w:val="right"/>
            </w:pPr>
            <w:r w:rsidRPr="00580C0D">
              <w:t>744</w:t>
            </w:r>
          </w:p>
        </w:tc>
        <w:tc>
          <w:tcPr>
            <w:tcW w:w="4961" w:type="dxa"/>
            <w:tcBorders>
              <w:top w:val="nil"/>
              <w:left w:val="nil"/>
              <w:bottom w:val="nil"/>
              <w:right w:val="nil"/>
            </w:tcBorders>
            <w:tcMar>
              <w:top w:w="128" w:type="dxa"/>
              <w:left w:w="43" w:type="dxa"/>
              <w:bottom w:w="43" w:type="dxa"/>
              <w:right w:w="43" w:type="dxa"/>
            </w:tcMar>
          </w:tcPr>
          <w:p w14:paraId="3CDB1D3A" w14:textId="77777777" w:rsidR="00F7113A" w:rsidRPr="00580C0D" w:rsidRDefault="00142E5B" w:rsidP="001231A3">
            <w:r w:rsidRPr="00580C0D">
              <w:t>Forbud mot markedsføring av usunn mat og drikke</w:t>
            </w:r>
          </w:p>
        </w:tc>
        <w:tc>
          <w:tcPr>
            <w:tcW w:w="2272" w:type="dxa"/>
            <w:tcBorders>
              <w:top w:val="nil"/>
              <w:left w:val="nil"/>
              <w:bottom w:val="nil"/>
              <w:right w:val="nil"/>
            </w:tcBorders>
            <w:tcMar>
              <w:top w:w="128" w:type="dxa"/>
              <w:left w:w="43" w:type="dxa"/>
              <w:bottom w:w="43" w:type="dxa"/>
              <w:right w:w="43" w:type="dxa"/>
            </w:tcMar>
          </w:tcPr>
          <w:p w14:paraId="3CFD1CAD" w14:textId="77777777" w:rsidR="00F7113A" w:rsidRPr="00580C0D" w:rsidRDefault="00142E5B" w:rsidP="001231A3">
            <w:pPr>
              <w:jc w:val="right"/>
            </w:pPr>
            <w:r w:rsidRPr="00580C0D">
              <w:t>Nei</w:t>
            </w:r>
          </w:p>
        </w:tc>
      </w:tr>
      <w:tr w:rsidR="00F7113A" w:rsidRPr="00580C0D" w14:paraId="05401C13"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5E419905"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15984EE1" w14:textId="77777777" w:rsidR="00F7113A" w:rsidRPr="00580C0D" w:rsidRDefault="00142E5B" w:rsidP="001231A3">
            <w:pPr>
              <w:ind w:right="340"/>
              <w:jc w:val="right"/>
            </w:pPr>
            <w:r w:rsidRPr="00580C0D">
              <w:t>745</w:t>
            </w:r>
          </w:p>
        </w:tc>
        <w:tc>
          <w:tcPr>
            <w:tcW w:w="4961" w:type="dxa"/>
            <w:tcBorders>
              <w:top w:val="nil"/>
              <w:left w:val="nil"/>
              <w:bottom w:val="nil"/>
              <w:right w:val="nil"/>
            </w:tcBorders>
            <w:tcMar>
              <w:top w:w="128" w:type="dxa"/>
              <w:left w:w="43" w:type="dxa"/>
              <w:bottom w:w="43" w:type="dxa"/>
              <w:right w:w="43" w:type="dxa"/>
            </w:tcMar>
          </w:tcPr>
          <w:p w14:paraId="0F16BD19" w14:textId="77777777" w:rsidR="00F7113A" w:rsidRPr="00580C0D" w:rsidRDefault="00142E5B" w:rsidP="001231A3">
            <w:r w:rsidRPr="00580C0D">
              <w:t>Aldersgrense for kjøp og salg av energidrikker</w:t>
            </w:r>
          </w:p>
        </w:tc>
        <w:tc>
          <w:tcPr>
            <w:tcW w:w="2272" w:type="dxa"/>
            <w:tcBorders>
              <w:top w:val="nil"/>
              <w:left w:val="nil"/>
              <w:bottom w:val="nil"/>
              <w:right w:val="nil"/>
            </w:tcBorders>
            <w:tcMar>
              <w:top w:w="128" w:type="dxa"/>
              <w:left w:w="43" w:type="dxa"/>
              <w:bottom w:w="43" w:type="dxa"/>
              <w:right w:w="43" w:type="dxa"/>
            </w:tcMar>
          </w:tcPr>
          <w:p w14:paraId="766113C3" w14:textId="77777777" w:rsidR="00F7113A" w:rsidRPr="00580C0D" w:rsidRDefault="00142E5B" w:rsidP="001231A3">
            <w:pPr>
              <w:jc w:val="right"/>
            </w:pPr>
            <w:r w:rsidRPr="00580C0D">
              <w:t>Nei</w:t>
            </w:r>
          </w:p>
        </w:tc>
      </w:tr>
      <w:tr w:rsidR="00F7113A" w:rsidRPr="00580C0D" w14:paraId="73D187E2"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0781BEAD"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177CA80D" w14:textId="77777777" w:rsidR="00F7113A" w:rsidRPr="00580C0D" w:rsidRDefault="00142E5B" w:rsidP="001231A3">
            <w:pPr>
              <w:ind w:right="340"/>
              <w:jc w:val="right"/>
            </w:pPr>
            <w:r w:rsidRPr="00580C0D">
              <w:t>746</w:t>
            </w:r>
          </w:p>
        </w:tc>
        <w:tc>
          <w:tcPr>
            <w:tcW w:w="4961" w:type="dxa"/>
            <w:tcBorders>
              <w:top w:val="nil"/>
              <w:left w:val="nil"/>
              <w:bottom w:val="nil"/>
              <w:right w:val="nil"/>
            </w:tcBorders>
            <w:tcMar>
              <w:top w:w="128" w:type="dxa"/>
              <w:left w:w="43" w:type="dxa"/>
              <w:bottom w:w="43" w:type="dxa"/>
              <w:right w:w="43" w:type="dxa"/>
            </w:tcMar>
          </w:tcPr>
          <w:p w14:paraId="2447ACDA" w14:textId="77777777" w:rsidR="00F7113A" w:rsidRPr="00580C0D" w:rsidRDefault="00142E5B" w:rsidP="001231A3">
            <w:r w:rsidRPr="00580C0D">
              <w:t>Økt bruk av grønn resept</w:t>
            </w:r>
          </w:p>
        </w:tc>
        <w:tc>
          <w:tcPr>
            <w:tcW w:w="2272" w:type="dxa"/>
            <w:tcBorders>
              <w:top w:val="nil"/>
              <w:left w:val="nil"/>
              <w:bottom w:val="nil"/>
              <w:right w:val="nil"/>
            </w:tcBorders>
            <w:tcMar>
              <w:top w:w="128" w:type="dxa"/>
              <w:left w:w="43" w:type="dxa"/>
              <w:bottom w:w="43" w:type="dxa"/>
              <w:right w:w="43" w:type="dxa"/>
            </w:tcMar>
          </w:tcPr>
          <w:p w14:paraId="6CBEEE86" w14:textId="77777777" w:rsidR="00F7113A" w:rsidRPr="00580C0D" w:rsidRDefault="00142E5B" w:rsidP="001231A3">
            <w:pPr>
              <w:jc w:val="right"/>
            </w:pPr>
            <w:r w:rsidRPr="00580C0D">
              <w:t>Nei</w:t>
            </w:r>
          </w:p>
        </w:tc>
      </w:tr>
      <w:tr w:rsidR="00F7113A" w:rsidRPr="00580C0D" w14:paraId="79E6338B"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856D705"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4683C6A3" w14:textId="77777777" w:rsidR="00F7113A" w:rsidRPr="00580C0D" w:rsidRDefault="00142E5B" w:rsidP="001231A3">
            <w:pPr>
              <w:ind w:right="340"/>
              <w:jc w:val="right"/>
            </w:pPr>
            <w:r w:rsidRPr="00580C0D">
              <w:t>748</w:t>
            </w:r>
          </w:p>
        </w:tc>
        <w:tc>
          <w:tcPr>
            <w:tcW w:w="4961" w:type="dxa"/>
            <w:tcBorders>
              <w:top w:val="nil"/>
              <w:left w:val="nil"/>
              <w:bottom w:val="nil"/>
              <w:right w:val="nil"/>
            </w:tcBorders>
            <w:tcMar>
              <w:top w:w="128" w:type="dxa"/>
              <w:left w:w="43" w:type="dxa"/>
              <w:bottom w:w="43" w:type="dxa"/>
              <w:right w:w="43" w:type="dxa"/>
            </w:tcMar>
          </w:tcPr>
          <w:p w14:paraId="486843AA" w14:textId="77777777" w:rsidR="00F7113A" w:rsidRPr="00580C0D" w:rsidRDefault="00142E5B" w:rsidP="001231A3">
            <w:r w:rsidRPr="00580C0D">
              <w:t>Selvmordsforebygging</w:t>
            </w:r>
          </w:p>
        </w:tc>
        <w:tc>
          <w:tcPr>
            <w:tcW w:w="2272" w:type="dxa"/>
            <w:tcBorders>
              <w:top w:val="nil"/>
              <w:left w:val="nil"/>
              <w:bottom w:val="nil"/>
              <w:right w:val="nil"/>
            </w:tcBorders>
            <w:tcMar>
              <w:top w:w="128" w:type="dxa"/>
              <w:left w:w="43" w:type="dxa"/>
              <w:bottom w:w="43" w:type="dxa"/>
              <w:right w:w="43" w:type="dxa"/>
            </w:tcMar>
          </w:tcPr>
          <w:p w14:paraId="62F8B28A" w14:textId="77777777" w:rsidR="00F7113A" w:rsidRPr="00580C0D" w:rsidRDefault="00142E5B" w:rsidP="001231A3">
            <w:pPr>
              <w:jc w:val="right"/>
            </w:pPr>
            <w:r w:rsidRPr="00580C0D">
              <w:t>Nei</w:t>
            </w:r>
          </w:p>
        </w:tc>
      </w:tr>
      <w:tr w:rsidR="00F7113A" w:rsidRPr="00580C0D" w14:paraId="6818E1C3"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0F544C6B"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30044E28" w14:textId="77777777" w:rsidR="00F7113A" w:rsidRPr="00580C0D" w:rsidRDefault="00142E5B" w:rsidP="001231A3">
            <w:pPr>
              <w:ind w:right="340"/>
              <w:jc w:val="right"/>
            </w:pPr>
            <w:r w:rsidRPr="00580C0D">
              <w:t>756</w:t>
            </w:r>
          </w:p>
        </w:tc>
        <w:tc>
          <w:tcPr>
            <w:tcW w:w="4961" w:type="dxa"/>
            <w:tcBorders>
              <w:top w:val="nil"/>
              <w:left w:val="nil"/>
              <w:bottom w:val="nil"/>
              <w:right w:val="nil"/>
            </w:tcBorders>
            <w:tcMar>
              <w:top w:w="128" w:type="dxa"/>
              <w:left w:w="43" w:type="dxa"/>
              <w:bottom w:w="43" w:type="dxa"/>
              <w:right w:w="43" w:type="dxa"/>
            </w:tcMar>
          </w:tcPr>
          <w:p w14:paraId="30373198" w14:textId="77777777" w:rsidR="00F7113A" w:rsidRPr="00580C0D" w:rsidRDefault="00142E5B" w:rsidP="001231A3">
            <w:r w:rsidRPr="00580C0D">
              <w:t>Apotekenes rolle i vaksinasjonsarbeidet</w:t>
            </w:r>
          </w:p>
        </w:tc>
        <w:tc>
          <w:tcPr>
            <w:tcW w:w="2272" w:type="dxa"/>
            <w:tcBorders>
              <w:top w:val="nil"/>
              <w:left w:val="nil"/>
              <w:bottom w:val="nil"/>
              <w:right w:val="nil"/>
            </w:tcBorders>
            <w:tcMar>
              <w:top w:w="128" w:type="dxa"/>
              <w:left w:w="43" w:type="dxa"/>
              <w:bottom w:w="43" w:type="dxa"/>
              <w:right w:w="43" w:type="dxa"/>
            </w:tcMar>
          </w:tcPr>
          <w:p w14:paraId="50765E9F" w14:textId="77777777" w:rsidR="00F7113A" w:rsidRPr="00580C0D" w:rsidRDefault="00142E5B" w:rsidP="001231A3">
            <w:pPr>
              <w:jc w:val="right"/>
            </w:pPr>
            <w:r w:rsidRPr="00580C0D">
              <w:t>Nei</w:t>
            </w:r>
          </w:p>
        </w:tc>
      </w:tr>
      <w:tr w:rsidR="00F7113A" w:rsidRPr="00580C0D" w14:paraId="57E857E4"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D99D42D"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316D9020" w14:textId="77777777" w:rsidR="00F7113A" w:rsidRPr="00580C0D" w:rsidRDefault="00142E5B" w:rsidP="001231A3">
            <w:pPr>
              <w:ind w:right="340"/>
              <w:jc w:val="right"/>
            </w:pPr>
            <w:r w:rsidRPr="00580C0D">
              <w:t>825</w:t>
            </w:r>
          </w:p>
        </w:tc>
        <w:tc>
          <w:tcPr>
            <w:tcW w:w="4961" w:type="dxa"/>
            <w:tcBorders>
              <w:top w:val="nil"/>
              <w:left w:val="nil"/>
              <w:bottom w:val="nil"/>
              <w:right w:val="nil"/>
            </w:tcBorders>
            <w:tcMar>
              <w:top w:w="128" w:type="dxa"/>
              <w:left w:w="43" w:type="dxa"/>
              <w:bottom w:w="43" w:type="dxa"/>
              <w:right w:w="43" w:type="dxa"/>
            </w:tcMar>
          </w:tcPr>
          <w:p w14:paraId="533EE3EE" w14:textId="77777777" w:rsidR="00F7113A" w:rsidRPr="00580C0D" w:rsidRDefault="00142E5B" w:rsidP="001231A3">
            <w:r w:rsidRPr="00580C0D">
              <w:t>Status vann- og avløpssituasjonen</w:t>
            </w:r>
          </w:p>
        </w:tc>
        <w:tc>
          <w:tcPr>
            <w:tcW w:w="2272" w:type="dxa"/>
            <w:tcBorders>
              <w:top w:val="nil"/>
              <w:left w:val="nil"/>
              <w:bottom w:val="nil"/>
              <w:right w:val="nil"/>
            </w:tcBorders>
            <w:tcMar>
              <w:top w:w="128" w:type="dxa"/>
              <w:left w:w="43" w:type="dxa"/>
              <w:bottom w:w="43" w:type="dxa"/>
              <w:right w:w="43" w:type="dxa"/>
            </w:tcMar>
          </w:tcPr>
          <w:p w14:paraId="2EBB062A" w14:textId="77777777" w:rsidR="00F7113A" w:rsidRPr="00580C0D" w:rsidRDefault="00142E5B" w:rsidP="001231A3">
            <w:pPr>
              <w:jc w:val="right"/>
            </w:pPr>
            <w:r w:rsidRPr="00580C0D">
              <w:t>Nei</w:t>
            </w:r>
          </w:p>
        </w:tc>
      </w:tr>
      <w:tr w:rsidR="00F7113A" w:rsidRPr="00580C0D" w14:paraId="4A05F929"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0780AF7B"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6ED8B981" w14:textId="77777777" w:rsidR="00F7113A" w:rsidRPr="00580C0D" w:rsidRDefault="00142E5B" w:rsidP="001231A3">
            <w:pPr>
              <w:ind w:right="340"/>
              <w:jc w:val="right"/>
            </w:pPr>
            <w:r w:rsidRPr="00580C0D">
              <w:t>929</w:t>
            </w:r>
          </w:p>
        </w:tc>
        <w:tc>
          <w:tcPr>
            <w:tcW w:w="4961" w:type="dxa"/>
            <w:tcBorders>
              <w:top w:val="nil"/>
              <w:left w:val="nil"/>
              <w:bottom w:val="nil"/>
              <w:right w:val="nil"/>
            </w:tcBorders>
            <w:tcMar>
              <w:top w:w="128" w:type="dxa"/>
              <w:left w:w="43" w:type="dxa"/>
              <w:bottom w:w="43" w:type="dxa"/>
              <w:right w:w="43" w:type="dxa"/>
            </w:tcMar>
          </w:tcPr>
          <w:p w14:paraId="0B517012" w14:textId="77777777" w:rsidR="00F7113A" w:rsidRPr="00580C0D" w:rsidRDefault="00142E5B" w:rsidP="001231A3">
            <w:r w:rsidRPr="00580C0D">
              <w:t>Utvidelse av rettigheter for psykisk syke på tannhelseområdet – Folketrygdstønad</w:t>
            </w:r>
          </w:p>
        </w:tc>
        <w:tc>
          <w:tcPr>
            <w:tcW w:w="2272" w:type="dxa"/>
            <w:tcBorders>
              <w:top w:val="nil"/>
              <w:left w:val="nil"/>
              <w:bottom w:val="nil"/>
              <w:right w:val="nil"/>
            </w:tcBorders>
            <w:tcMar>
              <w:top w:w="128" w:type="dxa"/>
              <w:left w:w="43" w:type="dxa"/>
              <w:bottom w:w="43" w:type="dxa"/>
              <w:right w:w="43" w:type="dxa"/>
            </w:tcMar>
          </w:tcPr>
          <w:p w14:paraId="4E450CB9" w14:textId="77777777" w:rsidR="00F7113A" w:rsidRPr="00580C0D" w:rsidRDefault="00142E5B" w:rsidP="001231A3">
            <w:pPr>
              <w:jc w:val="right"/>
            </w:pPr>
            <w:r w:rsidRPr="00580C0D">
              <w:t>Nei</w:t>
            </w:r>
          </w:p>
        </w:tc>
      </w:tr>
      <w:tr w:rsidR="00F7113A" w:rsidRPr="00580C0D" w14:paraId="747C5B7B"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62347F92" w14:textId="77777777" w:rsidR="00F7113A" w:rsidRPr="00580C0D" w:rsidRDefault="00142E5B" w:rsidP="001231A3">
            <w:r w:rsidRPr="00580C0D">
              <w:t>2022–2023</w:t>
            </w:r>
          </w:p>
        </w:tc>
        <w:tc>
          <w:tcPr>
            <w:tcW w:w="1134" w:type="dxa"/>
            <w:tcBorders>
              <w:top w:val="nil"/>
              <w:left w:val="nil"/>
              <w:bottom w:val="nil"/>
              <w:right w:val="nil"/>
            </w:tcBorders>
            <w:tcMar>
              <w:top w:w="128" w:type="dxa"/>
              <w:left w:w="43" w:type="dxa"/>
              <w:bottom w:w="43" w:type="dxa"/>
              <w:right w:w="43" w:type="dxa"/>
            </w:tcMar>
          </w:tcPr>
          <w:p w14:paraId="130EF08A" w14:textId="77777777" w:rsidR="00F7113A" w:rsidRPr="00580C0D" w:rsidRDefault="00142E5B" w:rsidP="001231A3">
            <w:pPr>
              <w:ind w:right="340"/>
              <w:jc w:val="right"/>
            </w:pPr>
            <w:r w:rsidRPr="00580C0D">
              <w:t>938</w:t>
            </w:r>
          </w:p>
        </w:tc>
        <w:tc>
          <w:tcPr>
            <w:tcW w:w="4961" w:type="dxa"/>
            <w:tcBorders>
              <w:top w:val="nil"/>
              <w:left w:val="nil"/>
              <w:bottom w:val="nil"/>
              <w:right w:val="nil"/>
            </w:tcBorders>
            <w:tcMar>
              <w:top w:w="128" w:type="dxa"/>
              <w:left w:w="43" w:type="dxa"/>
              <w:bottom w:w="43" w:type="dxa"/>
              <w:right w:w="43" w:type="dxa"/>
            </w:tcMar>
          </w:tcPr>
          <w:p w14:paraId="3F2E9235" w14:textId="77777777" w:rsidR="00F7113A" w:rsidRPr="00580C0D" w:rsidRDefault="00142E5B" w:rsidP="001231A3">
            <w:r w:rsidRPr="00580C0D">
              <w:t>Utvidelse av rettigheter for psykisk syke på tannhelseområdet – Fylkeskommunens tilbud</w:t>
            </w:r>
          </w:p>
        </w:tc>
        <w:tc>
          <w:tcPr>
            <w:tcW w:w="2272" w:type="dxa"/>
            <w:tcBorders>
              <w:top w:val="nil"/>
              <w:left w:val="nil"/>
              <w:bottom w:val="nil"/>
              <w:right w:val="nil"/>
            </w:tcBorders>
            <w:tcMar>
              <w:top w:w="128" w:type="dxa"/>
              <w:left w:w="43" w:type="dxa"/>
              <w:bottom w:w="43" w:type="dxa"/>
              <w:right w:w="43" w:type="dxa"/>
            </w:tcMar>
          </w:tcPr>
          <w:p w14:paraId="78ABDE4E" w14:textId="77777777" w:rsidR="00F7113A" w:rsidRPr="00580C0D" w:rsidRDefault="00142E5B" w:rsidP="001231A3">
            <w:pPr>
              <w:jc w:val="right"/>
            </w:pPr>
            <w:r w:rsidRPr="00580C0D">
              <w:t>Nei</w:t>
            </w:r>
          </w:p>
        </w:tc>
      </w:tr>
      <w:tr w:rsidR="00F7113A" w:rsidRPr="00580C0D" w14:paraId="141BD22A"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61CE7558"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48788DF4" w14:textId="77777777" w:rsidR="00F7113A" w:rsidRPr="00580C0D" w:rsidRDefault="00142E5B" w:rsidP="001231A3">
            <w:pPr>
              <w:ind w:right="340"/>
              <w:jc w:val="right"/>
            </w:pPr>
            <w:r w:rsidRPr="00580C0D">
              <w:t>89</w:t>
            </w:r>
          </w:p>
        </w:tc>
        <w:tc>
          <w:tcPr>
            <w:tcW w:w="4961" w:type="dxa"/>
            <w:tcBorders>
              <w:top w:val="nil"/>
              <w:left w:val="nil"/>
              <w:bottom w:val="nil"/>
              <w:right w:val="nil"/>
            </w:tcBorders>
            <w:tcMar>
              <w:top w:w="128" w:type="dxa"/>
              <w:left w:w="43" w:type="dxa"/>
              <w:bottom w:w="43" w:type="dxa"/>
              <w:right w:w="43" w:type="dxa"/>
            </w:tcMar>
          </w:tcPr>
          <w:p w14:paraId="53EAB370" w14:textId="77777777" w:rsidR="00F7113A" w:rsidRPr="00580C0D" w:rsidRDefault="00142E5B" w:rsidP="001231A3">
            <w:r w:rsidRPr="00580C0D">
              <w:t>Evaluering av prismodell for nasjonale e-helseløsninger</w:t>
            </w:r>
          </w:p>
        </w:tc>
        <w:tc>
          <w:tcPr>
            <w:tcW w:w="2272" w:type="dxa"/>
            <w:tcBorders>
              <w:top w:val="nil"/>
              <w:left w:val="nil"/>
              <w:bottom w:val="nil"/>
              <w:right w:val="nil"/>
            </w:tcBorders>
            <w:tcMar>
              <w:top w:w="128" w:type="dxa"/>
              <w:left w:w="43" w:type="dxa"/>
              <w:bottom w:w="43" w:type="dxa"/>
              <w:right w:w="43" w:type="dxa"/>
            </w:tcMar>
          </w:tcPr>
          <w:p w14:paraId="6DF2BBCE" w14:textId="77777777" w:rsidR="00F7113A" w:rsidRPr="00580C0D" w:rsidRDefault="00142E5B" w:rsidP="001231A3">
            <w:pPr>
              <w:jc w:val="right"/>
            </w:pPr>
            <w:r w:rsidRPr="00580C0D">
              <w:t>Ja</w:t>
            </w:r>
          </w:p>
        </w:tc>
      </w:tr>
      <w:tr w:rsidR="00F7113A" w:rsidRPr="00580C0D" w14:paraId="166F1ADC"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0A5A4058"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43633474" w14:textId="77777777" w:rsidR="00F7113A" w:rsidRPr="00580C0D" w:rsidRDefault="00142E5B" w:rsidP="001231A3">
            <w:pPr>
              <w:ind w:right="340"/>
              <w:jc w:val="right"/>
            </w:pPr>
            <w:r w:rsidRPr="00580C0D">
              <w:t>416</w:t>
            </w:r>
          </w:p>
        </w:tc>
        <w:tc>
          <w:tcPr>
            <w:tcW w:w="4961" w:type="dxa"/>
            <w:tcBorders>
              <w:top w:val="nil"/>
              <w:left w:val="nil"/>
              <w:bottom w:val="nil"/>
              <w:right w:val="nil"/>
            </w:tcBorders>
            <w:tcMar>
              <w:top w:w="128" w:type="dxa"/>
              <w:left w:w="43" w:type="dxa"/>
              <w:bottom w:w="43" w:type="dxa"/>
              <w:right w:w="43" w:type="dxa"/>
            </w:tcMar>
          </w:tcPr>
          <w:p w14:paraId="4FE020BA" w14:textId="3DE9F051" w:rsidR="00F7113A" w:rsidRPr="00580C0D" w:rsidRDefault="00142E5B" w:rsidP="001231A3">
            <w:r w:rsidRPr="00580C0D">
              <w:t xml:space="preserve">Overgangsordning for autorisasjon av </w:t>
            </w:r>
            <w:r w:rsidR="009A1051">
              <w:br/>
            </w:r>
            <w:r w:rsidRPr="00580C0D">
              <w:t>paramedisinere</w:t>
            </w:r>
          </w:p>
        </w:tc>
        <w:tc>
          <w:tcPr>
            <w:tcW w:w="2272" w:type="dxa"/>
            <w:tcBorders>
              <w:top w:val="nil"/>
              <w:left w:val="nil"/>
              <w:bottom w:val="nil"/>
              <w:right w:val="nil"/>
            </w:tcBorders>
            <w:tcMar>
              <w:top w:w="128" w:type="dxa"/>
              <w:left w:w="43" w:type="dxa"/>
              <w:bottom w:w="43" w:type="dxa"/>
              <w:right w:w="43" w:type="dxa"/>
            </w:tcMar>
          </w:tcPr>
          <w:p w14:paraId="6454708F" w14:textId="77777777" w:rsidR="00F7113A" w:rsidRPr="00580C0D" w:rsidRDefault="00142E5B" w:rsidP="001231A3">
            <w:pPr>
              <w:jc w:val="right"/>
            </w:pPr>
            <w:r w:rsidRPr="00580C0D">
              <w:t>Nei</w:t>
            </w:r>
          </w:p>
        </w:tc>
      </w:tr>
      <w:tr w:rsidR="00F7113A" w:rsidRPr="00580C0D" w14:paraId="304E033A"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3F661588"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4A54D14E" w14:textId="77777777" w:rsidR="00F7113A" w:rsidRPr="00580C0D" w:rsidRDefault="00142E5B" w:rsidP="001231A3">
            <w:pPr>
              <w:ind w:right="340"/>
              <w:jc w:val="right"/>
            </w:pPr>
            <w:r w:rsidRPr="00580C0D">
              <w:t>417</w:t>
            </w:r>
          </w:p>
        </w:tc>
        <w:tc>
          <w:tcPr>
            <w:tcW w:w="4961" w:type="dxa"/>
            <w:tcBorders>
              <w:top w:val="nil"/>
              <w:left w:val="nil"/>
              <w:bottom w:val="nil"/>
              <w:right w:val="nil"/>
            </w:tcBorders>
            <w:tcMar>
              <w:top w:w="128" w:type="dxa"/>
              <w:left w:w="43" w:type="dxa"/>
              <w:bottom w:w="43" w:type="dxa"/>
              <w:right w:w="43" w:type="dxa"/>
            </w:tcMar>
          </w:tcPr>
          <w:p w14:paraId="32EE8171" w14:textId="77777777" w:rsidR="00F7113A" w:rsidRPr="00580C0D" w:rsidRDefault="00142E5B" w:rsidP="001231A3">
            <w:r w:rsidRPr="00580C0D">
              <w:t>Avklaring knyttet til Register for utøvere av alternativ behandling</w:t>
            </w:r>
          </w:p>
        </w:tc>
        <w:tc>
          <w:tcPr>
            <w:tcW w:w="2272" w:type="dxa"/>
            <w:tcBorders>
              <w:top w:val="nil"/>
              <w:left w:val="nil"/>
              <w:bottom w:val="nil"/>
              <w:right w:val="nil"/>
            </w:tcBorders>
            <w:tcMar>
              <w:top w:w="128" w:type="dxa"/>
              <w:left w:w="43" w:type="dxa"/>
              <w:bottom w:w="43" w:type="dxa"/>
              <w:right w:w="43" w:type="dxa"/>
            </w:tcMar>
          </w:tcPr>
          <w:p w14:paraId="02E8994E" w14:textId="77777777" w:rsidR="00F7113A" w:rsidRPr="00580C0D" w:rsidRDefault="00142E5B" w:rsidP="001231A3">
            <w:pPr>
              <w:jc w:val="right"/>
            </w:pPr>
            <w:r w:rsidRPr="00580C0D">
              <w:t>Nei</w:t>
            </w:r>
          </w:p>
        </w:tc>
      </w:tr>
      <w:tr w:rsidR="00F7113A" w:rsidRPr="00580C0D" w14:paraId="09AE8FD1"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3BDEA343"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672A0DFD" w14:textId="77777777" w:rsidR="00F7113A" w:rsidRPr="00580C0D" w:rsidRDefault="00142E5B" w:rsidP="001231A3">
            <w:pPr>
              <w:ind w:right="340"/>
              <w:jc w:val="right"/>
            </w:pPr>
            <w:r w:rsidRPr="00580C0D">
              <w:t>516</w:t>
            </w:r>
          </w:p>
        </w:tc>
        <w:tc>
          <w:tcPr>
            <w:tcW w:w="4961" w:type="dxa"/>
            <w:tcBorders>
              <w:top w:val="nil"/>
              <w:left w:val="nil"/>
              <w:bottom w:val="nil"/>
              <w:right w:val="nil"/>
            </w:tcBorders>
            <w:tcMar>
              <w:top w:w="128" w:type="dxa"/>
              <w:left w:w="43" w:type="dxa"/>
              <w:bottom w:w="43" w:type="dxa"/>
              <w:right w:w="43" w:type="dxa"/>
            </w:tcMar>
          </w:tcPr>
          <w:p w14:paraId="53679C25" w14:textId="77777777" w:rsidR="00F7113A" w:rsidRPr="00580C0D" w:rsidRDefault="00142E5B" w:rsidP="001231A3">
            <w:r w:rsidRPr="00580C0D">
              <w:t>Sikring av helsefaglig oppfølging etter fødsel</w:t>
            </w:r>
          </w:p>
        </w:tc>
        <w:tc>
          <w:tcPr>
            <w:tcW w:w="2272" w:type="dxa"/>
            <w:tcBorders>
              <w:top w:val="nil"/>
              <w:left w:val="nil"/>
              <w:bottom w:val="nil"/>
              <w:right w:val="nil"/>
            </w:tcBorders>
            <w:tcMar>
              <w:top w:w="128" w:type="dxa"/>
              <w:left w:w="43" w:type="dxa"/>
              <w:bottom w:w="43" w:type="dxa"/>
              <w:right w:w="43" w:type="dxa"/>
            </w:tcMar>
          </w:tcPr>
          <w:p w14:paraId="48DE0D3C" w14:textId="77777777" w:rsidR="00F7113A" w:rsidRPr="00580C0D" w:rsidRDefault="00142E5B" w:rsidP="001231A3">
            <w:pPr>
              <w:jc w:val="right"/>
            </w:pPr>
            <w:r w:rsidRPr="00580C0D">
              <w:t>Nei</w:t>
            </w:r>
          </w:p>
        </w:tc>
      </w:tr>
      <w:tr w:rsidR="00F7113A" w:rsidRPr="00580C0D" w14:paraId="1B94AFF0"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08CFF050"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2C42E70F" w14:textId="77777777" w:rsidR="00F7113A" w:rsidRPr="00580C0D" w:rsidRDefault="00142E5B" w:rsidP="001231A3">
            <w:pPr>
              <w:ind w:right="340"/>
              <w:jc w:val="right"/>
            </w:pPr>
            <w:r w:rsidRPr="00580C0D">
              <w:t>517</w:t>
            </w:r>
          </w:p>
        </w:tc>
        <w:tc>
          <w:tcPr>
            <w:tcW w:w="4961" w:type="dxa"/>
            <w:tcBorders>
              <w:top w:val="nil"/>
              <w:left w:val="nil"/>
              <w:bottom w:val="nil"/>
              <w:right w:val="nil"/>
            </w:tcBorders>
            <w:tcMar>
              <w:top w:w="128" w:type="dxa"/>
              <w:left w:w="43" w:type="dxa"/>
              <w:bottom w:w="43" w:type="dxa"/>
              <w:right w:w="43" w:type="dxa"/>
            </w:tcMar>
          </w:tcPr>
          <w:p w14:paraId="1DA6F48E" w14:textId="77777777" w:rsidR="00F7113A" w:rsidRPr="00580C0D" w:rsidRDefault="00142E5B" w:rsidP="001231A3">
            <w:r w:rsidRPr="00580C0D">
              <w:t>Lovfeste rett til selvvalgt støtteperson gjennom graviditet og fødsel</w:t>
            </w:r>
          </w:p>
        </w:tc>
        <w:tc>
          <w:tcPr>
            <w:tcW w:w="2272" w:type="dxa"/>
            <w:tcBorders>
              <w:top w:val="nil"/>
              <w:left w:val="nil"/>
              <w:bottom w:val="nil"/>
              <w:right w:val="nil"/>
            </w:tcBorders>
            <w:tcMar>
              <w:top w:w="128" w:type="dxa"/>
              <w:left w:w="43" w:type="dxa"/>
              <w:bottom w:w="43" w:type="dxa"/>
              <w:right w:w="43" w:type="dxa"/>
            </w:tcMar>
          </w:tcPr>
          <w:p w14:paraId="2900B7B7" w14:textId="77777777" w:rsidR="00F7113A" w:rsidRPr="00580C0D" w:rsidRDefault="00142E5B" w:rsidP="001231A3">
            <w:pPr>
              <w:jc w:val="right"/>
            </w:pPr>
            <w:r w:rsidRPr="00580C0D">
              <w:t>Nei</w:t>
            </w:r>
          </w:p>
        </w:tc>
      </w:tr>
      <w:tr w:rsidR="00F7113A" w:rsidRPr="00580C0D" w14:paraId="3F1A83A0"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322E5677"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36B7E9A0" w14:textId="77777777" w:rsidR="00F7113A" w:rsidRPr="00580C0D" w:rsidRDefault="00142E5B" w:rsidP="001231A3">
            <w:pPr>
              <w:ind w:right="340"/>
              <w:jc w:val="right"/>
            </w:pPr>
            <w:r w:rsidRPr="00580C0D">
              <w:t>518</w:t>
            </w:r>
          </w:p>
        </w:tc>
        <w:tc>
          <w:tcPr>
            <w:tcW w:w="4961" w:type="dxa"/>
            <w:tcBorders>
              <w:top w:val="nil"/>
              <w:left w:val="nil"/>
              <w:bottom w:val="nil"/>
              <w:right w:val="nil"/>
            </w:tcBorders>
            <w:tcMar>
              <w:top w:w="128" w:type="dxa"/>
              <w:left w:w="43" w:type="dxa"/>
              <w:bottom w:w="43" w:type="dxa"/>
              <w:right w:w="43" w:type="dxa"/>
            </w:tcMar>
          </w:tcPr>
          <w:p w14:paraId="488A6329" w14:textId="77777777" w:rsidR="00F7113A" w:rsidRPr="00580C0D" w:rsidRDefault="00142E5B" w:rsidP="001231A3">
            <w:r w:rsidRPr="00580C0D">
              <w:t>Oppfølging og hjelpeapparat for forebygging av fødselsdepresjon</w:t>
            </w:r>
          </w:p>
        </w:tc>
        <w:tc>
          <w:tcPr>
            <w:tcW w:w="2272" w:type="dxa"/>
            <w:tcBorders>
              <w:top w:val="nil"/>
              <w:left w:val="nil"/>
              <w:bottom w:val="nil"/>
              <w:right w:val="nil"/>
            </w:tcBorders>
            <w:tcMar>
              <w:top w:w="128" w:type="dxa"/>
              <w:left w:w="43" w:type="dxa"/>
              <w:bottom w:w="43" w:type="dxa"/>
              <w:right w:w="43" w:type="dxa"/>
            </w:tcMar>
          </w:tcPr>
          <w:p w14:paraId="000AF30A" w14:textId="77777777" w:rsidR="00F7113A" w:rsidRPr="00580C0D" w:rsidRDefault="00142E5B" w:rsidP="001231A3">
            <w:pPr>
              <w:jc w:val="right"/>
            </w:pPr>
            <w:r w:rsidRPr="00580C0D">
              <w:t>Nei</w:t>
            </w:r>
          </w:p>
        </w:tc>
      </w:tr>
      <w:tr w:rsidR="00F7113A" w:rsidRPr="00580C0D" w14:paraId="751C9ABA"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7738656B"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4997AE9C" w14:textId="77777777" w:rsidR="00F7113A" w:rsidRPr="00580C0D" w:rsidRDefault="00142E5B" w:rsidP="001231A3">
            <w:pPr>
              <w:ind w:right="340"/>
              <w:jc w:val="right"/>
            </w:pPr>
            <w:r w:rsidRPr="00580C0D">
              <w:t>519</w:t>
            </w:r>
          </w:p>
        </w:tc>
        <w:tc>
          <w:tcPr>
            <w:tcW w:w="4961" w:type="dxa"/>
            <w:tcBorders>
              <w:top w:val="nil"/>
              <w:left w:val="nil"/>
              <w:bottom w:val="nil"/>
              <w:right w:val="nil"/>
            </w:tcBorders>
            <w:tcMar>
              <w:top w:w="128" w:type="dxa"/>
              <w:left w:w="43" w:type="dxa"/>
              <w:bottom w:w="43" w:type="dxa"/>
              <w:right w:w="43" w:type="dxa"/>
            </w:tcMar>
          </w:tcPr>
          <w:p w14:paraId="5B127082" w14:textId="77777777" w:rsidR="00F7113A" w:rsidRPr="00580C0D" w:rsidRDefault="00142E5B" w:rsidP="001231A3">
            <w:r w:rsidRPr="00580C0D">
              <w:t>Behandlingssenter ved alvorlig fødselsdepresjon for mor med barn</w:t>
            </w:r>
          </w:p>
        </w:tc>
        <w:tc>
          <w:tcPr>
            <w:tcW w:w="2272" w:type="dxa"/>
            <w:tcBorders>
              <w:top w:val="nil"/>
              <w:left w:val="nil"/>
              <w:bottom w:val="nil"/>
              <w:right w:val="nil"/>
            </w:tcBorders>
            <w:tcMar>
              <w:top w:w="128" w:type="dxa"/>
              <w:left w:w="43" w:type="dxa"/>
              <w:bottom w:w="43" w:type="dxa"/>
              <w:right w:w="43" w:type="dxa"/>
            </w:tcMar>
          </w:tcPr>
          <w:p w14:paraId="6D732342" w14:textId="77777777" w:rsidR="00F7113A" w:rsidRPr="00580C0D" w:rsidRDefault="00142E5B" w:rsidP="001231A3">
            <w:pPr>
              <w:jc w:val="right"/>
            </w:pPr>
            <w:r w:rsidRPr="00580C0D">
              <w:t>Nei</w:t>
            </w:r>
          </w:p>
        </w:tc>
      </w:tr>
      <w:tr w:rsidR="00F7113A" w:rsidRPr="00580C0D" w14:paraId="4998FCB9"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6568C63B"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7F89BE97" w14:textId="77777777" w:rsidR="00F7113A" w:rsidRPr="00580C0D" w:rsidRDefault="00142E5B" w:rsidP="001231A3">
            <w:pPr>
              <w:ind w:right="340"/>
              <w:jc w:val="right"/>
            </w:pPr>
            <w:r w:rsidRPr="00580C0D">
              <w:t>520</w:t>
            </w:r>
          </w:p>
        </w:tc>
        <w:tc>
          <w:tcPr>
            <w:tcW w:w="4961" w:type="dxa"/>
            <w:tcBorders>
              <w:top w:val="nil"/>
              <w:left w:val="nil"/>
              <w:bottom w:val="nil"/>
              <w:right w:val="nil"/>
            </w:tcBorders>
            <w:tcMar>
              <w:top w:w="128" w:type="dxa"/>
              <w:left w:w="43" w:type="dxa"/>
              <w:bottom w:w="43" w:type="dxa"/>
              <w:right w:w="43" w:type="dxa"/>
            </w:tcMar>
          </w:tcPr>
          <w:p w14:paraId="62619C0B" w14:textId="77777777" w:rsidR="00F7113A" w:rsidRPr="00580C0D" w:rsidRDefault="00142E5B" w:rsidP="001231A3">
            <w:r w:rsidRPr="00580C0D">
              <w:t>Rettighetsfesting av hjemmebesøk av jordmor</w:t>
            </w:r>
          </w:p>
        </w:tc>
        <w:tc>
          <w:tcPr>
            <w:tcW w:w="2272" w:type="dxa"/>
            <w:tcBorders>
              <w:top w:val="nil"/>
              <w:left w:val="nil"/>
              <w:bottom w:val="nil"/>
              <w:right w:val="nil"/>
            </w:tcBorders>
            <w:tcMar>
              <w:top w:w="128" w:type="dxa"/>
              <w:left w:w="43" w:type="dxa"/>
              <w:bottom w:w="43" w:type="dxa"/>
              <w:right w:w="43" w:type="dxa"/>
            </w:tcMar>
          </w:tcPr>
          <w:p w14:paraId="55AC2F22" w14:textId="77777777" w:rsidR="00F7113A" w:rsidRPr="00580C0D" w:rsidRDefault="00142E5B" w:rsidP="001231A3">
            <w:pPr>
              <w:jc w:val="right"/>
            </w:pPr>
            <w:r w:rsidRPr="00580C0D">
              <w:t xml:space="preserve">Nei </w:t>
            </w:r>
          </w:p>
        </w:tc>
      </w:tr>
      <w:tr w:rsidR="00F7113A" w:rsidRPr="00580C0D" w14:paraId="63003717"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0D242917"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3F490FB4" w14:textId="77777777" w:rsidR="00F7113A" w:rsidRPr="00580C0D" w:rsidRDefault="00142E5B" w:rsidP="001231A3">
            <w:pPr>
              <w:ind w:right="340"/>
              <w:jc w:val="right"/>
            </w:pPr>
            <w:r w:rsidRPr="00580C0D">
              <w:t>561</w:t>
            </w:r>
          </w:p>
        </w:tc>
        <w:tc>
          <w:tcPr>
            <w:tcW w:w="4961" w:type="dxa"/>
            <w:tcBorders>
              <w:top w:val="nil"/>
              <w:left w:val="nil"/>
              <w:bottom w:val="nil"/>
              <w:right w:val="nil"/>
            </w:tcBorders>
            <w:tcMar>
              <w:top w:w="128" w:type="dxa"/>
              <w:left w:w="43" w:type="dxa"/>
              <w:bottom w:w="43" w:type="dxa"/>
              <w:right w:w="43" w:type="dxa"/>
            </w:tcMar>
          </w:tcPr>
          <w:p w14:paraId="70EC36A4" w14:textId="77777777" w:rsidR="00F7113A" w:rsidRPr="00580C0D" w:rsidRDefault="00142E5B" w:rsidP="001231A3">
            <w:r w:rsidRPr="00580C0D">
              <w:t>Utredning av spesialistforskriften</w:t>
            </w:r>
          </w:p>
        </w:tc>
        <w:tc>
          <w:tcPr>
            <w:tcW w:w="2272" w:type="dxa"/>
            <w:tcBorders>
              <w:top w:val="nil"/>
              <w:left w:val="nil"/>
              <w:bottom w:val="nil"/>
              <w:right w:val="nil"/>
            </w:tcBorders>
            <w:tcMar>
              <w:top w:w="128" w:type="dxa"/>
              <w:left w:w="43" w:type="dxa"/>
              <w:bottom w:w="43" w:type="dxa"/>
              <w:right w:w="43" w:type="dxa"/>
            </w:tcMar>
          </w:tcPr>
          <w:p w14:paraId="30F93202" w14:textId="77777777" w:rsidR="00F7113A" w:rsidRPr="00580C0D" w:rsidRDefault="00142E5B" w:rsidP="001231A3">
            <w:pPr>
              <w:jc w:val="right"/>
            </w:pPr>
            <w:r w:rsidRPr="00580C0D">
              <w:t>Nei</w:t>
            </w:r>
          </w:p>
        </w:tc>
      </w:tr>
      <w:tr w:rsidR="00F7113A" w:rsidRPr="00580C0D" w14:paraId="2B8E2B0E"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A4E4852"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483938E5" w14:textId="77777777" w:rsidR="00F7113A" w:rsidRPr="00580C0D" w:rsidRDefault="00142E5B" w:rsidP="001231A3">
            <w:pPr>
              <w:ind w:right="340"/>
              <w:jc w:val="right"/>
            </w:pPr>
            <w:r w:rsidRPr="00580C0D">
              <w:t>762</w:t>
            </w:r>
          </w:p>
        </w:tc>
        <w:tc>
          <w:tcPr>
            <w:tcW w:w="4961" w:type="dxa"/>
            <w:tcBorders>
              <w:top w:val="nil"/>
              <w:left w:val="nil"/>
              <w:bottom w:val="nil"/>
              <w:right w:val="nil"/>
            </w:tcBorders>
            <w:tcMar>
              <w:top w:w="128" w:type="dxa"/>
              <w:left w:w="43" w:type="dxa"/>
              <w:bottom w:w="43" w:type="dxa"/>
              <w:right w:w="43" w:type="dxa"/>
            </w:tcMar>
          </w:tcPr>
          <w:p w14:paraId="5648917E" w14:textId="77777777" w:rsidR="00F7113A" w:rsidRPr="00580C0D" w:rsidRDefault="00142E5B" w:rsidP="001231A3">
            <w:r w:rsidRPr="00580C0D">
              <w:t>Handlingsplan for reduksjon av ensomhet</w:t>
            </w:r>
          </w:p>
        </w:tc>
        <w:tc>
          <w:tcPr>
            <w:tcW w:w="2272" w:type="dxa"/>
            <w:tcBorders>
              <w:top w:val="nil"/>
              <w:left w:val="nil"/>
              <w:bottom w:val="nil"/>
              <w:right w:val="nil"/>
            </w:tcBorders>
            <w:tcMar>
              <w:top w:w="128" w:type="dxa"/>
              <w:left w:w="43" w:type="dxa"/>
              <w:bottom w:w="43" w:type="dxa"/>
              <w:right w:w="43" w:type="dxa"/>
            </w:tcMar>
          </w:tcPr>
          <w:p w14:paraId="3902629E" w14:textId="77777777" w:rsidR="00F7113A" w:rsidRPr="00580C0D" w:rsidRDefault="00142E5B" w:rsidP="001231A3">
            <w:pPr>
              <w:jc w:val="right"/>
            </w:pPr>
            <w:r w:rsidRPr="00580C0D">
              <w:t>Nei</w:t>
            </w:r>
          </w:p>
        </w:tc>
      </w:tr>
      <w:tr w:rsidR="00F7113A" w:rsidRPr="00580C0D" w14:paraId="3123C339"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081681E5"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6281DE72" w14:textId="77777777" w:rsidR="00F7113A" w:rsidRPr="00580C0D" w:rsidRDefault="00142E5B" w:rsidP="001231A3">
            <w:pPr>
              <w:ind w:right="340"/>
              <w:jc w:val="right"/>
            </w:pPr>
            <w:r w:rsidRPr="00580C0D">
              <w:t>763</w:t>
            </w:r>
          </w:p>
        </w:tc>
        <w:tc>
          <w:tcPr>
            <w:tcW w:w="4961" w:type="dxa"/>
            <w:tcBorders>
              <w:top w:val="nil"/>
              <w:left w:val="nil"/>
              <w:bottom w:val="nil"/>
              <w:right w:val="nil"/>
            </w:tcBorders>
            <w:tcMar>
              <w:top w:w="128" w:type="dxa"/>
              <w:left w:w="43" w:type="dxa"/>
              <w:bottom w:w="43" w:type="dxa"/>
              <w:right w:w="43" w:type="dxa"/>
            </w:tcMar>
          </w:tcPr>
          <w:p w14:paraId="2B3F945B" w14:textId="77777777" w:rsidR="00F7113A" w:rsidRPr="00580C0D" w:rsidRDefault="00142E5B" w:rsidP="001231A3">
            <w:r w:rsidRPr="00580C0D">
              <w:t>Styrking av forskning på ensomhet</w:t>
            </w:r>
          </w:p>
        </w:tc>
        <w:tc>
          <w:tcPr>
            <w:tcW w:w="2272" w:type="dxa"/>
            <w:tcBorders>
              <w:top w:val="nil"/>
              <w:left w:val="nil"/>
              <w:bottom w:val="nil"/>
              <w:right w:val="nil"/>
            </w:tcBorders>
            <w:tcMar>
              <w:top w:w="128" w:type="dxa"/>
              <w:left w:w="43" w:type="dxa"/>
              <w:bottom w:w="43" w:type="dxa"/>
              <w:right w:w="43" w:type="dxa"/>
            </w:tcMar>
          </w:tcPr>
          <w:p w14:paraId="412B31D6" w14:textId="77777777" w:rsidR="00F7113A" w:rsidRPr="00580C0D" w:rsidRDefault="00142E5B" w:rsidP="001231A3">
            <w:pPr>
              <w:jc w:val="right"/>
            </w:pPr>
            <w:r w:rsidRPr="00580C0D">
              <w:t>Nei</w:t>
            </w:r>
          </w:p>
        </w:tc>
      </w:tr>
      <w:tr w:rsidR="00F7113A" w:rsidRPr="00580C0D" w14:paraId="09FA5FAA"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4052B70"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15603757" w14:textId="77777777" w:rsidR="00F7113A" w:rsidRPr="00580C0D" w:rsidRDefault="00142E5B" w:rsidP="001231A3">
            <w:pPr>
              <w:ind w:right="340"/>
              <w:jc w:val="right"/>
            </w:pPr>
            <w:r w:rsidRPr="00580C0D">
              <w:t>764</w:t>
            </w:r>
          </w:p>
        </w:tc>
        <w:tc>
          <w:tcPr>
            <w:tcW w:w="4961" w:type="dxa"/>
            <w:tcBorders>
              <w:top w:val="nil"/>
              <w:left w:val="nil"/>
              <w:bottom w:val="nil"/>
              <w:right w:val="nil"/>
            </w:tcBorders>
            <w:tcMar>
              <w:top w:w="128" w:type="dxa"/>
              <w:left w:w="43" w:type="dxa"/>
              <w:bottom w:w="43" w:type="dxa"/>
              <w:right w:w="43" w:type="dxa"/>
            </w:tcMar>
          </w:tcPr>
          <w:p w14:paraId="2737BB4E" w14:textId="61CE2EE5" w:rsidR="00F7113A" w:rsidRPr="00580C0D" w:rsidRDefault="00142E5B" w:rsidP="001231A3">
            <w:r w:rsidRPr="00580C0D">
              <w:t xml:space="preserve">Styrking av samarbeid for forebygging av </w:t>
            </w:r>
            <w:r w:rsidR="009A1051">
              <w:br/>
            </w:r>
            <w:r w:rsidRPr="00580C0D">
              <w:t>ensomhet</w:t>
            </w:r>
          </w:p>
        </w:tc>
        <w:tc>
          <w:tcPr>
            <w:tcW w:w="2272" w:type="dxa"/>
            <w:tcBorders>
              <w:top w:val="nil"/>
              <w:left w:val="nil"/>
              <w:bottom w:val="nil"/>
              <w:right w:val="nil"/>
            </w:tcBorders>
            <w:tcMar>
              <w:top w:w="128" w:type="dxa"/>
              <w:left w:w="43" w:type="dxa"/>
              <w:bottom w:w="43" w:type="dxa"/>
              <w:right w:w="43" w:type="dxa"/>
            </w:tcMar>
          </w:tcPr>
          <w:p w14:paraId="201969BE" w14:textId="77777777" w:rsidR="00F7113A" w:rsidRPr="00580C0D" w:rsidRDefault="00142E5B" w:rsidP="001231A3">
            <w:pPr>
              <w:jc w:val="right"/>
            </w:pPr>
            <w:r w:rsidRPr="00580C0D">
              <w:t>Nei</w:t>
            </w:r>
          </w:p>
        </w:tc>
      </w:tr>
      <w:tr w:rsidR="00F7113A" w:rsidRPr="00580C0D" w14:paraId="4672CDD2"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6534B4BA" w14:textId="77777777" w:rsidR="00F7113A" w:rsidRPr="00580C0D" w:rsidRDefault="00142E5B" w:rsidP="001231A3">
            <w:r w:rsidRPr="00580C0D">
              <w:t>2021–2022</w:t>
            </w:r>
          </w:p>
        </w:tc>
        <w:tc>
          <w:tcPr>
            <w:tcW w:w="1134" w:type="dxa"/>
            <w:tcBorders>
              <w:top w:val="nil"/>
              <w:left w:val="nil"/>
              <w:bottom w:val="nil"/>
              <w:right w:val="nil"/>
            </w:tcBorders>
            <w:tcMar>
              <w:top w:w="128" w:type="dxa"/>
              <w:left w:w="43" w:type="dxa"/>
              <w:bottom w:w="43" w:type="dxa"/>
              <w:right w:w="43" w:type="dxa"/>
            </w:tcMar>
          </w:tcPr>
          <w:p w14:paraId="320637B6" w14:textId="77777777" w:rsidR="00F7113A" w:rsidRPr="00580C0D" w:rsidRDefault="00142E5B" w:rsidP="001231A3">
            <w:pPr>
              <w:ind w:right="340"/>
              <w:jc w:val="right"/>
            </w:pPr>
            <w:r w:rsidRPr="00580C0D">
              <w:t>832</w:t>
            </w:r>
          </w:p>
        </w:tc>
        <w:tc>
          <w:tcPr>
            <w:tcW w:w="4961" w:type="dxa"/>
            <w:tcBorders>
              <w:top w:val="nil"/>
              <w:left w:val="nil"/>
              <w:bottom w:val="nil"/>
              <w:right w:val="nil"/>
            </w:tcBorders>
            <w:tcMar>
              <w:top w:w="128" w:type="dxa"/>
              <w:left w:w="43" w:type="dxa"/>
              <w:bottom w:w="43" w:type="dxa"/>
              <w:right w:w="43" w:type="dxa"/>
            </w:tcMar>
          </w:tcPr>
          <w:p w14:paraId="3394096D" w14:textId="77777777" w:rsidR="00F7113A" w:rsidRPr="00580C0D" w:rsidRDefault="00142E5B" w:rsidP="001231A3">
            <w:r w:rsidRPr="00580C0D">
              <w:t>Tannhelse 21-åringer og 22-åringer</w:t>
            </w:r>
          </w:p>
        </w:tc>
        <w:tc>
          <w:tcPr>
            <w:tcW w:w="2272" w:type="dxa"/>
            <w:tcBorders>
              <w:top w:val="nil"/>
              <w:left w:val="nil"/>
              <w:bottom w:val="nil"/>
              <w:right w:val="nil"/>
            </w:tcBorders>
            <w:tcMar>
              <w:top w:w="128" w:type="dxa"/>
              <w:left w:w="43" w:type="dxa"/>
              <w:bottom w:w="43" w:type="dxa"/>
              <w:right w:w="43" w:type="dxa"/>
            </w:tcMar>
          </w:tcPr>
          <w:p w14:paraId="513A58F0" w14:textId="77777777" w:rsidR="00F7113A" w:rsidRPr="00580C0D" w:rsidRDefault="00142E5B" w:rsidP="001231A3">
            <w:pPr>
              <w:jc w:val="right"/>
            </w:pPr>
            <w:r w:rsidRPr="00580C0D">
              <w:t>Nei</w:t>
            </w:r>
          </w:p>
        </w:tc>
      </w:tr>
      <w:tr w:rsidR="00F7113A" w:rsidRPr="00580C0D" w14:paraId="6493EE7F"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3D4EDAF0"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15320760" w14:textId="77777777" w:rsidR="00F7113A" w:rsidRPr="00580C0D" w:rsidRDefault="00142E5B" w:rsidP="001231A3">
            <w:pPr>
              <w:ind w:right="340"/>
              <w:jc w:val="right"/>
            </w:pPr>
            <w:r w:rsidRPr="00580C0D">
              <w:t>5</w:t>
            </w:r>
          </w:p>
        </w:tc>
        <w:tc>
          <w:tcPr>
            <w:tcW w:w="4961" w:type="dxa"/>
            <w:tcBorders>
              <w:top w:val="nil"/>
              <w:left w:val="nil"/>
              <w:bottom w:val="nil"/>
              <w:right w:val="nil"/>
            </w:tcBorders>
            <w:tcMar>
              <w:top w:w="128" w:type="dxa"/>
              <w:left w:w="43" w:type="dxa"/>
              <w:bottom w:w="43" w:type="dxa"/>
              <w:right w:w="43" w:type="dxa"/>
            </w:tcMar>
          </w:tcPr>
          <w:p w14:paraId="3B51ADB7" w14:textId="77777777" w:rsidR="00F7113A" w:rsidRPr="00580C0D" w:rsidRDefault="00142E5B" w:rsidP="001231A3">
            <w:r w:rsidRPr="00580C0D">
              <w:t>Økonomiske modeller for utvikling av antibiotika</w:t>
            </w:r>
          </w:p>
        </w:tc>
        <w:tc>
          <w:tcPr>
            <w:tcW w:w="2272" w:type="dxa"/>
            <w:tcBorders>
              <w:top w:val="nil"/>
              <w:left w:val="nil"/>
              <w:bottom w:val="nil"/>
              <w:right w:val="nil"/>
            </w:tcBorders>
            <w:tcMar>
              <w:top w:w="128" w:type="dxa"/>
              <w:left w:w="43" w:type="dxa"/>
              <w:bottom w:w="43" w:type="dxa"/>
              <w:right w:w="43" w:type="dxa"/>
            </w:tcMar>
          </w:tcPr>
          <w:p w14:paraId="47821607" w14:textId="77777777" w:rsidR="00F7113A" w:rsidRPr="00580C0D" w:rsidRDefault="00142E5B" w:rsidP="001231A3">
            <w:pPr>
              <w:jc w:val="right"/>
            </w:pPr>
            <w:r w:rsidRPr="00580C0D">
              <w:t>Nei</w:t>
            </w:r>
          </w:p>
        </w:tc>
      </w:tr>
      <w:tr w:rsidR="00F7113A" w:rsidRPr="00580C0D" w14:paraId="608A83F8"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1A3163D1"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73CF0F0E" w14:textId="77777777" w:rsidR="00F7113A" w:rsidRPr="00580C0D" w:rsidRDefault="00142E5B" w:rsidP="001231A3">
            <w:pPr>
              <w:ind w:right="340"/>
              <w:jc w:val="right"/>
            </w:pPr>
            <w:r w:rsidRPr="00580C0D">
              <w:t>9</w:t>
            </w:r>
          </w:p>
        </w:tc>
        <w:tc>
          <w:tcPr>
            <w:tcW w:w="4961" w:type="dxa"/>
            <w:tcBorders>
              <w:top w:val="nil"/>
              <w:left w:val="nil"/>
              <w:bottom w:val="nil"/>
              <w:right w:val="nil"/>
            </w:tcBorders>
            <w:tcMar>
              <w:top w:w="128" w:type="dxa"/>
              <w:left w:w="43" w:type="dxa"/>
              <w:bottom w:w="43" w:type="dxa"/>
              <w:right w:w="43" w:type="dxa"/>
            </w:tcMar>
          </w:tcPr>
          <w:p w14:paraId="69818CE3" w14:textId="77777777" w:rsidR="00F7113A" w:rsidRPr="00580C0D" w:rsidRDefault="00142E5B" w:rsidP="001231A3">
            <w:r w:rsidRPr="00580C0D">
              <w:t>Lovendring om mennesker på sykehjem mot deres egen vilje</w:t>
            </w:r>
          </w:p>
        </w:tc>
        <w:tc>
          <w:tcPr>
            <w:tcW w:w="2272" w:type="dxa"/>
            <w:tcBorders>
              <w:top w:val="nil"/>
              <w:left w:val="nil"/>
              <w:bottom w:val="nil"/>
              <w:right w:val="nil"/>
            </w:tcBorders>
            <w:tcMar>
              <w:top w:w="128" w:type="dxa"/>
              <w:left w:w="43" w:type="dxa"/>
              <w:bottom w:w="43" w:type="dxa"/>
              <w:right w:w="43" w:type="dxa"/>
            </w:tcMar>
          </w:tcPr>
          <w:p w14:paraId="2A06C399" w14:textId="77777777" w:rsidR="00F7113A" w:rsidRPr="00580C0D" w:rsidRDefault="00142E5B" w:rsidP="001231A3">
            <w:pPr>
              <w:jc w:val="right"/>
            </w:pPr>
            <w:r w:rsidRPr="00580C0D">
              <w:t>Nei</w:t>
            </w:r>
          </w:p>
        </w:tc>
      </w:tr>
      <w:tr w:rsidR="00F7113A" w:rsidRPr="00580C0D" w14:paraId="4E6DAD04"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3CF5B48F"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391CA844" w14:textId="77777777" w:rsidR="00F7113A" w:rsidRPr="00580C0D" w:rsidRDefault="00142E5B" w:rsidP="001231A3">
            <w:pPr>
              <w:ind w:right="340"/>
              <w:jc w:val="right"/>
            </w:pPr>
            <w:r w:rsidRPr="00580C0D">
              <w:t>84</w:t>
            </w:r>
          </w:p>
        </w:tc>
        <w:tc>
          <w:tcPr>
            <w:tcW w:w="4961" w:type="dxa"/>
            <w:tcBorders>
              <w:top w:val="nil"/>
              <w:left w:val="nil"/>
              <w:bottom w:val="nil"/>
              <w:right w:val="nil"/>
            </w:tcBorders>
            <w:tcMar>
              <w:top w:w="128" w:type="dxa"/>
              <w:left w:w="43" w:type="dxa"/>
              <w:bottom w:w="43" w:type="dxa"/>
              <w:right w:w="43" w:type="dxa"/>
            </w:tcMar>
          </w:tcPr>
          <w:p w14:paraId="1B701C23" w14:textId="67091096" w:rsidR="00F7113A" w:rsidRPr="00580C0D" w:rsidRDefault="00142E5B" w:rsidP="001231A3">
            <w:r w:rsidRPr="00580C0D">
              <w:t>Revisjon av smittevernloven etter Korona</w:t>
            </w:r>
            <w:r w:rsidR="009A1051">
              <w:softHyphen/>
            </w:r>
            <w:r w:rsidRPr="00580C0D">
              <w:t>kommisjonens rapport</w:t>
            </w:r>
          </w:p>
        </w:tc>
        <w:tc>
          <w:tcPr>
            <w:tcW w:w="2272" w:type="dxa"/>
            <w:tcBorders>
              <w:top w:val="nil"/>
              <w:left w:val="nil"/>
              <w:bottom w:val="nil"/>
              <w:right w:val="nil"/>
            </w:tcBorders>
            <w:tcMar>
              <w:top w:w="128" w:type="dxa"/>
              <w:left w:w="43" w:type="dxa"/>
              <w:bottom w:w="43" w:type="dxa"/>
              <w:right w:w="43" w:type="dxa"/>
            </w:tcMar>
          </w:tcPr>
          <w:p w14:paraId="36F41F9D" w14:textId="77777777" w:rsidR="00F7113A" w:rsidRPr="00580C0D" w:rsidRDefault="00142E5B" w:rsidP="001231A3">
            <w:pPr>
              <w:jc w:val="right"/>
            </w:pPr>
            <w:r w:rsidRPr="00580C0D">
              <w:t>Nei</w:t>
            </w:r>
          </w:p>
        </w:tc>
      </w:tr>
      <w:tr w:rsidR="00F7113A" w:rsidRPr="00580C0D" w14:paraId="40310DF7"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60934A44"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0D950E6A" w14:textId="77777777" w:rsidR="00F7113A" w:rsidRPr="00580C0D" w:rsidRDefault="00142E5B" w:rsidP="001231A3">
            <w:pPr>
              <w:ind w:right="340"/>
              <w:jc w:val="right"/>
            </w:pPr>
            <w:r w:rsidRPr="00580C0D">
              <w:t>96</w:t>
            </w:r>
          </w:p>
        </w:tc>
        <w:tc>
          <w:tcPr>
            <w:tcW w:w="4961" w:type="dxa"/>
            <w:tcBorders>
              <w:top w:val="nil"/>
              <w:left w:val="nil"/>
              <w:bottom w:val="nil"/>
              <w:right w:val="nil"/>
            </w:tcBorders>
            <w:tcMar>
              <w:top w:w="128" w:type="dxa"/>
              <w:left w:w="43" w:type="dxa"/>
              <w:bottom w:w="43" w:type="dxa"/>
              <w:right w:w="43" w:type="dxa"/>
            </w:tcMar>
          </w:tcPr>
          <w:p w14:paraId="2A56A7B7" w14:textId="77777777" w:rsidR="00F7113A" w:rsidRPr="00580C0D" w:rsidRDefault="00142E5B" w:rsidP="001231A3">
            <w:r w:rsidRPr="00580C0D">
              <w:t>Gjennomgang av folketrygdens refusjonsordning for tannbehandling</w:t>
            </w:r>
          </w:p>
        </w:tc>
        <w:tc>
          <w:tcPr>
            <w:tcW w:w="2272" w:type="dxa"/>
            <w:tcBorders>
              <w:top w:val="nil"/>
              <w:left w:val="nil"/>
              <w:bottom w:val="nil"/>
              <w:right w:val="nil"/>
            </w:tcBorders>
            <w:tcMar>
              <w:top w:w="128" w:type="dxa"/>
              <w:left w:w="43" w:type="dxa"/>
              <w:bottom w:w="43" w:type="dxa"/>
              <w:right w:w="43" w:type="dxa"/>
            </w:tcMar>
          </w:tcPr>
          <w:p w14:paraId="596CDB97" w14:textId="77777777" w:rsidR="00F7113A" w:rsidRPr="00580C0D" w:rsidRDefault="00142E5B" w:rsidP="001231A3">
            <w:pPr>
              <w:jc w:val="right"/>
            </w:pPr>
            <w:r w:rsidRPr="00580C0D">
              <w:t xml:space="preserve"> Nei</w:t>
            </w:r>
          </w:p>
        </w:tc>
      </w:tr>
      <w:tr w:rsidR="00F7113A" w:rsidRPr="00580C0D" w14:paraId="35A18C76"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34F19BF7"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33F92767" w14:textId="77777777" w:rsidR="00F7113A" w:rsidRPr="00580C0D" w:rsidRDefault="00142E5B" w:rsidP="001231A3">
            <w:pPr>
              <w:ind w:right="340"/>
              <w:jc w:val="right"/>
            </w:pPr>
            <w:r w:rsidRPr="00580C0D">
              <w:t>229</w:t>
            </w:r>
          </w:p>
        </w:tc>
        <w:tc>
          <w:tcPr>
            <w:tcW w:w="4961" w:type="dxa"/>
            <w:tcBorders>
              <w:top w:val="nil"/>
              <w:left w:val="nil"/>
              <w:bottom w:val="nil"/>
              <w:right w:val="nil"/>
            </w:tcBorders>
            <w:tcMar>
              <w:top w:w="128" w:type="dxa"/>
              <w:left w:w="43" w:type="dxa"/>
              <w:bottom w:w="43" w:type="dxa"/>
              <w:right w:w="43" w:type="dxa"/>
            </w:tcMar>
          </w:tcPr>
          <w:p w14:paraId="786957A2" w14:textId="5577912B" w:rsidR="00F7113A" w:rsidRPr="00580C0D" w:rsidRDefault="00142E5B" w:rsidP="001231A3">
            <w:r w:rsidRPr="00580C0D">
              <w:t xml:space="preserve">Sykehusenes intensivkapasitet og beredskap i </w:t>
            </w:r>
            <w:r w:rsidR="009A1051">
              <w:br/>
            </w:r>
            <w:r w:rsidRPr="00580C0D">
              <w:t>etterkant av covid-19-pandemien</w:t>
            </w:r>
          </w:p>
        </w:tc>
        <w:tc>
          <w:tcPr>
            <w:tcW w:w="2272" w:type="dxa"/>
            <w:tcBorders>
              <w:top w:val="nil"/>
              <w:left w:val="nil"/>
              <w:bottom w:val="nil"/>
              <w:right w:val="nil"/>
            </w:tcBorders>
            <w:tcMar>
              <w:top w:w="128" w:type="dxa"/>
              <w:left w:w="43" w:type="dxa"/>
              <w:bottom w:w="43" w:type="dxa"/>
              <w:right w:w="43" w:type="dxa"/>
            </w:tcMar>
          </w:tcPr>
          <w:p w14:paraId="7C53CB0C" w14:textId="77777777" w:rsidR="00F7113A" w:rsidRPr="00580C0D" w:rsidRDefault="00142E5B" w:rsidP="001231A3">
            <w:pPr>
              <w:jc w:val="right"/>
            </w:pPr>
            <w:r w:rsidRPr="00580C0D">
              <w:t>Ja</w:t>
            </w:r>
          </w:p>
        </w:tc>
      </w:tr>
      <w:tr w:rsidR="00F7113A" w:rsidRPr="00580C0D" w14:paraId="7DB3E38F"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1966383"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5174477F" w14:textId="77777777" w:rsidR="00F7113A" w:rsidRPr="00580C0D" w:rsidRDefault="00142E5B" w:rsidP="001231A3">
            <w:pPr>
              <w:ind w:right="340"/>
              <w:jc w:val="right"/>
            </w:pPr>
            <w:r w:rsidRPr="00580C0D">
              <w:t>328</w:t>
            </w:r>
          </w:p>
        </w:tc>
        <w:tc>
          <w:tcPr>
            <w:tcW w:w="4961" w:type="dxa"/>
            <w:tcBorders>
              <w:top w:val="nil"/>
              <w:left w:val="nil"/>
              <w:bottom w:val="nil"/>
              <w:right w:val="nil"/>
            </w:tcBorders>
            <w:tcMar>
              <w:top w:w="128" w:type="dxa"/>
              <w:left w:w="43" w:type="dxa"/>
              <w:bottom w:w="43" w:type="dxa"/>
              <w:right w:w="43" w:type="dxa"/>
            </w:tcMar>
          </w:tcPr>
          <w:p w14:paraId="74E7A1BC" w14:textId="77777777" w:rsidR="00F7113A" w:rsidRPr="00580C0D" w:rsidRDefault="00142E5B" w:rsidP="001231A3">
            <w:r w:rsidRPr="00580C0D">
              <w:t>Alternative behandlere -fritak fra merverdiavgiftsloven</w:t>
            </w:r>
          </w:p>
        </w:tc>
        <w:tc>
          <w:tcPr>
            <w:tcW w:w="2272" w:type="dxa"/>
            <w:tcBorders>
              <w:top w:val="nil"/>
              <w:left w:val="nil"/>
              <w:bottom w:val="nil"/>
              <w:right w:val="nil"/>
            </w:tcBorders>
            <w:tcMar>
              <w:top w:w="128" w:type="dxa"/>
              <w:left w:w="43" w:type="dxa"/>
              <w:bottom w:w="43" w:type="dxa"/>
              <w:right w:w="43" w:type="dxa"/>
            </w:tcMar>
          </w:tcPr>
          <w:p w14:paraId="753497E3" w14:textId="77777777" w:rsidR="00F7113A" w:rsidRPr="00580C0D" w:rsidRDefault="00142E5B" w:rsidP="001231A3">
            <w:pPr>
              <w:jc w:val="right"/>
            </w:pPr>
            <w:r w:rsidRPr="00580C0D">
              <w:t xml:space="preserve">Ja </w:t>
            </w:r>
          </w:p>
        </w:tc>
      </w:tr>
      <w:tr w:rsidR="00F7113A" w:rsidRPr="00580C0D" w14:paraId="7359A2C7"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792DEE24"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7215CB65" w14:textId="77777777" w:rsidR="00F7113A" w:rsidRPr="00580C0D" w:rsidRDefault="00142E5B" w:rsidP="001231A3">
            <w:pPr>
              <w:ind w:right="340"/>
              <w:jc w:val="right"/>
            </w:pPr>
            <w:r w:rsidRPr="00580C0D">
              <w:t>607</w:t>
            </w:r>
          </w:p>
        </w:tc>
        <w:tc>
          <w:tcPr>
            <w:tcW w:w="4961" w:type="dxa"/>
            <w:tcBorders>
              <w:top w:val="nil"/>
              <w:left w:val="nil"/>
              <w:bottom w:val="nil"/>
              <w:right w:val="nil"/>
            </w:tcBorders>
            <w:tcMar>
              <w:top w:w="128" w:type="dxa"/>
              <w:left w:w="43" w:type="dxa"/>
              <w:bottom w:w="43" w:type="dxa"/>
              <w:right w:w="43" w:type="dxa"/>
            </w:tcMar>
          </w:tcPr>
          <w:p w14:paraId="4928C652" w14:textId="77777777" w:rsidR="00F7113A" w:rsidRPr="00580C0D" w:rsidRDefault="00142E5B" w:rsidP="001231A3">
            <w:r w:rsidRPr="00580C0D">
              <w:t>Utredning av endringer i innkjøpsforskriften for Vinmonopolet</w:t>
            </w:r>
          </w:p>
        </w:tc>
        <w:tc>
          <w:tcPr>
            <w:tcW w:w="2272" w:type="dxa"/>
            <w:tcBorders>
              <w:top w:val="nil"/>
              <w:left w:val="nil"/>
              <w:bottom w:val="nil"/>
              <w:right w:val="nil"/>
            </w:tcBorders>
            <w:tcMar>
              <w:top w:w="128" w:type="dxa"/>
              <w:left w:w="43" w:type="dxa"/>
              <w:bottom w:w="43" w:type="dxa"/>
              <w:right w:w="43" w:type="dxa"/>
            </w:tcMar>
          </w:tcPr>
          <w:p w14:paraId="3C4D0F88" w14:textId="77777777" w:rsidR="00F7113A" w:rsidRPr="00580C0D" w:rsidRDefault="00142E5B" w:rsidP="001231A3">
            <w:pPr>
              <w:jc w:val="right"/>
            </w:pPr>
            <w:r w:rsidRPr="00580C0D">
              <w:t>Ja</w:t>
            </w:r>
          </w:p>
        </w:tc>
      </w:tr>
      <w:tr w:rsidR="00F7113A" w:rsidRPr="00580C0D" w14:paraId="2F58DCD9"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50C6AC58"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70CE9624" w14:textId="77777777" w:rsidR="00F7113A" w:rsidRPr="00580C0D" w:rsidRDefault="00142E5B" w:rsidP="001231A3">
            <w:pPr>
              <w:ind w:right="340"/>
              <w:jc w:val="right"/>
            </w:pPr>
            <w:r w:rsidRPr="00580C0D">
              <w:t>645</w:t>
            </w:r>
          </w:p>
        </w:tc>
        <w:tc>
          <w:tcPr>
            <w:tcW w:w="4961" w:type="dxa"/>
            <w:tcBorders>
              <w:top w:val="nil"/>
              <w:left w:val="nil"/>
              <w:bottom w:val="nil"/>
              <w:right w:val="nil"/>
            </w:tcBorders>
            <w:tcMar>
              <w:top w:w="128" w:type="dxa"/>
              <w:left w:w="43" w:type="dxa"/>
              <w:bottom w:w="43" w:type="dxa"/>
              <w:right w:w="43" w:type="dxa"/>
            </w:tcMar>
          </w:tcPr>
          <w:p w14:paraId="4062CBAE" w14:textId="77777777" w:rsidR="00F7113A" w:rsidRPr="00580C0D" w:rsidRDefault="00142E5B" w:rsidP="001231A3">
            <w:r w:rsidRPr="00580C0D">
              <w:t>Voksenvaksinasjons-program</w:t>
            </w:r>
          </w:p>
        </w:tc>
        <w:tc>
          <w:tcPr>
            <w:tcW w:w="2272" w:type="dxa"/>
            <w:tcBorders>
              <w:top w:val="nil"/>
              <w:left w:val="nil"/>
              <w:bottom w:val="nil"/>
              <w:right w:val="nil"/>
            </w:tcBorders>
            <w:tcMar>
              <w:top w:w="128" w:type="dxa"/>
              <w:left w:w="43" w:type="dxa"/>
              <w:bottom w:w="43" w:type="dxa"/>
              <w:right w:w="43" w:type="dxa"/>
            </w:tcMar>
          </w:tcPr>
          <w:p w14:paraId="292C9B91" w14:textId="77777777" w:rsidR="00F7113A" w:rsidRPr="00580C0D" w:rsidRDefault="00142E5B" w:rsidP="001231A3">
            <w:pPr>
              <w:jc w:val="right"/>
            </w:pPr>
            <w:r w:rsidRPr="00580C0D">
              <w:t>Nei</w:t>
            </w:r>
          </w:p>
        </w:tc>
      </w:tr>
      <w:tr w:rsidR="00F7113A" w:rsidRPr="00580C0D" w14:paraId="75E64388"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7F1D3C22"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1F98D33F" w14:textId="77777777" w:rsidR="00F7113A" w:rsidRPr="00580C0D" w:rsidRDefault="00142E5B" w:rsidP="001231A3">
            <w:pPr>
              <w:ind w:right="340"/>
              <w:jc w:val="right"/>
            </w:pPr>
            <w:r w:rsidRPr="00580C0D">
              <w:t>646</w:t>
            </w:r>
          </w:p>
        </w:tc>
        <w:tc>
          <w:tcPr>
            <w:tcW w:w="4961" w:type="dxa"/>
            <w:tcBorders>
              <w:top w:val="nil"/>
              <w:left w:val="nil"/>
              <w:bottom w:val="nil"/>
              <w:right w:val="nil"/>
            </w:tcBorders>
            <w:tcMar>
              <w:top w:w="128" w:type="dxa"/>
              <w:left w:w="43" w:type="dxa"/>
              <w:bottom w:w="43" w:type="dxa"/>
              <w:right w:w="43" w:type="dxa"/>
            </w:tcMar>
          </w:tcPr>
          <w:p w14:paraId="44ECEB22" w14:textId="77777777" w:rsidR="00F7113A" w:rsidRPr="00580C0D" w:rsidRDefault="00142E5B" w:rsidP="001231A3">
            <w:r w:rsidRPr="00580C0D">
              <w:t xml:space="preserve">Automatisk informasjonsordning </w:t>
            </w:r>
          </w:p>
        </w:tc>
        <w:tc>
          <w:tcPr>
            <w:tcW w:w="2272" w:type="dxa"/>
            <w:tcBorders>
              <w:top w:val="nil"/>
              <w:left w:val="nil"/>
              <w:bottom w:val="nil"/>
              <w:right w:val="nil"/>
            </w:tcBorders>
            <w:tcMar>
              <w:top w:w="128" w:type="dxa"/>
              <w:left w:w="43" w:type="dxa"/>
              <w:bottom w:w="43" w:type="dxa"/>
              <w:right w:w="43" w:type="dxa"/>
            </w:tcMar>
          </w:tcPr>
          <w:p w14:paraId="5005499F" w14:textId="77777777" w:rsidR="00F7113A" w:rsidRPr="00580C0D" w:rsidRDefault="00142E5B" w:rsidP="001231A3">
            <w:pPr>
              <w:jc w:val="right"/>
            </w:pPr>
            <w:r w:rsidRPr="00580C0D">
              <w:t>Nei</w:t>
            </w:r>
          </w:p>
        </w:tc>
      </w:tr>
      <w:tr w:rsidR="00F7113A" w:rsidRPr="00580C0D" w14:paraId="799AB62B"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DB9B264"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77FD7513" w14:textId="77777777" w:rsidR="00F7113A" w:rsidRPr="00580C0D" w:rsidRDefault="00142E5B" w:rsidP="001231A3">
            <w:pPr>
              <w:ind w:right="340"/>
              <w:jc w:val="right"/>
            </w:pPr>
            <w:r w:rsidRPr="00580C0D">
              <w:t>692</w:t>
            </w:r>
          </w:p>
        </w:tc>
        <w:tc>
          <w:tcPr>
            <w:tcW w:w="4961" w:type="dxa"/>
            <w:tcBorders>
              <w:top w:val="nil"/>
              <w:left w:val="nil"/>
              <w:bottom w:val="nil"/>
              <w:right w:val="nil"/>
            </w:tcBorders>
            <w:tcMar>
              <w:top w:w="128" w:type="dxa"/>
              <w:left w:w="43" w:type="dxa"/>
              <w:bottom w:w="43" w:type="dxa"/>
              <w:right w:w="43" w:type="dxa"/>
            </w:tcMar>
          </w:tcPr>
          <w:p w14:paraId="5181566F" w14:textId="77777777" w:rsidR="00F7113A" w:rsidRPr="00580C0D" w:rsidRDefault="00142E5B" w:rsidP="001231A3">
            <w:r w:rsidRPr="00580C0D">
              <w:t>Botilbud for personer som har kommet ut av aktiv rus</w:t>
            </w:r>
          </w:p>
        </w:tc>
        <w:tc>
          <w:tcPr>
            <w:tcW w:w="2272" w:type="dxa"/>
            <w:tcBorders>
              <w:top w:val="nil"/>
              <w:left w:val="nil"/>
              <w:bottom w:val="nil"/>
              <w:right w:val="nil"/>
            </w:tcBorders>
            <w:tcMar>
              <w:top w:w="128" w:type="dxa"/>
              <w:left w:w="43" w:type="dxa"/>
              <w:bottom w:w="43" w:type="dxa"/>
              <w:right w:w="43" w:type="dxa"/>
            </w:tcMar>
          </w:tcPr>
          <w:p w14:paraId="69DDB5F7" w14:textId="77777777" w:rsidR="00F7113A" w:rsidRPr="00580C0D" w:rsidRDefault="00142E5B" w:rsidP="001231A3">
            <w:pPr>
              <w:jc w:val="right"/>
            </w:pPr>
            <w:r w:rsidRPr="00580C0D">
              <w:t>Nei</w:t>
            </w:r>
          </w:p>
        </w:tc>
      </w:tr>
      <w:tr w:rsidR="00F7113A" w:rsidRPr="00580C0D" w14:paraId="70509DE6"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3F4B8FF9"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50DF2324" w14:textId="77777777" w:rsidR="00F7113A" w:rsidRPr="00580C0D" w:rsidRDefault="00142E5B" w:rsidP="001231A3">
            <w:pPr>
              <w:ind w:right="340"/>
              <w:jc w:val="right"/>
            </w:pPr>
            <w:r w:rsidRPr="00580C0D">
              <w:t>693</w:t>
            </w:r>
          </w:p>
        </w:tc>
        <w:tc>
          <w:tcPr>
            <w:tcW w:w="4961" w:type="dxa"/>
            <w:tcBorders>
              <w:top w:val="nil"/>
              <w:left w:val="nil"/>
              <w:bottom w:val="nil"/>
              <w:right w:val="nil"/>
            </w:tcBorders>
            <w:tcMar>
              <w:top w:w="128" w:type="dxa"/>
              <w:left w:w="43" w:type="dxa"/>
              <w:bottom w:w="43" w:type="dxa"/>
              <w:right w:w="43" w:type="dxa"/>
            </w:tcMar>
          </w:tcPr>
          <w:p w14:paraId="1B53F432" w14:textId="77777777" w:rsidR="00F7113A" w:rsidRPr="00580C0D" w:rsidRDefault="00142E5B" w:rsidP="001231A3">
            <w:r w:rsidRPr="00580C0D">
              <w:t>Finansieringsordning innen rusfeltet</w:t>
            </w:r>
          </w:p>
        </w:tc>
        <w:tc>
          <w:tcPr>
            <w:tcW w:w="2272" w:type="dxa"/>
            <w:tcBorders>
              <w:top w:val="nil"/>
              <w:left w:val="nil"/>
              <w:bottom w:val="nil"/>
              <w:right w:val="nil"/>
            </w:tcBorders>
            <w:tcMar>
              <w:top w:w="128" w:type="dxa"/>
              <w:left w:w="43" w:type="dxa"/>
              <w:bottom w:w="43" w:type="dxa"/>
              <w:right w:w="43" w:type="dxa"/>
            </w:tcMar>
          </w:tcPr>
          <w:p w14:paraId="7ECBED04" w14:textId="77777777" w:rsidR="00F7113A" w:rsidRPr="00580C0D" w:rsidRDefault="00142E5B" w:rsidP="001231A3">
            <w:pPr>
              <w:jc w:val="right"/>
            </w:pPr>
            <w:r w:rsidRPr="00580C0D">
              <w:t>Nei</w:t>
            </w:r>
          </w:p>
        </w:tc>
      </w:tr>
      <w:tr w:rsidR="00F7113A" w:rsidRPr="00580C0D" w14:paraId="6B5C5477"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5FC66CAD"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5A4406E2" w14:textId="77777777" w:rsidR="00F7113A" w:rsidRPr="00580C0D" w:rsidRDefault="00142E5B" w:rsidP="001231A3">
            <w:pPr>
              <w:ind w:right="340"/>
              <w:jc w:val="right"/>
            </w:pPr>
            <w:r w:rsidRPr="00580C0D">
              <w:t>702</w:t>
            </w:r>
          </w:p>
        </w:tc>
        <w:tc>
          <w:tcPr>
            <w:tcW w:w="4961" w:type="dxa"/>
            <w:tcBorders>
              <w:top w:val="nil"/>
              <w:left w:val="nil"/>
              <w:bottom w:val="nil"/>
              <w:right w:val="nil"/>
            </w:tcBorders>
            <w:tcMar>
              <w:top w:w="128" w:type="dxa"/>
              <w:left w:w="43" w:type="dxa"/>
              <w:bottom w:w="43" w:type="dxa"/>
              <w:right w:w="43" w:type="dxa"/>
            </w:tcMar>
          </w:tcPr>
          <w:p w14:paraId="7EC8E45D" w14:textId="77777777" w:rsidR="00F7113A" w:rsidRPr="00580C0D" w:rsidRDefault="00142E5B" w:rsidP="001231A3">
            <w:r w:rsidRPr="00580C0D">
              <w:t xml:space="preserve">Helhetlig og koordinert helse- og omsorgstjenestetilbud </w:t>
            </w:r>
          </w:p>
        </w:tc>
        <w:tc>
          <w:tcPr>
            <w:tcW w:w="2272" w:type="dxa"/>
            <w:tcBorders>
              <w:top w:val="nil"/>
              <w:left w:val="nil"/>
              <w:bottom w:val="nil"/>
              <w:right w:val="nil"/>
            </w:tcBorders>
            <w:tcMar>
              <w:top w:w="128" w:type="dxa"/>
              <w:left w:w="43" w:type="dxa"/>
              <w:bottom w:w="43" w:type="dxa"/>
              <w:right w:w="43" w:type="dxa"/>
            </w:tcMar>
          </w:tcPr>
          <w:p w14:paraId="7BEDC2EF" w14:textId="77777777" w:rsidR="00F7113A" w:rsidRPr="00580C0D" w:rsidRDefault="00142E5B" w:rsidP="001231A3">
            <w:pPr>
              <w:jc w:val="right"/>
            </w:pPr>
            <w:r w:rsidRPr="00580C0D">
              <w:t xml:space="preserve">Nei </w:t>
            </w:r>
          </w:p>
        </w:tc>
      </w:tr>
      <w:tr w:rsidR="00F7113A" w:rsidRPr="00580C0D" w14:paraId="7AEAA444"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50214CFE"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28939E8A" w14:textId="77777777" w:rsidR="00F7113A" w:rsidRPr="00580C0D" w:rsidRDefault="00142E5B" w:rsidP="001231A3">
            <w:pPr>
              <w:ind w:right="340"/>
              <w:jc w:val="right"/>
            </w:pPr>
            <w:r w:rsidRPr="00580C0D">
              <w:t>726</w:t>
            </w:r>
          </w:p>
        </w:tc>
        <w:tc>
          <w:tcPr>
            <w:tcW w:w="4961" w:type="dxa"/>
            <w:tcBorders>
              <w:top w:val="nil"/>
              <w:left w:val="nil"/>
              <w:bottom w:val="nil"/>
              <w:right w:val="nil"/>
            </w:tcBorders>
            <w:tcMar>
              <w:top w:w="128" w:type="dxa"/>
              <w:left w:w="43" w:type="dxa"/>
              <w:bottom w:w="43" w:type="dxa"/>
              <w:right w:w="43" w:type="dxa"/>
            </w:tcMar>
          </w:tcPr>
          <w:p w14:paraId="4235EE0C" w14:textId="75ABA8CC" w:rsidR="00F7113A" w:rsidRPr="00580C0D" w:rsidRDefault="00142E5B" w:rsidP="001231A3">
            <w:r w:rsidRPr="00580C0D">
              <w:t xml:space="preserve">Responstider, kompetanse og akuttmedisinsk </w:t>
            </w:r>
            <w:r w:rsidR="009A1051">
              <w:br/>
            </w:r>
            <w:r w:rsidRPr="00580C0D">
              <w:t xml:space="preserve">utstyr </w:t>
            </w:r>
          </w:p>
        </w:tc>
        <w:tc>
          <w:tcPr>
            <w:tcW w:w="2272" w:type="dxa"/>
            <w:tcBorders>
              <w:top w:val="nil"/>
              <w:left w:val="nil"/>
              <w:bottom w:val="nil"/>
              <w:right w:val="nil"/>
            </w:tcBorders>
            <w:tcMar>
              <w:top w:w="128" w:type="dxa"/>
              <w:left w:w="43" w:type="dxa"/>
              <w:bottom w:w="43" w:type="dxa"/>
              <w:right w:w="43" w:type="dxa"/>
            </w:tcMar>
          </w:tcPr>
          <w:p w14:paraId="29FA1B00" w14:textId="77777777" w:rsidR="00F7113A" w:rsidRPr="00580C0D" w:rsidRDefault="00142E5B" w:rsidP="001231A3">
            <w:pPr>
              <w:jc w:val="right"/>
            </w:pPr>
            <w:r w:rsidRPr="00580C0D">
              <w:t>Nei</w:t>
            </w:r>
          </w:p>
        </w:tc>
      </w:tr>
      <w:tr w:rsidR="00F7113A" w:rsidRPr="00580C0D" w14:paraId="18A886F6"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16ACB9AB"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7B5B9D6C" w14:textId="77777777" w:rsidR="00F7113A" w:rsidRPr="00580C0D" w:rsidRDefault="00142E5B" w:rsidP="001231A3">
            <w:pPr>
              <w:ind w:right="340"/>
              <w:jc w:val="right"/>
            </w:pPr>
            <w:r w:rsidRPr="00580C0D">
              <w:t>876</w:t>
            </w:r>
          </w:p>
        </w:tc>
        <w:tc>
          <w:tcPr>
            <w:tcW w:w="4961" w:type="dxa"/>
            <w:tcBorders>
              <w:top w:val="nil"/>
              <w:left w:val="nil"/>
              <w:bottom w:val="nil"/>
              <w:right w:val="nil"/>
            </w:tcBorders>
            <w:tcMar>
              <w:top w:w="128" w:type="dxa"/>
              <w:left w:w="43" w:type="dxa"/>
              <w:bottom w:w="43" w:type="dxa"/>
              <w:right w:w="43" w:type="dxa"/>
            </w:tcMar>
          </w:tcPr>
          <w:p w14:paraId="04B3434E" w14:textId="77777777" w:rsidR="00F7113A" w:rsidRPr="00580C0D" w:rsidRDefault="00142E5B" w:rsidP="001231A3">
            <w:r w:rsidRPr="00580C0D">
              <w:t xml:space="preserve">Koronakommisjonen – situasjonen for kommuneoverleger og kommunale smittevernleger </w:t>
            </w:r>
          </w:p>
        </w:tc>
        <w:tc>
          <w:tcPr>
            <w:tcW w:w="2272" w:type="dxa"/>
            <w:tcBorders>
              <w:top w:val="nil"/>
              <w:left w:val="nil"/>
              <w:bottom w:val="nil"/>
              <w:right w:val="nil"/>
            </w:tcBorders>
            <w:tcMar>
              <w:top w:w="128" w:type="dxa"/>
              <w:left w:w="43" w:type="dxa"/>
              <w:bottom w:w="43" w:type="dxa"/>
              <w:right w:w="43" w:type="dxa"/>
            </w:tcMar>
          </w:tcPr>
          <w:p w14:paraId="6C29BF9B" w14:textId="77777777" w:rsidR="00F7113A" w:rsidRPr="00580C0D" w:rsidRDefault="00142E5B" w:rsidP="001231A3">
            <w:pPr>
              <w:jc w:val="right"/>
            </w:pPr>
            <w:r w:rsidRPr="00580C0D">
              <w:t>Nei</w:t>
            </w:r>
          </w:p>
        </w:tc>
      </w:tr>
      <w:tr w:rsidR="00F7113A" w:rsidRPr="00580C0D" w14:paraId="4430FF2E"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44E4357"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197A2E62" w14:textId="77777777" w:rsidR="00F7113A" w:rsidRPr="00580C0D" w:rsidRDefault="00142E5B" w:rsidP="001231A3">
            <w:pPr>
              <w:ind w:right="340"/>
              <w:jc w:val="right"/>
            </w:pPr>
            <w:r w:rsidRPr="00580C0D">
              <w:t>986</w:t>
            </w:r>
          </w:p>
        </w:tc>
        <w:tc>
          <w:tcPr>
            <w:tcW w:w="4961" w:type="dxa"/>
            <w:tcBorders>
              <w:top w:val="nil"/>
              <w:left w:val="nil"/>
              <w:bottom w:val="nil"/>
              <w:right w:val="nil"/>
            </w:tcBorders>
            <w:tcMar>
              <w:top w:w="128" w:type="dxa"/>
              <w:left w:w="43" w:type="dxa"/>
              <w:bottom w:w="43" w:type="dxa"/>
              <w:right w:w="43" w:type="dxa"/>
            </w:tcMar>
          </w:tcPr>
          <w:p w14:paraId="7F522DE7" w14:textId="77777777" w:rsidR="00F7113A" w:rsidRPr="00580C0D" w:rsidRDefault="00142E5B" w:rsidP="001231A3">
            <w:r w:rsidRPr="00580C0D">
              <w:t>Eldrevoldssaker – nasjonale retningslinjer</w:t>
            </w:r>
          </w:p>
        </w:tc>
        <w:tc>
          <w:tcPr>
            <w:tcW w:w="2272" w:type="dxa"/>
            <w:tcBorders>
              <w:top w:val="nil"/>
              <w:left w:val="nil"/>
              <w:bottom w:val="nil"/>
              <w:right w:val="nil"/>
            </w:tcBorders>
            <w:tcMar>
              <w:top w:w="128" w:type="dxa"/>
              <w:left w:w="43" w:type="dxa"/>
              <w:bottom w:w="43" w:type="dxa"/>
              <w:right w:w="43" w:type="dxa"/>
            </w:tcMar>
          </w:tcPr>
          <w:p w14:paraId="0EB801FD" w14:textId="77777777" w:rsidR="00F7113A" w:rsidRPr="00580C0D" w:rsidRDefault="00142E5B" w:rsidP="001231A3">
            <w:pPr>
              <w:jc w:val="right"/>
            </w:pPr>
            <w:r w:rsidRPr="00580C0D">
              <w:t>Nei</w:t>
            </w:r>
          </w:p>
        </w:tc>
      </w:tr>
      <w:tr w:rsidR="00F7113A" w:rsidRPr="00580C0D" w14:paraId="626F30AB"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26BA715D"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599BB49B" w14:textId="77777777" w:rsidR="00F7113A" w:rsidRPr="00580C0D" w:rsidRDefault="00142E5B" w:rsidP="001231A3">
            <w:pPr>
              <w:ind w:right="340"/>
              <w:jc w:val="right"/>
            </w:pPr>
            <w:r w:rsidRPr="00580C0D">
              <w:t>987</w:t>
            </w:r>
          </w:p>
        </w:tc>
        <w:tc>
          <w:tcPr>
            <w:tcW w:w="4961" w:type="dxa"/>
            <w:tcBorders>
              <w:top w:val="nil"/>
              <w:left w:val="nil"/>
              <w:bottom w:val="nil"/>
              <w:right w:val="nil"/>
            </w:tcBorders>
            <w:tcMar>
              <w:top w:w="128" w:type="dxa"/>
              <w:left w:w="43" w:type="dxa"/>
              <w:bottom w:w="43" w:type="dxa"/>
              <w:right w:w="43" w:type="dxa"/>
            </w:tcMar>
          </w:tcPr>
          <w:p w14:paraId="456C8483" w14:textId="77777777" w:rsidR="00F7113A" w:rsidRPr="00580C0D" w:rsidRDefault="00142E5B" w:rsidP="001231A3">
            <w:r w:rsidRPr="00580C0D">
              <w:t>Eldrevoldssaker – meldeplikt</w:t>
            </w:r>
          </w:p>
        </w:tc>
        <w:tc>
          <w:tcPr>
            <w:tcW w:w="2272" w:type="dxa"/>
            <w:tcBorders>
              <w:top w:val="nil"/>
              <w:left w:val="nil"/>
              <w:bottom w:val="nil"/>
              <w:right w:val="nil"/>
            </w:tcBorders>
            <w:tcMar>
              <w:top w:w="128" w:type="dxa"/>
              <w:left w:w="43" w:type="dxa"/>
              <w:bottom w:w="43" w:type="dxa"/>
              <w:right w:w="43" w:type="dxa"/>
            </w:tcMar>
          </w:tcPr>
          <w:p w14:paraId="6F246623" w14:textId="77777777" w:rsidR="00F7113A" w:rsidRPr="00580C0D" w:rsidRDefault="00142E5B" w:rsidP="001231A3">
            <w:pPr>
              <w:jc w:val="right"/>
            </w:pPr>
            <w:r w:rsidRPr="00580C0D">
              <w:t>Nei</w:t>
            </w:r>
          </w:p>
        </w:tc>
      </w:tr>
      <w:tr w:rsidR="00F7113A" w:rsidRPr="00580C0D" w14:paraId="1C45E593"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5EAAF5F2"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5FAA3F58" w14:textId="77777777" w:rsidR="00F7113A" w:rsidRPr="00580C0D" w:rsidRDefault="00142E5B" w:rsidP="001231A3">
            <w:pPr>
              <w:ind w:right="340"/>
              <w:jc w:val="right"/>
            </w:pPr>
            <w:r w:rsidRPr="00580C0D">
              <w:t>1114</w:t>
            </w:r>
          </w:p>
        </w:tc>
        <w:tc>
          <w:tcPr>
            <w:tcW w:w="4961" w:type="dxa"/>
            <w:tcBorders>
              <w:top w:val="nil"/>
              <w:left w:val="nil"/>
              <w:bottom w:val="nil"/>
              <w:right w:val="nil"/>
            </w:tcBorders>
            <w:tcMar>
              <w:top w:w="128" w:type="dxa"/>
              <w:left w:w="43" w:type="dxa"/>
              <w:bottom w:w="43" w:type="dxa"/>
              <w:right w:w="43" w:type="dxa"/>
            </w:tcMar>
          </w:tcPr>
          <w:p w14:paraId="214D0B88" w14:textId="77777777" w:rsidR="00F7113A" w:rsidRPr="00580C0D" w:rsidRDefault="00142E5B" w:rsidP="001231A3">
            <w:r w:rsidRPr="00580C0D">
              <w:t>Legemiddelloven – narkotika til eget bruk</w:t>
            </w:r>
          </w:p>
        </w:tc>
        <w:tc>
          <w:tcPr>
            <w:tcW w:w="2272" w:type="dxa"/>
            <w:tcBorders>
              <w:top w:val="nil"/>
              <w:left w:val="nil"/>
              <w:bottom w:val="nil"/>
              <w:right w:val="nil"/>
            </w:tcBorders>
            <w:tcMar>
              <w:top w:w="128" w:type="dxa"/>
              <w:left w:w="43" w:type="dxa"/>
              <w:bottom w:w="43" w:type="dxa"/>
              <w:right w:w="43" w:type="dxa"/>
            </w:tcMar>
          </w:tcPr>
          <w:p w14:paraId="23C01DD9" w14:textId="77777777" w:rsidR="00F7113A" w:rsidRPr="00580C0D" w:rsidRDefault="00142E5B" w:rsidP="001231A3">
            <w:pPr>
              <w:jc w:val="right"/>
            </w:pPr>
            <w:r w:rsidRPr="00580C0D">
              <w:t>Nei</w:t>
            </w:r>
          </w:p>
        </w:tc>
      </w:tr>
      <w:tr w:rsidR="00F7113A" w:rsidRPr="00580C0D" w14:paraId="17EE6DDD"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08506C7"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4A61D9FB" w14:textId="77777777" w:rsidR="00F7113A" w:rsidRPr="00580C0D" w:rsidRDefault="00142E5B" w:rsidP="001231A3">
            <w:pPr>
              <w:ind w:right="340"/>
              <w:jc w:val="right"/>
            </w:pPr>
            <w:r w:rsidRPr="00580C0D">
              <w:t>1122</w:t>
            </w:r>
          </w:p>
        </w:tc>
        <w:tc>
          <w:tcPr>
            <w:tcW w:w="4961" w:type="dxa"/>
            <w:tcBorders>
              <w:top w:val="nil"/>
              <w:left w:val="nil"/>
              <w:bottom w:val="nil"/>
              <w:right w:val="nil"/>
            </w:tcBorders>
            <w:tcMar>
              <w:top w:w="128" w:type="dxa"/>
              <w:left w:w="43" w:type="dxa"/>
              <w:bottom w:w="43" w:type="dxa"/>
              <w:right w:w="43" w:type="dxa"/>
            </w:tcMar>
          </w:tcPr>
          <w:p w14:paraId="26F45C49" w14:textId="77777777" w:rsidR="00F7113A" w:rsidRPr="00580C0D" w:rsidRDefault="00142E5B" w:rsidP="001231A3">
            <w:proofErr w:type="spellStart"/>
            <w:r w:rsidRPr="00580C0D">
              <w:t>Ettervernsreform</w:t>
            </w:r>
            <w:proofErr w:type="spellEnd"/>
            <w:r w:rsidRPr="00580C0D">
              <w:t xml:space="preserve"> for rusavhengige</w:t>
            </w:r>
          </w:p>
        </w:tc>
        <w:tc>
          <w:tcPr>
            <w:tcW w:w="2272" w:type="dxa"/>
            <w:tcBorders>
              <w:top w:val="nil"/>
              <w:left w:val="nil"/>
              <w:bottom w:val="nil"/>
              <w:right w:val="nil"/>
            </w:tcBorders>
            <w:tcMar>
              <w:top w:w="128" w:type="dxa"/>
              <w:left w:w="43" w:type="dxa"/>
              <w:bottom w:w="43" w:type="dxa"/>
              <w:right w:w="43" w:type="dxa"/>
            </w:tcMar>
          </w:tcPr>
          <w:p w14:paraId="078517CB" w14:textId="77777777" w:rsidR="00F7113A" w:rsidRPr="00580C0D" w:rsidRDefault="00142E5B" w:rsidP="001231A3">
            <w:pPr>
              <w:jc w:val="right"/>
            </w:pPr>
            <w:r w:rsidRPr="00580C0D">
              <w:t>Nei</w:t>
            </w:r>
          </w:p>
        </w:tc>
      </w:tr>
      <w:tr w:rsidR="00F7113A" w:rsidRPr="00580C0D" w14:paraId="08B9D837"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30F963B8"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6A7358AB" w14:textId="77777777" w:rsidR="00F7113A" w:rsidRPr="00580C0D" w:rsidRDefault="00142E5B" w:rsidP="001231A3">
            <w:pPr>
              <w:ind w:right="340"/>
              <w:jc w:val="right"/>
            </w:pPr>
            <w:r w:rsidRPr="00580C0D">
              <w:t>1164</w:t>
            </w:r>
          </w:p>
        </w:tc>
        <w:tc>
          <w:tcPr>
            <w:tcW w:w="4961" w:type="dxa"/>
            <w:tcBorders>
              <w:top w:val="nil"/>
              <w:left w:val="nil"/>
              <w:bottom w:val="nil"/>
              <w:right w:val="nil"/>
            </w:tcBorders>
            <w:tcMar>
              <w:top w:w="128" w:type="dxa"/>
              <w:left w:w="43" w:type="dxa"/>
              <w:bottom w:w="43" w:type="dxa"/>
              <w:right w:w="43" w:type="dxa"/>
            </w:tcMar>
          </w:tcPr>
          <w:p w14:paraId="661D7541" w14:textId="77777777" w:rsidR="00F7113A" w:rsidRPr="00580C0D" w:rsidRDefault="00142E5B" w:rsidP="001231A3">
            <w:r w:rsidRPr="00580C0D">
              <w:t>Evaluering av de regionale odontologiske kompetansesentrene</w:t>
            </w:r>
          </w:p>
        </w:tc>
        <w:tc>
          <w:tcPr>
            <w:tcW w:w="2272" w:type="dxa"/>
            <w:tcBorders>
              <w:top w:val="nil"/>
              <w:left w:val="nil"/>
              <w:bottom w:val="nil"/>
              <w:right w:val="nil"/>
            </w:tcBorders>
            <w:tcMar>
              <w:top w:w="128" w:type="dxa"/>
              <w:left w:w="43" w:type="dxa"/>
              <w:bottom w:w="43" w:type="dxa"/>
              <w:right w:w="43" w:type="dxa"/>
            </w:tcMar>
          </w:tcPr>
          <w:p w14:paraId="1328365A" w14:textId="77777777" w:rsidR="00F7113A" w:rsidRPr="00580C0D" w:rsidRDefault="00142E5B" w:rsidP="001231A3">
            <w:pPr>
              <w:jc w:val="right"/>
            </w:pPr>
            <w:r w:rsidRPr="00580C0D">
              <w:t>Nei</w:t>
            </w:r>
          </w:p>
        </w:tc>
      </w:tr>
      <w:tr w:rsidR="00F7113A" w:rsidRPr="00580C0D" w14:paraId="18372934"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5CA86E53" w14:textId="77777777" w:rsidR="00F7113A" w:rsidRPr="00580C0D" w:rsidRDefault="00142E5B" w:rsidP="001231A3">
            <w:r w:rsidRPr="00580C0D">
              <w:t>2020–2021</w:t>
            </w:r>
          </w:p>
        </w:tc>
        <w:tc>
          <w:tcPr>
            <w:tcW w:w="1134" w:type="dxa"/>
            <w:tcBorders>
              <w:top w:val="nil"/>
              <w:left w:val="nil"/>
              <w:bottom w:val="nil"/>
              <w:right w:val="nil"/>
            </w:tcBorders>
            <w:tcMar>
              <w:top w:w="128" w:type="dxa"/>
              <w:left w:w="43" w:type="dxa"/>
              <w:bottom w:w="43" w:type="dxa"/>
              <w:right w:w="43" w:type="dxa"/>
            </w:tcMar>
          </w:tcPr>
          <w:p w14:paraId="449D56C5" w14:textId="77777777" w:rsidR="00F7113A" w:rsidRPr="00580C0D" w:rsidRDefault="00142E5B" w:rsidP="001231A3">
            <w:pPr>
              <w:ind w:right="340"/>
              <w:jc w:val="right"/>
            </w:pPr>
            <w:r w:rsidRPr="00580C0D">
              <w:t>1170</w:t>
            </w:r>
          </w:p>
        </w:tc>
        <w:tc>
          <w:tcPr>
            <w:tcW w:w="4961" w:type="dxa"/>
            <w:tcBorders>
              <w:top w:val="nil"/>
              <w:left w:val="nil"/>
              <w:bottom w:val="nil"/>
              <w:right w:val="nil"/>
            </w:tcBorders>
            <w:tcMar>
              <w:top w:w="128" w:type="dxa"/>
              <w:left w:w="43" w:type="dxa"/>
              <w:bottom w:w="43" w:type="dxa"/>
              <w:right w:w="43" w:type="dxa"/>
            </w:tcMar>
          </w:tcPr>
          <w:p w14:paraId="63169DA1" w14:textId="77777777" w:rsidR="00F7113A" w:rsidRPr="00580C0D" w:rsidRDefault="00142E5B" w:rsidP="001231A3">
            <w:r w:rsidRPr="00580C0D">
              <w:t>WHO – tilgang til effektive antibiotika</w:t>
            </w:r>
          </w:p>
        </w:tc>
        <w:tc>
          <w:tcPr>
            <w:tcW w:w="2272" w:type="dxa"/>
            <w:tcBorders>
              <w:top w:val="nil"/>
              <w:left w:val="nil"/>
              <w:bottom w:val="nil"/>
              <w:right w:val="nil"/>
            </w:tcBorders>
            <w:tcMar>
              <w:top w:w="128" w:type="dxa"/>
              <w:left w:w="43" w:type="dxa"/>
              <w:bottom w:w="43" w:type="dxa"/>
              <w:right w:w="43" w:type="dxa"/>
            </w:tcMar>
          </w:tcPr>
          <w:p w14:paraId="75AA1010" w14:textId="77777777" w:rsidR="00F7113A" w:rsidRPr="00580C0D" w:rsidRDefault="00142E5B" w:rsidP="001231A3">
            <w:pPr>
              <w:jc w:val="right"/>
            </w:pPr>
            <w:r w:rsidRPr="00580C0D">
              <w:t>Ja</w:t>
            </w:r>
          </w:p>
        </w:tc>
      </w:tr>
      <w:tr w:rsidR="00F7113A" w:rsidRPr="00580C0D" w14:paraId="328D35B5"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7347F3E" w14:textId="77777777" w:rsidR="00F7113A" w:rsidRPr="00580C0D" w:rsidRDefault="00142E5B" w:rsidP="001231A3">
            <w:r w:rsidRPr="00580C0D">
              <w:t>2019–2020</w:t>
            </w:r>
          </w:p>
        </w:tc>
        <w:tc>
          <w:tcPr>
            <w:tcW w:w="1134" w:type="dxa"/>
            <w:tcBorders>
              <w:top w:val="nil"/>
              <w:left w:val="nil"/>
              <w:bottom w:val="nil"/>
              <w:right w:val="nil"/>
            </w:tcBorders>
            <w:tcMar>
              <w:top w:w="128" w:type="dxa"/>
              <w:left w:w="43" w:type="dxa"/>
              <w:bottom w:w="43" w:type="dxa"/>
              <w:right w:w="43" w:type="dxa"/>
            </w:tcMar>
          </w:tcPr>
          <w:p w14:paraId="54022EB6" w14:textId="77777777" w:rsidR="00F7113A" w:rsidRPr="00580C0D" w:rsidRDefault="00142E5B" w:rsidP="001231A3">
            <w:pPr>
              <w:ind w:right="340"/>
              <w:jc w:val="right"/>
            </w:pPr>
            <w:r w:rsidRPr="00580C0D">
              <w:t>347</w:t>
            </w:r>
          </w:p>
        </w:tc>
        <w:tc>
          <w:tcPr>
            <w:tcW w:w="4961" w:type="dxa"/>
            <w:tcBorders>
              <w:top w:val="nil"/>
              <w:left w:val="nil"/>
              <w:bottom w:val="nil"/>
              <w:right w:val="nil"/>
            </w:tcBorders>
            <w:tcMar>
              <w:top w:w="128" w:type="dxa"/>
              <w:left w:w="43" w:type="dxa"/>
              <w:bottom w:w="43" w:type="dxa"/>
              <w:right w:w="43" w:type="dxa"/>
            </w:tcMar>
          </w:tcPr>
          <w:p w14:paraId="72C6D701" w14:textId="77777777" w:rsidR="00F7113A" w:rsidRPr="00580C0D" w:rsidRDefault="00142E5B" w:rsidP="001231A3">
            <w:r w:rsidRPr="00580C0D">
              <w:t>Prøveprosjekt der helsesykepleiere henviser til BUP</w:t>
            </w:r>
          </w:p>
        </w:tc>
        <w:tc>
          <w:tcPr>
            <w:tcW w:w="2272" w:type="dxa"/>
            <w:tcBorders>
              <w:top w:val="nil"/>
              <w:left w:val="nil"/>
              <w:bottom w:val="nil"/>
              <w:right w:val="nil"/>
            </w:tcBorders>
            <w:tcMar>
              <w:top w:w="128" w:type="dxa"/>
              <w:left w:w="43" w:type="dxa"/>
              <w:bottom w:w="43" w:type="dxa"/>
              <w:right w:w="43" w:type="dxa"/>
            </w:tcMar>
          </w:tcPr>
          <w:p w14:paraId="513327DD" w14:textId="77777777" w:rsidR="00F7113A" w:rsidRPr="00580C0D" w:rsidRDefault="00142E5B" w:rsidP="001231A3">
            <w:pPr>
              <w:jc w:val="right"/>
            </w:pPr>
            <w:r w:rsidRPr="00580C0D">
              <w:t>Nei</w:t>
            </w:r>
          </w:p>
        </w:tc>
      </w:tr>
      <w:tr w:rsidR="00F7113A" w:rsidRPr="00580C0D" w14:paraId="60E83451"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6E523439" w14:textId="77777777" w:rsidR="00F7113A" w:rsidRPr="00580C0D" w:rsidRDefault="00142E5B" w:rsidP="001231A3">
            <w:r w:rsidRPr="00580C0D">
              <w:t>2019–2020</w:t>
            </w:r>
          </w:p>
        </w:tc>
        <w:tc>
          <w:tcPr>
            <w:tcW w:w="1134" w:type="dxa"/>
            <w:tcBorders>
              <w:top w:val="nil"/>
              <w:left w:val="nil"/>
              <w:bottom w:val="nil"/>
              <w:right w:val="nil"/>
            </w:tcBorders>
            <w:tcMar>
              <w:top w:w="128" w:type="dxa"/>
              <w:left w:w="43" w:type="dxa"/>
              <w:bottom w:w="43" w:type="dxa"/>
              <w:right w:w="43" w:type="dxa"/>
            </w:tcMar>
          </w:tcPr>
          <w:p w14:paraId="62AA55E2" w14:textId="77777777" w:rsidR="00F7113A" w:rsidRPr="00580C0D" w:rsidRDefault="00142E5B" w:rsidP="001231A3">
            <w:pPr>
              <w:ind w:right="340"/>
              <w:jc w:val="right"/>
            </w:pPr>
            <w:r w:rsidRPr="00580C0D">
              <w:t>611</w:t>
            </w:r>
          </w:p>
        </w:tc>
        <w:tc>
          <w:tcPr>
            <w:tcW w:w="4961" w:type="dxa"/>
            <w:tcBorders>
              <w:top w:val="nil"/>
              <w:left w:val="nil"/>
              <w:bottom w:val="nil"/>
              <w:right w:val="nil"/>
            </w:tcBorders>
            <w:tcMar>
              <w:top w:w="128" w:type="dxa"/>
              <w:left w:w="43" w:type="dxa"/>
              <w:bottom w:w="43" w:type="dxa"/>
              <w:right w:w="43" w:type="dxa"/>
            </w:tcMar>
          </w:tcPr>
          <w:p w14:paraId="3BAD9D96" w14:textId="77777777" w:rsidR="00F7113A" w:rsidRPr="00580C0D" w:rsidRDefault="00142E5B" w:rsidP="001231A3">
            <w:r w:rsidRPr="00580C0D">
              <w:t xml:space="preserve">Utredning av markedet for genetisk selvtesting </w:t>
            </w:r>
          </w:p>
        </w:tc>
        <w:tc>
          <w:tcPr>
            <w:tcW w:w="2272" w:type="dxa"/>
            <w:tcBorders>
              <w:top w:val="nil"/>
              <w:left w:val="nil"/>
              <w:bottom w:val="nil"/>
              <w:right w:val="nil"/>
            </w:tcBorders>
            <w:tcMar>
              <w:top w:w="128" w:type="dxa"/>
              <w:left w:w="43" w:type="dxa"/>
              <w:bottom w:w="43" w:type="dxa"/>
              <w:right w:w="43" w:type="dxa"/>
            </w:tcMar>
          </w:tcPr>
          <w:p w14:paraId="0E835F35" w14:textId="77777777" w:rsidR="00F7113A" w:rsidRPr="00580C0D" w:rsidRDefault="00142E5B" w:rsidP="001231A3">
            <w:pPr>
              <w:jc w:val="right"/>
            </w:pPr>
            <w:r w:rsidRPr="00580C0D">
              <w:t>Nei</w:t>
            </w:r>
          </w:p>
        </w:tc>
      </w:tr>
      <w:tr w:rsidR="00F7113A" w:rsidRPr="00580C0D" w14:paraId="10ABF969"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72BECE1" w14:textId="77777777" w:rsidR="00F7113A" w:rsidRPr="00580C0D" w:rsidRDefault="00142E5B" w:rsidP="001231A3">
            <w:r w:rsidRPr="00580C0D">
              <w:t>2019–2020</w:t>
            </w:r>
          </w:p>
        </w:tc>
        <w:tc>
          <w:tcPr>
            <w:tcW w:w="1134" w:type="dxa"/>
            <w:tcBorders>
              <w:top w:val="nil"/>
              <w:left w:val="nil"/>
              <w:bottom w:val="nil"/>
              <w:right w:val="nil"/>
            </w:tcBorders>
            <w:tcMar>
              <w:top w:w="128" w:type="dxa"/>
              <w:left w:w="43" w:type="dxa"/>
              <w:bottom w:w="43" w:type="dxa"/>
              <w:right w:w="43" w:type="dxa"/>
            </w:tcMar>
          </w:tcPr>
          <w:p w14:paraId="7B2B4B53" w14:textId="77777777" w:rsidR="00F7113A" w:rsidRPr="00580C0D" w:rsidRDefault="00142E5B" w:rsidP="001231A3">
            <w:pPr>
              <w:ind w:right="340"/>
              <w:jc w:val="right"/>
            </w:pPr>
            <w:r w:rsidRPr="00580C0D">
              <w:t>612</w:t>
            </w:r>
          </w:p>
        </w:tc>
        <w:tc>
          <w:tcPr>
            <w:tcW w:w="4961" w:type="dxa"/>
            <w:tcBorders>
              <w:top w:val="nil"/>
              <w:left w:val="nil"/>
              <w:bottom w:val="nil"/>
              <w:right w:val="nil"/>
            </w:tcBorders>
            <w:tcMar>
              <w:top w:w="128" w:type="dxa"/>
              <w:left w:w="43" w:type="dxa"/>
              <w:bottom w:w="43" w:type="dxa"/>
              <w:right w:w="43" w:type="dxa"/>
            </w:tcMar>
          </w:tcPr>
          <w:p w14:paraId="46F5BC51" w14:textId="77777777" w:rsidR="00F7113A" w:rsidRPr="00580C0D" w:rsidRDefault="00142E5B" w:rsidP="001231A3">
            <w:r w:rsidRPr="00580C0D">
              <w:t>Forbud genetisk testing av barn</w:t>
            </w:r>
          </w:p>
        </w:tc>
        <w:tc>
          <w:tcPr>
            <w:tcW w:w="2272" w:type="dxa"/>
            <w:tcBorders>
              <w:top w:val="nil"/>
              <w:left w:val="nil"/>
              <w:bottom w:val="nil"/>
              <w:right w:val="nil"/>
            </w:tcBorders>
            <w:tcMar>
              <w:top w:w="128" w:type="dxa"/>
              <w:left w:w="43" w:type="dxa"/>
              <w:bottom w:w="43" w:type="dxa"/>
              <w:right w:w="43" w:type="dxa"/>
            </w:tcMar>
          </w:tcPr>
          <w:p w14:paraId="5C46515B" w14:textId="77777777" w:rsidR="00F7113A" w:rsidRPr="00580C0D" w:rsidRDefault="00142E5B" w:rsidP="001231A3">
            <w:pPr>
              <w:jc w:val="right"/>
            </w:pPr>
            <w:r w:rsidRPr="00580C0D">
              <w:t>Nei</w:t>
            </w:r>
          </w:p>
        </w:tc>
      </w:tr>
      <w:tr w:rsidR="00F7113A" w:rsidRPr="00580C0D" w14:paraId="774C8091"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308BF375" w14:textId="77777777" w:rsidR="00F7113A" w:rsidRPr="00580C0D" w:rsidRDefault="00142E5B" w:rsidP="001231A3">
            <w:r w:rsidRPr="00580C0D">
              <w:t>2019–2020</w:t>
            </w:r>
          </w:p>
        </w:tc>
        <w:tc>
          <w:tcPr>
            <w:tcW w:w="1134" w:type="dxa"/>
            <w:tcBorders>
              <w:top w:val="nil"/>
              <w:left w:val="nil"/>
              <w:bottom w:val="nil"/>
              <w:right w:val="nil"/>
            </w:tcBorders>
            <w:tcMar>
              <w:top w:w="128" w:type="dxa"/>
              <w:left w:w="43" w:type="dxa"/>
              <w:bottom w:w="43" w:type="dxa"/>
              <w:right w:w="43" w:type="dxa"/>
            </w:tcMar>
          </w:tcPr>
          <w:p w14:paraId="04079FD5" w14:textId="77777777" w:rsidR="00F7113A" w:rsidRPr="00580C0D" w:rsidRDefault="00142E5B" w:rsidP="001231A3">
            <w:pPr>
              <w:ind w:right="340"/>
              <w:jc w:val="right"/>
            </w:pPr>
            <w:r w:rsidRPr="00580C0D">
              <w:t>616</w:t>
            </w:r>
          </w:p>
        </w:tc>
        <w:tc>
          <w:tcPr>
            <w:tcW w:w="4961" w:type="dxa"/>
            <w:tcBorders>
              <w:top w:val="nil"/>
              <w:left w:val="nil"/>
              <w:bottom w:val="nil"/>
              <w:right w:val="nil"/>
            </w:tcBorders>
            <w:tcMar>
              <w:top w:w="128" w:type="dxa"/>
              <w:left w:w="43" w:type="dxa"/>
              <w:bottom w:w="43" w:type="dxa"/>
              <w:right w:w="43" w:type="dxa"/>
            </w:tcMar>
          </w:tcPr>
          <w:p w14:paraId="338B5711" w14:textId="77777777" w:rsidR="00F7113A" w:rsidRPr="00580C0D" w:rsidRDefault="00142E5B" w:rsidP="001231A3">
            <w:r w:rsidRPr="00580C0D">
              <w:t xml:space="preserve">Preimplantasjonsdiagnostikk </w:t>
            </w:r>
          </w:p>
        </w:tc>
        <w:tc>
          <w:tcPr>
            <w:tcW w:w="2272" w:type="dxa"/>
            <w:tcBorders>
              <w:top w:val="nil"/>
              <w:left w:val="nil"/>
              <w:bottom w:val="nil"/>
              <w:right w:val="nil"/>
            </w:tcBorders>
            <w:tcMar>
              <w:top w:w="128" w:type="dxa"/>
              <w:left w:w="43" w:type="dxa"/>
              <w:bottom w:w="43" w:type="dxa"/>
              <w:right w:w="43" w:type="dxa"/>
            </w:tcMar>
          </w:tcPr>
          <w:p w14:paraId="0397F2DB" w14:textId="77777777" w:rsidR="00F7113A" w:rsidRPr="00580C0D" w:rsidRDefault="00142E5B" w:rsidP="001231A3">
            <w:pPr>
              <w:jc w:val="right"/>
            </w:pPr>
            <w:r w:rsidRPr="00580C0D">
              <w:t>Nei</w:t>
            </w:r>
          </w:p>
        </w:tc>
      </w:tr>
      <w:tr w:rsidR="00F7113A" w:rsidRPr="00580C0D" w14:paraId="5F408471"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CED1FAE" w14:textId="77777777" w:rsidR="00F7113A" w:rsidRPr="00580C0D" w:rsidRDefault="00142E5B" w:rsidP="001231A3">
            <w:r w:rsidRPr="00580C0D">
              <w:t>2019–2020</w:t>
            </w:r>
          </w:p>
        </w:tc>
        <w:tc>
          <w:tcPr>
            <w:tcW w:w="1134" w:type="dxa"/>
            <w:tcBorders>
              <w:top w:val="nil"/>
              <w:left w:val="nil"/>
              <w:bottom w:val="nil"/>
              <w:right w:val="nil"/>
            </w:tcBorders>
            <w:tcMar>
              <w:top w:w="128" w:type="dxa"/>
              <w:left w:w="43" w:type="dxa"/>
              <w:bottom w:w="43" w:type="dxa"/>
              <w:right w:w="43" w:type="dxa"/>
            </w:tcMar>
          </w:tcPr>
          <w:p w14:paraId="3FE52A5B" w14:textId="77777777" w:rsidR="00F7113A" w:rsidRPr="00580C0D" w:rsidRDefault="00142E5B" w:rsidP="001231A3">
            <w:pPr>
              <w:ind w:right="340"/>
              <w:jc w:val="right"/>
            </w:pPr>
            <w:r w:rsidRPr="00580C0D">
              <w:t>617</w:t>
            </w:r>
          </w:p>
        </w:tc>
        <w:tc>
          <w:tcPr>
            <w:tcW w:w="4961" w:type="dxa"/>
            <w:tcBorders>
              <w:top w:val="nil"/>
              <w:left w:val="nil"/>
              <w:bottom w:val="nil"/>
              <w:right w:val="nil"/>
            </w:tcBorders>
            <w:tcMar>
              <w:top w:w="128" w:type="dxa"/>
              <w:left w:w="43" w:type="dxa"/>
              <w:bottom w:w="43" w:type="dxa"/>
              <w:right w:w="43" w:type="dxa"/>
            </w:tcMar>
          </w:tcPr>
          <w:p w14:paraId="5596BE39" w14:textId="77777777" w:rsidR="00F7113A" w:rsidRPr="00580C0D" w:rsidRDefault="00142E5B" w:rsidP="001231A3">
            <w:r w:rsidRPr="00580C0D">
              <w:t>Svangerskap – ultralyd med tilleggsundersøkelser</w:t>
            </w:r>
          </w:p>
        </w:tc>
        <w:tc>
          <w:tcPr>
            <w:tcW w:w="2272" w:type="dxa"/>
            <w:tcBorders>
              <w:top w:val="nil"/>
              <w:left w:val="nil"/>
              <w:bottom w:val="nil"/>
              <w:right w:val="nil"/>
            </w:tcBorders>
            <w:tcMar>
              <w:top w:w="128" w:type="dxa"/>
              <w:left w:w="43" w:type="dxa"/>
              <w:bottom w:w="43" w:type="dxa"/>
              <w:right w:w="43" w:type="dxa"/>
            </w:tcMar>
          </w:tcPr>
          <w:p w14:paraId="130C7065" w14:textId="77777777" w:rsidR="00F7113A" w:rsidRPr="00580C0D" w:rsidRDefault="00142E5B" w:rsidP="001231A3">
            <w:pPr>
              <w:jc w:val="right"/>
            </w:pPr>
            <w:r w:rsidRPr="00580C0D">
              <w:t xml:space="preserve">Ja </w:t>
            </w:r>
          </w:p>
        </w:tc>
      </w:tr>
      <w:tr w:rsidR="00F7113A" w:rsidRPr="00580C0D" w14:paraId="09A9BBF8"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925D444" w14:textId="77777777" w:rsidR="00F7113A" w:rsidRPr="00580C0D" w:rsidRDefault="00142E5B" w:rsidP="001231A3">
            <w:r w:rsidRPr="00580C0D">
              <w:t>2018–2019</w:t>
            </w:r>
          </w:p>
        </w:tc>
        <w:tc>
          <w:tcPr>
            <w:tcW w:w="1134" w:type="dxa"/>
            <w:tcBorders>
              <w:top w:val="nil"/>
              <w:left w:val="nil"/>
              <w:bottom w:val="nil"/>
              <w:right w:val="nil"/>
            </w:tcBorders>
            <w:tcMar>
              <w:top w:w="128" w:type="dxa"/>
              <w:left w:w="43" w:type="dxa"/>
              <w:bottom w:w="43" w:type="dxa"/>
              <w:right w:w="43" w:type="dxa"/>
            </w:tcMar>
          </w:tcPr>
          <w:p w14:paraId="4B4D2026" w14:textId="77777777" w:rsidR="00F7113A" w:rsidRPr="00580C0D" w:rsidRDefault="00142E5B" w:rsidP="001231A3">
            <w:pPr>
              <w:ind w:right="340"/>
              <w:jc w:val="right"/>
            </w:pPr>
            <w:r w:rsidRPr="00580C0D">
              <w:t>20</w:t>
            </w:r>
          </w:p>
        </w:tc>
        <w:tc>
          <w:tcPr>
            <w:tcW w:w="4961" w:type="dxa"/>
            <w:tcBorders>
              <w:top w:val="nil"/>
              <w:left w:val="nil"/>
              <w:bottom w:val="nil"/>
              <w:right w:val="nil"/>
            </w:tcBorders>
            <w:tcMar>
              <w:top w:w="128" w:type="dxa"/>
              <w:left w:w="43" w:type="dxa"/>
              <w:bottom w:w="43" w:type="dxa"/>
              <w:right w:w="43" w:type="dxa"/>
            </w:tcMar>
          </w:tcPr>
          <w:p w14:paraId="68D73DC6" w14:textId="77777777" w:rsidR="00F7113A" w:rsidRPr="00580C0D" w:rsidRDefault="00142E5B" w:rsidP="001231A3">
            <w:r w:rsidRPr="00580C0D">
              <w:t>Styrking av norsk tannhelse</w:t>
            </w:r>
          </w:p>
        </w:tc>
        <w:tc>
          <w:tcPr>
            <w:tcW w:w="2272" w:type="dxa"/>
            <w:tcBorders>
              <w:top w:val="nil"/>
              <w:left w:val="nil"/>
              <w:bottom w:val="nil"/>
              <w:right w:val="nil"/>
            </w:tcBorders>
            <w:tcMar>
              <w:top w:w="128" w:type="dxa"/>
              <w:left w:w="43" w:type="dxa"/>
              <w:bottom w:w="43" w:type="dxa"/>
              <w:right w:w="43" w:type="dxa"/>
            </w:tcMar>
          </w:tcPr>
          <w:p w14:paraId="2469CB52" w14:textId="77777777" w:rsidR="00F7113A" w:rsidRPr="00580C0D" w:rsidRDefault="00142E5B" w:rsidP="001231A3">
            <w:pPr>
              <w:jc w:val="right"/>
            </w:pPr>
            <w:r w:rsidRPr="00580C0D">
              <w:t>Nei</w:t>
            </w:r>
          </w:p>
        </w:tc>
      </w:tr>
      <w:tr w:rsidR="00F7113A" w:rsidRPr="00580C0D" w14:paraId="0E602469"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4F9CCEE4" w14:textId="77777777" w:rsidR="00F7113A" w:rsidRPr="00580C0D" w:rsidRDefault="00142E5B" w:rsidP="001231A3">
            <w:r w:rsidRPr="00580C0D">
              <w:t>2018–2019</w:t>
            </w:r>
          </w:p>
        </w:tc>
        <w:tc>
          <w:tcPr>
            <w:tcW w:w="1134" w:type="dxa"/>
            <w:tcBorders>
              <w:top w:val="nil"/>
              <w:left w:val="nil"/>
              <w:bottom w:val="nil"/>
              <w:right w:val="nil"/>
            </w:tcBorders>
            <w:tcMar>
              <w:top w:w="128" w:type="dxa"/>
              <w:left w:w="43" w:type="dxa"/>
              <w:bottom w:w="43" w:type="dxa"/>
              <w:right w:w="43" w:type="dxa"/>
            </w:tcMar>
          </w:tcPr>
          <w:p w14:paraId="4DB9EAB4" w14:textId="77777777" w:rsidR="00F7113A" w:rsidRPr="00580C0D" w:rsidRDefault="00142E5B" w:rsidP="001231A3">
            <w:pPr>
              <w:ind w:right="340"/>
              <w:jc w:val="right"/>
            </w:pPr>
            <w:r w:rsidRPr="00580C0D">
              <w:t>25</w:t>
            </w:r>
          </w:p>
        </w:tc>
        <w:tc>
          <w:tcPr>
            <w:tcW w:w="4961" w:type="dxa"/>
            <w:tcBorders>
              <w:top w:val="nil"/>
              <w:left w:val="nil"/>
              <w:bottom w:val="nil"/>
              <w:right w:val="nil"/>
            </w:tcBorders>
            <w:tcMar>
              <w:top w:w="128" w:type="dxa"/>
              <w:left w:w="43" w:type="dxa"/>
              <w:bottom w:w="43" w:type="dxa"/>
              <w:right w:w="43" w:type="dxa"/>
            </w:tcMar>
          </w:tcPr>
          <w:p w14:paraId="706DC81D" w14:textId="77777777" w:rsidR="00F7113A" w:rsidRPr="00580C0D" w:rsidRDefault="00142E5B" w:rsidP="001231A3">
            <w:r w:rsidRPr="00580C0D">
              <w:t>Ensomhet inn i folkehelseloven §7</w:t>
            </w:r>
          </w:p>
        </w:tc>
        <w:tc>
          <w:tcPr>
            <w:tcW w:w="2272" w:type="dxa"/>
            <w:tcBorders>
              <w:top w:val="nil"/>
              <w:left w:val="nil"/>
              <w:bottom w:val="nil"/>
              <w:right w:val="nil"/>
            </w:tcBorders>
            <w:tcMar>
              <w:top w:w="128" w:type="dxa"/>
              <w:left w:w="43" w:type="dxa"/>
              <w:bottom w:w="43" w:type="dxa"/>
              <w:right w:w="43" w:type="dxa"/>
            </w:tcMar>
          </w:tcPr>
          <w:p w14:paraId="3EA300BD" w14:textId="77777777" w:rsidR="00F7113A" w:rsidRPr="00580C0D" w:rsidRDefault="00142E5B" w:rsidP="001231A3">
            <w:pPr>
              <w:jc w:val="right"/>
            </w:pPr>
            <w:r w:rsidRPr="00580C0D">
              <w:t>Nei</w:t>
            </w:r>
          </w:p>
        </w:tc>
      </w:tr>
      <w:tr w:rsidR="00F7113A" w:rsidRPr="00580C0D" w14:paraId="00EEED9D"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9618A24" w14:textId="77777777" w:rsidR="00F7113A" w:rsidRPr="00580C0D" w:rsidRDefault="00142E5B" w:rsidP="001231A3">
            <w:r w:rsidRPr="00580C0D">
              <w:t>2018–2019</w:t>
            </w:r>
          </w:p>
        </w:tc>
        <w:tc>
          <w:tcPr>
            <w:tcW w:w="1134" w:type="dxa"/>
            <w:tcBorders>
              <w:top w:val="nil"/>
              <w:left w:val="nil"/>
              <w:bottom w:val="nil"/>
              <w:right w:val="nil"/>
            </w:tcBorders>
            <w:tcMar>
              <w:top w:w="128" w:type="dxa"/>
              <w:left w:w="43" w:type="dxa"/>
              <w:bottom w:w="43" w:type="dxa"/>
              <w:right w:w="43" w:type="dxa"/>
            </w:tcMar>
          </w:tcPr>
          <w:p w14:paraId="4DFD512F" w14:textId="77777777" w:rsidR="00F7113A" w:rsidRPr="00580C0D" w:rsidRDefault="00142E5B" w:rsidP="001231A3">
            <w:pPr>
              <w:ind w:right="340"/>
              <w:jc w:val="right"/>
            </w:pPr>
            <w:r w:rsidRPr="00580C0D">
              <w:t>39</w:t>
            </w:r>
          </w:p>
        </w:tc>
        <w:tc>
          <w:tcPr>
            <w:tcW w:w="4961" w:type="dxa"/>
            <w:tcBorders>
              <w:top w:val="nil"/>
              <w:left w:val="nil"/>
              <w:bottom w:val="nil"/>
              <w:right w:val="nil"/>
            </w:tcBorders>
            <w:tcMar>
              <w:top w:w="128" w:type="dxa"/>
              <w:left w:w="43" w:type="dxa"/>
              <w:bottom w:w="43" w:type="dxa"/>
              <w:right w:w="43" w:type="dxa"/>
            </w:tcMar>
          </w:tcPr>
          <w:p w14:paraId="0A204434" w14:textId="77777777" w:rsidR="00F7113A" w:rsidRPr="00580C0D" w:rsidRDefault="00142E5B" w:rsidP="001231A3">
            <w:r w:rsidRPr="00580C0D">
              <w:t xml:space="preserve">Forslag om </w:t>
            </w:r>
            <w:proofErr w:type="spellStart"/>
            <w:r w:rsidRPr="00580C0D">
              <w:t>innholdsmerking</w:t>
            </w:r>
            <w:proofErr w:type="spellEnd"/>
            <w:r w:rsidRPr="00580C0D">
              <w:t xml:space="preserve"> på alkoholholdig drikk</w:t>
            </w:r>
          </w:p>
        </w:tc>
        <w:tc>
          <w:tcPr>
            <w:tcW w:w="2272" w:type="dxa"/>
            <w:tcBorders>
              <w:top w:val="nil"/>
              <w:left w:val="nil"/>
              <w:bottom w:val="nil"/>
              <w:right w:val="nil"/>
            </w:tcBorders>
            <w:tcMar>
              <w:top w:w="128" w:type="dxa"/>
              <w:left w:w="43" w:type="dxa"/>
              <w:bottom w:w="43" w:type="dxa"/>
              <w:right w:w="43" w:type="dxa"/>
            </w:tcMar>
          </w:tcPr>
          <w:p w14:paraId="12E54759" w14:textId="77777777" w:rsidR="00F7113A" w:rsidRPr="00580C0D" w:rsidRDefault="00142E5B" w:rsidP="001231A3">
            <w:pPr>
              <w:jc w:val="right"/>
            </w:pPr>
            <w:r w:rsidRPr="00580C0D">
              <w:t>Nei</w:t>
            </w:r>
          </w:p>
        </w:tc>
      </w:tr>
      <w:tr w:rsidR="00F7113A" w:rsidRPr="00580C0D" w14:paraId="56BEC7F2"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691E5010" w14:textId="77777777" w:rsidR="00F7113A" w:rsidRPr="00580C0D" w:rsidRDefault="00142E5B" w:rsidP="001231A3">
            <w:r w:rsidRPr="00580C0D">
              <w:t>2018–2019</w:t>
            </w:r>
          </w:p>
        </w:tc>
        <w:tc>
          <w:tcPr>
            <w:tcW w:w="1134" w:type="dxa"/>
            <w:tcBorders>
              <w:top w:val="nil"/>
              <w:left w:val="nil"/>
              <w:bottom w:val="nil"/>
              <w:right w:val="nil"/>
            </w:tcBorders>
            <w:tcMar>
              <w:top w:w="128" w:type="dxa"/>
              <w:left w:w="43" w:type="dxa"/>
              <w:bottom w:w="43" w:type="dxa"/>
              <w:right w:w="43" w:type="dxa"/>
            </w:tcMar>
          </w:tcPr>
          <w:p w14:paraId="4AF26036" w14:textId="77777777" w:rsidR="00F7113A" w:rsidRPr="00580C0D" w:rsidRDefault="00142E5B" w:rsidP="001231A3">
            <w:pPr>
              <w:ind w:right="340"/>
              <w:jc w:val="right"/>
            </w:pPr>
            <w:r w:rsidRPr="00580C0D">
              <w:t>44</w:t>
            </w:r>
          </w:p>
        </w:tc>
        <w:tc>
          <w:tcPr>
            <w:tcW w:w="4961" w:type="dxa"/>
            <w:tcBorders>
              <w:top w:val="nil"/>
              <w:left w:val="nil"/>
              <w:bottom w:val="nil"/>
              <w:right w:val="nil"/>
            </w:tcBorders>
            <w:tcMar>
              <w:top w:w="128" w:type="dxa"/>
              <w:left w:w="43" w:type="dxa"/>
              <w:bottom w:w="43" w:type="dxa"/>
              <w:right w:w="43" w:type="dxa"/>
            </w:tcMar>
          </w:tcPr>
          <w:p w14:paraId="4F61DA39" w14:textId="77777777" w:rsidR="00F7113A" w:rsidRPr="00580C0D" w:rsidRDefault="00142E5B" w:rsidP="001231A3">
            <w:r w:rsidRPr="00580C0D">
              <w:t>Innføring av merking med helseadvarsler på alkoholholdig drikk</w:t>
            </w:r>
          </w:p>
        </w:tc>
        <w:tc>
          <w:tcPr>
            <w:tcW w:w="2272" w:type="dxa"/>
            <w:tcBorders>
              <w:top w:val="nil"/>
              <w:left w:val="nil"/>
              <w:bottom w:val="nil"/>
              <w:right w:val="nil"/>
            </w:tcBorders>
            <w:tcMar>
              <w:top w:w="128" w:type="dxa"/>
              <w:left w:w="43" w:type="dxa"/>
              <w:bottom w:w="43" w:type="dxa"/>
              <w:right w:w="43" w:type="dxa"/>
            </w:tcMar>
          </w:tcPr>
          <w:p w14:paraId="77FD980B" w14:textId="77777777" w:rsidR="00F7113A" w:rsidRPr="00580C0D" w:rsidRDefault="00142E5B" w:rsidP="001231A3">
            <w:pPr>
              <w:jc w:val="right"/>
            </w:pPr>
            <w:r w:rsidRPr="00580C0D">
              <w:t>Nei</w:t>
            </w:r>
          </w:p>
        </w:tc>
      </w:tr>
      <w:tr w:rsidR="00F7113A" w:rsidRPr="00580C0D" w14:paraId="3C120187"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700962C2" w14:textId="77777777" w:rsidR="00F7113A" w:rsidRPr="00580C0D" w:rsidRDefault="00142E5B" w:rsidP="001231A3">
            <w:r w:rsidRPr="00580C0D">
              <w:t>2018–2019</w:t>
            </w:r>
          </w:p>
        </w:tc>
        <w:tc>
          <w:tcPr>
            <w:tcW w:w="1134" w:type="dxa"/>
            <w:tcBorders>
              <w:top w:val="nil"/>
              <w:left w:val="nil"/>
              <w:bottom w:val="nil"/>
              <w:right w:val="nil"/>
            </w:tcBorders>
            <w:tcMar>
              <w:top w:w="128" w:type="dxa"/>
              <w:left w:w="43" w:type="dxa"/>
              <w:bottom w:w="43" w:type="dxa"/>
              <w:right w:w="43" w:type="dxa"/>
            </w:tcMar>
          </w:tcPr>
          <w:p w14:paraId="331E9022" w14:textId="77777777" w:rsidR="00F7113A" w:rsidRPr="00580C0D" w:rsidRDefault="00142E5B" w:rsidP="001231A3">
            <w:pPr>
              <w:ind w:right="340"/>
              <w:jc w:val="right"/>
            </w:pPr>
            <w:r w:rsidRPr="00580C0D">
              <w:t>82</w:t>
            </w:r>
          </w:p>
        </w:tc>
        <w:tc>
          <w:tcPr>
            <w:tcW w:w="4961" w:type="dxa"/>
            <w:tcBorders>
              <w:top w:val="nil"/>
              <w:left w:val="nil"/>
              <w:bottom w:val="nil"/>
              <w:right w:val="nil"/>
            </w:tcBorders>
            <w:tcMar>
              <w:top w:w="128" w:type="dxa"/>
              <w:left w:w="43" w:type="dxa"/>
              <w:bottom w:w="43" w:type="dxa"/>
              <w:right w:w="43" w:type="dxa"/>
            </w:tcMar>
          </w:tcPr>
          <w:p w14:paraId="368C324F" w14:textId="77777777" w:rsidR="00F7113A" w:rsidRPr="00580C0D" w:rsidRDefault="00142E5B" w:rsidP="001231A3">
            <w:r w:rsidRPr="00580C0D">
              <w:t>Ideelle organisasjoners pensjonskostnader</w:t>
            </w:r>
          </w:p>
        </w:tc>
        <w:tc>
          <w:tcPr>
            <w:tcW w:w="2272" w:type="dxa"/>
            <w:tcBorders>
              <w:top w:val="nil"/>
              <w:left w:val="nil"/>
              <w:bottom w:val="nil"/>
              <w:right w:val="nil"/>
            </w:tcBorders>
            <w:tcMar>
              <w:top w:w="128" w:type="dxa"/>
              <w:left w:w="43" w:type="dxa"/>
              <w:bottom w:w="43" w:type="dxa"/>
              <w:right w:w="43" w:type="dxa"/>
            </w:tcMar>
          </w:tcPr>
          <w:p w14:paraId="3B72BEE4" w14:textId="77777777" w:rsidR="00F7113A" w:rsidRPr="00580C0D" w:rsidRDefault="00142E5B" w:rsidP="001231A3">
            <w:pPr>
              <w:jc w:val="right"/>
            </w:pPr>
            <w:r w:rsidRPr="00580C0D">
              <w:t>Nei</w:t>
            </w:r>
          </w:p>
        </w:tc>
      </w:tr>
      <w:tr w:rsidR="00F7113A" w:rsidRPr="00580C0D" w14:paraId="646386BA" w14:textId="77777777" w:rsidTr="001231A3">
        <w:trPr>
          <w:trHeight w:val="640"/>
        </w:trPr>
        <w:tc>
          <w:tcPr>
            <w:tcW w:w="1233" w:type="dxa"/>
            <w:tcBorders>
              <w:top w:val="nil"/>
              <w:left w:val="nil"/>
              <w:bottom w:val="nil"/>
              <w:right w:val="nil"/>
            </w:tcBorders>
            <w:tcMar>
              <w:top w:w="128" w:type="dxa"/>
              <w:left w:w="43" w:type="dxa"/>
              <w:bottom w:w="43" w:type="dxa"/>
              <w:right w:w="43" w:type="dxa"/>
            </w:tcMar>
          </w:tcPr>
          <w:p w14:paraId="19D16393" w14:textId="77777777" w:rsidR="00F7113A" w:rsidRPr="00580C0D" w:rsidRDefault="00142E5B" w:rsidP="001231A3">
            <w:r w:rsidRPr="00580C0D">
              <w:t>2018–2019</w:t>
            </w:r>
          </w:p>
        </w:tc>
        <w:tc>
          <w:tcPr>
            <w:tcW w:w="1134" w:type="dxa"/>
            <w:tcBorders>
              <w:top w:val="nil"/>
              <w:left w:val="nil"/>
              <w:bottom w:val="nil"/>
              <w:right w:val="nil"/>
            </w:tcBorders>
            <w:tcMar>
              <w:top w:w="128" w:type="dxa"/>
              <w:left w:w="43" w:type="dxa"/>
              <w:bottom w:w="43" w:type="dxa"/>
              <w:right w:w="43" w:type="dxa"/>
            </w:tcMar>
          </w:tcPr>
          <w:p w14:paraId="10E5B57A" w14:textId="77777777" w:rsidR="00F7113A" w:rsidRPr="00580C0D" w:rsidRDefault="00142E5B" w:rsidP="001231A3">
            <w:pPr>
              <w:ind w:right="340"/>
              <w:jc w:val="right"/>
            </w:pPr>
            <w:r w:rsidRPr="00580C0D">
              <w:t>93</w:t>
            </w:r>
          </w:p>
        </w:tc>
        <w:tc>
          <w:tcPr>
            <w:tcW w:w="4961" w:type="dxa"/>
            <w:tcBorders>
              <w:top w:val="nil"/>
              <w:left w:val="nil"/>
              <w:bottom w:val="nil"/>
              <w:right w:val="nil"/>
            </w:tcBorders>
            <w:tcMar>
              <w:top w:w="128" w:type="dxa"/>
              <w:left w:w="43" w:type="dxa"/>
              <w:bottom w:w="43" w:type="dxa"/>
              <w:right w:w="43" w:type="dxa"/>
            </w:tcMar>
          </w:tcPr>
          <w:p w14:paraId="576FD034" w14:textId="31BB334C" w:rsidR="00F7113A" w:rsidRPr="00580C0D" w:rsidRDefault="00142E5B" w:rsidP="001231A3">
            <w:r w:rsidRPr="00580C0D">
              <w:t xml:space="preserve">Årsmeldingen for 2017 fra Norges nasjonale </w:t>
            </w:r>
            <w:r w:rsidR="009A1051">
              <w:br/>
            </w:r>
            <w:r w:rsidRPr="00580C0D">
              <w:t>institusjon for menneskerettigheter</w:t>
            </w:r>
          </w:p>
        </w:tc>
        <w:tc>
          <w:tcPr>
            <w:tcW w:w="2272" w:type="dxa"/>
            <w:tcBorders>
              <w:top w:val="nil"/>
              <w:left w:val="nil"/>
              <w:bottom w:val="nil"/>
              <w:right w:val="nil"/>
            </w:tcBorders>
            <w:tcMar>
              <w:top w:w="128" w:type="dxa"/>
              <w:left w:w="43" w:type="dxa"/>
              <w:bottom w:w="43" w:type="dxa"/>
              <w:right w:w="43" w:type="dxa"/>
            </w:tcMar>
          </w:tcPr>
          <w:p w14:paraId="77932E48" w14:textId="77777777" w:rsidR="00F7113A" w:rsidRPr="00580C0D" w:rsidRDefault="00142E5B" w:rsidP="001231A3">
            <w:pPr>
              <w:jc w:val="right"/>
            </w:pPr>
            <w:r w:rsidRPr="00580C0D">
              <w:t>Nei</w:t>
            </w:r>
          </w:p>
        </w:tc>
      </w:tr>
      <w:tr w:rsidR="00F7113A" w:rsidRPr="00580C0D" w14:paraId="0439913A"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5934701A" w14:textId="77777777" w:rsidR="00F7113A" w:rsidRPr="00580C0D" w:rsidRDefault="00142E5B" w:rsidP="001231A3">
            <w:r w:rsidRPr="00580C0D">
              <w:t>2017–2018</w:t>
            </w:r>
          </w:p>
        </w:tc>
        <w:tc>
          <w:tcPr>
            <w:tcW w:w="1134" w:type="dxa"/>
            <w:tcBorders>
              <w:top w:val="nil"/>
              <w:left w:val="nil"/>
              <w:bottom w:val="nil"/>
              <w:right w:val="nil"/>
            </w:tcBorders>
            <w:tcMar>
              <w:top w:w="128" w:type="dxa"/>
              <w:left w:w="43" w:type="dxa"/>
              <w:bottom w:w="43" w:type="dxa"/>
              <w:right w:w="43" w:type="dxa"/>
            </w:tcMar>
          </w:tcPr>
          <w:p w14:paraId="4BBD69D0" w14:textId="77777777" w:rsidR="00F7113A" w:rsidRPr="00580C0D" w:rsidRDefault="00142E5B" w:rsidP="001231A3">
            <w:pPr>
              <w:ind w:right="340"/>
              <w:jc w:val="right"/>
            </w:pPr>
            <w:r w:rsidRPr="00580C0D">
              <w:t>468</w:t>
            </w:r>
          </w:p>
        </w:tc>
        <w:tc>
          <w:tcPr>
            <w:tcW w:w="4961" w:type="dxa"/>
            <w:tcBorders>
              <w:top w:val="nil"/>
              <w:left w:val="nil"/>
              <w:bottom w:val="nil"/>
              <w:right w:val="nil"/>
            </w:tcBorders>
            <w:tcMar>
              <w:top w:w="128" w:type="dxa"/>
              <w:left w:w="43" w:type="dxa"/>
              <w:bottom w:w="43" w:type="dxa"/>
              <w:right w:w="43" w:type="dxa"/>
            </w:tcMar>
          </w:tcPr>
          <w:p w14:paraId="3C913EA2" w14:textId="77777777" w:rsidR="00F7113A" w:rsidRPr="00580C0D" w:rsidRDefault="00142E5B" w:rsidP="001231A3">
            <w:r w:rsidRPr="00580C0D">
              <w:t>Legevakt- og fastlegeordningen</w:t>
            </w:r>
          </w:p>
        </w:tc>
        <w:tc>
          <w:tcPr>
            <w:tcW w:w="2272" w:type="dxa"/>
            <w:tcBorders>
              <w:top w:val="nil"/>
              <w:left w:val="nil"/>
              <w:bottom w:val="nil"/>
              <w:right w:val="nil"/>
            </w:tcBorders>
            <w:tcMar>
              <w:top w:w="128" w:type="dxa"/>
              <w:left w:w="43" w:type="dxa"/>
              <w:bottom w:w="43" w:type="dxa"/>
              <w:right w:w="43" w:type="dxa"/>
            </w:tcMar>
          </w:tcPr>
          <w:p w14:paraId="2B1CA02C" w14:textId="77777777" w:rsidR="00F7113A" w:rsidRPr="00580C0D" w:rsidRDefault="00142E5B" w:rsidP="001231A3">
            <w:pPr>
              <w:jc w:val="right"/>
            </w:pPr>
            <w:r w:rsidRPr="00580C0D">
              <w:t xml:space="preserve"> Nei</w:t>
            </w:r>
          </w:p>
        </w:tc>
      </w:tr>
      <w:tr w:rsidR="00F7113A" w:rsidRPr="00580C0D" w14:paraId="7AF6D217"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2F851E5C" w14:textId="77777777" w:rsidR="00F7113A" w:rsidRPr="00580C0D" w:rsidRDefault="00142E5B" w:rsidP="001231A3">
            <w:r w:rsidRPr="00580C0D">
              <w:t>2017–2018</w:t>
            </w:r>
          </w:p>
        </w:tc>
        <w:tc>
          <w:tcPr>
            <w:tcW w:w="1134" w:type="dxa"/>
            <w:tcBorders>
              <w:top w:val="nil"/>
              <w:left w:val="nil"/>
              <w:bottom w:val="nil"/>
              <w:right w:val="nil"/>
            </w:tcBorders>
            <w:tcMar>
              <w:top w:w="128" w:type="dxa"/>
              <w:left w:w="43" w:type="dxa"/>
              <w:bottom w:w="43" w:type="dxa"/>
              <w:right w:w="43" w:type="dxa"/>
            </w:tcMar>
          </w:tcPr>
          <w:p w14:paraId="20EA836B" w14:textId="77777777" w:rsidR="00F7113A" w:rsidRPr="00580C0D" w:rsidRDefault="00142E5B" w:rsidP="001231A3">
            <w:pPr>
              <w:ind w:right="340"/>
              <w:jc w:val="right"/>
            </w:pPr>
            <w:r w:rsidRPr="00580C0D">
              <w:t>615</w:t>
            </w:r>
          </w:p>
        </w:tc>
        <w:tc>
          <w:tcPr>
            <w:tcW w:w="4961" w:type="dxa"/>
            <w:tcBorders>
              <w:top w:val="nil"/>
              <w:left w:val="nil"/>
              <w:bottom w:val="nil"/>
              <w:right w:val="nil"/>
            </w:tcBorders>
            <w:tcMar>
              <w:top w:w="128" w:type="dxa"/>
              <w:left w:w="43" w:type="dxa"/>
              <w:bottom w:w="43" w:type="dxa"/>
              <w:right w:w="43" w:type="dxa"/>
            </w:tcMar>
          </w:tcPr>
          <w:p w14:paraId="5FC06B19" w14:textId="77777777" w:rsidR="00F7113A" w:rsidRPr="00580C0D" w:rsidRDefault="00142E5B" w:rsidP="001231A3">
            <w:r w:rsidRPr="00580C0D">
              <w:t>Regelverket for pasientreiser</w:t>
            </w:r>
          </w:p>
        </w:tc>
        <w:tc>
          <w:tcPr>
            <w:tcW w:w="2272" w:type="dxa"/>
            <w:tcBorders>
              <w:top w:val="nil"/>
              <w:left w:val="nil"/>
              <w:bottom w:val="nil"/>
              <w:right w:val="nil"/>
            </w:tcBorders>
            <w:tcMar>
              <w:top w:w="128" w:type="dxa"/>
              <w:left w:w="43" w:type="dxa"/>
              <w:bottom w:w="43" w:type="dxa"/>
              <w:right w:w="43" w:type="dxa"/>
            </w:tcMar>
          </w:tcPr>
          <w:p w14:paraId="73D98601" w14:textId="77777777" w:rsidR="00F7113A" w:rsidRPr="00580C0D" w:rsidRDefault="00142E5B" w:rsidP="001231A3">
            <w:pPr>
              <w:jc w:val="right"/>
            </w:pPr>
            <w:r w:rsidRPr="00580C0D">
              <w:t>Nei</w:t>
            </w:r>
          </w:p>
        </w:tc>
      </w:tr>
      <w:tr w:rsidR="00F7113A" w:rsidRPr="00580C0D" w14:paraId="7EE69A45"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69E6B4C3" w14:textId="77777777" w:rsidR="00F7113A" w:rsidRPr="00580C0D" w:rsidRDefault="00142E5B" w:rsidP="001231A3">
            <w:r w:rsidRPr="00580C0D">
              <w:t>2017–2018</w:t>
            </w:r>
          </w:p>
        </w:tc>
        <w:tc>
          <w:tcPr>
            <w:tcW w:w="1134" w:type="dxa"/>
            <w:tcBorders>
              <w:top w:val="nil"/>
              <w:left w:val="nil"/>
              <w:bottom w:val="nil"/>
              <w:right w:val="nil"/>
            </w:tcBorders>
            <w:tcMar>
              <w:top w:w="128" w:type="dxa"/>
              <w:left w:w="43" w:type="dxa"/>
              <w:bottom w:w="43" w:type="dxa"/>
              <w:right w:w="43" w:type="dxa"/>
            </w:tcMar>
          </w:tcPr>
          <w:p w14:paraId="52B19925" w14:textId="77777777" w:rsidR="00F7113A" w:rsidRPr="00580C0D" w:rsidRDefault="00142E5B" w:rsidP="001231A3">
            <w:pPr>
              <w:ind w:right="340"/>
              <w:jc w:val="right"/>
            </w:pPr>
            <w:r w:rsidRPr="00580C0D">
              <w:t>625</w:t>
            </w:r>
          </w:p>
        </w:tc>
        <w:tc>
          <w:tcPr>
            <w:tcW w:w="4961" w:type="dxa"/>
            <w:tcBorders>
              <w:top w:val="nil"/>
              <w:left w:val="nil"/>
              <w:bottom w:val="nil"/>
              <w:right w:val="nil"/>
            </w:tcBorders>
            <w:tcMar>
              <w:top w:w="128" w:type="dxa"/>
              <w:left w:w="43" w:type="dxa"/>
              <w:bottom w:w="43" w:type="dxa"/>
              <w:right w:w="43" w:type="dxa"/>
            </w:tcMar>
          </w:tcPr>
          <w:p w14:paraId="024D0766" w14:textId="77777777" w:rsidR="00F7113A" w:rsidRPr="00580C0D" w:rsidRDefault="00142E5B" w:rsidP="001231A3">
            <w:r w:rsidRPr="00580C0D">
              <w:t>Styringen av helsevesenet</w:t>
            </w:r>
          </w:p>
        </w:tc>
        <w:tc>
          <w:tcPr>
            <w:tcW w:w="2272" w:type="dxa"/>
            <w:tcBorders>
              <w:top w:val="nil"/>
              <w:left w:val="nil"/>
              <w:bottom w:val="nil"/>
              <w:right w:val="nil"/>
            </w:tcBorders>
            <w:tcMar>
              <w:top w:w="128" w:type="dxa"/>
              <w:left w:w="43" w:type="dxa"/>
              <w:bottom w:w="43" w:type="dxa"/>
              <w:right w:w="43" w:type="dxa"/>
            </w:tcMar>
          </w:tcPr>
          <w:p w14:paraId="60217732" w14:textId="77777777" w:rsidR="00F7113A" w:rsidRPr="00580C0D" w:rsidRDefault="00142E5B" w:rsidP="001231A3">
            <w:pPr>
              <w:jc w:val="right"/>
            </w:pPr>
            <w:r w:rsidRPr="00580C0D">
              <w:t>Ja</w:t>
            </w:r>
          </w:p>
        </w:tc>
      </w:tr>
      <w:tr w:rsidR="00F7113A" w:rsidRPr="00580C0D" w14:paraId="2EF5736F"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6FB9497E" w14:textId="77777777" w:rsidR="00F7113A" w:rsidRPr="00580C0D" w:rsidRDefault="00142E5B" w:rsidP="001231A3">
            <w:r w:rsidRPr="00580C0D">
              <w:t>2017–2018</w:t>
            </w:r>
          </w:p>
        </w:tc>
        <w:tc>
          <w:tcPr>
            <w:tcW w:w="1134" w:type="dxa"/>
            <w:tcBorders>
              <w:top w:val="nil"/>
              <w:left w:val="nil"/>
              <w:bottom w:val="nil"/>
              <w:right w:val="nil"/>
            </w:tcBorders>
            <w:tcMar>
              <w:top w:w="128" w:type="dxa"/>
              <w:left w:w="43" w:type="dxa"/>
              <w:bottom w:w="43" w:type="dxa"/>
              <w:right w:w="43" w:type="dxa"/>
            </w:tcMar>
          </w:tcPr>
          <w:p w14:paraId="32454D80" w14:textId="77777777" w:rsidR="00F7113A" w:rsidRPr="00580C0D" w:rsidRDefault="00142E5B" w:rsidP="001231A3">
            <w:pPr>
              <w:ind w:right="340"/>
              <w:jc w:val="right"/>
            </w:pPr>
            <w:r w:rsidRPr="00580C0D">
              <w:t>753</w:t>
            </w:r>
          </w:p>
        </w:tc>
        <w:tc>
          <w:tcPr>
            <w:tcW w:w="4961" w:type="dxa"/>
            <w:tcBorders>
              <w:top w:val="nil"/>
              <w:left w:val="nil"/>
              <w:bottom w:val="nil"/>
              <w:right w:val="nil"/>
            </w:tcBorders>
            <w:tcMar>
              <w:top w:w="128" w:type="dxa"/>
              <w:left w:w="43" w:type="dxa"/>
              <w:bottom w:w="43" w:type="dxa"/>
              <w:right w:w="43" w:type="dxa"/>
            </w:tcMar>
          </w:tcPr>
          <w:p w14:paraId="27BB028A" w14:textId="77777777" w:rsidR="00F7113A" w:rsidRPr="00580C0D" w:rsidRDefault="00142E5B" w:rsidP="001231A3">
            <w:r w:rsidRPr="00580C0D">
              <w:t>Fødselsomsorg</w:t>
            </w:r>
          </w:p>
        </w:tc>
        <w:tc>
          <w:tcPr>
            <w:tcW w:w="2272" w:type="dxa"/>
            <w:tcBorders>
              <w:top w:val="nil"/>
              <w:left w:val="nil"/>
              <w:bottom w:val="nil"/>
              <w:right w:val="nil"/>
            </w:tcBorders>
            <w:tcMar>
              <w:top w:w="128" w:type="dxa"/>
              <w:left w:w="43" w:type="dxa"/>
              <w:bottom w:w="43" w:type="dxa"/>
              <w:right w:w="43" w:type="dxa"/>
            </w:tcMar>
          </w:tcPr>
          <w:p w14:paraId="4C5D3635" w14:textId="77777777" w:rsidR="00F7113A" w:rsidRPr="00580C0D" w:rsidRDefault="00142E5B" w:rsidP="001231A3">
            <w:pPr>
              <w:jc w:val="right"/>
            </w:pPr>
            <w:r w:rsidRPr="00580C0D">
              <w:t>Ja</w:t>
            </w:r>
          </w:p>
        </w:tc>
      </w:tr>
      <w:tr w:rsidR="00F7113A" w:rsidRPr="00580C0D" w14:paraId="1D2BF151" w14:textId="77777777" w:rsidTr="001231A3">
        <w:trPr>
          <w:trHeight w:val="380"/>
        </w:trPr>
        <w:tc>
          <w:tcPr>
            <w:tcW w:w="1233" w:type="dxa"/>
            <w:tcBorders>
              <w:top w:val="nil"/>
              <w:left w:val="nil"/>
              <w:bottom w:val="nil"/>
              <w:right w:val="nil"/>
            </w:tcBorders>
            <w:tcMar>
              <w:top w:w="128" w:type="dxa"/>
              <w:left w:w="43" w:type="dxa"/>
              <w:bottom w:w="43" w:type="dxa"/>
              <w:right w:w="43" w:type="dxa"/>
            </w:tcMar>
          </w:tcPr>
          <w:p w14:paraId="195A3D8C" w14:textId="77777777" w:rsidR="00F7113A" w:rsidRPr="00580C0D" w:rsidRDefault="00142E5B" w:rsidP="001231A3">
            <w:r w:rsidRPr="00580C0D">
              <w:t>2017–2018</w:t>
            </w:r>
          </w:p>
        </w:tc>
        <w:tc>
          <w:tcPr>
            <w:tcW w:w="1134" w:type="dxa"/>
            <w:tcBorders>
              <w:top w:val="nil"/>
              <w:left w:val="nil"/>
              <w:bottom w:val="nil"/>
              <w:right w:val="nil"/>
            </w:tcBorders>
            <w:tcMar>
              <w:top w:w="128" w:type="dxa"/>
              <w:left w:w="43" w:type="dxa"/>
              <w:bottom w:w="43" w:type="dxa"/>
              <w:right w:w="43" w:type="dxa"/>
            </w:tcMar>
          </w:tcPr>
          <w:p w14:paraId="35F7DDA1" w14:textId="77777777" w:rsidR="00F7113A" w:rsidRPr="00580C0D" w:rsidRDefault="00142E5B" w:rsidP="001231A3">
            <w:pPr>
              <w:ind w:right="340"/>
              <w:jc w:val="right"/>
            </w:pPr>
            <w:r w:rsidRPr="00580C0D">
              <w:t>915</w:t>
            </w:r>
          </w:p>
        </w:tc>
        <w:tc>
          <w:tcPr>
            <w:tcW w:w="4961" w:type="dxa"/>
            <w:tcBorders>
              <w:top w:val="nil"/>
              <w:left w:val="nil"/>
              <w:bottom w:val="nil"/>
              <w:right w:val="nil"/>
            </w:tcBorders>
            <w:tcMar>
              <w:top w:w="128" w:type="dxa"/>
              <w:left w:w="43" w:type="dxa"/>
              <w:bottom w:w="43" w:type="dxa"/>
              <w:right w:w="43" w:type="dxa"/>
            </w:tcMar>
          </w:tcPr>
          <w:p w14:paraId="00FE450E" w14:textId="77777777" w:rsidR="00F7113A" w:rsidRPr="00580C0D" w:rsidRDefault="00142E5B" w:rsidP="001231A3">
            <w:r w:rsidRPr="00580C0D">
              <w:t>Tobakksskadeloven</w:t>
            </w:r>
          </w:p>
        </w:tc>
        <w:tc>
          <w:tcPr>
            <w:tcW w:w="2272" w:type="dxa"/>
            <w:tcBorders>
              <w:top w:val="nil"/>
              <w:left w:val="nil"/>
              <w:bottom w:val="nil"/>
              <w:right w:val="nil"/>
            </w:tcBorders>
            <w:tcMar>
              <w:top w:w="128" w:type="dxa"/>
              <w:left w:w="43" w:type="dxa"/>
              <w:bottom w:w="43" w:type="dxa"/>
              <w:right w:w="43" w:type="dxa"/>
            </w:tcMar>
          </w:tcPr>
          <w:p w14:paraId="35ABDC37" w14:textId="77777777" w:rsidR="00F7113A" w:rsidRPr="00580C0D" w:rsidRDefault="00142E5B" w:rsidP="001231A3">
            <w:pPr>
              <w:jc w:val="right"/>
            </w:pPr>
            <w:r w:rsidRPr="00580C0D">
              <w:t>Nei</w:t>
            </w:r>
          </w:p>
        </w:tc>
      </w:tr>
      <w:tr w:rsidR="00F7113A" w:rsidRPr="00580C0D" w14:paraId="381BDFFD" w14:textId="77777777" w:rsidTr="001231A3">
        <w:trPr>
          <w:trHeight w:val="380"/>
        </w:trPr>
        <w:tc>
          <w:tcPr>
            <w:tcW w:w="1233" w:type="dxa"/>
            <w:tcBorders>
              <w:top w:val="nil"/>
              <w:left w:val="nil"/>
              <w:bottom w:val="single" w:sz="4" w:space="0" w:color="000000"/>
              <w:right w:val="nil"/>
            </w:tcBorders>
            <w:tcMar>
              <w:top w:w="128" w:type="dxa"/>
              <w:left w:w="43" w:type="dxa"/>
              <w:bottom w:w="43" w:type="dxa"/>
              <w:right w:w="43" w:type="dxa"/>
            </w:tcMar>
          </w:tcPr>
          <w:p w14:paraId="39D56C5E" w14:textId="77777777" w:rsidR="00F7113A" w:rsidRPr="00580C0D" w:rsidRDefault="00142E5B" w:rsidP="001231A3">
            <w:r w:rsidRPr="00580C0D">
              <w:t>2015–2016</w:t>
            </w:r>
          </w:p>
        </w:tc>
        <w:tc>
          <w:tcPr>
            <w:tcW w:w="1134" w:type="dxa"/>
            <w:tcBorders>
              <w:top w:val="nil"/>
              <w:left w:val="nil"/>
              <w:bottom w:val="single" w:sz="4" w:space="0" w:color="000000"/>
              <w:right w:val="nil"/>
            </w:tcBorders>
            <w:tcMar>
              <w:top w:w="128" w:type="dxa"/>
              <w:left w:w="43" w:type="dxa"/>
              <w:bottom w:w="43" w:type="dxa"/>
              <w:right w:w="43" w:type="dxa"/>
            </w:tcMar>
          </w:tcPr>
          <w:p w14:paraId="4BAB37FA" w14:textId="77777777" w:rsidR="00F7113A" w:rsidRPr="00580C0D" w:rsidRDefault="00142E5B" w:rsidP="001231A3">
            <w:pPr>
              <w:ind w:right="340"/>
              <w:jc w:val="right"/>
            </w:pPr>
            <w:r w:rsidRPr="00580C0D">
              <w:t>627</w:t>
            </w:r>
          </w:p>
        </w:tc>
        <w:tc>
          <w:tcPr>
            <w:tcW w:w="4961" w:type="dxa"/>
            <w:tcBorders>
              <w:top w:val="nil"/>
              <w:left w:val="nil"/>
              <w:bottom w:val="single" w:sz="4" w:space="0" w:color="000000"/>
              <w:right w:val="nil"/>
            </w:tcBorders>
            <w:tcMar>
              <w:top w:w="128" w:type="dxa"/>
              <w:left w:w="43" w:type="dxa"/>
              <w:bottom w:w="43" w:type="dxa"/>
              <w:right w:w="43" w:type="dxa"/>
            </w:tcMar>
          </w:tcPr>
          <w:p w14:paraId="028F45E5" w14:textId="77777777" w:rsidR="00F7113A" w:rsidRPr="00580C0D" w:rsidRDefault="00142E5B" w:rsidP="001231A3">
            <w:r w:rsidRPr="00580C0D">
              <w:t>Prevensjon til rusavhengige</w:t>
            </w:r>
          </w:p>
        </w:tc>
        <w:tc>
          <w:tcPr>
            <w:tcW w:w="2272" w:type="dxa"/>
            <w:tcBorders>
              <w:top w:val="nil"/>
              <w:left w:val="nil"/>
              <w:bottom w:val="single" w:sz="4" w:space="0" w:color="000000"/>
              <w:right w:val="nil"/>
            </w:tcBorders>
            <w:tcMar>
              <w:top w:w="128" w:type="dxa"/>
              <w:left w:w="43" w:type="dxa"/>
              <w:bottom w:w="43" w:type="dxa"/>
              <w:right w:w="43" w:type="dxa"/>
            </w:tcMar>
          </w:tcPr>
          <w:p w14:paraId="4D790E06" w14:textId="77777777" w:rsidR="00F7113A" w:rsidRPr="00580C0D" w:rsidRDefault="00142E5B" w:rsidP="001231A3">
            <w:pPr>
              <w:jc w:val="right"/>
            </w:pPr>
            <w:r w:rsidRPr="00580C0D">
              <w:t>Nei</w:t>
            </w:r>
          </w:p>
        </w:tc>
      </w:tr>
    </w:tbl>
    <w:p w14:paraId="0573C38F" w14:textId="77777777" w:rsidR="00F7113A" w:rsidRPr="00580C0D" w:rsidRDefault="00142E5B" w:rsidP="001A1B0B">
      <w:pPr>
        <w:pStyle w:val="Overskrift2"/>
        <w:numPr>
          <w:ilvl w:val="1"/>
          <w:numId w:val="27"/>
        </w:numPr>
      </w:pPr>
      <w:r w:rsidRPr="00580C0D">
        <w:t>Stortingssesjon 2022–2023</w:t>
      </w:r>
    </w:p>
    <w:p w14:paraId="4521F919" w14:textId="77777777" w:rsidR="00F7113A" w:rsidRPr="00580C0D" w:rsidRDefault="00142E5B" w:rsidP="00580C0D">
      <w:pPr>
        <w:pStyle w:val="avsnitt-tittel"/>
      </w:pPr>
      <w:r w:rsidRPr="00580C0D">
        <w:t>Sikre ideelle behandlingsinstitusjoner og omsorgstilbud innen rusomsorgen</w:t>
      </w:r>
    </w:p>
    <w:p w14:paraId="435E1E1B" w14:textId="77777777" w:rsidR="00F7113A" w:rsidRPr="00580C0D" w:rsidRDefault="00142E5B" w:rsidP="00580C0D">
      <w:pPr>
        <w:pStyle w:val="avsnitt-undertittel"/>
      </w:pPr>
      <w:r w:rsidRPr="00580C0D">
        <w:t>Vedtak nr. 1, 5. oktober 2022</w:t>
      </w:r>
    </w:p>
    <w:p w14:paraId="0CB5CC7A" w14:textId="77777777" w:rsidR="00F7113A" w:rsidRPr="00580C0D" w:rsidRDefault="00142E5B" w:rsidP="00580C0D">
      <w:pPr>
        <w:pStyle w:val="blokksit"/>
        <w:rPr>
          <w:rStyle w:val="kursiv"/>
        </w:rPr>
      </w:pPr>
      <w:r w:rsidRPr="00580C0D">
        <w:rPr>
          <w:rStyle w:val="kursiv"/>
        </w:rPr>
        <w:t>«Stortinget ber regjeringen fortsatt sikre ideelle behandlingsinstitusjoner og omsorgstilbud innen rusomsorgen.»</w:t>
      </w:r>
    </w:p>
    <w:p w14:paraId="35720F8E" w14:textId="77777777" w:rsidR="00F7113A" w:rsidRPr="00580C0D" w:rsidRDefault="00142E5B" w:rsidP="00580C0D">
      <w:r w:rsidRPr="00580C0D">
        <w:t>Vedtaket ble truffet ifb. trontaledebatten 5. oktober 2022.</w:t>
      </w:r>
    </w:p>
    <w:p w14:paraId="73CB8D01" w14:textId="77777777" w:rsidR="00F7113A" w:rsidRPr="00580C0D" w:rsidRDefault="00142E5B" w:rsidP="00580C0D">
      <w:r w:rsidRPr="00580C0D">
        <w:t>Anmodningsvedtaket følges opp gjennom Helse- og omsorgsdepartementets arbeid med regjeringens forebyggings- og behandlingsreform for rusfeltet. Regjeringen vil komme tilbake til Stortinget på egnet måte.</w:t>
      </w:r>
    </w:p>
    <w:p w14:paraId="62ED5812" w14:textId="77777777" w:rsidR="00F7113A" w:rsidRPr="00580C0D" w:rsidRDefault="00142E5B" w:rsidP="00580C0D">
      <w:pPr>
        <w:pStyle w:val="avsnitt-tittel"/>
      </w:pPr>
      <w:r w:rsidRPr="00580C0D">
        <w:t>Avlastning av fastleger knyttet til ikke-kliniske oppgaver</w:t>
      </w:r>
    </w:p>
    <w:p w14:paraId="46589C5B" w14:textId="77777777" w:rsidR="00F7113A" w:rsidRPr="00580C0D" w:rsidRDefault="00142E5B" w:rsidP="00580C0D">
      <w:pPr>
        <w:pStyle w:val="avsnitt-undertittel"/>
      </w:pPr>
      <w:r w:rsidRPr="00580C0D">
        <w:t>Vedtak nr. 2, 5. oktober 2022</w:t>
      </w:r>
    </w:p>
    <w:p w14:paraId="50732586" w14:textId="77777777" w:rsidR="00F7113A" w:rsidRPr="00580C0D" w:rsidRDefault="00142E5B" w:rsidP="00580C0D">
      <w:pPr>
        <w:pStyle w:val="blokksit"/>
        <w:rPr>
          <w:rStyle w:val="kursiv"/>
        </w:rPr>
      </w:pPr>
      <w:r w:rsidRPr="00580C0D">
        <w:rPr>
          <w:rStyle w:val="kursiv"/>
        </w:rPr>
        <w:t>«Stortinget ber regjeringen legge frem løsninger som gjør at fastleger kan avlastes fra oppgaver av ikke-klinisk art og hvordan oppgaver kan fordeles til annet helsepersonell.»</w:t>
      </w:r>
    </w:p>
    <w:p w14:paraId="6C73770B" w14:textId="77777777" w:rsidR="00F7113A" w:rsidRPr="00580C0D" w:rsidRDefault="00142E5B" w:rsidP="00580C0D">
      <w:r w:rsidRPr="00580C0D">
        <w:t>Vedtaket ble truffet ifb. trontaledebatten 5. oktober 2022.</w:t>
      </w:r>
    </w:p>
    <w:p w14:paraId="24AADA62" w14:textId="77777777" w:rsidR="00F7113A" w:rsidRPr="00580C0D" w:rsidRDefault="00142E5B" w:rsidP="00580C0D">
      <w:r w:rsidRPr="00580C0D">
        <w:t>Helse- og omsorgsdepartementet har flere pågående tverrdepartementale arbeid knyttet til ulike ikke-kliniske oppgaver. Oppgavefordeling i allmennlegetjenesten og andre ikke-kliniske oppgaver følges opp i det løpende arbeidet med allmennlegetjenesten. Regjeringen vil komme tilbake til Stortinget på egnet måte.</w:t>
      </w:r>
    </w:p>
    <w:p w14:paraId="49889EF8" w14:textId="77777777" w:rsidR="00F7113A" w:rsidRPr="00580C0D" w:rsidRDefault="00142E5B" w:rsidP="00580C0D">
      <w:pPr>
        <w:pStyle w:val="avsnitt-tittel"/>
      </w:pPr>
      <w:r w:rsidRPr="00580C0D">
        <w:t>Oppheve vedtak for CGRP-</w:t>
      </w:r>
      <w:proofErr w:type="spellStart"/>
      <w:r w:rsidRPr="00580C0D">
        <w:t>hemmere</w:t>
      </w:r>
      <w:proofErr w:type="spellEnd"/>
    </w:p>
    <w:p w14:paraId="194760DE" w14:textId="77777777" w:rsidR="00F7113A" w:rsidRPr="00580C0D" w:rsidRDefault="00142E5B" w:rsidP="00580C0D">
      <w:pPr>
        <w:pStyle w:val="avsnitt-undertittel"/>
      </w:pPr>
      <w:r w:rsidRPr="00580C0D">
        <w:t>Vedtak nr. 43, 15. november 2022</w:t>
      </w:r>
    </w:p>
    <w:p w14:paraId="625BF725" w14:textId="77777777" w:rsidR="00F7113A" w:rsidRPr="00580C0D" w:rsidRDefault="00142E5B" w:rsidP="00580C0D">
      <w:pPr>
        <w:pStyle w:val="blokksit"/>
        <w:rPr>
          <w:rStyle w:val="kursiv"/>
        </w:rPr>
      </w:pPr>
      <w:r w:rsidRPr="00580C0D">
        <w:rPr>
          <w:rStyle w:val="kursiv"/>
        </w:rPr>
        <w:t>«Stortinget ber regjeringen oppheve vedtaket om innstramming av reglene for å kunne få, samt beholde, individuell refusjon (blå resept) for CGRP-</w:t>
      </w:r>
      <w:proofErr w:type="spellStart"/>
      <w:r w:rsidRPr="00580C0D">
        <w:rPr>
          <w:rStyle w:val="kursiv"/>
        </w:rPr>
        <w:t>hemmere</w:t>
      </w:r>
      <w:proofErr w:type="spellEnd"/>
      <w:r w:rsidRPr="00580C0D">
        <w:rPr>
          <w:rStyle w:val="kursiv"/>
        </w:rPr>
        <w:t xml:space="preserve"> for migrenepasienter.»</w:t>
      </w:r>
    </w:p>
    <w:p w14:paraId="7D251FC1" w14:textId="77777777" w:rsidR="00F7113A" w:rsidRPr="00580C0D" w:rsidRDefault="00142E5B" w:rsidP="00580C0D">
      <w:r w:rsidRPr="00580C0D">
        <w:t xml:space="preserve">Vedtaket ble truffet ved behandling av Dokument 8:252 S (2021–2022), jf. </w:t>
      </w:r>
      <w:proofErr w:type="spellStart"/>
      <w:r w:rsidRPr="00580C0D">
        <w:t>Innst</w:t>
      </w:r>
      <w:proofErr w:type="spellEnd"/>
      <w:r w:rsidRPr="00580C0D">
        <w:t>. 37 S (2022–2023). På bakgrunn av Stortingets vedtak om å oppheve vedtaket om nye refusjonsvilkår, ble Legemiddelverket og Helsedirektoratet bedt om å tilbakeføre vilkårene for individuell stønad til CGRP-hemmer til slik de var før 1. april 2022. Vedtak om endrede refusjonsvilkår ble fattet i tråd med anmodningen og fastsatt med virkning fra 1. januar 2023. Anmodningsvedtaket anses som fulgt opp.</w:t>
      </w:r>
    </w:p>
    <w:p w14:paraId="14401CBD" w14:textId="77777777" w:rsidR="00F7113A" w:rsidRPr="00580C0D" w:rsidRDefault="00142E5B" w:rsidP="00580C0D">
      <w:pPr>
        <w:pStyle w:val="avsnitt-tittel"/>
      </w:pPr>
      <w:r w:rsidRPr="00580C0D">
        <w:t>Nasjonal helse- og samhandlingsplan</w:t>
      </w:r>
    </w:p>
    <w:p w14:paraId="7A9B283E" w14:textId="77777777" w:rsidR="00F7113A" w:rsidRPr="00580C0D" w:rsidRDefault="00142E5B" w:rsidP="00580C0D">
      <w:pPr>
        <w:pStyle w:val="avsnitt-undertittel"/>
      </w:pPr>
      <w:r w:rsidRPr="00580C0D">
        <w:t>Vedtak nr. 44, 15. november 2022</w:t>
      </w:r>
    </w:p>
    <w:p w14:paraId="2D63CB76" w14:textId="77777777" w:rsidR="00F7113A" w:rsidRPr="00580C0D" w:rsidRDefault="00142E5B" w:rsidP="00580C0D">
      <w:pPr>
        <w:pStyle w:val="blokksit"/>
        <w:rPr>
          <w:rStyle w:val="kursiv"/>
        </w:rPr>
      </w:pPr>
      <w:r w:rsidRPr="00580C0D">
        <w:rPr>
          <w:rStyle w:val="kursiv"/>
        </w:rPr>
        <w:t xml:space="preserve">«Stortinget ber regjeringen sikre at Nasjonal helse- og samhandlingsplan inneholder en helhetlig plan for </w:t>
      </w:r>
      <w:proofErr w:type="spellStart"/>
      <w:r w:rsidRPr="00580C0D">
        <w:rPr>
          <w:rStyle w:val="kursiv"/>
        </w:rPr>
        <w:t>barnepalliasjon</w:t>
      </w:r>
      <w:proofErr w:type="spellEnd"/>
      <w:r w:rsidRPr="00580C0D">
        <w:rPr>
          <w:rStyle w:val="kursiv"/>
        </w:rPr>
        <w:t>.»</w:t>
      </w:r>
    </w:p>
    <w:p w14:paraId="688127EF" w14:textId="77777777" w:rsidR="00F7113A" w:rsidRPr="00580C0D" w:rsidRDefault="00142E5B" w:rsidP="00580C0D">
      <w:r w:rsidRPr="00580C0D">
        <w:t xml:space="preserve">Vedtaket ble truffet ved behandling av Dokument 8:256 S (2021–2022), jf. </w:t>
      </w:r>
      <w:proofErr w:type="spellStart"/>
      <w:r w:rsidRPr="00580C0D">
        <w:t>Innst</w:t>
      </w:r>
      <w:proofErr w:type="spellEnd"/>
      <w:r w:rsidRPr="00580C0D">
        <w:t>. 36 S (2022–2023).</w:t>
      </w:r>
    </w:p>
    <w:p w14:paraId="3DE5F343" w14:textId="77777777" w:rsidR="00F7113A" w:rsidRPr="00580C0D" w:rsidRDefault="00142E5B" w:rsidP="00580C0D">
      <w:r w:rsidRPr="00580C0D">
        <w:t xml:space="preserve">Helse- og omsorgsdepartementet vil følge opp vedtaket ved å beskrive en helhetlig plan for </w:t>
      </w:r>
      <w:proofErr w:type="spellStart"/>
      <w:r w:rsidRPr="00580C0D">
        <w:t>barnepalliasjon</w:t>
      </w:r>
      <w:proofErr w:type="spellEnd"/>
      <w:r w:rsidRPr="00580C0D">
        <w:t xml:space="preserve"> i Nasjonal helse- og samhandlingsplan. Regjeringen vil komme tilbake til Stortinget på egnet måte.</w:t>
      </w:r>
    </w:p>
    <w:p w14:paraId="39B21959" w14:textId="77777777" w:rsidR="00F7113A" w:rsidRPr="00580C0D" w:rsidRDefault="00142E5B" w:rsidP="00580C0D">
      <w:pPr>
        <w:pStyle w:val="avsnitt-tittel"/>
      </w:pPr>
      <w:r w:rsidRPr="00580C0D">
        <w:t>Styrke den offentlige allmennlegetjenesten</w:t>
      </w:r>
    </w:p>
    <w:p w14:paraId="0083342B" w14:textId="77777777" w:rsidR="00F7113A" w:rsidRPr="00580C0D" w:rsidRDefault="00142E5B" w:rsidP="00580C0D">
      <w:pPr>
        <w:pStyle w:val="avsnitt-undertittel"/>
      </w:pPr>
      <w:r w:rsidRPr="00580C0D">
        <w:t>Vedtak nr. 79, 1. desember 2022</w:t>
      </w:r>
    </w:p>
    <w:p w14:paraId="4474F803" w14:textId="77777777" w:rsidR="00F7113A" w:rsidRPr="00580C0D" w:rsidRDefault="00142E5B" w:rsidP="00580C0D">
      <w:pPr>
        <w:pStyle w:val="blokksit"/>
        <w:rPr>
          <w:rStyle w:val="kursiv"/>
        </w:rPr>
      </w:pPr>
      <w:r w:rsidRPr="00580C0D">
        <w:rPr>
          <w:rStyle w:val="kursiv"/>
        </w:rPr>
        <w:t>«Stortinget ber regjeringen fremme tiltak for å styrke den offentlige allmennlegetjenesten, herunder utarbeide hjemmel til å regulere etablering av helprivate kommersielle allmennlegekontor.»</w:t>
      </w:r>
    </w:p>
    <w:p w14:paraId="565B733E" w14:textId="77777777" w:rsidR="00F7113A" w:rsidRPr="00580C0D" w:rsidRDefault="00142E5B" w:rsidP="00580C0D">
      <w:r w:rsidRPr="00580C0D">
        <w:t xml:space="preserve">Vedtaket ble truffet ved behandling av Meld. St. 1 (2022–2023), jf. </w:t>
      </w:r>
      <w:proofErr w:type="spellStart"/>
      <w:r w:rsidRPr="00580C0D">
        <w:t>Innst</w:t>
      </w:r>
      <w:proofErr w:type="spellEnd"/>
      <w:r w:rsidRPr="00580C0D">
        <w:t>. 2 S (2022–2023).</w:t>
      </w:r>
    </w:p>
    <w:p w14:paraId="0D60E2E6" w14:textId="77777777" w:rsidR="00F7113A" w:rsidRPr="00580C0D" w:rsidRDefault="00142E5B" w:rsidP="00580C0D">
      <w:r w:rsidRPr="00580C0D">
        <w:t>Departementet følger opp vedtaket i det pågående arbeidet knyttet til oppfølging av ekspertutvalget for allmennlegetjenesten. Regjeringen vil komme tilbake til Stortinget på egnet måte.</w:t>
      </w:r>
    </w:p>
    <w:p w14:paraId="58ED4F12" w14:textId="77777777" w:rsidR="00F7113A" w:rsidRPr="00580C0D" w:rsidRDefault="00142E5B" w:rsidP="00580C0D">
      <w:pPr>
        <w:pStyle w:val="avsnitt-tittel"/>
      </w:pPr>
      <w:r w:rsidRPr="00580C0D">
        <w:t>Endre tannhelsetjenesteloven for personer i alderen 23 til 26 år</w:t>
      </w:r>
    </w:p>
    <w:p w14:paraId="22FF4440" w14:textId="77777777" w:rsidR="00F7113A" w:rsidRPr="00580C0D" w:rsidRDefault="00142E5B" w:rsidP="00580C0D">
      <w:pPr>
        <w:pStyle w:val="avsnitt-undertittel"/>
      </w:pPr>
      <w:r w:rsidRPr="00580C0D">
        <w:t>Vedtak nr. 86, 1. desember 2022</w:t>
      </w:r>
    </w:p>
    <w:p w14:paraId="35EA1581" w14:textId="77777777" w:rsidR="00F7113A" w:rsidRPr="00580C0D" w:rsidRDefault="00142E5B" w:rsidP="00580C0D">
      <w:pPr>
        <w:pStyle w:val="blokksit"/>
        <w:rPr>
          <w:rStyle w:val="kursiv"/>
        </w:rPr>
      </w:pPr>
      <w:r w:rsidRPr="00580C0D">
        <w:rPr>
          <w:rStyle w:val="kursiv"/>
        </w:rPr>
        <w:t>«Stortinget ber regjeringen, i løpet av første halvår 2023, fremme forslag om å endre tannhelseloven slik at personer i alderen 23–26 år får rett til behandling i den offentlige tannhelsetjenesten, samt forskriftsfeste retten til 50 prosent redusert betaling for disse årskullene.»</w:t>
      </w:r>
    </w:p>
    <w:p w14:paraId="7047CFED" w14:textId="77777777" w:rsidR="00F7113A" w:rsidRPr="00580C0D" w:rsidRDefault="00142E5B" w:rsidP="00580C0D">
      <w:r w:rsidRPr="00580C0D">
        <w:t xml:space="preserve">Vedtaket ble truffet ved Stortingets behandling av </w:t>
      </w:r>
      <w:proofErr w:type="spellStart"/>
      <w:r w:rsidRPr="00580C0D">
        <w:t>Prop</w:t>
      </w:r>
      <w:proofErr w:type="spellEnd"/>
      <w:r w:rsidRPr="00580C0D">
        <w:t xml:space="preserve">. 1 S (2022–2023), jf. </w:t>
      </w:r>
      <w:proofErr w:type="spellStart"/>
      <w:r w:rsidRPr="00580C0D">
        <w:t>Innst</w:t>
      </w:r>
      <w:proofErr w:type="spellEnd"/>
      <w:r w:rsidRPr="00580C0D">
        <w:t xml:space="preserve">. 11 S (2022–2023), der det ble bevilget 280 mill. kroner til fylkeskommunene for at den fylkeskommunale tannhelsetjenesten skulle kunne tilby tannhelsetjenester til aldersgruppen 23 til 26 år med 50 pst. egenbetaling. Dette innebar en utvidelse av dagens ordning med 50 pst. egenbetaling for 21- og 22-åringene som ble vedtatt ifb. statsbudsjettet for 2022, jf. </w:t>
      </w:r>
      <w:proofErr w:type="spellStart"/>
      <w:r w:rsidRPr="00580C0D">
        <w:t>Innst</w:t>
      </w:r>
      <w:proofErr w:type="spellEnd"/>
      <w:r w:rsidRPr="00580C0D">
        <w:t>. 11 S (2021–2022), se omtale av dette under anmodningsvedtak nr. 832 (2021–2022). Vedtakene må ses i sammenheng.</w:t>
      </w:r>
    </w:p>
    <w:p w14:paraId="0E009DAE" w14:textId="77777777" w:rsidR="00F7113A" w:rsidRPr="00580C0D" w:rsidRDefault="00142E5B" w:rsidP="00580C0D">
      <w:r w:rsidRPr="00580C0D">
        <w:t xml:space="preserve">Vedtakene følges opp gjennom et pågående lovarbeid med endringer i tannhelsetjenesteloven. Endringene foreslås å gjelde for aldersgruppene 21 år til 24 år i behandlingsåret, med 25 pst. egenbetaling. Tilbudet ble iverksatt i den offentlige tannhelsetjenesten gjennom Rundskriv I-2/2023 til fylkeskommunene, sendt 24. mars 2023. Dette er omtalt i </w:t>
      </w:r>
      <w:proofErr w:type="spellStart"/>
      <w:r w:rsidRPr="00580C0D">
        <w:t>Prop</w:t>
      </w:r>
      <w:proofErr w:type="spellEnd"/>
      <w:r w:rsidRPr="00580C0D">
        <w:t>. 118 S (2022–2023). Forslag til endringer i tannhelsetjenesteloven med lovfesting av rettighetene er på offentlig høring med frist 12. september 2023.</w:t>
      </w:r>
    </w:p>
    <w:p w14:paraId="48ADC2F3" w14:textId="77777777" w:rsidR="00F7113A" w:rsidRPr="00580C0D" w:rsidRDefault="00142E5B" w:rsidP="00580C0D">
      <w:r w:rsidRPr="00580C0D">
        <w:t>Løsningen med 25 pst. egenbetaling, redusert fra 50 pst. i vedtakene, er etter departementets vurdering i tråd med regelverket om statsstøtte etter EØS-avtalen, fordi en egenbetaling i denne størrelsesordenen gjør tilbudet til en del av den solidarisk finansierte offentlige tannhelsetjenesten. Økt rabatt for 21- til 24-åringer øker utgiftene med 140 mill. kroner. Som inndekning foreslås det at 25- og 26-åringer ikke gis et subsidiert tilbud i den offentlige tannhelsetjenesten nå. I statsråd 12. august 2022 ble det nedsatt et offentlig utvalg som skal gjennomgå tannhelsefeltet, og skal levere sin utredning innen utgangen av juni 2024. Regjeringen vil deretter gjøre en helhetlig vurdering av prioriteringer i tannhelsetjenesten, herunder hvordan 25- og 26-åringene skal ivaretas. Regjeringen vil komme tilbake til Stortinget på egnet måte.</w:t>
      </w:r>
    </w:p>
    <w:p w14:paraId="4D1CBA98" w14:textId="77777777" w:rsidR="00F7113A" w:rsidRPr="00580C0D" w:rsidRDefault="00142E5B" w:rsidP="00580C0D">
      <w:pPr>
        <w:pStyle w:val="avsnitt-tittel"/>
      </w:pPr>
      <w:r w:rsidRPr="00580C0D">
        <w:t>Medisinske kostnader knyttet til egenandelstaket</w:t>
      </w:r>
    </w:p>
    <w:p w14:paraId="622F3CA6" w14:textId="77777777" w:rsidR="00F7113A" w:rsidRPr="00580C0D" w:rsidRDefault="00142E5B" w:rsidP="00580C0D">
      <w:pPr>
        <w:pStyle w:val="avsnitt-undertittel"/>
      </w:pPr>
      <w:r w:rsidRPr="00580C0D">
        <w:t>Vedtak nr. 123, 1. desember 2022</w:t>
      </w:r>
    </w:p>
    <w:p w14:paraId="49368791" w14:textId="77777777" w:rsidR="00F7113A" w:rsidRPr="00580C0D" w:rsidRDefault="00142E5B" w:rsidP="00580C0D">
      <w:pPr>
        <w:pStyle w:val="blokksit"/>
        <w:rPr>
          <w:rStyle w:val="kursiv"/>
        </w:rPr>
      </w:pPr>
      <w:r w:rsidRPr="00580C0D">
        <w:rPr>
          <w:rStyle w:val="kursiv"/>
        </w:rPr>
        <w:t>«Stortinget ber regjeringen i løpet av 2023 utrede om og hvordan medisinske kostnader knyttet til egenandelstaket kan fordeles utover kalenderåret.»</w:t>
      </w:r>
    </w:p>
    <w:p w14:paraId="4BFBA8A8" w14:textId="77777777" w:rsidR="00F7113A" w:rsidRPr="00580C0D" w:rsidRDefault="00142E5B" w:rsidP="00580C0D">
      <w:r w:rsidRPr="00580C0D">
        <w:t xml:space="preserve">Vedtaket ble truffet ved behandling av Meld. St. 1 (2022–2023), jf. </w:t>
      </w:r>
      <w:proofErr w:type="spellStart"/>
      <w:r w:rsidRPr="00580C0D">
        <w:t>Innst</w:t>
      </w:r>
      <w:proofErr w:type="spellEnd"/>
      <w:r w:rsidRPr="00580C0D">
        <w:t>. 2 S (2022–2023).</w:t>
      </w:r>
    </w:p>
    <w:p w14:paraId="10820CDA" w14:textId="77777777" w:rsidR="00F7113A" w:rsidRPr="00580C0D" w:rsidRDefault="00142E5B" w:rsidP="00580C0D">
      <w:r w:rsidRPr="00580C0D">
        <w:t>Hensikten med egenandelstaket er å skjerme innbyggerne mot høye egenandelsutgifter i løpet av et kalenderår. Selv om egenandelstaket skjermer mot høye utgifter, kan det for de som bruker helsetjenester hyppig, bli høye utgifter på kort tid.</w:t>
      </w:r>
    </w:p>
    <w:p w14:paraId="6833B62C" w14:textId="77777777" w:rsidR="00F7113A" w:rsidRPr="00580C0D" w:rsidRDefault="00142E5B" w:rsidP="00580C0D">
      <w:r w:rsidRPr="00580C0D">
        <w:t>Helsedirektoratet har utredet flere modeller for å fordele egenandeler utover kalenderåret:</w:t>
      </w:r>
    </w:p>
    <w:p w14:paraId="22E0B1EB" w14:textId="77777777" w:rsidR="00F7113A" w:rsidRPr="00580C0D" w:rsidRDefault="00142E5B" w:rsidP="00580C0D">
      <w:pPr>
        <w:pStyle w:val="avsnitt-under-undertittel"/>
      </w:pPr>
      <w:r w:rsidRPr="00580C0D">
        <w:t>To halvårlige egenandelstak</w:t>
      </w:r>
    </w:p>
    <w:p w14:paraId="2116487C" w14:textId="77777777" w:rsidR="00F7113A" w:rsidRPr="00580C0D" w:rsidRDefault="00142E5B" w:rsidP="00580C0D">
      <w:r w:rsidRPr="00580C0D">
        <w:t>Modellen innebærer at kalenderåret deles i to og at innbyggerne for hver av periodene mottar frikort dersom egenandelstaket er passert for gjeldende periode.</w:t>
      </w:r>
    </w:p>
    <w:p w14:paraId="6EE774CA" w14:textId="77777777" w:rsidR="00F7113A" w:rsidRPr="00580C0D" w:rsidRDefault="00142E5B" w:rsidP="00580C0D">
      <w:pPr>
        <w:pStyle w:val="avsnitt-under-undertittel"/>
      </w:pPr>
      <w:proofErr w:type="spellStart"/>
      <w:r w:rsidRPr="00580C0D">
        <w:t>Trappetrinnsmodell</w:t>
      </w:r>
      <w:proofErr w:type="spellEnd"/>
    </w:p>
    <w:p w14:paraId="40786EFB" w14:textId="77777777" w:rsidR="00F7113A" w:rsidRPr="00580C0D" w:rsidRDefault="00142E5B" w:rsidP="00580C0D">
      <w:r w:rsidRPr="00580C0D">
        <w:t>Modellen innebærer at det betales graderte egenandeler ut fra hvilket trinn man er på trappen. Fra betaling av hele egenandelen til å begynne med (trinn en) betaler man lavere egenandel på de neste trinnene til for eksempel fritak for betaling av egenandeler når man har kommet på øverste trinn i trappen.</w:t>
      </w:r>
    </w:p>
    <w:p w14:paraId="674667ED" w14:textId="77777777" w:rsidR="00F7113A" w:rsidRPr="00580C0D" w:rsidRDefault="00142E5B" w:rsidP="00580C0D">
      <w:pPr>
        <w:pStyle w:val="avsnitt-under-undertittel"/>
      </w:pPr>
      <w:r w:rsidRPr="00580C0D">
        <w:t>Fast beløp per periode med/uten frikort</w:t>
      </w:r>
    </w:p>
    <w:p w14:paraId="130DD9A6" w14:textId="77777777" w:rsidR="00F7113A" w:rsidRPr="00580C0D" w:rsidRDefault="00142E5B" w:rsidP="00580C0D">
      <w:r w:rsidRPr="00580C0D">
        <w:t>Modellen innebærer flere perioder per kalenderår, men med kortere periode enn halvårlige egenandelstak. Denne modellen ligner på skjermingen for egenandeler på blåresept, med at en kun betaler et visst beløp per periode.</w:t>
      </w:r>
    </w:p>
    <w:p w14:paraId="15637406" w14:textId="77777777" w:rsidR="00F7113A" w:rsidRPr="00580C0D" w:rsidRDefault="00142E5B" w:rsidP="00580C0D">
      <w:pPr>
        <w:pStyle w:val="avsnitt-undertittel"/>
      </w:pPr>
      <w:r w:rsidRPr="00580C0D">
        <w:t>Samlet vurdering</w:t>
      </w:r>
    </w:p>
    <w:p w14:paraId="2366BEEE" w14:textId="77777777" w:rsidR="00F7113A" w:rsidRPr="00580C0D" w:rsidRDefault="00142E5B" w:rsidP="00580C0D">
      <w:r w:rsidRPr="00580C0D">
        <w:t>Alle modellene vil medføre et økt samlet egenandelstak. Dette betyr at storbrukerne av helsetjenester vil få økte utgifter til egenandeler. Alle modellene innebærer både lov- og forskriftsendring, krever teknisk tilpasning av frikortordningen og god innrapporteringshyppighet. Alle modellene må utredes videre før man beslutter å gjøre endringer i frikortordningen.</w:t>
      </w:r>
    </w:p>
    <w:p w14:paraId="37B78581" w14:textId="77777777" w:rsidR="00F7113A" w:rsidRPr="00580C0D" w:rsidRDefault="00142E5B" w:rsidP="00580C0D">
      <w:r w:rsidRPr="00580C0D">
        <w:t>Regjeringen har utredet hvordan medisinske kostnader knyttet til egenandelstaket kan fordeles utover kalenderåret. Det anbefales ikke å gå videre med de nevnte alternativene siden de forutsetter at egenandelstaket settes høyere for at endring skal være provenynøytral.</w:t>
      </w:r>
    </w:p>
    <w:p w14:paraId="168985ED" w14:textId="77777777" w:rsidR="00F7113A" w:rsidRPr="00580C0D" w:rsidRDefault="00142E5B" w:rsidP="00580C0D">
      <w:r w:rsidRPr="00580C0D">
        <w:t>Helsedirektoratet har også sett på en modell med å endre egenandel på blå resept fra per resept til per utlevering. Et slik tiltak vil også fordele egenandelene for brukere av legemidler og forbruksmateriell på blå resept over en lengre periode. Regjeringen vil se nærmere på dette alternativet.</w:t>
      </w:r>
    </w:p>
    <w:p w14:paraId="34E38354" w14:textId="77777777" w:rsidR="00F7113A" w:rsidRPr="00580C0D" w:rsidRDefault="00142E5B" w:rsidP="00580C0D">
      <w:r w:rsidRPr="00580C0D">
        <w:t>Anmodningsvedtaket anses som fulgt opp.</w:t>
      </w:r>
    </w:p>
    <w:p w14:paraId="17320A21" w14:textId="77777777" w:rsidR="00F7113A" w:rsidRPr="00580C0D" w:rsidRDefault="00142E5B" w:rsidP="00580C0D">
      <w:pPr>
        <w:pStyle w:val="avsnitt-tittel"/>
      </w:pPr>
      <w:r w:rsidRPr="00580C0D">
        <w:t>Akuttilbudet til personer utsatt for vold i nære relasjoner</w:t>
      </w:r>
    </w:p>
    <w:p w14:paraId="75BB5AF1" w14:textId="77777777" w:rsidR="00F7113A" w:rsidRPr="00580C0D" w:rsidRDefault="00142E5B" w:rsidP="00580C0D">
      <w:pPr>
        <w:pStyle w:val="avsnitt-undertittel"/>
      </w:pPr>
      <w:r w:rsidRPr="00580C0D">
        <w:t>Vedtak nr. 137, 6. desember 2022</w:t>
      </w:r>
    </w:p>
    <w:p w14:paraId="2F9CD047" w14:textId="77777777" w:rsidR="00F7113A" w:rsidRPr="00580C0D" w:rsidRDefault="00142E5B" w:rsidP="00580C0D">
      <w:pPr>
        <w:pStyle w:val="blokksit"/>
        <w:rPr>
          <w:rStyle w:val="kursiv"/>
        </w:rPr>
      </w:pPr>
      <w:r w:rsidRPr="00580C0D">
        <w:rPr>
          <w:rStyle w:val="kursiv"/>
        </w:rPr>
        <w:t>«Stortinget ber regjeringen styrke akuttilbudet til personer som er utsatt for vold i nære relasjoner.»</w:t>
      </w:r>
    </w:p>
    <w:p w14:paraId="2DEF1008" w14:textId="77777777" w:rsidR="00F7113A" w:rsidRPr="00580C0D" w:rsidRDefault="00142E5B" w:rsidP="00580C0D">
      <w:r w:rsidRPr="00580C0D">
        <w:t xml:space="preserve">Vedtaket ble truffet ved behandling av Dokument 8:218 S (2021–2022), jf. </w:t>
      </w:r>
      <w:proofErr w:type="spellStart"/>
      <w:r w:rsidRPr="00580C0D">
        <w:t>Innst</w:t>
      </w:r>
      <w:proofErr w:type="spellEnd"/>
      <w:r w:rsidRPr="00580C0D">
        <w:t>. 64 S (2022–2023).</w:t>
      </w:r>
    </w:p>
    <w:p w14:paraId="4746CD63" w14:textId="77777777" w:rsidR="00F7113A" w:rsidRPr="00580C0D" w:rsidRDefault="00142E5B" w:rsidP="00580C0D">
      <w:r w:rsidRPr="00580C0D">
        <w:t>Det er behov for å kartlegge akuttilbudet til personer utsatt for vold i nære relasjoner og deretter vurdere tiltak. Regjeringen vil i 2023 legge fram en opptrappingsplan mot vold og overgrep mot barn og vold i nære relasjoner. Regjeringen vil komme tilbake til Stortinget på egnet måte.</w:t>
      </w:r>
    </w:p>
    <w:p w14:paraId="02421793" w14:textId="77777777" w:rsidR="00F7113A" w:rsidRPr="00580C0D" w:rsidRDefault="00142E5B" w:rsidP="00580C0D">
      <w:pPr>
        <w:pStyle w:val="avsnitt-tittel"/>
      </w:pPr>
      <w:r w:rsidRPr="00580C0D">
        <w:t>Ferdigstilling av Felles kommunal journal</w:t>
      </w:r>
    </w:p>
    <w:p w14:paraId="3C8F1641" w14:textId="77777777" w:rsidR="00F7113A" w:rsidRPr="00580C0D" w:rsidRDefault="00142E5B" w:rsidP="00580C0D">
      <w:pPr>
        <w:pStyle w:val="avsnitt-undertittel"/>
      </w:pPr>
      <w:r w:rsidRPr="00580C0D">
        <w:t>Vedtak nr. 263, 14. desember 2022</w:t>
      </w:r>
    </w:p>
    <w:p w14:paraId="585589C4" w14:textId="77777777" w:rsidR="00F7113A" w:rsidRPr="00580C0D" w:rsidRDefault="00142E5B" w:rsidP="00580C0D">
      <w:pPr>
        <w:pStyle w:val="blokksit"/>
        <w:rPr>
          <w:rStyle w:val="kursiv"/>
        </w:rPr>
      </w:pPr>
      <w:r w:rsidRPr="00580C0D">
        <w:rPr>
          <w:rStyle w:val="kursiv"/>
        </w:rPr>
        <w:t>«Stortinget ber regjeringen sørge for at opp mot 20 mill. kroner innvilget for 2022 overføres til 2023 med formål om å sluttføre pågående aktiviteter knyttet til ferdigstilling, kvalitetssikring og forankring av styringsdokumentet for Felles kommunal journal (FKJ) i kommunesektoren.»</w:t>
      </w:r>
    </w:p>
    <w:p w14:paraId="6492FFFD" w14:textId="137D4CC6" w:rsidR="00F7113A" w:rsidRPr="00580C0D" w:rsidRDefault="00142E5B" w:rsidP="00580C0D">
      <w:r w:rsidRPr="00580C0D">
        <w:t xml:space="preserve">Vedtaket ble truffet ved behandling av </w:t>
      </w:r>
      <w:proofErr w:type="spellStart"/>
      <w:r w:rsidRPr="00580C0D">
        <w:t>Prop</w:t>
      </w:r>
      <w:proofErr w:type="spellEnd"/>
      <w:r w:rsidRPr="00580C0D">
        <w:t xml:space="preserve">. 1 S (2022–2023), jf. </w:t>
      </w:r>
      <w:proofErr w:type="spellStart"/>
      <w:r w:rsidRPr="00580C0D">
        <w:t>Innst</w:t>
      </w:r>
      <w:proofErr w:type="spellEnd"/>
      <w:r w:rsidRPr="00580C0D">
        <w:t>. 11 S (2022–2023). Anmodningsvedtaket anses som fulgt opp gjennom oppdrag til Direktoratet for e-helse. Direktoratet for e</w:t>
      </w:r>
      <w:r w:rsidR="00580C0D">
        <w:t>-</w:t>
      </w:r>
      <w:r w:rsidRPr="00580C0D">
        <w:t xml:space="preserve">helse er innvilget opptil 20 mill. kroner til å sluttføre pågående aktiviteter knyttet til ferdigstilling, kvalitetssikring og forankring av styringsdokumentet for Felles kommunal journal innen første halvår 2023. Felles kommunal journal Interim AS har ferdigstilt styringsdokumentet for gjennomføringsfasen med endelig vedtak i selskapsstyret i mai 2023. Det er gjennomført informasjons- og forankringsaktiviteter gjennom hele prosjektperioden med relevante aktører. Internrevisor i KS har vurdert styringsdokumentet og konkluderte overordnet med at alle viktige påpekninger og anbefalinger fra ekstern </w:t>
      </w:r>
      <w:proofErr w:type="spellStart"/>
      <w:r w:rsidRPr="00580C0D">
        <w:t>kvalitetssikrer</w:t>
      </w:r>
      <w:proofErr w:type="spellEnd"/>
      <w:r w:rsidRPr="00580C0D">
        <w:t xml:space="preserve"> var tatt til følge i den grad det ligger innenfor prosjektets handlingsrom. Anmodningsvedtaket anses som fulgt opp.</w:t>
      </w:r>
    </w:p>
    <w:p w14:paraId="76737A4D" w14:textId="77777777" w:rsidR="00F7113A" w:rsidRPr="00580C0D" w:rsidRDefault="00142E5B" w:rsidP="00580C0D">
      <w:pPr>
        <w:pStyle w:val="avsnitt-tittel"/>
      </w:pPr>
      <w:r w:rsidRPr="00580C0D">
        <w:t>Lovendring om å innhente opplysninger uten samtykke i pasientskadesaker</w:t>
      </w:r>
    </w:p>
    <w:p w14:paraId="4727E3AB" w14:textId="77777777" w:rsidR="00F7113A" w:rsidRPr="00580C0D" w:rsidRDefault="00142E5B" w:rsidP="00580C0D">
      <w:pPr>
        <w:pStyle w:val="avsnitt-undertittel"/>
      </w:pPr>
      <w:r w:rsidRPr="00580C0D">
        <w:t>Vedtak nr. 486, 16. februar 2023</w:t>
      </w:r>
    </w:p>
    <w:p w14:paraId="6055EF29" w14:textId="77777777" w:rsidR="00F7113A" w:rsidRPr="00580C0D" w:rsidRDefault="00142E5B" w:rsidP="00580C0D">
      <w:pPr>
        <w:pStyle w:val="blokksit"/>
        <w:rPr>
          <w:rStyle w:val="kursiv"/>
        </w:rPr>
      </w:pPr>
      <w:r w:rsidRPr="00580C0D">
        <w:rPr>
          <w:rStyle w:val="kursiv"/>
        </w:rPr>
        <w:t xml:space="preserve">«Stortinget ber regjeringa </w:t>
      </w:r>
      <w:proofErr w:type="spellStart"/>
      <w:r w:rsidRPr="00580C0D">
        <w:rPr>
          <w:rStyle w:val="kursiv"/>
        </w:rPr>
        <w:t>fylgje</w:t>
      </w:r>
      <w:proofErr w:type="spellEnd"/>
      <w:r w:rsidRPr="00580C0D">
        <w:rPr>
          <w:rStyle w:val="kursiv"/>
        </w:rPr>
        <w:t xml:space="preserve"> opp lovendringa om å innhente </w:t>
      </w:r>
      <w:proofErr w:type="spellStart"/>
      <w:r w:rsidRPr="00580C0D">
        <w:rPr>
          <w:rStyle w:val="kursiv"/>
        </w:rPr>
        <w:t>opplysningar</w:t>
      </w:r>
      <w:proofErr w:type="spellEnd"/>
      <w:r w:rsidRPr="00580C0D">
        <w:rPr>
          <w:rStyle w:val="kursiv"/>
        </w:rPr>
        <w:t xml:space="preserve"> </w:t>
      </w:r>
      <w:proofErr w:type="spellStart"/>
      <w:r w:rsidRPr="00580C0D">
        <w:rPr>
          <w:rStyle w:val="kursiv"/>
        </w:rPr>
        <w:t>utan</w:t>
      </w:r>
      <w:proofErr w:type="spellEnd"/>
      <w:r w:rsidRPr="00580C0D">
        <w:rPr>
          <w:rStyle w:val="kursiv"/>
        </w:rPr>
        <w:t xml:space="preserve"> samtykke i pasientskadesaker for å kvalitetssikre at ho </w:t>
      </w:r>
      <w:proofErr w:type="spellStart"/>
      <w:r w:rsidRPr="00580C0D">
        <w:rPr>
          <w:rStyle w:val="kursiv"/>
        </w:rPr>
        <w:t>bidreg</w:t>
      </w:r>
      <w:proofErr w:type="spellEnd"/>
      <w:r w:rsidRPr="00580C0D">
        <w:rPr>
          <w:rStyle w:val="kursiv"/>
        </w:rPr>
        <w:t xml:space="preserve"> til ei </w:t>
      </w:r>
      <w:proofErr w:type="spellStart"/>
      <w:r w:rsidRPr="00580C0D">
        <w:rPr>
          <w:rStyle w:val="kursiv"/>
        </w:rPr>
        <w:t>enklare</w:t>
      </w:r>
      <w:proofErr w:type="spellEnd"/>
      <w:r w:rsidRPr="00580C0D">
        <w:rPr>
          <w:rStyle w:val="kursiv"/>
        </w:rPr>
        <w:t xml:space="preserve"> og </w:t>
      </w:r>
      <w:proofErr w:type="spellStart"/>
      <w:r w:rsidRPr="00580C0D">
        <w:rPr>
          <w:rStyle w:val="kursiv"/>
        </w:rPr>
        <w:t>meir</w:t>
      </w:r>
      <w:proofErr w:type="spellEnd"/>
      <w:r w:rsidRPr="00580C0D">
        <w:rPr>
          <w:rStyle w:val="kursiv"/>
        </w:rPr>
        <w:t xml:space="preserve"> effektiv sakshandsaming. Stortinget ber regjeringa </w:t>
      </w:r>
      <w:proofErr w:type="spellStart"/>
      <w:r w:rsidRPr="00580C0D">
        <w:rPr>
          <w:rStyle w:val="kursiv"/>
        </w:rPr>
        <w:t>kome</w:t>
      </w:r>
      <w:proofErr w:type="spellEnd"/>
      <w:r w:rsidRPr="00580C0D">
        <w:rPr>
          <w:rStyle w:val="kursiv"/>
        </w:rPr>
        <w:t xml:space="preserve"> attende med saka på eigna måte.»</w:t>
      </w:r>
    </w:p>
    <w:p w14:paraId="5BC4E224"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8 L (2022–2023), jf. </w:t>
      </w:r>
      <w:proofErr w:type="spellStart"/>
      <w:r w:rsidRPr="00580C0D">
        <w:t>Innst</w:t>
      </w:r>
      <w:proofErr w:type="spellEnd"/>
      <w:r w:rsidRPr="00580C0D">
        <w:t>. 173 L (2022–2023).</w:t>
      </w:r>
    </w:p>
    <w:p w14:paraId="2B246EA6" w14:textId="77777777" w:rsidR="00F7113A" w:rsidRPr="00580C0D" w:rsidRDefault="00142E5B" w:rsidP="00580C0D">
      <w:r w:rsidRPr="00580C0D">
        <w:t>Norsk pasientskadeerstatning og Nasjonalt klageorgan for helsetjenesten har i styringsdialogen fått i oppdrag å belyse effekten i saksbehandlingen som følge av lovendringen. Regjeringen vil komme tilbake til Stortinget på egnet måte.</w:t>
      </w:r>
    </w:p>
    <w:p w14:paraId="2FB59B8A" w14:textId="77777777" w:rsidR="00F7113A" w:rsidRPr="00580C0D" w:rsidRDefault="00142E5B" w:rsidP="00580C0D">
      <w:pPr>
        <w:pStyle w:val="avsnitt-tittel"/>
      </w:pPr>
      <w:r w:rsidRPr="00580C0D">
        <w:t>Evaluering av Norsk Pasientskadeerstatning</w:t>
      </w:r>
    </w:p>
    <w:p w14:paraId="651CD0AD" w14:textId="77777777" w:rsidR="00F7113A" w:rsidRPr="00580C0D" w:rsidRDefault="00142E5B" w:rsidP="00580C0D">
      <w:pPr>
        <w:pStyle w:val="avsnitt-undertittel"/>
      </w:pPr>
      <w:r w:rsidRPr="00580C0D">
        <w:t>Vedtak nr. 610, 20. april 2023</w:t>
      </w:r>
    </w:p>
    <w:p w14:paraId="1D7E6AFF" w14:textId="77777777" w:rsidR="00F7113A" w:rsidRPr="00580C0D" w:rsidRDefault="00142E5B" w:rsidP="00580C0D">
      <w:pPr>
        <w:pStyle w:val="blokksit"/>
        <w:rPr>
          <w:rStyle w:val="kursiv"/>
        </w:rPr>
      </w:pPr>
      <w:r w:rsidRPr="00580C0D">
        <w:rPr>
          <w:rStyle w:val="kursiv"/>
        </w:rPr>
        <w:t>«Stortinget ber regjeringen gjennomføre en evaluering av Norsk Pasientskadeerstatning hvor rutiner for saksbehandling og saksbehandlingstid står sentralt. Stortinget ber også om at evalueringen inneholder anbefalinger. Stortinget ber regjeringen komme tilbake med saken på egnet måte.»</w:t>
      </w:r>
    </w:p>
    <w:p w14:paraId="15DB6C91" w14:textId="77777777" w:rsidR="00F7113A" w:rsidRPr="00580C0D" w:rsidRDefault="00142E5B" w:rsidP="00580C0D">
      <w:r w:rsidRPr="00580C0D">
        <w:t xml:space="preserve">Vedtaket ble truffet ved behandling av Dokument 8:80 S (2022–2023), jf. </w:t>
      </w:r>
      <w:proofErr w:type="spellStart"/>
      <w:r w:rsidRPr="00580C0D">
        <w:t>Innst</w:t>
      </w:r>
      <w:proofErr w:type="spellEnd"/>
      <w:r w:rsidRPr="00580C0D">
        <w:t>. 245 S (2022–2023).</w:t>
      </w:r>
    </w:p>
    <w:p w14:paraId="1DE0A56F" w14:textId="77777777" w:rsidR="00F7113A" w:rsidRPr="00580C0D" w:rsidRDefault="00142E5B" w:rsidP="00580C0D">
      <w:r w:rsidRPr="00580C0D">
        <w:t>Regjeringen vil følge opp vedtaket gjennom oppdrag til Norsk pasientskadeerstatning og Nasjonalt klageorgan for helsetjenesten om gjennomføring av en evaluering. Regjeringen vil komme tilbake til Stortinget på egnet måte.</w:t>
      </w:r>
    </w:p>
    <w:p w14:paraId="4E3753FD" w14:textId="77777777" w:rsidR="00F7113A" w:rsidRPr="00580C0D" w:rsidRDefault="00142E5B" w:rsidP="00580C0D">
      <w:pPr>
        <w:pStyle w:val="avsnitt-tittel"/>
      </w:pPr>
      <w:r w:rsidRPr="00580C0D">
        <w:t>Stortingsmelding BPA</w:t>
      </w:r>
    </w:p>
    <w:p w14:paraId="3B9DE162" w14:textId="77777777" w:rsidR="00F7113A" w:rsidRPr="00580C0D" w:rsidRDefault="00142E5B" w:rsidP="00580C0D">
      <w:pPr>
        <w:pStyle w:val="avsnitt-undertittel"/>
      </w:pPr>
      <w:r w:rsidRPr="00580C0D">
        <w:t>Vedtak nr. 742, 5. juni 2023</w:t>
      </w:r>
    </w:p>
    <w:p w14:paraId="32DC4997" w14:textId="77777777" w:rsidR="00F7113A" w:rsidRPr="00580C0D" w:rsidRDefault="00142E5B" w:rsidP="00580C0D">
      <w:pPr>
        <w:pStyle w:val="blokksit"/>
        <w:rPr>
          <w:rStyle w:val="kursiv"/>
        </w:rPr>
      </w:pPr>
      <w:r w:rsidRPr="00580C0D">
        <w:rPr>
          <w:rStyle w:val="kursiv"/>
        </w:rPr>
        <w:t>«Stortinget ber regjeringen legge frem en stortingsmelding om ordningen med brukerstyrt personlig assistanse (BPA) basert på NOU 2021: 11 Selvstyrt er velstyrt. Stortinget ber regjeringen komme tilbake på egnet måte.»</w:t>
      </w:r>
    </w:p>
    <w:p w14:paraId="47FFE94A" w14:textId="77777777" w:rsidR="00F7113A" w:rsidRPr="00580C0D" w:rsidRDefault="00142E5B" w:rsidP="00580C0D">
      <w:r w:rsidRPr="00580C0D">
        <w:t xml:space="preserve">Vedtaket ble truffet ved behandling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jf. </w:t>
      </w:r>
      <w:proofErr w:type="spellStart"/>
      <w:r w:rsidRPr="00580C0D">
        <w:t>Innst</w:t>
      </w:r>
      <w:proofErr w:type="spellEnd"/>
      <w:r w:rsidRPr="00580C0D">
        <w:t>. 398 S (2022–2023).</w:t>
      </w:r>
    </w:p>
    <w:p w14:paraId="3FA5A801" w14:textId="77777777" w:rsidR="00F7113A" w:rsidRPr="00580C0D" w:rsidRDefault="00142E5B" w:rsidP="00580C0D">
      <w:r w:rsidRPr="00580C0D">
        <w:t>Regjeringen vil komme tilbake til Stortinget på egnet måte.</w:t>
      </w:r>
    </w:p>
    <w:p w14:paraId="512B0C53" w14:textId="77777777" w:rsidR="00F7113A" w:rsidRPr="00580C0D" w:rsidRDefault="00142E5B" w:rsidP="00580C0D">
      <w:pPr>
        <w:pStyle w:val="avsnitt-tittel"/>
      </w:pPr>
      <w:r w:rsidRPr="00580C0D">
        <w:t>Modellutviklingsprogram for klinisk ernæringsfysiolog</w:t>
      </w:r>
    </w:p>
    <w:p w14:paraId="7B849D72" w14:textId="77777777" w:rsidR="00F7113A" w:rsidRPr="00580C0D" w:rsidRDefault="00142E5B" w:rsidP="00580C0D">
      <w:pPr>
        <w:pStyle w:val="avsnitt-undertittel"/>
      </w:pPr>
      <w:r w:rsidRPr="00580C0D">
        <w:t>Vedtak nr. 743, 5. juni 2023</w:t>
      </w:r>
    </w:p>
    <w:p w14:paraId="299921B1" w14:textId="77777777" w:rsidR="00F7113A" w:rsidRPr="00580C0D" w:rsidRDefault="00142E5B" w:rsidP="00580C0D">
      <w:pPr>
        <w:pStyle w:val="blokksit"/>
        <w:rPr>
          <w:rStyle w:val="kursiv"/>
        </w:rPr>
      </w:pPr>
      <w:r w:rsidRPr="00580C0D">
        <w:rPr>
          <w:rStyle w:val="kursiv"/>
        </w:rPr>
        <w:t>«Stortinget ber regjeringen om å videreføre og utvikle modellutviklingsprogrammet for klinisk ernæringsfysiolog som ressurs for omsorgstjenesten.»</w:t>
      </w:r>
    </w:p>
    <w:p w14:paraId="72AE3FC4" w14:textId="77777777" w:rsidR="00F7113A" w:rsidRPr="00580C0D" w:rsidRDefault="00142E5B" w:rsidP="00580C0D">
      <w:r w:rsidRPr="00580C0D">
        <w:t xml:space="preserve">Vedtaket ble truffet ved behandling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jf. </w:t>
      </w:r>
      <w:proofErr w:type="spellStart"/>
      <w:r w:rsidRPr="00580C0D">
        <w:t>Innst</w:t>
      </w:r>
      <w:proofErr w:type="spellEnd"/>
      <w:r w:rsidRPr="00580C0D">
        <w:t>. 398 S (2022–2023).</w:t>
      </w:r>
    </w:p>
    <w:p w14:paraId="21D13273" w14:textId="77777777" w:rsidR="00F7113A" w:rsidRPr="00580C0D" w:rsidRDefault="00142E5B" w:rsidP="00580C0D">
      <w:r w:rsidRPr="00580C0D">
        <w:t xml:space="preserve">Anmodningsvedtaket anses som fulgt opp gjennom omtale i </w:t>
      </w:r>
      <w:proofErr w:type="spellStart"/>
      <w:r w:rsidRPr="00580C0D">
        <w:t>Prop</w:t>
      </w:r>
      <w:proofErr w:type="spellEnd"/>
      <w:r w:rsidRPr="00580C0D">
        <w:t>. 1 S (2023–2024) hvor midler til modellutviklingsprogrammet videreføres. Helsedirektoratet skal samle og spre løsningene fra de kommunale prosjektene og tilskuddsordningen skal evalueres i 2024.</w:t>
      </w:r>
    </w:p>
    <w:p w14:paraId="71891D26" w14:textId="77777777" w:rsidR="00F7113A" w:rsidRPr="00580C0D" w:rsidRDefault="00142E5B" w:rsidP="00580C0D">
      <w:pPr>
        <w:pStyle w:val="avsnitt-tittel"/>
      </w:pPr>
      <w:r w:rsidRPr="00580C0D">
        <w:t>Forbud mot markedsføring av usunn mat og drikke</w:t>
      </w:r>
    </w:p>
    <w:p w14:paraId="34301D90" w14:textId="77777777" w:rsidR="00F7113A" w:rsidRPr="00580C0D" w:rsidRDefault="00142E5B" w:rsidP="00580C0D">
      <w:pPr>
        <w:pStyle w:val="avsnitt-undertittel"/>
      </w:pPr>
      <w:r w:rsidRPr="00580C0D">
        <w:t>Vedtak nr. 744, 5. juni 2023</w:t>
      </w:r>
    </w:p>
    <w:p w14:paraId="34EAE060" w14:textId="77777777" w:rsidR="00F7113A" w:rsidRPr="00580C0D" w:rsidRDefault="00142E5B" w:rsidP="00580C0D">
      <w:pPr>
        <w:pStyle w:val="blokksit"/>
        <w:rPr>
          <w:rStyle w:val="kursiv"/>
        </w:rPr>
      </w:pPr>
      <w:r w:rsidRPr="00580C0D">
        <w:rPr>
          <w:rStyle w:val="kursiv"/>
        </w:rPr>
        <w:t>«Stortinget ber regjeringen i inneværende år forskriftsfeste et forbud mot markedsføring av usunn mat og drikke rettet mot barn og unge under 18 år.»</w:t>
      </w:r>
    </w:p>
    <w:p w14:paraId="31AE8C28" w14:textId="77777777" w:rsidR="00F7113A" w:rsidRPr="00580C0D" w:rsidRDefault="00142E5B" w:rsidP="00580C0D">
      <w:r w:rsidRPr="00580C0D">
        <w:t xml:space="preserve">Vedtaket ble truffet ved Stortingets behandling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jf. </w:t>
      </w:r>
      <w:proofErr w:type="spellStart"/>
      <w:r w:rsidRPr="00580C0D">
        <w:t>Innst</w:t>
      </w:r>
      <w:proofErr w:type="spellEnd"/>
      <w:r w:rsidRPr="00580C0D">
        <w:t>. 398 S (2022–2023). Regjeringen vil komme tilbake til Stortinget på egnet måte.</w:t>
      </w:r>
    </w:p>
    <w:p w14:paraId="1043A6BD" w14:textId="77777777" w:rsidR="00F7113A" w:rsidRPr="00580C0D" w:rsidRDefault="00142E5B" w:rsidP="00580C0D">
      <w:pPr>
        <w:pStyle w:val="avsnitt-tittel"/>
      </w:pPr>
      <w:r w:rsidRPr="00580C0D">
        <w:t>Aldersgrense for kjøp og salg av energidrikker</w:t>
      </w:r>
    </w:p>
    <w:p w14:paraId="0E6049B9" w14:textId="77777777" w:rsidR="00F7113A" w:rsidRPr="00580C0D" w:rsidRDefault="00142E5B" w:rsidP="00580C0D">
      <w:pPr>
        <w:pStyle w:val="avsnitt-undertittel"/>
      </w:pPr>
      <w:r w:rsidRPr="00580C0D">
        <w:t>Vedtak nr. 745, 5. juni 2023</w:t>
      </w:r>
    </w:p>
    <w:p w14:paraId="1EF9065E" w14:textId="77777777" w:rsidR="00F7113A" w:rsidRPr="00580C0D" w:rsidRDefault="00142E5B" w:rsidP="00580C0D">
      <w:pPr>
        <w:pStyle w:val="blokksit"/>
        <w:rPr>
          <w:rStyle w:val="kursiv"/>
        </w:rPr>
      </w:pPr>
      <w:r w:rsidRPr="00580C0D">
        <w:rPr>
          <w:rStyle w:val="kursiv"/>
        </w:rPr>
        <w:t>«Stortinget ber regjeringen fremme forslag om å innføre 16-års aldersgrense for kjøp og salg av energidrikker.»</w:t>
      </w:r>
    </w:p>
    <w:p w14:paraId="5275F48D" w14:textId="77777777" w:rsidR="00F7113A" w:rsidRPr="00580C0D" w:rsidRDefault="00142E5B" w:rsidP="00580C0D">
      <w:r w:rsidRPr="00580C0D">
        <w:t xml:space="preserve">Vedtaket ble truffet ved Stortingets behandling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jf. </w:t>
      </w:r>
      <w:proofErr w:type="spellStart"/>
      <w:r w:rsidRPr="00580C0D">
        <w:t>Innst</w:t>
      </w:r>
      <w:proofErr w:type="spellEnd"/>
      <w:r w:rsidRPr="00580C0D">
        <w:t>. 398 S (2022–2023).</w:t>
      </w:r>
    </w:p>
    <w:p w14:paraId="1233AC1A" w14:textId="77777777" w:rsidR="00F7113A" w:rsidRPr="00580C0D" w:rsidRDefault="00142E5B" w:rsidP="00580C0D">
      <w:r w:rsidRPr="00580C0D">
        <w:t>Mattilsynet er bedt om å utrede tiltak, bl.a. aldersgrense, for å begrense inntaket av energidrikker hos barn og unge opp til 18 år. Utredningen skal leveres innen 15. desember 2023. Regjeringen vil komme tilbake til Stortinget på egnet måte.</w:t>
      </w:r>
    </w:p>
    <w:p w14:paraId="635E23FB" w14:textId="77777777" w:rsidR="00F7113A" w:rsidRPr="00580C0D" w:rsidRDefault="00142E5B" w:rsidP="00580C0D">
      <w:pPr>
        <w:pStyle w:val="avsnitt-tittel"/>
      </w:pPr>
      <w:r w:rsidRPr="00580C0D">
        <w:t>Grønn resept</w:t>
      </w:r>
    </w:p>
    <w:p w14:paraId="2D97396A" w14:textId="77777777" w:rsidR="00F7113A" w:rsidRPr="00580C0D" w:rsidRDefault="00142E5B" w:rsidP="00580C0D">
      <w:pPr>
        <w:pStyle w:val="avsnitt-undertittel"/>
      </w:pPr>
      <w:r w:rsidRPr="00580C0D">
        <w:t>Vedtak nr. 746, 5. juni 2023</w:t>
      </w:r>
    </w:p>
    <w:p w14:paraId="1D825A32" w14:textId="77777777" w:rsidR="00F7113A" w:rsidRPr="00580C0D" w:rsidRDefault="00142E5B" w:rsidP="00580C0D">
      <w:pPr>
        <w:pStyle w:val="blokksit"/>
        <w:rPr>
          <w:rStyle w:val="kursiv"/>
        </w:rPr>
      </w:pPr>
      <w:r w:rsidRPr="00580C0D">
        <w:rPr>
          <w:rStyle w:val="kursiv"/>
        </w:rPr>
        <w:t>«Stortinget ber regjeringen legge til rette for økt bruk av grønn resept og ber regjeringen utrede nye oppfølgingsmodeller til grønn resept, for eksempel med mer veiledet aktivitet og kosthold. Stortinget ber regjeringen komme tilbake på egnet måte.»</w:t>
      </w:r>
    </w:p>
    <w:p w14:paraId="2CCAFCF8" w14:textId="77777777" w:rsidR="00F7113A" w:rsidRPr="00580C0D" w:rsidRDefault="00142E5B" w:rsidP="00580C0D">
      <w:r w:rsidRPr="00580C0D">
        <w:t xml:space="preserve">Vedtaket ble truffet ved behandling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jf. </w:t>
      </w:r>
      <w:proofErr w:type="spellStart"/>
      <w:r w:rsidRPr="00580C0D">
        <w:t>Innst</w:t>
      </w:r>
      <w:proofErr w:type="spellEnd"/>
      <w:r w:rsidRPr="00580C0D">
        <w:t>. 398 S (2022–2023).</w:t>
      </w:r>
    </w:p>
    <w:p w14:paraId="0257708B" w14:textId="77777777" w:rsidR="00F7113A" w:rsidRPr="00580C0D" w:rsidRDefault="00142E5B" w:rsidP="00580C0D">
      <w:r w:rsidRPr="00580C0D">
        <w:t xml:space="preserve">Ordningen med «grønn resept» innebærer at pasienten henvises til et kommunalt tilbud der de kan få hjelp til livsstilsendring. I de fleste kommuner vil dette være ved en frisklivssentral. Basistilbudene i frisklivssentralene er bla. oppfølging av kosthold og fysisk aktivitet. De aller fleste frisklivssentraler har samarbeid med fastleger og det er fastlegene som er de som henviser flest til frisklivssentralene. For å styrke innsatsen til fastlegene for helsefremmende og forebyggende arbeid, ble det i 2022 innført en ny takst for </w:t>
      </w:r>
      <w:proofErr w:type="spellStart"/>
      <w:r w:rsidRPr="00580C0D">
        <w:t>livsstilsintervensjon</w:t>
      </w:r>
      <w:proofErr w:type="spellEnd"/>
      <w:r w:rsidRPr="00580C0D">
        <w:t>, ved å slå sammen takst 101 (grønn resept) og takst 102 (røyketakst). Å sette personer i stand til å ta vare på og mestre egen helse er og vil være viktig fremover. Helse- og omsorgsdepartementet vil følge opp vedtaket gjennom Nasjonal helse- og samhandlingsplan.</w:t>
      </w:r>
    </w:p>
    <w:p w14:paraId="6F852BAE" w14:textId="77777777" w:rsidR="00F7113A" w:rsidRPr="00580C0D" w:rsidRDefault="00142E5B" w:rsidP="00580C0D">
      <w:r w:rsidRPr="00580C0D">
        <w:t>Regjeringen vil komme tilbake til Stortinget på egnet måte.</w:t>
      </w:r>
    </w:p>
    <w:p w14:paraId="62E9B257" w14:textId="77777777" w:rsidR="00F7113A" w:rsidRPr="00580C0D" w:rsidRDefault="00142E5B" w:rsidP="00580C0D">
      <w:pPr>
        <w:pStyle w:val="avsnitt-tittel"/>
      </w:pPr>
      <w:r w:rsidRPr="00580C0D">
        <w:t>Selvmordsforebygging</w:t>
      </w:r>
    </w:p>
    <w:p w14:paraId="3A6B9563" w14:textId="77777777" w:rsidR="00F7113A" w:rsidRPr="00580C0D" w:rsidRDefault="00142E5B" w:rsidP="00580C0D">
      <w:pPr>
        <w:pStyle w:val="avsnitt-undertittel"/>
      </w:pPr>
      <w:r w:rsidRPr="00580C0D">
        <w:t>Vedtak nr. 748, 5. juni 2023</w:t>
      </w:r>
    </w:p>
    <w:p w14:paraId="4C4ED260" w14:textId="77777777" w:rsidR="00F7113A" w:rsidRPr="00580C0D" w:rsidRDefault="00142E5B" w:rsidP="00580C0D">
      <w:pPr>
        <w:pStyle w:val="blokksit"/>
        <w:rPr>
          <w:rStyle w:val="kursiv"/>
        </w:rPr>
      </w:pPr>
      <w:r w:rsidRPr="00580C0D">
        <w:rPr>
          <w:rStyle w:val="kursiv"/>
        </w:rPr>
        <w:t>«Stortinget ber regjeringen sørge for at selvmordsforebyggende tiltak styrkes.»</w:t>
      </w:r>
    </w:p>
    <w:p w14:paraId="06E99DCC" w14:textId="77777777" w:rsidR="00F7113A" w:rsidRPr="00580C0D" w:rsidRDefault="00142E5B" w:rsidP="00580C0D">
      <w:r w:rsidRPr="00580C0D">
        <w:t xml:space="preserve">Vedtaket ble truffet ved behandling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jf. </w:t>
      </w:r>
      <w:proofErr w:type="spellStart"/>
      <w:r w:rsidRPr="00580C0D">
        <w:t>Innst</w:t>
      </w:r>
      <w:proofErr w:type="spellEnd"/>
      <w:r w:rsidRPr="00580C0D">
        <w:t>. 398 S (2022–2023).</w:t>
      </w:r>
    </w:p>
    <w:p w14:paraId="4B574452" w14:textId="77777777" w:rsidR="00F7113A" w:rsidRPr="00580C0D" w:rsidRDefault="00142E5B" w:rsidP="00580C0D">
      <w:r w:rsidRPr="00580C0D">
        <w:t xml:space="preserve">Regjeringen vil komme tilbake til Stortinget på egnet måte om oppfølging av vedtaket ifb. arbeidet med Handlingsplan mot selvmord – Ingen å miste (2020–2025) og Meld. St. 23 (2022–2023) </w:t>
      </w:r>
      <w:r w:rsidRPr="00580C0D">
        <w:rPr>
          <w:rStyle w:val="kursiv"/>
        </w:rPr>
        <w:t>Opptrappingsplan for psykisk helse (2023–2033)</w:t>
      </w:r>
      <w:r w:rsidRPr="00580C0D">
        <w:t>.</w:t>
      </w:r>
    </w:p>
    <w:p w14:paraId="6DE4D3E1" w14:textId="77777777" w:rsidR="00F7113A" w:rsidRPr="00580C0D" w:rsidRDefault="00142E5B" w:rsidP="00580C0D">
      <w:pPr>
        <w:pStyle w:val="avsnitt-tittel"/>
      </w:pPr>
      <w:r w:rsidRPr="00580C0D">
        <w:t>Apotekenes rolle i vaksinasjonsarbeidet</w:t>
      </w:r>
    </w:p>
    <w:p w14:paraId="7EA1539F" w14:textId="77777777" w:rsidR="00F7113A" w:rsidRPr="00580C0D" w:rsidRDefault="00142E5B" w:rsidP="00580C0D">
      <w:pPr>
        <w:pStyle w:val="avsnitt-undertittel"/>
      </w:pPr>
      <w:r w:rsidRPr="00580C0D">
        <w:t>Vedtak nr. 756, 5. juni 2023</w:t>
      </w:r>
    </w:p>
    <w:p w14:paraId="0E1208C1" w14:textId="77777777" w:rsidR="00F7113A" w:rsidRPr="00580C0D" w:rsidRDefault="00142E5B" w:rsidP="00580C0D">
      <w:pPr>
        <w:pStyle w:val="blokksit"/>
        <w:rPr>
          <w:rStyle w:val="kursiv"/>
        </w:rPr>
      </w:pPr>
      <w:r w:rsidRPr="00580C0D">
        <w:rPr>
          <w:rStyle w:val="kursiv"/>
        </w:rPr>
        <w:t>«Stortinget ber regjeringen se på hvordan apotekenes rolle i vaksinasjonsarbeidet kan styrkes, blant annet for å øke vaksinasjonsgraden i befolkningen og sikre riktig legemiddelbruk. Stortinget ber regjeringen komme tilbake på egnet måte.»</w:t>
      </w:r>
    </w:p>
    <w:p w14:paraId="64E68FAE" w14:textId="77777777" w:rsidR="00F7113A" w:rsidRPr="00580C0D" w:rsidRDefault="00142E5B" w:rsidP="00580C0D">
      <w:r w:rsidRPr="00580C0D">
        <w:t xml:space="preserve">Vedtaket ble truffet ved behandling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jf. </w:t>
      </w:r>
      <w:proofErr w:type="spellStart"/>
      <w:r w:rsidRPr="00580C0D">
        <w:t>Innst</w:t>
      </w:r>
      <w:proofErr w:type="spellEnd"/>
      <w:r w:rsidRPr="00580C0D">
        <w:t>. 398 S (2022–2023).</w:t>
      </w:r>
    </w:p>
    <w:p w14:paraId="7C22EF8F" w14:textId="77777777" w:rsidR="00F7113A" w:rsidRPr="00580C0D" w:rsidRDefault="00142E5B" w:rsidP="00580C0D">
      <w:r w:rsidRPr="00580C0D">
        <w:t>Regjeringen vil komme tilbake til Stortinget på egnet måte om oppfølging av vedtaket ifb. arbeidet med å etablere et voksenvaksinasjonsprogram.</w:t>
      </w:r>
    </w:p>
    <w:p w14:paraId="634D299F" w14:textId="77777777" w:rsidR="00F7113A" w:rsidRPr="00580C0D" w:rsidRDefault="00142E5B" w:rsidP="00580C0D">
      <w:pPr>
        <w:pStyle w:val="avsnitt-tittel"/>
      </w:pPr>
      <w:r w:rsidRPr="00580C0D">
        <w:t>Status vann- og avløpssituasjonen</w:t>
      </w:r>
    </w:p>
    <w:p w14:paraId="2242AF86" w14:textId="77777777" w:rsidR="00F7113A" w:rsidRPr="00580C0D" w:rsidRDefault="00142E5B" w:rsidP="00580C0D">
      <w:pPr>
        <w:pStyle w:val="avsnitt-undertittel"/>
      </w:pPr>
      <w:r w:rsidRPr="00580C0D">
        <w:t>Vedtak nr. 825, 13. juni 2023</w:t>
      </w:r>
    </w:p>
    <w:p w14:paraId="73547DB2" w14:textId="77777777" w:rsidR="00F7113A" w:rsidRPr="00580C0D" w:rsidRDefault="00142E5B" w:rsidP="00580C0D">
      <w:pPr>
        <w:pStyle w:val="blokksit"/>
        <w:rPr>
          <w:rStyle w:val="kursiv"/>
        </w:rPr>
      </w:pPr>
      <w:r w:rsidRPr="00580C0D">
        <w:rPr>
          <w:rStyle w:val="kursiv"/>
        </w:rPr>
        <w:t>«Stortinget ber regjeringen på egnet måte og innen juni 2024 komme tilbake til Stortinget med en oversikt over status for vann- og avløpssituasjonen i Kommune-Norge»</w:t>
      </w:r>
    </w:p>
    <w:p w14:paraId="0B670396"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112 S (2022–2023) </w:t>
      </w:r>
      <w:r w:rsidRPr="00580C0D">
        <w:rPr>
          <w:rStyle w:val="kursiv"/>
        </w:rPr>
        <w:t>Kommuneproposisjonen 2024</w:t>
      </w:r>
      <w:r w:rsidRPr="00580C0D">
        <w:t xml:space="preserve">, jf. </w:t>
      </w:r>
      <w:proofErr w:type="spellStart"/>
      <w:r w:rsidRPr="00580C0D">
        <w:t>lnnst</w:t>
      </w:r>
      <w:proofErr w:type="spellEnd"/>
      <w:r w:rsidRPr="00580C0D">
        <w:t>. 488 S (2022–2023).</w:t>
      </w:r>
    </w:p>
    <w:p w14:paraId="0A0156F4" w14:textId="77777777" w:rsidR="00F7113A" w:rsidRPr="00580C0D" w:rsidRDefault="00142E5B" w:rsidP="00580C0D">
      <w:r w:rsidRPr="00580C0D">
        <w:t>Helse- og omsorgsdepartementet vil følge opp vedtaket i samarbeid med Klima- og miljødepartementet. Regjeringen vil komme tilbake til Stortinget på egnet måte.</w:t>
      </w:r>
    </w:p>
    <w:p w14:paraId="707190BA" w14:textId="77777777" w:rsidR="00F7113A" w:rsidRPr="00580C0D" w:rsidRDefault="00142E5B" w:rsidP="00580C0D">
      <w:pPr>
        <w:pStyle w:val="avsnitt-tittel"/>
      </w:pPr>
      <w:r w:rsidRPr="00580C0D">
        <w:t>Utvidet stønad til dekning av utgifter til tannbehandling for pasienter med psykiske helseplager</w:t>
      </w:r>
    </w:p>
    <w:p w14:paraId="4FCA115A" w14:textId="77777777" w:rsidR="00F7113A" w:rsidRPr="00580C0D" w:rsidRDefault="00142E5B" w:rsidP="00580C0D">
      <w:pPr>
        <w:pStyle w:val="avsnitt-undertittel"/>
      </w:pPr>
      <w:r w:rsidRPr="00580C0D">
        <w:t>Vedtak nr. 929, 16. juni 2023</w:t>
      </w:r>
    </w:p>
    <w:p w14:paraId="16088530" w14:textId="77777777" w:rsidR="00F7113A" w:rsidRPr="00580C0D" w:rsidRDefault="00142E5B" w:rsidP="00580C0D">
      <w:pPr>
        <w:pStyle w:val="blokksit"/>
        <w:rPr>
          <w:rStyle w:val="kursiv"/>
        </w:rPr>
      </w:pPr>
      <w:r w:rsidRPr="00580C0D">
        <w:rPr>
          <w:rStyle w:val="kursiv"/>
        </w:rPr>
        <w:t>«Stortinget ber regjeringen sikre at pasienter med psykiske helseplager som etter forskrift om stønad til dekning av utgifter til tannbehandling § 1 nr. 14 har rett til stønad til tannbehandling, beholder rettighetene i seks måneder etter at de sterkt nedsatte evnene til egenomsorg er gjenopprettet.»</w:t>
      </w:r>
    </w:p>
    <w:p w14:paraId="5FEA2D98"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118 S (2022–2023), jf. </w:t>
      </w:r>
      <w:proofErr w:type="spellStart"/>
      <w:r w:rsidRPr="00580C0D">
        <w:t>Innst</w:t>
      </w:r>
      <w:proofErr w:type="spellEnd"/>
      <w:r w:rsidRPr="00580C0D">
        <w:t>. 490 S (2022–2023).</w:t>
      </w:r>
    </w:p>
    <w:p w14:paraId="35E41209" w14:textId="77777777" w:rsidR="00F7113A" w:rsidRPr="00580C0D" w:rsidRDefault="00142E5B" w:rsidP="00580C0D">
      <w:r w:rsidRPr="00580C0D">
        <w:t>Helse- og omsorgsdepartementet vil følge opp vedtaket. Regjeringen vil komme tilbake til Stortinget på egnet måte.</w:t>
      </w:r>
    </w:p>
    <w:p w14:paraId="0994B9BE" w14:textId="77777777" w:rsidR="00F7113A" w:rsidRPr="00580C0D" w:rsidRDefault="00142E5B" w:rsidP="00580C0D">
      <w:pPr>
        <w:pStyle w:val="avsnitt-tittel"/>
      </w:pPr>
      <w:r w:rsidRPr="00580C0D">
        <w:t>Utvidet fylkeskommunalt tannhelsetilbud til pasienter med psykiske helseplager</w:t>
      </w:r>
    </w:p>
    <w:p w14:paraId="29A652AA" w14:textId="77777777" w:rsidR="00F7113A" w:rsidRPr="00580C0D" w:rsidRDefault="00142E5B" w:rsidP="00580C0D">
      <w:pPr>
        <w:pStyle w:val="avsnitt-undertittel"/>
      </w:pPr>
      <w:r w:rsidRPr="00580C0D">
        <w:t>Vedtak nr. 938, 16. juni 2023</w:t>
      </w:r>
    </w:p>
    <w:p w14:paraId="6CBE16C7" w14:textId="77777777" w:rsidR="00F7113A" w:rsidRPr="00580C0D" w:rsidRDefault="00142E5B" w:rsidP="00580C0D">
      <w:pPr>
        <w:pStyle w:val="blokksit"/>
        <w:rPr>
          <w:rStyle w:val="kursiv"/>
        </w:rPr>
      </w:pPr>
      <w:r w:rsidRPr="00580C0D">
        <w:rPr>
          <w:rStyle w:val="kursiv"/>
        </w:rPr>
        <w:t>«Stortinget ber regjeringen sikre at pasienter med psykiske helseplager som faller inn under tannhelsetjenesteloven § 1-3 første ledd bokstav c, beholder tilbudet fra tannhelsetjenesten i fylkeskommunene i inntil seks måneder etter at pasienten er utskrevet, friskmeldt eller overført til oppfølging i ACT/FACT team eller liknende.»</w:t>
      </w:r>
    </w:p>
    <w:p w14:paraId="537CB406"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118 S (2022–2023), jf. </w:t>
      </w:r>
      <w:proofErr w:type="spellStart"/>
      <w:r w:rsidRPr="00580C0D">
        <w:t>Innst</w:t>
      </w:r>
      <w:proofErr w:type="spellEnd"/>
      <w:r w:rsidRPr="00580C0D">
        <w:t>. 490 S (2022–2023).</w:t>
      </w:r>
    </w:p>
    <w:p w14:paraId="72131B06" w14:textId="77777777" w:rsidR="00F7113A" w:rsidRPr="00580C0D" w:rsidRDefault="00142E5B" w:rsidP="00580C0D">
      <w:r w:rsidRPr="00580C0D">
        <w:t>Vedtaket vil bli fulgt opp med et rundskriv til landets fylkeskommuner der de bes om å innrette sin praksis i tråd med stortingsvedtaket. Regjeringen vil komme tilbake til Stortinget på egnet måte.</w:t>
      </w:r>
    </w:p>
    <w:p w14:paraId="6200B501" w14:textId="77777777" w:rsidR="00F7113A" w:rsidRPr="00580C0D" w:rsidRDefault="00142E5B" w:rsidP="00580C0D">
      <w:pPr>
        <w:pStyle w:val="Overskrift2"/>
      </w:pPr>
      <w:r w:rsidRPr="00580C0D">
        <w:t>Stortingssesjon 2021–2022</w:t>
      </w:r>
    </w:p>
    <w:p w14:paraId="502CE312" w14:textId="77777777" w:rsidR="00F7113A" w:rsidRPr="00580C0D" w:rsidRDefault="00142E5B" w:rsidP="00580C0D">
      <w:pPr>
        <w:pStyle w:val="avsnitt-tittel"/>
      </w:pPr>
      <w:r w:rsidRPr="00580C0D">
        <w:t>Evaluering av prismodell for nasjonale e-helseløsninger</w:t>
      </w:r>
    </w:p>
    <w:p w14:paraId="650FFF1B" w14:textId="77777777" w:rsidR="00F7113A" w:rsidRPr="00580C0D" w:rsidRDefault="00142E5B" w:rsidP="00580C0D">
      <w:pPr>
        <w:pStyle w:val="avsnitt-undertittel"/>
      </w:pPr>
      <w:r w:rsidRPr="00580C0D">
        <w:t>Vedtak nr. 89, 14. desember 2021</w:t>
      </w:r>
    </w:p>
    <w:p w14:paraId="31BA9948" w14:textId="77777777" w:rsidR="00F7113A" w:rsidRPr="00580C0D" w:rsidRDefault="00142E5B" w:rsidP="00580C0D">
      <w:pPr>
        <w:pStyle w:val="blokksit"/>
        <w:rPr>
          <w:rStyle w:val="kursiv"/>
        </w:rPr>
      </w:pPr>
      <w:r w:rsidRPr="00580C0D">
        <w:rPr>
          <w:rStyle w:val="kursiv"/>
        </w:rPr>
        <w:t>«Stortinget ber regjeringen sørge for at prismodellene for de nasjonale e-helseløsningene evalueres og justeres basert på erfaringer med ordningene innen 2024, og at kommunenes andel av kostnadsveksten skal ta utgangspunkt i en vurdering av nytten for den kommunale helse- og omsorgstjenesten.»</w:t>
      </w:r>
    </w:p>
    <w:p w14:paraId="5E973D44"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3 L (2021–2022), jf. </w:t>
      </w:r>
      <w:proofErr w:type="spellStart"/>
      <w:r w:rsidRPr="00580C0D">
        <w:t>Innst</w:t>
      </w:r>
      <w:proofErr w:type="spellEnd"/>
      <w:r w:rsidRPr="00580C0D">
        <w:t>. 47 L (2021–2022). Anmodningsvedtaket er fulgt opp gjennom at Norsk helsenett SF på oppdrag fra Helse- og omsorgsdepartementet har gjennomført evalueringen i samarbeid med Direktoratet for e-helse og i dialog med aktørene i sektoren. Videre har Norsk helsenett SF lagt fram evalueringen og forslag til justering av prismodellene for det tekniske beregningsutvalget for nasjonale e-helseløsninger (TBU) og den nasjonale rådsmodellen for e-helse. Evalueringen har også vært tema i en politisk konsultasjon mellom departementet og KS 15. juni 2023.</w:t>
      </w:r>
    </w:p>
    <w:p w14:paraId="6B1638EF" w14:textId="77777777" w:rsidR="00F7113A" w:rsidRPr="00580C0D" w:rsidRDefault="00142E5B" w:rsidP="00580C0D">
      <w:r w:rsidRPr="00580C0D">
        <w:t>I evalueringen er det lagt til grunn at finansieringsmodellen med obligatorisk samfinansiering av de samlede kostnadene til forvaltning og drift skal videreføres. Det gjelder også hvilke aktører som er pliktige til å bruke og betale for løsningene, at kommuner betaler for fastleger og regionale helseforetak for avtalespesialister, at apotek og bandasjist skal betale for e-resept, og at innbygger og pasienter ikke skal betale. Departementet har med utgangspunkt i anbefalingen fra Norsk helsenett SF foreslått justeringer i prismodellene for alle de nasjonale e-helseløsningene. Prismodellene er vurdert med utgangspunkt i om de fremmer bruk, bidrar til forutsigbarhet for aktørene, er enkle å forvalte og tar hensyn til kommunesektorens og øvrige aktørers nytte og bruk av løsningene. Det er med utgangspunktet i forutsetningen om obligatorisk samfinansiering, lagt vekt på at prismodellene må ta hensyn til samfunnsøkonomisk nytte av løsningene og ikke kan baseres på bedriftsøkonomisk lønnsomhet for den enkelte aktør. Forslaget er sendt på høring sammen med andre endringer i forskrift om standarder og nasjonale e-helseløsninger i september 2023. Anmodningsvedtaket anses som fulgt opp.</w:t>
      </w:r>
    </w:p>
    <w:p w14:paraId="4E9323DB" w14:textId="77777777" w:rsidR="00F7113A" w:rsidRPr="00580C0D" w:rsidRDefault="00142E5B" w:rsidP="00580C0D">
      <w:pPr>
        <w:pStyle w:val="avsnitt-tittel"/>
      </w:pPr>
      <w:r w:rsidRPr="00580C0D">
        <w:t>Overgangsordning for autorisasjon av paramedisinere</w:t>
      </w:r>
    </w:p>
    <w:p w14:paraId="7DD36C49" w14:textId="77777777" w:rsidR="00F7113A" w:rsidRPr="00580C0D" w:rsidRDefault="00142E5B" w:rsidP="00580C0D">
      <w:pPr>
        <w:pStyle w:val="avsnitt-undertittel"/>
      </w:pPr>
      <w:r w:rsidRPr="00580C0D">
        <w:t>Vedtak nr. 416, 8. mars 2022</w:t>
      </w:r>
    </w:p>
    <w:p w14:paraId="32EE23A8" w14:textId="77777777" w:rsidR="00F7113A" w:rsidRPr="00580C0D" w:rsidRDefault="00142E5B" w:rsidP="00580C0D">
      <w:pPr>
        <w:pStyle w:val="blokksit"/>
        <w:rPr>
          <w:rStyle w:val="kursiv"/>
        </w:rPr>
      </w:pPr>
      <w:r w:rsidRPr="00580C0D">
        <w:rPr>
          <w:rStyle w:val="kursiv"/>
        </w:rPr>
        <w:t xml:space="preserve">«Stortinget ber regjeringen vurdere en overgangsordning som kan gi ambulansearbeidere og sykepleiere med Nasjonal </w:t>
      </w:r>
      <w:proofErr w:type="spellStart"/>
      <w:r w:rsidRPr="00580C0D">
        <w:rPr>
          <w:rStyle w:val="kursiv"/>
        </w:rPr>
        <w:t>paramedic</w:t>
      </w:r>
      <w:proofErr w:type="spellEnd"/>
      <w:r w:rsidRPr="00580C0D">
        <w:rPr>
          <w:rStyle w:val="kursiv"/>
        </w:rPr>
        <w:t>-etterutdanning mulighet til å bli autorisert som paramedisiner etter søknad.»</w:t>
      </w:r>
    </w:p>
    <w:p w14:paraId="74DAB6AD" w14:textId="77777777" w:rsidR="00F7113A" w:rsidRPr="00580C0D" w:rsidRDefault="00142E5B" w:rsidP="00580C0D">
      <w:r w:rsidRPr="00580C0D">
        <w:t xml:space="preserve">Vedtaket ble truffet ved Stortinget behandling av </w:t>
      </w:r>
      <w:proofErr w:type="spellStart"/>
      <w:r w:rsidRPr="00580C0D">
        <w:t>Prop</w:t>
      </w:r>
      <w:proofErr w:type="spellEnd"/>
      <w:r w:rsidRPr="00580C0D">
        <w:t xml:space="preserve">. 236 L (2020–2021), jf. </w:t>
      </w:r>
      <w:proofErr w:type="spellStart"/>
      <w:r w:rsidRPr="00580C0D">
        <w:t>Innst</w:t>
      </w:r>
      <w:proofErr w:type="spellEnd"/>
      <w:r w:rsidRPr="00580C0D">
        <w:t>. 170 L (2021–2022).</w:t>
      </w:r>
    </w:p>
    <w:p w14:paraId="059EF21A" w14:textId="77777777" w:rsidR="00F7113A" w:rsidRPr="00580C0D" w:rsidRDefault="00142E5B" w:rsidP="00580C0D">
      <w:r w:rsidRPr="00580C0D">
        <w:t>Helse- og omsorgsdepartementet følger opp vedtaket i samarbeid med Kunnskapsdepartementet. Det er gitt innspill fra de regionale helseforetakene, universitets- og høyskolesektoren og Helsedirektoratet som fortsatt er til vurdering. Regjeringen vil komme tilbake til Stortinget på egnet måte.</w:t>
      </w:r>
    </w:p>
    <w:p w14:paraId="3DBA8E9C" w14:textId="77777777" w:rsidR="00F7113A" w:rsidRPr="00580C0D" w:rsidRDefault="00142E5B" w:rsidP="00580C0D">
      <w:pPr>
        <w:pStyle w:val="avsnitt-tittel"/>
      </w:pPr>
      <w:r w:rsidRPr="00580C0D">
        <w:t>Avklaring knyttet til Register for utøvere av alternativ behandling</w:t>
      </w:r>
    </w:p>
    <w:p w14:paraId="38FDD53B" w14:textId="77777777" w:rsidR="00F7113A" w:rsidRPr="00580C0D" w:rsidRDefault="00142E5B" w:rsidP="00580C0D">
      <w:pPr>
        <w:pStyle w:val="avsnitt-undertittel"/>
      </w:pPr>
      <w:r w:rsidRPr="00580C0D">
        <w:t>Vedtak nr. 417, 8. mars 2022</w:t>
      </w:r>
    </w:p>
    <w:p w14:paraId="7CEA1B1C" w14:textId="77777777" w:rsidR="00F7113A" w:rsidRPr="00580C0D" w:rsidRDefault="00142E5B" w:rsidP="00580C0D">
      <w:pPr>
        <w:pStyle w:val="blokksit"/>
        <w:rPr>
          <w:rStyle w:val="kursiv"/>
        </w:rPr>
      </w:pPr>
      <w:r w:rsidRPr="00580C0D">
        <w:rPr>
          <w:rStyle w:val="kursiv"/>
        </w:rPr>
        <w:t>«Stortinget ber regjeringen avklare hvilke av tjenestetilbyderne som er registrert i Registeret for utøvere av alternativ behandling, som kan anses å yte helsehjelp, og komme tilbake til Stortinget med en helhetlig gjennomgang av ordningene for autorisasjon, lisens og spesialistgodkjenning av helsepersonell, herunder en vurdering av hvilke grupper som skal omfattes av disse ordningene og få fritak fra merverdiavgiftsloven, så snart som mulig.»</w:t>
      </w:r>
    </w:p>
    <w:p w14:paraId="3C1F09D7"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236 L (2020–2021), jf. </w:t>
      </w:r>
      <w:proofErr w:type="spellStart"/>
      <w:r w:rsidRPr="00580C0D">
        <w:t>Innst</w:t>
      </w:r>
      <w:proofErr w:type="spellEnd"/>
      <w:r w:rsidRPr="00580C0D">
        <w:t>. 170 L (2021–2022). Endringene i loven omfatter etter Stortingets behandling også manuellterapeuter.</w:t>
      </w:r>
    </w:p>
    <w:p w14:paraId="0DC962F0" w14:textId="77777777" w:rsidR="00F7113A" w:rsidRPr="00580C0D" w:rsidRDefault="00142E5B" w:rsidP="00580C0D">
      <w:r w:rsidRPr="00580C0D">
        <w:t>Helse- og omsorgsdepartementet vil følge opp gjeldende anmodningsvedtak i Nasjonal helse- og samhandlingsplan som det tas sikte på at fremlegges innen utgangen av 2023.</w:t>
      </w:r>
    </w:p>
    <w:p w14:paraId="01E53EE6" w14:textId="77777777" w:rsidR="00F7113A" w:rsidRPr="00580C0D" w:rsidRDefault="00142E5B" w:rsidP="00580C0D">
      <w:r w:rsidRPr="00580C0D">
        <w:t xml:space="preserve">Det vises </w:t>
      </w:r>
      <w:proofErr w:type="gramStart"/>
      <w:r w:rsidRPr="00580C0D">
        <w:t>for øvrig</w:t>
      </w:r>
      <w:proofErr w:type="gramEnd"/>
      <w:r w:rsidRPr="00580C0D">
        <w:t xml:space="preserve"> til omtalen av vedtak nr. 328, 18. desember 2020: Alternative behandlere – fritak fra merverdiavgiftsloven. Oppfølgingen av vedtak nr. 328, 18. desember 2020 har blitt forsinket, hovedsakelig på grunn av pandemisituasjonen. I omtalen av dette vedtaket foreslår regjeringen at vedtak nr. 328, 18. desember 2020 oppheves og følges opp gjennom anmodningsvedtak nr. 417, 8. mars 2022. Regjeringen vil komme tilbake til Stortinget på egnet måte.</w:t>
      </w:r>
    </w:p>
    <w:p w14:paraId="52AAA963" w14:textId="77777777" w:rsidR="00F7113A" w:rsidRPr="00580C0D" w:rsidRDefault="00142E5B" w:rsidP="00580C0D">
      <w:pPr>
        <w:pStyle w:val="avsnitt-tittel"/>
      </w:pPr>
      <w:r w:rsidRPr="00580C0D">
        <w:t>Sikring av helsefaglig oppfølging etter fødsel med hjemmebesøk</w:t>
      </w:r>
    </w:p>
    <w:p w14:paraId="78311EC5" w14:textId="77777777" w:rsidR="00F7113A" w:rsidRPr="00580C0D" w:rsidRDefault="00142E5B" w:rsidP="00580C0D">
      <w:pPr>
        <w:pStyle w:val="avsnitt-undertittel"/>
      </w:pPr>
      <w:r w:rsidRPr="00580C0D">
        <w:t>Vedtak nr. 516, 3. mai 2022</w:t>
      </w:r>
    </w:p>
    <w:p w14:paraId="0F765A50" w14:textId="77777777" w:rsidR="00F7113A" w:rsidRPr="00580C0D" w:rsidRDefault="00142E5B" w:rsidP="00580C0D">
      <w:pPr>
        <w:pStyle w:val="blokksit"/>
        <w:rPr>
          <w:rStyle w:val="kursiv"/>
        </w:rPr>
      </w:pPr>
      <w:r w:rsidRPr="00580C0D">
        <w:rPr>
          <w:rStyle w:val="kursiv"/>
        </w:rPr>
        <w:t>«Stortinget ber regjeringen i forbindelse med det varslede arbeidet med nasjonal helse- og samhandlingsplan og helhetlig gjennomgang av føde- og barseltilbudet, sikre kvinner nødvendig helsefaglig oppfølging etter fødsel, herunder hjemmebesøk.»</w:t>
      </w:r>
    </w:p>
    <w:p w14:paraId="4A737485" w14:textId="77777777" w:rsidR="00F7113A" w:rsidRPr="00580C0D" w:rsidRDefault="00142E5B" w:rsidP="00580C0D">
      <w:r w:rsidRPr="00580C0D">
        <w:t xml:space="preserve">Vedtaket ble truffet ved behandling av Dokument 8:85 S (2021–2022), jf. </w:t>
      </w:r>
      <w:proofErr w:type="spellStart"/>
      <w:r w:rsidRPr="00580C0D">
        <w:t>Innst</w:t>
      </w:r>
      <w:proofErr w:type="spellEnd"/>
      <w:r w:rsidRPr="00580C0D">
        <w:t>. 255 S (2021–2022).</w:t>
      </w:r>
    </w:p>
    <w:p w14:paraId="4A49FAC4" w14:textId="77777777" w:rsidR="00F7113A" w:rsidRPr="00580C0D" w:rsidRDefault="00142E5B" w:rsidP="00580C0D">
      <w:r w:rsidRPr="00580C0D">
        <w:t>Anmodningstiltaket følges opp gjennom Helse- og omsorgsdepartementets arbeid med Nasjonal helse- og samhandlingsplan. Oppfølgingen må ses i sammenheng med oppfølgingen av anmodningsvedtak nr. 520 (2021–2022). Regjeringen vil komme tilbake til Stortinget på egnet måte.</w:t>
      </w:r>
    </w:p>
    <w:p w14:paraId="132612FD" w14:textId="77777777" w:rsidR="00F7113A" w:rsidRPr="00580C0D" w:rsidRDefault="00142E5B" w:rsidP="00580C0D">
      <w:pPr>
        <w:pStyle w:val="avsnitt-tittel"/>
      </w:pPr>
      <w:r w:rsidRPr="00580C0D">
        <w:t>Lovfesting av rett til selvvalgt støtteperson gjennom graviditet og fødsel</w:t>
      </w:r>
    </w:p>
    <w:p w14:paraId="36B328F6" w14:textId="77777777" w:rsidR="00F7113A" w:rsidRPr="00580C0D" w:rsidRDefault="00142E5B" w:rsidP="00580C0D">
      <w:pPr>
        <w:pStyle w:val="avsnitt-undertittel"/>
      </w:pPr>
      <w:r w:rsidRPr="00580C0D">
        <w:t>Vedtak nr. 517, 3. mai 2022</w:t>
      </w:r>
    </w:p>
    <w:p w14:paraId="12372FED" w14:textId="77777777" w:rsidR="00F7113A" w:rsidRPr="00580C0D" w:rsidRDefault="00142E5B" w:rsidP="00580C0D">
      <w:pPr>
        <w:pStyle w:val="blokksit"/>
        <w:rPr>
          <w:rStyle w:val="kursiv"/>
        </w:rPr>
      </w:pPr>
      <w:r w:rsidRPr="00580C0D">
        <w:rPr>
          <w:rStyle w:val="kursiv"/>
        </w:rPr>
        <w:t>«Stortinget ber regjeringen fremme forslag om å lovfeste retten til å ha med en støtteperson som mor velger, under svangerskap og i fødsel og i barsel.»</w:t>
      </w:r>
    </w:p>
    <w:p w14:paraId="6A36404E" w14:textId="77777777" w:rsidR="00F7113A" w:rsidRPr="00580C0D" w:rsidRDefault="00142E5B" w:rsidP="00580C0D">
      <w:r w:rsidRPr="00580C0D">
        <w:t xml:space="preserve">Vedtaket ble truffet ved Stortingets behandling av Dokument 8:85 S (2021–2022), jf. </w:t>
      </w:r>
      <w:proofErr w:type="spellStart"/>
      <w:r w:rsidRPr="00580C0D">
        <w:t>Innst</w:t>
      </w:r>
      <w:proofErr w:type="spellEnd"/>
      <w:r w:rsidRPr="00580C0D">
        <w:t>. 255 S (2021–2022). Regjeringen vil komme tilbake til Stortinget på egnet måte.</w:t>
      </w:r>
    </w:p>
    <w:p w14:paraId="3E4DECCB" w14:textId="77777777" w:rsidR="00F7113A" w:rsidRPr="00580C0D" w:rsidRDefault="00142E5B" w:rsidP="00580C0D">
      <w:pPr>
        <w:pStyle w:val="avsnitt-tittel"/>
      </w:pPr>
      <w:r w:rsidRPr="00580C0D">
        <w:t>Oppfølging og hjelpeapparat for forebygging av fødselsdepresjon</w:t>
      </w:r>
    </w:p>
    <w:p w14:paraId="4E81F645" w14:textId="77777777" w:rsidR="00F7113A" w:rsidRPr="00580C0D" w:rsidRDefault="00142E5B" w:rsidP="00580C0D">
      <w:pPr>
        <w:pStyle w:val="avsnitt-undertittel"/>
      </w:pPr>
      <w:r w:rsidRPr="00580C0D">
        <w:t>Vedtak nr. 518, 3. mai 2022</w:t>
      </w:r>
    </w:p>
    <w:p w14:paraId="6AD19CB1" w14:textId="77777777" w:rsidR="00F7113A" w:rsidRPr="00580C0D" w:rsidRDefault="00142E5B" w:rsidP="00580C0D">
      <w:pPr>
        <w:pStyle w:val="blokksit"/>
        <w:rPr>
          <w:rStyle w:val="kursiv"/>
        </w:rPr>
      </w:pPr>
      <w:r w:rsidRPr="00580C0D">
        <w:rPr>
          <w:rStyle w:val="kursiv"/>
        </w:rPr>
        <w:t>«Stortinget ber regjeringen sikre bedre oppfølging og hjelpeapparat i forbindelse med svangerskap og barseltid for å forebygge og behandle fødselsdepresjon.»</w:t>
      </w:r>
    </w:p>
    <w:p w14:paraId="06751429" w14:textId="77777777" w:rsidR="00F7113A" w:rsidRPr="00580C0D" w:rsidRDefault="00142E5B" w:rsidP="00580C0D">
      <w:r w:rsidRPr="00580C0D">
        <w:t xml:space="preserve">Vedtaket ble truffet ved behandling av Dokument 8:85 S (2021–2022), jf. </w:t>
      </w:r>
      <w:proofErr w:type="spellStart"/>
      <w:r w:rsidRPr="00580C0D">
        <w:t>Innst</w:t>
      </w:r>
      <w:proofErr w:type="spellEnd"/>
      <w:r w:rsidRPr="00580C0D">
        <w:t>. 255 S (2021–2022).</w:t>
      </w:r>
    </w:p>
    <w:p w14:paraId="54932510" w14:textId="77777777" w:rsidR="00F7113A" w:rsidRPr="00580C0D" w:rsidRDefault="00142E5B" w:rsidP="00580C0D">
      <w:r w:rsidRPr="00580C0D">
        <w:t xml:space="preserve">Forebygging og behandling av fødselsdepresjon omtales i Meld. St. 23 (2022–2023) </w:t>
      </w:r>
      <w:r w:rsidRPr="00580C0D">
        <w:rPr>
          <w:rStyle w:val="kursiv"/>
        </w:rPr>
        <w:t>Opptrappingsplan for psykisk helse (2023–2033)</w:t>
      </w:r>
      <w:r w:rsidRPr="00580C0D">
        <w:t xml:space="preserve"> og vil bli omtalt i kommende Nasjonal helse- og samhandlingsplan. I Nasjonal helse- og samhandlingsplan vil også regjeringens politikk for svangerskaps-, føde- og barseltilbudet omtales. Regjeringen vil komme tilbake til Stortinget på egnet måte.</w:t>
      </w:r>
    </w:p>
    <w:p w14:paraId="2C01AB2F" w14:textId="77777777" w:rsidR="00F7113A" w:rsidRPr="00580C0D" w:rsidRDefault="00142E5B" w:rsidP="00580C0D">
      <w:pPr>
        <w:pStyle w:val="avsnitt-tittel"/>
      </w:pPr>
      <w:r w:rsidRPr="00580C0D">
        <w:t>Behandlingssenter for alvorlig fødselsdepresjon tilrettelagt mor med barn</w:t>
      </w:r>
    </w:p>
    <w:p w14:paraId="5710F1C8" w14:textId="77777777" w:rsidR="00F7113A" w:rsidRPr="00580C0D" w:rsidRDefault="00142E5B" w:rsidP="00580C0D">
      <w:pPr>
        <w:pStyle w:val="avsnitt-undertittel"/>
      </w:pPr>
      <w:r w:rsidRPr="00580C0D">
        <w:t>Vedtak nr. 519, 3. mai 2022</w:t>
      </w:r>
    </w:p>
    <w:p w14:paraId="401858FA" w14:textId="77777777" w:rsidR="00F7113A" w:rsidRPr="00580C0D" w:rsidRDefault="00142E5B" w:rsidP="00580C0D">
      <w:pPr>
        <w:pStyle w:val="blokksit"/>
        <w:rPr>
          <w:rStyle w:val="kursiv"/>
        </w:rPr>
      </w:pPr>
      <w:r w:rsidRPr="00580C0D">
        <w:rPr>
          <w:rStyle w:val="kursiv"/>
        </w:rPr>
        <w:t>«Stortinget ber regjeringen utrede behovet for behandlingssenter hvor mor kan være sammen med barnet ved alvorlig fødselsdepresjon.»</w:t>
      </w:r>
    </w:p>
    <w:p w14:paraId="011A4810" w14:textId="77777777" w:rsidR="00F7113A" w:rsidRPr="00580C0D" w:rsidRDefault="00142E5B" w:rsidP="00580C0D">
      <w:r w:rsidRPr="00580C0D">
        <w:t xml:space="preserve">Vedtaket ble truffet ved Stortingets behandling av Dokument 8:85 S (2021–2022), jf. </w:t>
      </w:r>
      <w:proofErr w:type="spellStart"/>
      <w:r w:rsidRPr="00580C0D">
        <w:t>Innst</w:t>
      </w:r>
      <w:proofErr w:type="spellEnd"/>
      <w:r w:rsidRPr="00580C0D">
        <w:t>. 255 S (2021–2022).</w:t>
      </w:r>
    </w:p>
    <w:p w14:paraId="684B4E19" w14:textId="77777777" w:rsidR="00F7113A" w:rsidRPr="00580C0D" w:rsidRDefault="00142E5B" w:rsidP="00580C0D">
      <w:r w:rsidRPr="00580C0D">
        <w:t>Vedtaket blir fulgt opp med oppdrag til Helsedirektoratet om å utrede om det er behov for å styrke forebygging og behandling ved ulike alvorlighetsgrader av fødselsdepresjon, og hvordan dette kan innrettes og organiseres. Anmodningsvedtaket følges opp gjennom Helse- og omsorgsdepartementets arbeid med Nasjonal helse- og samhandlingsplan.</w:t>
      </w:r>
    </w:p>
    <w:p w14:paraId="2C000F71" w14:textId="77777777" w:rsidR="00F7113A" w:rsidRPr="00580C0D" w:rsidRDefault="00142E5B" w:rsidP="00580C0D">
      <w:r w:rsidRPr="00580C0D">
        <w:t>Regjeringen vil komme tilbake til Stortinget på egnet måte.</w:t>
      </w:r>
    </w:p>
    <w:p w14:paraId="195D38BF" w14:textId="77777777" w:rsidR="00F7113A" w:rsidRPr="00580C0D" w:rsidRDefault="00142E5B" w:rsidP="00580C0D">
      <w:pPr>
        <w:pStyle w:val="avsnitt-tittel"/>
      </w:pPr>
      <w:r w:rsidRPr="00580C0D">
        <w:t>Rettighetsfesting av hjemmebesøk av jordmor</w:t>
      </w:r>
    </w:p>
    <w:p w14:paraId="2856B0EF" w14:textId="77777777" w:rsidR="00F7113A" w:rsidRPr="00580C0D" w:rsidRDefault="00142E5B" w:rsidP="00580C0D">
      <w:pPr>
        <w:pStyle w:val="avsnitt-undertittel"/>
      </w:pPr>
      <w:r w:rsidRPr="00580C0D">
        <w:t>Vedtak nr. 520, 3. mai 2022</w:t>
      </w:r>
    </w:p>
    <w:p w14:paraId="20CE877C" w14:textId="77777777" w:rsidR="00F7113A" w:rsidRPr="00580C0D" w:rsidRDefault="00142E5B" w:rsidP="00580C0D">
      <w:pPr>
        <w:pStyle w:val="blokksit"/>
        <w:rPr>
          <w:rStyle w:val="kursiv"/>
        </w:rPr>
      </w:pPr>
      <w:r w:rsidRPr="00580C0D">
        <w:rPr>
          <w:rStyle w:val="kursiv"/>
        </w:rPr>
        <w:t>«Stortinget ber regjeringen rettighetsfeste hjemmebesøk av jordmor innen én uke etter fødsel.»</w:t>
      </w:r>
    </w:p>
    <w:p w14:paraId="2E305E8A" w14:textId="77777777" w:rsidR="00F7113A" w:rsidRPr="00580C0D" w:rsidRDefault="00142E5B" w:rsidP="00580C0D">
      <w:r w:rsidRPr="00580C0D">
        <w:t xml:space="preserve">Vedtaket ble truffet ved behandling av Dokument 8:85 S (2021–2022), jf. </w:t>
      </w:r>
      <w:proofErr w:type="spellStart"/>
      <w:r w:rsidRPr="00580C0D">
        <w:t>Innst</w:t>
      </w:r>
      <w:proofErr w:type="spellEnd"/>
      <w:r w:rsidRPr="00580C0D">
        <w:t>. 255 S (2021–2022).</w:t>
      </w:r>
    </w:p>
    <w:p w14:paraId="10A79A58" w14:textId="77777777" w:rsidR="00F7113A" w:rsidRPr="00580C0D" w:rsidRDefault="00142E5B" w:rsidP="00580C0D">
      <w:r w:rsidRPr="00580C0D">
        <w:t>Regjeringen vil legge frem sitt arbeid for et sammenhengende og helhetlig føde- og barseltilbud i den kommende Nasjonal helse- og samhandlingsplan. Regjeringen vil komme tilbake til Stortinget på egnet måte.</w:t>
      </w:r>
    </w:p>
    <w:p w14:paraId="08D8DD04" w14:textId="77777777" w:rsidR="00F7113A" w:rsidRPr="00580C0D" w:rsidRDefault="00142E5B" w:rsidP="00580C0D">
      <w:pPr>
        <w:pStyle w:val="avsnitt-tittel"/>
      </w:pPr>
      <w:r w:rsidRPr="00580C0D">
        <w:t>Utredning av spesialistforskriften</w:t>
      </w:r>
    </w:p>
    <w:p w14:paraId="02A39B07" w14:textId="77777777" w:rsidR="00F7113A" w:rsidRPr="00580C0D" w:rsidRDefault="00142E5B" w:rsidP="00580C0D">
      <w:pPr>
        <w:pStyle w:val="avsnitt-undertittel"/>
      </w:pPr>
      <w:r w:rsidRPr="00580C0D">
        <w:t>Vedtak nr. 561, 24. mai 2022</w:t>
      </w:r>
    </w:p>
    <w:p w14:paraId="597F1456" w14:textId="77777777" w:rsidR="00F7113A" w:rsidRPr="00580C0D" w:rsidRDefault="00142E5B" w:rsidP="00580C0D">
      <w:pPr>
        <w:pStyle w:val="blokksit"/>
        <w:rPr>
          <w:rStyle w:val="kursiv"/>
        </w:rPr>
      </w:pPr>
      <w:r w:rsidRPr="00580C0D">
        <w:rPr>
          <w:rStyle w:val="kursiv"/>
        </w:rPr>
        <w:t>«Stortinget ber regjeringen så raskt som mulig utrede å endre spesialistforskriften§ 18 første ledd for å åpne for at leger som har gjennomført praktisk tjeneste i et annet EU-/EØS-land, etter søknad og konkret vurdering av læringsmål kan få godkjent hele eller deler av den praktiske tjenesten som LIS1-tjeneste, samtidig som LIS1-ordningen sikres og opprettholdes. Regjeringen bes komme tilbake til Stortinget på egnet måte innen utgangen av 2022.»</w:t>
      </w:r>
    </w:p>
    <w:p w14:paraId="7B3C1B4E" w14:textId="77777777" w:rsidR="00F7113A" w:rsidRPr="00580C0D" w:rsidRDefault="00142E5B" w:rsidP="00580C0D">
      <w:r w:rsidRPr="00580C0D">
        <w:t xml:space="preserve">Vedtaket ble truffet ved behandling av Dokument 8:98 S (2021–2022) og Dokument 8:128 S (2021–2022), jf. </w:t>
      </w:r>
      <w:proofErr w:type="spellStart"/>
      <w:r w:rsidRPr="00580C0D">
        <w:t>Innst</w:t>
      </w:r>
      <w:proofErr w:type="spellEnd"/>
      <w:r w:rsidRPr="00580C0D">
        <w:t xml:space="preserve">. 297 S (2021–2022). Som orientert i </w:t>
      </w:r>
      <w:proofErr w:type="spellStart"/>
      <w:r w:rsidRPr="00580C0D">
        <w:t>Prop</w:t>
      </w:r>
      <w:proofErr w:type="spellEnd"/>
      <w:r w:rsidRPr="00580C0D">
        <w:t xml:space="preserve">. 1 S (2022–2023) vil Helse- og omsorgsdepartementet utrede saken helhetlig og i henhold til Stortingets vedtak. Som grunnlag inngår rapporter fra Helsepersonellkommisjonen (NOU 2023: 4 </w:t>
      </w:r>
      <w:r w:rsidRPr="00580C0D">
        <w:rPr>
          <w:rStyle w:val="kursiv"/>
        </w:rPr>
        <w:t>Tid for handling</w:t>
      </w:r>
      <w:r w:rsidRPr="00580C0D">
        <w:t>), ekspertutvalget for allmennlegetjenesten (Gjennomgang av allmennlegetjenesten, rapport 18. april 2023), og materiale som Helsedirektoratet har utarbeidet om den første delen av legenes spesialistutdanning (LIS1). I tillegg vil ulike regelverk være relevante, herunder spesialistforskriften og EØS-regelverket. Saken vil bli utredet i lys av behovet for leger, særlig i distriktene. Regjeringen vil komme tilbake til Stortinget på egnet måte ifb. Nasjonal helse- og samhandlingsplan.</w:t>
      </w:r>
    </w:p>
    <w:p w14:paraId="4BF07E0A" w14:textId="77777777" w:rsidR="00F7113A" w:rsidRPr="00580C0D" w:rsidRDefault="00142E5B" w:rsidP="00580C0D">
      <w:pPr>
        <w:pStyle w:val="avsnitt-tittel"/>
      </w:pPr>
      <w:r w:rsidRPr="00580C0D">
        <w:t>Handlingsplan for reduksjon av ensomhet</w:t>
      </w:r>
    </w:p>
    <w:p w14:paraId="64202577" w14:textId="77777777" w:rsidR="00F7113A" w:rsidRPr="00580C0D" w:rsidRDefault="00142E5B" w:rsidP="00580C0D">
      <w:pPr>
        <w:pStyle w:val="avsnitt-undertittel"/>
      </w:pPr>
      <w:r w:rsidRPr="00580C0D">
        <w:t>Vedtak nr. 762, 10. juni 2022</w:t>
      </w:r>
    </w:p>
    <w:p w14:paraId="404A2C48" w14:textId="77777777" w:rsidR="00F7113A" w:rsidRPr="00580C0D" w:rsidRDefault="00142E5B" w:rsidP="00580C0D">
      <w:pPr>
        <w:pStyle w:val="blokksit"/>
        <w:rPr>
          <w:rStyle w:val="kursiv"/>
        </w:rPr>
      </w:pPr>
      <w:r w:rsidRPr="00580C0D">
        <w:rPr>
          <w:rStyle w:val="kursiv"/>
        </w:rPr>
        <w:t>«Stortinget ber regjeringen utarbeide en handlingsplan for å redusere ensomhet og etablere verktøy for å måle forekomsten av ensomhet.»</w:t>
      </w:r>
    </w:p>
    <w:p w14:paraId="7891AF21" w14:textId="77777777" w:rsidR="00F7113A" w:rsidRPr="00580C0D" w:rsidRDefault="00142E5B" w:rsidP="00580C0D">
      <w:r w:rsidRPr="00580C0D">
        <w:t xml:space="preserve">Vedtaket ble truffet ved Stortingets behandling av Dokument 8:219 S (2021–2022), jf. </w:t>
      </w:r>
      <w:proofErr w:type="spellStart"/>
      <w:r w:rsidRPr="00580C0D">
        <w:t>Innst</w:t>
      </w:r>
      <w:proofErr w:type="spellEnd"/>
      <w:r w:rsidRPr="00580C0D">
        <w:t>. 357 S (2021–2022).</w:t>
      </w:r>
    </w:p>
    <w:p w14:paraId="07F87130" w14:textId="77777777" w:rsidR="00F7113A" w:rsidRPr="00580C0D" w:rsidRDefault="00142E5B" w:rsidP="00580C0D">
      <w:r w:rsidRPr="00580C0D">
        <w:t xml:space="preserve">I tråd med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rPr>
          <w:rStyle w:val="kursiv"/>
        </w:rPr>
        <w:t xml:space="preserve"> </w:t>
      </w:r>
      <w:r w:rsidRPr="00580C0D">
        <w:t>vil regjeringen samle inn og utvikle kunnskap på ensomhet, inkludert arbeid med livskvalitetsdata. Grunnlaget vil brukes til å sikre treffsikre tiltak og vurdere behovet for en handlingsplan for forebygging av ensomhet i 2025. Regjeringen vil komme tilbake til Stortinget på egnet måte.</w:t>
      </w:r>
    </w:p>
    <w:p w14:paraId="611AFD00" w14:textId="77777777" w:rsidR="00F7113A" w:rsidRPr="00580C0D" w:rsidRDefault="00142E5B" w:rsidP="00580C0D">
      <w:pPr>
        <w:pStyle w:val="avsnitt-tittel"/>
      </w:pPr>
      <w:r w:rsidRPr="00580C0D">
        <w:t>Styrking av forskning på ensomhet</w:t>
      </w:r>
    </w:p>
    <w:p w14:paraId="6368DC8A" w14:textId="77777777" w:rsidR="00F7113A" w:rsidRPr="00580C0D" w:rsidRDefault="00142E5B" w:rsidP="00580C0D">
      <w:pPr>
        <w:pStyle w:val="avsnitt-undertittel"/>
      </w:pPr>
      <w:r w:rsidRPr="00580C0D">
        <w:t>Vedtak nr. 763, 10. juni 2022</w:t>
      </w:r>
    </w:p>
    <w:p w14:paraId="48E1776B" w14:textId="77777777" w:rsidR="00F7113A" w:rsidRPr="00580C0D" w:rsidRDefault="00142E5B" w:rsidP="00580C0D">
      <w:pPr>
        <w:pStyle w:val="blokksit"/>
        <w:rPr>
          <w:rStyle w:val="kursiv"/>
        </w:rPr>
      </w:pPr>
      <w:r w:rsidRPr="00580C0D">
        <w:rPr>
          <w:rStyle w:val="kursiv"/>
        </w:rPr>
        <w:t>«Stortinget ber regjeringen styrke forskning på ensomhet og øke kunnskapen om tiltak som motvirker ensomhet.»</w:t>
      </w:r>
    </w:p>
    <w:p w14:paraId="0CAF232F" w14:textId="77777777" w:rsidR="00F7113A" w:rsidRPr="00580C0D" w:rsidRDefault="00142E5B" w:rsidP="00580C0D">
      <w:r w:rsidRPr="00580C0D">
        <w:t xml:space="preserve">Vedtaket ble truffet ved Stortingets behandling av Dokument 8:219 S (2021–2022), jf. </w:t>
      </w:r>
      <w:proofErr w:type="spellStart"/>
      <w:r w:rsidRPr="00580C0D">
        <w:t>Innst</w:t>
      </w:r>
      <w:proofErr w:type="spellEnd"/>
      <w:r w:rsidRPr="00580C0D">
        <w:t xml:space="preserve">. 357 S (2021–2022). I arbeidet med en nasjonal livskvalitetsstrategi i 2024, som omtalt i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vil ensomhet bli en vesentlig del i regelmessige målinger av livskvalitet, indikatorutvikling, veileder til utredningsinstruksen og endringer i regelverk. Ensomhet kartlegges i dag som del av de nasjonale livskvalitetsmålingene som gjennomføres av SSB og i Ungdata. I folkehelsemeldingen omtales det at Folkehelseinstituttet vil lage en kunnskapsoppsummering om digitale tiltak for forebygging av ensomhet.</w:t>
      </w:r>
    </w:p>
    <w:p w14:paraId="35E57759" w14:textId="77777777" w:rsidR="00F7113A" w:rsidRPr="00580C0D" w:rsidRDefault="00142E5B" w:rsidP="00580C0D">
      <w:r w:rsidRPr="00580C0D">
        <w:t>Regjeringen vil komme tilbake til Stortinget på egnet måte.</w:t>
      </w:r>
    </w:p>
    <w:p w14:paraId="3F2070CB" w14:textId="77777777" w:rsidR="00F7113A" w:rsidRPr="00580C0D" w:rsidRDefault="00142E5B" w:rsidP="00580C0D">
      <w:pPr>
        <w:pStyle w:val="avsnitt-tittel"/>
      </w:pPr>
      <w:r w:rsidRPr="00580C0D">
        <w:t>Styrking av samarbeid for forebygging av ensomhet</w:t>
      </w:r>
    </w:p>
    <w:p w14:paraId="5A93DEF5" w14:textId="77777777" w:rsidR="00F7113A" w:rsidRPr="00580C0D" w:rsidRDefault="00142E5B" w:rsidP="00580C0D">
      <w:pPr>
        <w:pStyle w:val="avsnitt-undertittel"/>
      </w:pPr>
      <w:r w:rsidRPr="00580C0D">
        <w:t>Vedtak nr. 764, 10. juni 2022</w:t>
      </w:r>
    </w:p>
    <w:p w14:paraId="75DD3438" w14:textId="77777777" w:rsidR="00F7113A" w:rsidRPr="00580C0D" w:rsidRDefault="00142E5B" w:rsidP="00580C0D">
      <w:pPr>
        <w:pStyle w:val="blokksit"/>
        <w:rPr>
          <w:rStyle w:val="kursiv"/>
        </w:rPr>
      </w:pPr>
      <w:r w:rsidRPr="00580C0D">
        <w:rPr>
          <w:rStyle w:val="kursiv"/>
        </w:rPr>
        <w:t>«Stortinget ber regjeringen styrke samarbeidet mellom det offentlige, næringslivet, arbeidslivet og frivillige lag og organisasjoner for å forebygge ensomhet.»</w:t>
      </w:r>
    </w:p>
    <w:p w14:paraId="422932AB" w14:textId="77777777" w:rsidR="00F7113A" w:rsidRPr="00580C0D" w:rsidRDefault="00142E5B" w:rsidP="00580C0D">
      <w:r w:rsidRPr="00580C0D">
        <w:t xml:space="preserve">Vedtaket ble truffet ved Stortingets behandling av Dokument 8:219 S (2021–2022), jf. </w:t>
      </w:r>
      <w:proofErr w:type="spellStart"/>
      <w:r w:rsidRPr="00580C0D">
        <w:t>Innst</w:t>
      </w:r>
      <w:proofErr w:type="spellEnd"/>
      <w:r w:rsidRPr="00580C0D">
        <w:t xml:space="preserve">. 357 S (2021–2022). Det vises til omtale i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hvor det varsles at Folkehelseloven skal revideres, og regjeringen vil bl.a. vurdere hvordan loven kan inkludere ensomhet som folkehelseutfordring, og hvordan kommunene i større grad kan legge til rette for samarbeid med frivillige. Helsedirektoratet vil lage en veiviser for folkehelsetiltak mot ensomhet. Møteplass for folkehelse og samarbeid mellom myndighetene og stiftelser nevnes også i meldingen. Regjeringen vil komme tilbake til Stortinget på egnet måte.</w:t>
      </w:r>
    </w:p>
    <w:p w14:paraId="41899A5F" w14:textId="77777777" w:rsidR="00F7113A" w:rsidRPr="00580C0D" w:rsidRDefault="00142E5B" w:rsidP="00580C0D">
      <w:pPr>
        <w:pStyle w:val="avsnitt-tittel"/>
      </w:pPr>
      <w:r w:rsidRPr="00580C0D">
        <w:t>Fylkeskommunens plikt til å tilby tannhelsetjenester</w:t>
      </w:r>
    </w:p>
    <w:p w14:paraId="56F3F697" w14:textId="77777777" w:rsidR="00F7113A" w:rsidRPr="00580C0D" w:rsidRDefault="00142E5B" w:rsidP="00580C0D">
      <w:pPr>
        <w:pStyle w:val="avsnitt-undertittel"/>
      </w:pPr>
      <w:r w:rsidRPr="00580C0D">
        <w:t>Vedtak nr. 832, 17. juni 2022</w:t>
      </w:r>
    </w:p>
    <w:p w14:paraId="6847F504" w14:textId="77777777" w:rsidR="00F7113A" w:rsidRPr="00580C0D" w:rsidRDefault="00142E5B" w:rsidP="00580C0D">
      <w:pPr>
        <w:pStyle w:val="blokksit"/>
        <w:rPr>
          <w:rStyle w:val="kursiv"/>
        </w:rPr>
      </w:pPr>
      <w:r w:rsidRPr="00580C0D">
        <w:rPr>
          <w:rStyle w:val="kursiv"/>
        </w:rPr>
        <w:t>«Stortinget ber regjeringen fremme nødvendige lovforslag som utvider det lovfestede omfanget av fylkeskommunens plikt til å tilby tannhelsetjenester til å omfatte 21- og 22-åringer, samt forskriftsfeste retten til redusert betaling for disse årskullene.»</w:t>
      </w:r>
    </w:p>
    <w:p w14:paraId="2B8F8574" w14:textId="77777777" w:rsidR="00F7113A" w:rsidRPr="00580C0D" w:rsidRDefault="00142E5B" w:rsidP="00580C0D">
      <w:r w:rsidRPr="00580C0D">
        <w:t xml:space="preserve">Vedtaket ble truffet ved behandling av Meld. St. 2 (2021–2022), jf. </w:t>
      </w:r>
      <w:proofErr w:type="spellStart"/>
      <w:r w:rsidRPr="00580C0D">
        <w:t>Innst</w:t>
      </w:r>
      <w:proofErr w:type="spellEnd"/>
      <w:r w:rsidRPr="00580C0D">
        <w:t>. 450 S (2021–2022). Vedtaket følges opp gjennom et pågående lovarbeid med endringer i tannhelsetjenesteloven, som gir unge voksne rett til tannhelsetjenester med redusert egenbetaling i den offentlige tannhelsetjenesten. Oppfølgingen av vedtaket her må ses i sammenheng med anmodningsvedtak nr. 86 (2022–2023) omtalt ovenfor, som gjelder 23- til 26-åringer. Vi viser også til beskrivelsen ovenfor om innretningen av tilbudet, som på bakgrunn av de to vedtakene omfatter unge voksne i alderen 21 til 24 år.</w:t>
      </w:r>
    </w:p>
    <w:p w14:paraId="3BFF754E" w14:textId="77777777" w:rsidR="00F7113A" w:rsidRPr="00580C0D" w:rsidRDefault="00142E5B" w:rsidP="00580C0D">
      <w:r w:rsidRPr="00580C0D">
        <w:t>Det foreslås en budsjettnøytral omlegging av tilbudet til unge voksne. Hensikten med forslaget er å sikre at tilbudet gis innenfor regelverket om statsstøtte. Det foreslås derfor å endre innretningen slik at tilbudet i offentlig tannhelsetjeneste til unge voksne innrettes med 25 pst. egenbetaling, beregnet ut fra departementets fastsatte takster. Tilbudet foreslås å gjelde for aldersgruppene 21 år til 24 år i behandlingsåret. Innretningen tilsvarer gjeldende ordning for 19- og 20-åringene som er lovfestet i tannhelsetjenesteloven. Dette vil gi forutberegnelighet for pasientene, og en gjennomgående systematikk i tjenestetilbudet til de unge voksne. Det likebehandler årskull med samme behov og forenkler ordningen.</w:t>
      </w:r>
    </w:p>
    <w:p w14:paraId="5243F3B9" w14:textId="77777777" w:rsidR="00F7113A" w:rsidRPr="00580C0D" w:rsidRDefault="00142E5B" w:rsidP="00580C0D">
      <w:r w:rsidRPr="00580C0D">
        <w:t>Tilbudet til 21- til 24-åringene ble iverksatt i den offentlige tannhelsetjenesten gjennom Rundskriv I-2/2023 til fylkeskommunene, sendt 24. mars 2023. Forslag til endringer i tannhelsetjenesteloven med lovfesting av rettighetene er nå på offentlig høring med frist 12. september 2023. Regjeringen vil komme tilbake til Stortinget på egnet måte.</w:t>
      </w:r>
    </w:p>
    <w:p w14:paraId="13E9D780" w14:textId="77777777" w:rsidR="00F7113A" w:rsidRPr="00580C0D" w:rsidRDefault="00142E5B" w:rsidP="00580C0D">
      <w:pPr>
        <w:pStyle w:val="Overskrift2"/>
      </w:pPr>
      <w:r w:rsidRPr="00580C0D">
        <w:t>Stortingssesjon 2020–2021</w:t>
      </w:r>
    </w:p>
    <w:p w14:paraId="0CFD146F" w14:textId="77777777" w:rsidR="00F7113A" w:rsidRPr="00580C0D" w:rsidRDefault="00142E5B" w:rsidP="00580C0D">
      <w:pPr>
        <w:pStyle w:val="avsnitt-tittel"/>
      </w:pPr>
      <w:r w:rsidRPr="00580C0D">
        <w:t>Økonomiske modeller for utvikling av nye, virksomme antibiotika</w:t>
      </w:r>
    </w:p>
    <w:p w14:paraId="64058C03" w14:textId="77777777" w:rsidR="00F7113A" w:rsidRPr="00580C0D" w:rsidRDefault="00142E5B" w:rsidP="00580C0D">
      <w:pPr>
        <w:pStyle w:val="avsnitt-undertittel"/>
      </w:pPr>
      <w:r w:rsidRPr="00580C0D">
        <w:t>Vedtak nr. 5, 6. oktober 2020</w:t>
      </w:r>
    </w:p>
    <w:p w14:paraId="43D936F1" w14:textId="77777777" w:rsidR="00F7113A" w:rsidRPr="00580C0D" w:rsidRDefault="00142E5B" w:rsidP="00580C0D">
      <w:pPr>
        <w:pStyle w:val="blokksit"/>
        <w:rPr>
          <w:rStyle w:val="kursiv"/>
        </w:rPr>
      </w:pPr>
      <w:r w:rsidRPr="00580C0D">
        <w:rPr>
          <w:rStyle w:val="kursiv"/>
        </w:rPr>
        <w:t>«Stortinget ber regjeringen utarbeide forslag til økonomiske modeller for utvikling av nye, virksomme antibiotika som premierer medikamentutvikling, ikke salg og bruk, der både belønningsmekanismer og avgift/skatt vurderes som virkemiddel.»</w:t>
      </w:r>
    </w:p>
    <w:p w14:paraId="7F1D8BF2" w14:textId="77777777" w:rsidR="00F7113A" w:rsidRPr="00580C0D" w:rsidRDefault="00142E5B" w:rsidP="00580C0D">
      <w:r w:rsidRPr="00580C0D">
        <w:t>Vedtaket ble truffet ifb. trontaledebatten 6. oktober 2020.</w:t>
      </w:r>
    </w:p>
    <w:p w14:paraId="2B8EBF4C" w14:textId="77777777" w:rsidR="00F7113A" w:rsidRPr="00580C0D" w:rsidRDefault="00142E5B" w:rsidP="00580C0D">
      <w:r w:rsidRPr="00580C0D">
        <w:t xml:space="preserve">Regjeringen har i hurdalsplattformen sagt at den ønsker å utvikle en ny strategi for bekjempelse av </w:t>
      </w:r>
      <w:proofErr w:type="spellStart"/>
      <w:r w:rsidRPr="00580C0D">
        <w:t>antibiotikaresistens</w:t>
      </w:r>
      <w:proofErr w:type="spellEnd"/>
      <w:r w:rsidRPr="00580C0D">
        <w:t>. Regjeringen vil komme tilbake til Stortinget på egnet måte.</w:t>
      </w:r>
    </w:p>
    <w:p w14:paraId="1E4D8E2B" w14:textId="77777777" w:rsidR="00F7113A" w:rsidRPr="00580C0D" w:rsidRDefault="00142E5B" w:rsidP="00580C0D">
      <w:pPr>
        <w:pStyle w:val="avsnitt-tittel"/>
      </w:pPr>
      <w:r w:rsidRPr="00580C0D">
        <w:t>Lovendring om mennesker på sykehjem mot deres egen vilje</w:t>
      </w:r>
    </w:p>
    <w:p w14:paraId="2053CD02" w14:textId="77777777" w:rsidR="00F7113A" w:rsidRPr="00580C0D" w:rsidRDefault="00142E5B" w:rsidP="00580C0D">
      <w:pPr>
        <w:pStyle w:val="avsnitt-undertittel"/>
      </w:pPr>
      <w:r w:rsidRPr="00580C0D">
        <w:t>Vedtak nr. 9, 6. oktober 2020</w:t>
      </w:r>
    </w:p>
    <w:p w14:paraId="49EC80D8" w14:textId="77777777" w:rsidR="00F7113A" w:rsidRPr="00580C0D" w:rsidRDefault="00142E5B" w:rsidP="00580C0D">
      <w:pPr>
        <w:pStyle w:val="blokksit"/>
        <w:rPr>
          <w:rStyle w:val="kursiv"/>
        </w:rPr>
      </w:pPr>
      <w:r w:rsidRPr="00580C0D">
        <w:rPr>
          <w:rStyle w:val="kursiv"/>
        </w:rPr>
        <w:t>«Stortinget ber regjeringen fremme nødvendig lovendring som slår fast at ingen kommuner kan plassere mennesker mellom 0 og femti år, på sykehjem mot deres egen vilje. For barn vil det være nærmeste pårørendes vilje som må gjelde.»</w:t>
      </w:r>
    </w:p>
    <w:p w14:paraId="1117C460" w14:textId="77777777" w:rsidR="00F7113A" w:rsidRPr="00580C0D" w:rsidRDefault="00142E5B" w:rsidP="00580C0D">
      <w:r w:rsidRPr="00580C0D">
        <w:t>Vedtaket ble truffet ifb. trontaledebatten 6. oktober 2020.</w:t>
      </w:r>
    </w:p>
    <w:p w14:paraId="57D54B8C" w14:textId="77777777" w:rsidR="00F7113A" w:rsidRPr="00580C0D" w:rsidRDefault="00142E5B" w:rsidP="00580C0D">
      <w:r w:rsidRPr="00580C0D">
        <w:t>Arbeidet med å følge opp vedtaket har reist flere prinsipielle spørsmål, og arbeidet har derfor vært mer tidkrevende enn antatt. Det vises også til rapportering på vedtak nr. 702 (2020–2021). Lovforslag som følger opp Stortingets vedtak ble sendt på høring 20. desember 2022, med høringsfrist 20. mars 2023. Regjeringen vil komme tilbake til Stortinget på egnet måte.</w:t>
      </w:r>
    </w:p>
    <w:p w14:paraId="2CC02E4D" w14:textId="77777777" w:rsidR="00F7113A" w:rsidRPr="00580C0D" w:rsidRDefault="00142E5B" w:rsidP="00580C0D">
      <w:pPr>
        <w:pStyle w:val="avsnitt-tittel"/>
      </w:pPr>
      <w:r w:rsidRPr="00580C0D">
        <w:t>Helhetlig revisjon av smittevernloven</w:t>
      </w:r>
    </w:p>
    <w:p w14:paraId="63BCFDC9" w14:textId="77777777" w:rsidR="00F7113A" w:rsidRPr="00580C0D" w:rsidRDefault="00142E5B" w:rsidP="00580C0D">
      <w:pPr>
        <w:pStyle w:val="avsnitt-undertittel"/>
      </w:pPr>
      <w:r w:rsidRPr="00580C0D">
        <w:t>Vedtak nr. 84, 17. november 2020</w:t>
      </w:r>
    </w:p>
    <w:p w14:paraId="6461029A" w14:textId="77777777" w:rsidR="00F7113A" w:rsidRPr="00580C0D" w:rsidRDefault="00142E5B" w:rsidP="00580C0D">
      <w:pPr>
        <w:pStyle w:val="blokksit"/>
        <w:rPr>
          <w:rStyle w:val="kursiv"/>
        </w:rPr>
      </w:pPr>
      <w:r w:rsidRPr="00580C0D">
        <w:rPr>
          <w:rStyle w:val="kursiv"/>
        </w:rPr>
        <w:t>«Stortinget ber regjeringen foreta en helhetlig revisjon av smittevernloven etter at koronakommisjonen har levert sin rapport.»</w:t>
      </w:r>
    </w:p>
    <w:p w14:paraId="78ADAE13" w14:textId="77777777" w:rsidR="00F7113A" w:rsidRPr="00580C0D" w:rsidRDefault="00142E5B" w:rsidP="00580C0D">
      <w:r w:rsidRPr="00580C0D">
        <w:t xml:space="preserve">Vedtaket er truffet ifb. Stortingets behandling av Dokument 8:109 S (2019–2020), jf. </w:t>
      </w:r>
      <w:proofErr w:type="spellStart"/>
      <w:r w:rsidRPr="00580C0D">
        <w:t>Innst</w:t>
      </w:r>
      <w:proofErr w:type="spellEnd"/>
      <w:r w:rsidRPr="00580C0D">
        <w:t>. 56 S (2020–2021).</w:t>
      </w:r>
    </w:p>
    <w:p w14:paraId="39FC10D4" w14:textId="77777777" w:rsidR="00F7113A" w:rsidRPr="00580C0D" w:rsidRDefault="00142E5B" w:rsidP="00580C0D">
      <w:r w:rsidRPr="00580C0D">
        <w:t xml:space="preserve">Oppfølging av vedtaket må ses i sammenheng med de to delrapportene som Koronakommisjonen </w:t>
      </w:r>
      <w:proofErr w:type="gramStart"/>
      <w:r w:rsidRPr="00580C0D">
        <w:t>avga</w:t>
      </w:r>
      <w:proofErr w:type="gramEnd"/>
      <w:r w:rsidRPr="00580C0D">
        <w:t xml:space="preserve"> hhv. 14. april 2021 (NOU 2021: 6 </w:t>
      </w:r>
      <w:r w:rsidRPr="00580C0D">
        <w:rPr>
          <w:rStyle w:val="kursiv"/>
        </w:rPr>
        <w:t>Myndighetenes håndtering av koronapandemien</w:t>
      </w:r>
      <w:r w:rsidRPr="00580C0D">
        <w:t xml:space="preserve">) og 26. april 2022 (NOU 2022: 5 </w:t>
      </w:r>
      <w:r w:rsidRPr="00580C0D">
        <w:rPr>
          <w:rStyle w:val="kursiv"/>
        </w:rPr>
        <w:t>Myndighetenes håndtering av koronapandemien – del 2</w:t>
      </w:r>
      <w:r w:rsidRPr="00580C0D">
        <w:t xml:space="preserve">). Oppfølging av vedtaket må også ses i sammenheng med at regjeringen 29. april 2022 nedsatte et uavhengig utvalg som skulle evaluere myndighetenes håndtering av covid-19-pandemien samlet sett, og i tillegg evaluere omikronhåndteringen i perioden fra 1. november 2021 til tentativt 1. mai 2022. Utvalget leverte sin rapport til statsministeren 2. juni 2023 (NOU 2023: 16 </w:t>
      </w:r>
      <w:r w:rsidRPr="00580C0D">
        <w:rPr>
          <w:rStyle w:val="kursiv"/>
        </w:rPr>
        <w:t>Evaluering av pandemihåndteringen – rapport fra Koronautvalget</w:t>
      </w:r>
      <w:r w:rsidRPr="00580C0D">
        <w:t>). Utvalget har i sitt arbeid sett hen til Koronakommisjonens to delrapporter. Utvalgets rapport er nå på høring med høringsfrist 16. oktober 2023.</w:t>
      </w:r>
    </w:p>
    <w:p w14:paraId="161E6DA9" w14:textId="77777777" w:rsidR="00F7113A" w:rsidRPr="00580C0D" w:rsidRDefault="00142E5B" w:rsidP="00580C0D">
      <w:r w:rsidRPr="00580C0D">
        <w:t>Oppfølging av vedtaket må også ses i sammenheng med regjeringens stortingsmelding om folkehelsepolitikken (Meld. St. 15 (2022–2023) og Stortingets behandling av denne (</w:t>
      </w:r>
      <w:proofErr w:type="spellStart"/>
      <w:r w:rsidRPr="00580C0D">
        <w:t>Innst</w:t>
      </w:r>
      <w:proofErr w:type="spellEnd"/>
      <w:r w:rsidRPr="00580C0D">
        <w:t xml:space="preserve">. 398 S (2022–2023)), pågående arbeid med stortingsmelding om helseberedskap og pågående gjennomgang av organisering, roller og ansvar i den sentrale helseforvaltningen som omtalt i revidert nasjonalbudsjett for 2023, jf. </w:t>
      </w:r>
      <w:proofErr w:type="spellStart"/>
      <w:r w:rsidRPr="00580C0D">
        <w:t>Prop</w:t>
      </w:r>
      <w:proofErr w:type="spellEnd"/>
      <w:r w:rsidRPr="00580C0D">
        <w:t>. 118 S (2022–2023).</w:t>
      </w:r>
    </w:p>
    <w:p w14:paraId="28619B4D" w14:textId="77777777" w:rsidR="00F7113A" w:rsidRPr="00580C0D" w:rsidRDefault="00142E5B" w:rsidP="00580C0D">
      <w:r w:rsidRPr="00580C0D">
        <w:t>Basert på bl.a. ovennevnte dokumenter tar regjeringen sikte på å sende på høring forslag til endringer i smittevernloven, helseberedskapsloven og andre relevante lover i løpet av våren 2024. Regjeringen vil komme tilbake til Stortinget på egnet måte.</w:t>
      </w:r>
    </w:p>
    <w:p w14:paraId="438FA793" w14:textId="77777777" w:rsidR="00F7113A" w:rsidRPr="00580C0D" w:rsidRDefault="00142E5B" w:rsidP="00580C0D">
      <w:pPr>
        <w:pStyle w:val="avsnitt-tittel"/>
      </w:pPr>
      <w:r w:rsidRPr="00580C0D">
        <w:t>Gjennomgang av folketrygdens refusjonsordning for tannbehandling</w:t>
      </w:r>
    </w:p>
    <w:p w14:paraId="791C7AA1" w14:textId="77777777" w:rsidR="00F7113A" w:rsidRPr="00580C0D" w:rsidRDefault="00142E5B" w:rsidP="00580C0D">
      <w:pPr>
        <w:pStyle w:val="avsnitt-undertittel"/>
      </w:pPr>
      <w:r w:rsidRPr="00580C0D">
        <w:t>Vedtak nr. 96, 17. november 2020</w:t>
      </w:r>
    </w:p>
    <w:p w14:paraId="54997696" w14:textId="77777777" w:rsidR="00F7113A" w:rsidRPr="00580C0D" w:rsidRDefault="00142E5B" w:rsidP="00580C0D">
      <w:pPr>
        <w:pStyle w:val="blokksit"/>
        <w:rPr>
          <w:rStyle w:val="kursiv"/>
        </w:rPr>
      </w:pPr>
      <w:r w:rsidRPr="00580C0D">
        <w:rPr>
          <w:rStyle w:val="kursiv"/>
        </w:rPr>
        <w:t xml:space="preserve">«Stortinget ber regjeringen om en helhetlig gjennomgang av folketrygdens refusjonsordning for tannbehandling. Stortinget ber om forslag til forbedring og forenkling av ordningene, og spesielt § 22-15 a om </w:t>
      </w:r>
      <w:proofErr w:type="spellStart"/>
      <w:r w:rsidRPr="00580C0D">
        <w:rPr>
          <w:rStyle w:val="kursiv"/>
        </w:rPr>
        <w:t>tilbakekreving</w:t>
      </w:r>
      <w:proofErr w:type="spellEnd"/>
      <w:r w:rsidRPr="00580C0D">
        <w:rPr>
          <w:rStyle w:val="kursiv"/>
        </w:rPr>
        <w:t xml:space="preserve"> av utbetaling etter direkteoppgjørsordningen. Stortinget ber regjeringen komme tilbake til Stortinget med dette før oktober 2021.»</w:t>
      </w:r>
    </w:p>
    <w:p w14:paraId="1E673B53"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121 L (2019–2020) </w:t>
      </w:r>
      <w:r w:rsidRPr="00580C0D">
        <w:rPr>
          <w:rStyle w:val="kursiv"/>
        </w:rPr>
        <w:t>Endringer i folketrygdloven (krav til direkte oppgjør)</w:t>
      </w:r>
      <w:r w:rsidRPr="00580C0D">
        <w:t xml:space="preserve">, jf. </w:t>
      </w:r>
      <w:proofErr w:type="spellStart"/>
      <w:r w:rsidRPr="00580C0D">
        <w:t>Innst</w:t>
      </w:r>
      <w:proofErr w:type="spellEnd"/>
      <w:r w:rsidRPr="00580C0D">
        <w:t>. 72 L (2020–2021) og Lovvedtak 20 (2020–2021).</w:t>
      </w:r>
    </w:p>
    <w:p w14:paraId="795BA907" w14:textId="77777777" w:rsidR="00F7113A" w:rsidRPr="00580C0D" w:rsidRDefault="00142E5B" w:rsidP="00580C0D">
      <w:r w:rsidRPr="00580C0D">
        <w:t xml:space="preserve">Kontroll- og konstitusjonskomiteen merket seg i </w:t>
      </w:r>
      <w:proofErr w:type="spellStart"/>
      <w:r w:rsidRPr="00580C0D">
        <w:t>Innst</w:t>
      </w:r>
      <w:proofErr w:type="spellEnd"/>
      <w:r w:rsidRPr="00580C0D">
        <w:t>. 141 S (2021–2022) at det ikke er gjort noen helhetlig gjennomgang, og at rapporteringen derfor ikke kan avsluttes.</w:t>
      </w:r>
    </w:p>
    <w:p w14:paraId="4C70757E" w14:textId="77777777" w:rsidR="00F7113A" w:rsidRPr="00580C0D" w:rsidRDefault="00142E5B" w:rsidP="00580C0D">
      <w:r w:rsidRPr="00580C0D">
        <w:t>I statsråd 12. august 2022 ble det nedsatt et offentlig utvalg som skal gjennomgå tannhelsefeltet. Utvalget skal levere sin utredning innen utgangen av juni 2024. Oppfølging av vedtaket må også ses i sammenheng med regjeringens stortingsmeldinger om folkehelsepolitikk og helseberedskap, samt gjennomgang av organisering, roller og ansvar i sentral helseforvaltning. Regjeringen vil komme tilbake til Stortinget på egnet måte.</w:t>
      </w:r>
    </w:p>
    <w:p w14:paraId="115837AC" w14:textId="77777777" w:rsidR="00F7113A" w:rsidRPr="00580C0D" w:rsidRDefault="00142E5B" w:rsidP="00580C0D">
      <w:pPr>
        <w:pStyle w:val="avsnitt-tittel"/>
      </w:pPr>
      <w:r w:rsidRPr="00580C0D">
        <w:t>Sykehusenes intensivkapasitet og beredskap i etterkant av covid-19-pandemien</w:t>
      </w:r>
    </w:p>
    <w:p w14:paraId="005C6D3F" w14:textId="77777777" w:rsidR="00F7113A" w:rsidRPr="00580C0D" w:rsidRDefault="00142E5B" w:rsidP="00580C0D">
      <w:pPr>
        <w:pStyle w:val="avsnitt-undertittel"/>
      </w:pPr>
      <w:r w:rsidRPr="00580C0D">
        <w:t>Vedtak nr. 229, 11. desember 2020</w:t>
      </w:r>
    </w:p>
    <w:p w14:paraId="74D7C05B" w14:textId="77777777" w:rsidR="00F7113A" w:rsidRPr="00580C0D" w:rsidRDefault="00142E5B" w:rsidP="00580C0D">
      <w:pPr>
        <w:pStyle w:val="blokksit"/>
        <w:rPr>
          <w:rStyle w:val="kursiv"/>
        </w:rPr>
      </w:pPr>
      <w:r w:rsidRPr="00580C0D">
        <w:rPr>
          <w:rStyle w:val="kursiv"/>
        </w:rPr>
        <w:t>«Stortinget ber regjeringen gjennomgå alle forhold rundt sykehusenes intensivkapasitet og beredskap i etterkant av covid-19-pandemien, herunder også de private, slik at helsetjenesten er forberedt på krisesituasjoner som innebærer økt pasienttilstrømning.»</w:t>
      </w:r>
    </w:p>
    <w:p w14:paraId="13FB654A" w14:textId="77777777" w:rsidR="00F7113A" w:rsidRPr="00580C0D" w:rsidRDefault="00142E5B" w:rsidP="00580C0D">
      <w:r w:rsidRPr="00580C0D">
        <w:t xml:space="preserve">Vedtaket ble truffet ifb. behandlingen av representantforslag Dokument 8:144 S (2019–2020) om å styrke norsk intensivkapasitet, jf. </w:t>
      </w:r>
      <w:proofErr w:type="spellStart"/>
      <w:r w:rsidRPr="00580C0D">
        <w:t>Innst</w:t>
      </w:r>
      <w:proofErr w:type="spellEnd"/>
      <w:r w:rsidRPr="00580C0D">
        <w:t>. 144 S (2020–2021).</w:t>
      </w:r>
    </w:p>
    <w:p w14:paraId="2E697DE8" w14:textId="77777777" w:rsidR="00F7113A" w:rsidRPr="00580C0D" w:rsidRDefault="00142E5B" w:rsidP="00580C0D">
      <w:r w:rsidRPr="00580C0D">
        <w:t>I oppdragsdokument for 2022 ble de regionale helseforetakene bedt om å ta stilling til behovet for økning i intensivkapasitet i hver region og nasjonalt, og vurdere tiltak på kort og lang sikt. De regionale helseforetakene ble særlig bedt om å vurdere personellbehov og kompetansehevende tiltak for å skape fleksibilitet i behandlingskapasiteten og for å avlaste intensivavdelingene. Gjennom interregionalt samarbeid har de regionale helseforetakene tydeliggjort felles definisjoner og beskrevet hvordan intensivkapasitet skal beregnes.</w:t>
      </w:r>
    </w:p>
    <w:p w14:paraId="201005B3" w14:textId="77777777" w:rsidR="00F7113A" w:rsidRPr="00580C0D" w:rsidRDefault="00142E5B" w:rsidP="00580C0D">
      <w:r w:rsidRPr="00580C0D">
        <w:t>I oppdragsdokumentet for 2023 ble de regionale helseforetakene bedt om å fortsette arbeidet med å styrke intensivberedskapen slik at sykehusene ved større kriser raskt kan skalere opp kapasiteten. Etter konsensus om felles definisjoner har de regionale helseforetakene kartlagt egen kapasitet i normal drift og ved økt behov samt beredskapskapasiteten. Anmodningsvedtaket anses som fulgt opp.</w:t>
      </w:r>
    </w:p>
    <w:p w14:paraId="21B76465" w14:textId="77777777" w:rsidR="00F7113A" w:rsidRPr="00580C0D" w:rsidRDefault="00142E5B" w:rsidP="00580C0D">
      <w:pPr>
        <w:pStyle w:val="avsnitt-tittel"/>
      </w:pPr>
      <w:r w:rsidRPr="00580C0D">
        <w:t>Alternative behandlere – fritak fra merverdiavgiftsloven</w:t>
      </w:r>
    </w:p>
    <w:p w14:paraId="13932B4B" w14:textId="77777777" w:rsidR="00F7113A" w:rsidRPr="00580C0D" w:rsidRDefault="00142E5B" w:rsidP="00580C0D">
      <w:pPr>
        <w:pStyle w:val="avsnitt-undertittel"/>
      </w:pPr>
      <w:r w:rsidRPr="00580C0D">
        <w:t>Vedtak nr. 328, 18. desember 2020.</w:t>
      </w:r>
    </w:p>
    <w:p w14:paraId="0FF0A35B" w14:textId="77777777" w:rsidR="00F7113A" w:rsidRPr="00580C0D" w:rsidRDefault="00142E5B" w:rsidP="00580C0D">
      <w:pPr>
        <w:pStyle w:val="blokksit"/>
        <w:rPr>
          <w:rStyle w:val="kursiv"/>
        </w:rPr>
      </w:pPr>
      <w:r w:rsidRPr="00580C0D">
        <w:rPr>
          <w:rStyle w:val="kursiv"/>
        </w:rPr>
        <w:t>«Stortinget ber regjeringen utrede hvorvidt noen av medlemmene i de organisasjoner som i dag er registrert i registeret for alternative behandlere, kan anses å yte helsehjelp, og komme tilbake til Stortinget med nødvendige endringer som gjør det mulig for disse å få fritak fra merverdiavgiftsloven.»</w:t>
      </w:r>
    </w:p>
    <w:p w14:paraId="1DB79BFF" w14:textId="77777777" w:rsidR="00F7113A" w:rsidRPr="00580C0D" w:rsidRDefault="00142E5B" w:rsidP="00580C0D">
      <w:r w:rsidRPr="00580C0D">
        <w:t xml:space="preserve">Vedtaket er truffet ifb. Stortingets behandling av </w:t>
      </w:r>
      <w:proofErr w:type="spellStart"/>
      <w:r w:rsidRPr="00580C0D">
        <w:t>Prop</w:t>
      </w:r>
      <w:proofErr w:type="spellEnd"/>
      <w:r w:rsidRPr="00580C0D">
        <w:t xml:space="preserve">. 1 LS (2020–2021) og regjeringens forslag om å oppheve merverdiavgiftsloven § 3-3 om avgiftsunntak for alternativ behandling som ytes av utøvere som er registrert i Register for utøvere av alternativ behandling i Brønnøysundregistrene, jf. </w:t>
      </w:r>
      <w:proofErr w:type="spellStart"/>
      <w:r w:rsidRPr="00580C0D">
        <w:t>Innst</w:t>
      </w:r>
      <w:proofErr w:type="spellEnd"/>
      <w:r w:rsidRPr="00580C0D">
        <w:t>. 4 L (2020–2021).</w:t>
      </w:r>
    </w:p>
    <w:p w14:paraId="27E8597C" w14:textId="77777777" w:rsidR="00F7113A" w:rsidRPr="00580C0D" w:rsidRDefault="00142E5B" w:rsidP="00580C0D">
      <w:r w:rsidRPr="00580C0D">
        <w:t xml:space="preserve">Oppfølgingen av vedtaket har blitt forsinket, hovedsakelig på grunn av pandemisituasjonen. Det ble imidlertid fremmet og vedtatt endringer i helsepersonelloven som medfører innføring av autorisasjon for naprapater, osteopater og paramedisinere, jf. </w:t>
      </w:r>
      <w:proofErr w:type="spellStart"/>
      <w:r w:rsidRPr="00580C0D">
        <w:t>Prop</w:t>
      </w:r>
      <w:proofErr w:type="spellEnd"/>
      <w:r w:rsidRPr="00580C0D">
        <w:t xml:space="preserve">. 236 L (2020–2021), </w:t>
      </w:r>
      <w:proofErr w:type="spellStart"/>
      <w:r w:rsidRPr="00580C0D">
        <w:t>Innst</w:t>
      </w:r>
      <w:proofErr w:type="spellEnd"/>
      <w:r w:rsidRPr="00580C0D">
        <w:t>. 170 L (2021–2022) og Lovvedtak 47 (2021–2022).</w:t>
      </w:r>
    </w:p>
    <w:p w14:paraId="17BDA757" w14:textId="77777777" w:rsidR="00F7113A" w:rsidRPr="00580C0D" w:rsidRDefault="00142E5B" w:rsidP="00580C0D">
      <w:r w:rsidRPr="00580C0D">
        <w:t>Ved behandlingen av dette lovforslaget ble det 8. mars 2022 truffet et nytt anmodningsvedtak nr. 417. Ordlyden i det nye anmodningsvedtaket må anses å omfatte det som følger av dette anmodningsvedtaket. Anmodningsvedtak 328 anses dermed som opphevet, jf. forslag til romertallsvedtak IX.</w:t>
      </w:r>
    </w:p>
    <w:p w14:paraId="61C97E68" w14:textId="77777777" w:rsidR="00F7113A" w:rsidRPr="00580C0D" w:rsidRDefault="00142E5B" w:rsidP="00580C0D">
      <w:pPr>
        <w:pStyle w:val="avsnitt-tittel"/>
      </w:pPr>
      <w:r w:rsidRPr="00580C0D">
        <w:t>Utredning av endringer i innkjøpsforskriften for Vinmonopolet</w:t>
      </w:r>
    </w:p>
    <w:p w14:paraId="0A0358C4" w14:textId="77777777" w:rsidR="00F7113A" w:rsidRPr="00580C0D" w:rsidRDefault="00142E5B" w:rsidP="00580C0D">
      <w:pPr>
        <w:pStyle w:val="avsnitt-undertittel"/>
      </w:pPr>
      <w:r w:rsidRPr="00580C0D">
        <w:t>Vedtak nr. 607, 11. februar 2021</w:t>
      </w:r>
    </w:p>
    <w:p w14:paraId="3D7109C8" w14:textId="77777777" w:rsidR="00F7113A" w:rsidRPr="00580C0D" w:rsidRDefault="00142E5B" w:rsidP="00580C0D">
      <w:pPr>
        <w:pStyle w:val="blokksit"/>
        <w:rPr>
          <w:rStyle w:val="kursiv"/>
        </w:rPr>
      </w:pPr>
      <w:r w:rsidRPr="00580C0D">
        <w:rPr>
          <w:rStyle w:val="kursiv"/>
        </w:rPr>
        <w:t>«Stortinget ber regjeringen utrede endringer i innkjøpsforskriften for Vinmonopolet med sikte på å øke utvalget av lokalproduserte varer ved hvert enkelt utsalg. Utgangspunktet kan være modellen til Systembolaget i Sverige, men kriteriene må tilpasses norske forhold, og de må være objektive.»</w:t>
      </w:r>
    </w:p>
    <w:p w14:paraId="34910870" w14:textId="77777777" w:rsidR="00F7113A" w:rsidRPr="00580C0D" w:rsidRDefault="00142E5B" w:rsidP="00580C0D">
      <w:r w:rsidRPr="00580C0D">
        <w:t xml:space="preserve">Vedtaket ble truffet ved Stortingets behandling av Dokument 8:54 S (2020–2021), jf. </w:t>
      </w:r>
      <w:proofErr w:type="spellStart"/>
      <w:r w:rsidRPr="00580C0D">
        <w:t>Innst</w:t>
      </w:r>
      <w:proofErr w:type="spellEnd"/>
      <w:r w:rsidRPr="00580C0D">
        <w:t>. 206 S (2020–2021). Helse- og omsorgsdepartementet ba på bakgrunn av vedtaket, Vinmonopolet om å redegjøre for dagens innkjøpssituasjon for lokalt produserte produkter over 4,7 volumprosent alkohol til Vinmonopolet, samt Systembolagets modell for innkjøp av lokalt produserte produkter. Vinmonopolet oversendte redegjørelsen høsten 2021. På bakgrunn av redegjørelsen, og i henhold til vedtaket, har Helse- og omsorgsdepartementet utredet og vurdert endringer i innkjøpsforskriften, herunder innføring av objektive kriterier for innkjøp av lokale produkter til det enkelte utsalg – tilsvarende som i det svenske systemet. Utredningen viste at en innføring av tilsvarende kriterier i Norge som i Sverige ville medført en begrensning i hvilke produkter som ville kunne tas inn på lokal liste, og ble vurdert å kunne gi et dårligere produktutvalg enn etter dagens system. Innføring av denne type objektive kriterier vil kunne virke mot sin hensikt ved at lokalprodusenter i Norge ikke nødvendigvis vil klare å oppfylle kriteriene. Utredningen avdekket et potensiale for Vinmonopolet til å få hevet kunnskapsnivået i virksomheten og Vinmonopolets butikker når det gjelder lokalproduserte produkter, slik at det tilsvarer den kunnskapen man har om øvrige produkter.</w:t>
      </w:r>
    </w:p>
    <w:p w14:paraId="3AFD6ECE" w14:textId="77777777" w:rsidR="00F7113A" w:rsidRPr="00580C0D" w:rsidRDefault="00142E5B" w:rsidP="00580C0D">
      <w:r w:rsidRPr="00580C0D">
        <w:t>Vinmonopolet er på denne bakgrunn i oppdragsbrev for 2023 bedt om å sette i verk interne tiltak for å «</w:t>
      </w:r>
      <w:proofErr w:type="spellStart"/>
      <w:r w:rsidRPr="00580C0D">
        <w:t>auke</w:t>
      </w:r>
      <w:proofErr w:type="spellEnd"/>
      <w:r w:rsidRPr="00580C0D">
        <w:t xml:space="preserve"> </w:t>
      </w:r>
      <w:proofErr w:type="spellStart"/>
      <w:r w:rsidRPr="00580C0D">
        <w:t>medvitet</w:t>
      </w:r>
      <w:proofErr w:type="spellEnd"/>
      <w:r w:rsidRPr="00580C0D">
        <w:t xml:space="preserve"> om </w:t>
      </w:r>
      <w:proofErr w:type="spellStart"/>
      <w:r w:rsidRPr="00580C0D">
        <w:t>moglegheiter</w:t>
      </w:r>
      <w:proofErr w:type="spellEnd"/>
      <w:r w:rsidRPr="00580C0D">
        <w:t xml:space="preserve"> for norske og </w:t>
      </w:r>
      <w:proofErr w:type="spellStart"/>
      <w:r w:rsidRPr="00580C0D">
        <w:t>utanlandske</w:t>
      </w:r>
      <w:proofErr w:type="spellEnd"/>
      <w:r w:rsidRPr="00580C0D">
        <w:t xml:space="preserve"> </w:t>
      </w:r>
      <w:proofErr w:type="spellStart"/>
      <w:r w:rsidRPr="00580C0D">
        <w:t>produsentar</w:t>
      </w:r>
      <w:proofErr w:type="spellEnd"/>
      <w:r w:rsidRPr="00580C0D">
        <w:t xml:space="preserve"> til å få selt produkta sine gjennom Vinmonopolet». Anmodningsvedtaket anses som fulgt opp.</w:t>
      </w:r>
    </w:p>
    <w:p w14:paraId="27909E91" w14:textId="77777777" w:rsidR="00F7113A" w:rsidRPr="00580C0D" w:rsidRDefault="00142E5B" w:rsidP="00580C0D">
      <w:pPr>
        <w:pStyle w:val="avsnitt-tittel"/>
      </w:pPr>
      <w:r w:rsidRPr="00580C0D">
        <w:t>Voksenvaksinasjonsprogram</w:t>
      </w:r>
    </w:p>
    <w:p w14:paraId="721FF052" w14:textId="77777777" w:rsidR="00F7113A" w:rsidRPr="00580C0D" w:rsidRDefault="00142E5B" w:rsidP="00580C0D">
      <w:pPr>
        <w:pStyle w:val="avsnitt-undertittel"/>
      </w:pPr>
      <w:r w:rsidRPr="00580C0D">
        <w:t>Vedtak nr. 645, 18. februar 2021</w:t>
      </w:r>
    </w:p>
    <w:p w14:paraId="4E537D36" w14:textId="77777777" w:rsidR="00F7113A" w:rsidRPr="00580C0D" w:rsidRDefault="00142E5B" w:rsidP="00580C0D">
      <w:pPr>
        <w:pStyle w:val="blokksit"/>
        <w:rPr>
          <w:rStyle w:val="kursiv"/>
        </w:rPr>
      </w:pPr>
      <w:r w:rsidRPr="00580C0D">
        <w:rPr>
          <w:rStyle w:val="kursiv"/>
        </w:rPr>
        <w:t>«Stortinget ber regjeringen utrede hvordan et voksenvaksinasjonsprogram kan gjennomføres, og komme tilbake til Stortinget på egnet måte.»</w:t>
      </w:r>
    </w:p>
    <w:p w14:paraId="73F77188" w14:textId="77777777" w:rsidR="00F7113A" w:rsidRPr="00580C0D" w:rsidRDefault="00142E5B" w:rsidP="00580C0D">
      <w:r w:rsidRPr="00580C0D">
        <w:t xml:space="preserve">Vedtak 645 og 646 ble truffet under behandlingen av Dokument 146 S (2019–2020), jf. </w:t>
      </w:r>
      <w:proofErr w:type="spellStart"/>
      <w:r w:rsidRPr="00580C0D">
        <w:t>Innst</w:t>
      </w:r>
      <w:proofErr w:type="spellEnd"/>
      <w:r w:rsidRPr="00580C0D">
        <w:t>. 211 S (2020–2021). Arbeidet er forsinket som følge av koronapandemien. Regjeringen vil komme tilbake til Stortinget på egnet måte ifb. arbeidet med å etablere et voksenvaksinasjonsprogram.</w:t>
      </w:r>
    </w:p>
    <w:p w14:paraId="76CB6457" w14:textId="77777777" w:rsidR="00F7113A" w:rsidRPr="00580C0D" w:rsidRDefault="00142E5B" w:rsidP="00580C0D">
      <w:pPr>
        <w:pStyle w:val="avsnitt-tittel"/>
      </w:pPr>
      <w:r w:rsidRPr="00580C0D">
        <w:t>Automatisk informasjonsordning</w:t>
      </w:r>
    </w:p>
    <w:p w14:paraId="73D55A35" w14:textId="77777777" w:rsidR="00F7113A" w:rsidRPr="00580C0D" w:rsidRDefault="00142E5B" w:rsidP="00580C0D">
      <w:pPr>
        <w:pStyle w:val="avsnitt-undertittel"/>
      </w:pPr>
      <w:r w:rsidRPr="00580C0D">
        <w:t>Vedtak nr. 646, 18. februar 2021</w:t>
      </w:r>
    </w:p>
    <w:p w14:paraId="5AF2A627" w14:textId="77777777" w:rsidR="00F7113A" w:rsidRPr="00580C0D" w:rsidRDefault="00142E5B" w:rsidP="00580C0D">
      <w:pPr>
        <w:pStyle w:val="blokksit"/>
        <w:rPr>
          <w:rStyle w:val="kursiv"/>
        </w:rPr>
      </w:pPr>
      <w:r w:rsidRPr="00580C0D">
        <w:rPr>
          <w:rStyle w:val="kursiv"/>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29DD0C99" w14:textId="77777777" w:rsidR="00F7113A" w:rsidRPr="00580C0D" w:rsidRDefault="00142E5B" w:rsidP="00580C0D">
      <w:r w:rsidRPr="00580C0D">
        <w:t xml:space="preserve">Vedtak 645 og 646 ble truffet under behandlingen av Dokument 146 S (2019–2020), jf. </w:t>
      </w:r>
      <w:proofErr w:type="spellStart"/>
      <w:r w:rsidRPr="00580C0D">
        <w:t>Innst</w:t>
      </w:r>
      <w:proofErr w:type="spellEnd"/>
      <w:r w:rsidRPr="00580C0D">
        <w:t>. 211 S (2020–2021). Arbeidet er forsinket som følge av koronapandemien. Regjeringen vil komme tilbake til Stortinget på egnet måte ifb. arbeidet med å etablere et voksenvaksinasjonsprogram.</w:t>
      </w:r>
    </w:p>
    <w:p w14:paraId="203908AD" w14:textId="77777777" w:rsidR="00F7113A" w:rsidRPr="00580C0D" w:rsidRDefault="00142E5B" w:rsidP="00580C0D">
      <w:pPr>
        <w:pStyle w:val="avsnitt-tittel"/>
      </w:pPr>
      <w:r w:rsidRPr="00580C0D">
        <w:t>Botilbud for personer som har kommet ut av aktiv rus</w:t>
      </w:r>
    </w:p>
    <w:p w14:paraId="470E8613" w14:textId="77777777" w:rsidR="00F7113A" w:rsidRPr="00580C0D" w:rsidRDefault="00142E5B" w:rsidP="00580C0D">
      <w:pPr>
        <w:pStyle w:val="avsnitt-undertittel"/>
      </w:pPr>
      <w:r w:rsidRPr="00580C0D">
        <w:t>Vedtak nr. 692, 25. februar 2021</w:t>
      </w:r>
    </w:p>
    <w:p w14:paraId="133A6DB5" w14:textId="77777777" w:rsidR="00F7113A" w:rsidRPr="00580C0D" w:rsidRDefault="00142E5B" w:rsidP="00580C0D">
      <w:pPr>
        <w:pStyle w:val="blokksit"/>
        <w:rPr>
          <w:rStyle w:val="kursiv"/>
        </w:rPr>
      </w:pPr>
      <w:r w:rsidRPr="00580C0D">
        <w:rPr>
          <w:rStyle w:val="kursiv"/>
        </w:rPr>
        <w:t>«Stortinget ber regjeringen sørge for at personer som har kommet ut av aktiv rus, sikres et botilbud der man ikke plasseres sammen med personer som fortsatt er i aktiv rus.»</w:t>
      </w:r>
    </w:p>
    <w:p w14:paraId="438F7452" w14:textId="77777777" w:rsidR="00F7113A" w:rsidRPr="00580C0D" w:rsidRDefault="00142E5B" w:rsidP="00580C0D">
      <w:r w:rsidRPr="00580C0D">
        <w:t xml:space="preserve">Vedtaket ble truffet ved behandling av Dokument 8:49 S (2020–2021), </w:t>
      </w:r>
      <w:proofErr w:type="spellStart"/>
      <w:r w:rsidRPr="00580C0D">
        <w:t>Innst</w:t>
      </w:r>
      <w:proofErr w:type="spellEnd"/>
      <w:r w:rsidRPr="00580C0D">
        <w:t>. 235 S (2020–2021).</w:t>
      </w:r>
    </w:p>
    <w:p w14:paraId="716E5723" w14:textId="77777777" w:rsidR="00F7113A" w:rsidRPr="00580C0D" w:rsidRDefault="00142E5B" w:rsidP="00580C0D">
      <w:r w:rsidRPr="00580C0D">
        <w:t>Anmodningsvedtaket følges opp gjennom Helse- og omsorgsdepartementets arbeid med regjeringens forebyggings- og behandlingsreform for rusfeltet. Regjeringen vil komme tilbake til Stortinget på egnet måte.</w:t>
      </w:r>
    </w:p>
    <w:p w14:paraId="3111C264" w14:textId="77777777" w:rsidR="00F7113A" w:rsidRPr="00580C0D" w:rsidRDefault="00142E5B" w:rsidP="00580C0D">
      <w:pPr>
        <w:pStyle w:val="avsnitt-tittel"/>
      </w:pPr>
      <w:r w:rsidRPr="00580C0D">
        <w:t>Finansieringsordning innen rusfeltet</w:t>
      </w:r>
    </w:p>
    <w:p w14:paraId="115B46BB" w14:textId="77777777" w:rsidR="00F7113A" w:rsidRPr="00580C0D" w:rsidRDefault="00142E5B" w:rsidP="00580C0D">
      <w:pPr>
        <w:pStyle w:val="avsnitt-undertittel"/>
      </w:pPr>
      <w:r w:rsidRPr="00580C0D">
        <w:t>Vedtak nr. 693, 25. februar 2021</w:t>
      </w:r>
    </w:p>
    <w:p w14:paraId="75B52396" w14:textId="77777777" w:rsidR="00F7113A" w:rsidRPr="00580C0D" w:rsidRDefault="00142E5B" w:rsidP="00580C0D">
      <w:pPr>
        <w:pStyle w:val="blokksit"/>
        <w:rPr>
          <w:rStyle w:val="kursiv"/>
        </w:rPr>
      </w:pPr>
      <w:r w:rsidRPr="00580C0D">
        <w:rPr>
          <w:rStyle w:val="kursiv"/>
        </w:rPr>
        <w:t>«Stortinget ber regjeringen fremme forslag til en forbedret og mer rettferdig finansieringsordning for de heldøgns omsorgs- og rehabiliteringstilbudene innen rusfeltet som ikke er å anse som en del av spesialisthelsetjenesten.»</w:t>
      </w:r>
    </w:p>
    <w:p w14:paraId="41231F6A" w14:textId="77777777" w:rsidR="00F7113A" w:rsidRPr="00580C0D" w:rsidRDefault="00142E5B" w:rsidP="00580C0D">
      <w:r w:rsidRPr="00580C0D">
        <w:t xml:space="preserve">Vedtaket ble truffet ved behandling av Dokument 8:49 S (2020–2021), </w:t>
      </w:r>
      <w:proofErr w:type="spellStart"/>
      <w:r w:rsidRPr="00580C0D">
        <w:t>Innst</w:t>
      </w:r>
      <w:proofErr w:type="spellEnd"/>
      <w:r w:rsidRPr="00580C0D">
        <w:t>. 235 S (2020–2021).</w:t>
      </w:r>
    </w:p>
    <w:p w14:paraId="7B78EAF7" w14:textId="77777777" w:rsidR="00F7113A" w:rsidRPr="00580C0D" w:rsidRDefault="00142E5B" w:rsidP="00580C0D">
      <w:r w:rsidRPr="00580C0D">
        <w:t>Anmodningsvedtaket er foreløpig fulgt opp gjennom oppdrag til Helsedirektoratet i 2022, samt ved avvikling av øremerkinger på aktuelle tilskuddsordninger i budsjettet for 2023, som har bidratt til en mer rettferdig fordeling av tilskuddsmidler. Regjeringen kommer tilbake til Stortinget på egnet måte i sammenheng med forebyggings- og behandlingsreformen for rusfeltet.</w:t>
      </w:r>
    </w:p>
    <w:p w14:paraId="68DAEE2E" w14:textId="77777777" w:rsidR="00F7113A" w:rsidRPr="00580C0D" w:rsidRDefault="00142E5B" w:rsidP="00580C0D">
      <w:pPr>
        <w:pStyle w:val="avsnitt-tittel"/>
      </w:pPr>
      <w:r w:rsidRPr="00580C0D">
        <w:t>Helhetlig og koordinert helse- og omsorgstjenestetilbud</w:t>
      </w:r>
    </w:p>
    <w:p w14:paraId="31F03CA5" w14:textId="77777777" w:rsidR="00F7113A" w:rsidRPr="00580C0D" w:rsidRDefault="00142E5B" w:rsidP="00580C0D">
      <w:pPr>
        <w:pStyle w:val="avsnitt-undertittel"/>
      </w:pPr>
      <w:r w:rsidRPr="00580C0D">
        <w:t>Vedtak nr. 702, 25. februar 2021</w:t>
      </w:r>
    </w:p>
    <w:p w14:paraId="685348ED" w14:textId="77777777" w:rsidR="00F7113A" w:rsidRPr="00580C0D" w:rsidRDefault="00142E5B" w:rsidP="00580C0D">
      <w:pPr>
        <w:pStyle w:val="blokksit"/>
        <w:rPr>
          <w:rStyle w:val="kursiv"/>
        </w:rPr>
      </w:pPr>
      <w:r w:rsidRPr="00580C0D">
        <w:rPr>
          <w:rStyle w:val="kursiv"/>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5E2194C5" w14:textId="77777777" w:rsidR="00F7113A" w:rsidRPr="00580C0D" w:rsidRDefault="00142E5B" w:rsidP="00580C0D">
      <w:r w:rsidRPr="00580C0D">
        <w:t xml:space="preserve">Vedtaket ble truffet ved behandling av Dokument 8:16 S (2020–2021), jf. </w:t>
      </w:r>
      <w:proofErr w:type="spellStart"/>
      <w:r w:rsidRPr="00580C0D">
        <w:t>Innst</w:t>
      </w:r>
      <w:proofErr w:type="spellEnd"/>
      <w:r w:rsidRPr="00580C0D">
        <w:t>. 242 S (2020–2021).</w:t>
      </w:r>
    </w:p>
    <w:p w14:paraId="49554041" w14:textId="77777777" w:rsidR="00F7113A" w:rsidRPr="00580C0D" w:rsidRDefault="00142E5B" w:rsidP="00580C0D">
      <w:r w:rsidRPr="00580C0D">
        <w:t>Arbeidet med å følge opp vedtaket har reist flere prinsipielle spørsmål. Arbeidet har derfor vært mer tidkrevende enn antatt. Lovforslag som følger opp Stortingets vedtak ble sendt på høring 20. desember 2022, med høringsfrist 20. mars 2023. Det vises også til rapportering på vedtak nr. 9 (2020–2021). Regjeringen vil komme tilbake til Stortinget på egnet måte.</w:t>
      </w:r>
    </w:p>
    <w:p w14:paraId="668ECCA9" w14:textId="77777777" w:rsidR="00F7113A" w:rsidRPr="00580C0D" w:rsidRDefault="00142E5B" w:rsidP="00580C0D">
      <w:pPr>
        <w:pStyle w:val="avsnitt-tittel"/>
      </w:pPr>
      <w:r w:rsidRPr="00580C0D">
        <w:t>Responstider, kompetanse og akuttmedisinsk utstyr</w:t>
      </w:r>
    </w:p>
    <w:p w14:paraId="0F4E6170" w14:textId="77777777" w:rsidR="00F7113A" w:rsidRPr="00580C0D" w:rsidRDefault="00142E5B" w:rsidP="00580C0D">
      <w:pPr>
        <w:pStyle w:val="avsnitt-undertittel"/>
      </w:pPr>
      <w:r w:rsidRPr="00580C0D">
        <w:t>Vedtak nr. 726, 2. mars 2021</w:t>
      </w:r>
    </w:p>
    <w:p w14:paraId="4CFCCAB2" w14:textId="77777777" w:rsidR="00F7113A" w:rsidRPr="00580C0D" w:rsidRDefault="00142E5B" w:rsidP="00580C0D">
      <w:pPr>
        <w:pStyle w:val="blokksit"/>
        <w:rPr>
          <w:rStyle w:val="kursiv"/>
        </w:rPr>
      </w:pPr>
      <w:r w:rsidRPr="00580C0D">
        <w:rPr>
          <w:rStyle w:val="kursiv"/>
        </w:rPr>
        <w:t>«Stortinget ber regjeringen forskriftsfeste responstider for ambulansetjenesten og sette en standard for kompetanse og akuttmedisinsk utstyr i ambulansebilene og på ambulansebasene.»</w:t>
      </w:r>
    </w:p>
    <w:p w14:paraId="18F8F3AC" w14:textId="77777777" w:rsidR="00F7113A" w:rsidRPr="00580C0D" w:rsidRDefault="00142E5B" w:rsidP="00580C0D">
      <w:r w:rsidRPr="00580C0D">
        <w:t xml:space="preserve">Vedtaket ble truffet ved behandlingen av Meld. St. 5 (2020–2021), jf. </w:t>
      </w:r>
      <w:proofErr w:type="spellStart"/>
      <w:r w:rsidRPr="00580C0D">
        <w:t>Innst</w:t>
      </w:r>
      <w:proofErr w:type="spellEnd"/>
      <w:r w:rsidRPr="00580C0D">
        <w:t>. 275 S (2020–2021).</w:t>
      </w:r>
    </w:p>
    <w:p w14:paraId="21A8BB45" w14:textId="77777777" w:rsidR="00F7113A" w:rsidRPr="00580C0D" w:rsidRDefault="00142E5B" w:rsidP="00580C0D">
      <w:r w:rsidRPr="00580C0D">
        <w:t>Vedtaket blir fulgt opp med oppdrag til Helsedirektoratet om å vurdere forslaget og utrede hvordan forslaget eventuelt kan innføres, slik at departementet får et tilstrekkelig beslutningsgrunnlag. Helsedirektoratet skal utrede modeller for hvordan forskriftsfesting av responstid kan innføres og konsekvensene av dette, samt foreslå funksjonskrav for kompetanse og medisinsk utstyr. Regjeringen vil komme tilbake til Stortinget på egnet måte.</w:t>
      </w:r>
    </w:p>
    <w:p w14:paraId="6124F8DE" w14:textId="77777777" w:rsidR="00F7113A" w:rsidRPr="00580C0D" w:rsidRDefault="00142E5B" w:rsidP="00580C0D">
      <w:pPr>
        <w:pStyle w:val="avsnitt-tittel"/>
      </w:pPr>
      <w:r w:rsidRPr="00580C0D">
        <w:t>Koronakommisjonen – situasjonen for kommuneoverleger og kommunale smittevernleger</w:t>
      </w:r>
    </w:p>
    <w:p w14:paraId="626C3C55" w14:textId="77777777" w:rsidR="00F7113A" w:rsidRPr="00580C0D" w:rsidRDefault="00142E5B" w:rsidP="00580C0D">
      <w:pPr>
        <w:pStyle w:val="avsnitt-undertittel"/>
      </w:pPr>
      <w:r w:rsidRPr="00580C0D">
        <w:t>Vedtak nr. 876 4. mai 2021</w:t>
      </w:r>
    </w:p>
    <w:p w14:paraId="6D5360FE" w14:textId="77777777" w:rsidR="00F7113A" w:rsidRPr="00580C0D" w:rsidRDefault="00142E5B" w:rsidP="00580C0D">
      <w:pPr>
        <w:pStyle w:val="blokksit"/>
        <w:rPr>
          <w:rStyle w:val="kursiv"/>
        </w:rPr>
      </w:pPr>
      <w:r w:rsidRPr="00580C0D">
        <w:rPr>
          <w:rStyle w:val="kursiv"/>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32BCE17E" w14:textId="77777777" w:rsidR="00F7113A" w:rsidRPr="00580C0D" w:rsidRDefault="00142E5B" w:rsidP="00580C0D">
      <w:r w:rsidRPr="00580C0D">
        <w:t>Vedtaket ble truffet under behandlingen av statsministerens redegjørelse holdt den 26. april 2021 om Koronakommisjonens rapport.</w:t>
      </w:r>
    </w:p>
    <w:p w14:paraId="132363EF" w14:textId="77777777" w:rsidR="00F7113A" w:rsidRPr="00580C0D" w:rsidRDefault="00142E5B" w:rsidP="00580C0D">
      <w:r w:rsidRPr="00580C0D">
        <w:t xml:space="preserve">Regjeringens arbeid med å styrke kommuneoverlegefunksjonen er omtalt i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Regjeringen vil vurdere hvordan kommunenes samfunnsmedisinske ansvar kan ivaretas ved interkommunale løsninger og tiltak for å styrke samfunnsmedisinsk kompetanse, endre benevnelsen kommunelege til kommuneoverlege, og utarbeide en nasjonal veileder for de samfunnsmedisinske oppgavene til kommunene og for oppgavene og funksjonene til kommuneoverlegen. Regjeringen vil komme tilbake til Stortinget på egnet måte.</w:t>
      </w:r>
    </w:p>
    <w:p w14:paraId="4FBD9466" w14:textId="77777777" w:rsidR="00F7113A" w:rsidRPr="00580C0D" w:rsidRDefault="00142E5B" w:rsidP="00580C0D">
      <w:pPr>
        <w:pStyle w:val="avsnitt-tittel"/>
      </w:pPr>
      <w:r w:rsidRPr="00580C0D">
        <w:t>Eldrevoldssaker – nasjonale retningslinjer</w:t>
      </w:r>
    </w:p>
    <w:p w14:paraId="36F2FF52" w14:textId="77777777" w:rsidR="00F7113A" w:rsidRPr="00580C0D" w:rsidRDefault="00142E5B" w:rsidP="00580C0D">
      <w:pPr>
        <w:pStyle w:val="avsnitt-undertittel"/>
      </w:pPr>
      <w:r w:rsidRPr="00580C0D">
        <w:t>Vedtak nr. 986, 25. mai 2021</w:t>
      </w:r>
    </w:p>
    <w:p w14:paraId="2339C6B5" w14:textId="77777777" w:rsidR="00F7113A" w:rsidRPr="00580C0D" w:rsidRDefault="00142E5B" w:rsidP="00580C0D">
      <w:pPr>
        <w:pStyle w:val="blokksit"/>
        <w:rPr>
          <w:rStyle w:val="kursiv"/>
        </w:rPr>
      </w:pPr>
      <w:r w:rsidRPr="00580C0D">
        <w:rPr>
          <w:rStyle w:val="kursiv"/>
        </w:rPr>
        <w:t>«Stortinget ber regjeringen etablere nasjonale retningslinjer for utredning og håndtering av eldrevoldssaker.»</w:t>
      </w:r>
    </w:p>
    <w:p w14:paraId="7A88C007" w14:textId="77777777" w:rsidR="00F7113A" w:rsidRPr="00580C0D" w:rsidRDefault="00142E5B" w:rsidP="00580C0D">
      <w:r w:rsidRPr="00580C0D">
        <w:t xml:space="preserve">Vedtaket ble truffet ved behandling av Dokument 8:218 S (2020–2021), jf. </w:t>
      </w:r>
      <w:proofErr w:type="spellStart"/>
      <w:r w:rsidRPr="00580C0D">
        <w:t>Innst</w:t>
      </w:r>
      <w:proofErr w:type="spellEnd"/>
      <w:r w:rsidRPr="00580C0D">
        <w:t>. 485 S (2020–2021).</w:t>
      </w:r>
    </w:p>
    <w:p w14:paraId="6B3BC82C" w14:textId="77777777" w:rsidR="00F7113A" w:rsidRPr="00580C0D" w:rsidRDefault="00142E5B" w:rsidP="00580C0D">
      <w:r w:rsidRPr="00580C0D">
        <w:t>Helsedirektoratet leverte i september 2023 en helhetlig vurdering og prioritering av hvilke tiltak som bidrar til å styrke innsatsen for å forebygge, avdekke, avverge og håndtere eldrevold i omsorgssektoren. Direktoratet har vurdert ev. etablering av nasjonale faglige retningslinjer eller vurdere andre normerende virkemidler for utredning og håndtering av eldrevoldssaker. Helse- og omsorgsdepartementet vurderer videre oppfølging. Regjeringen vil komme tilbake til Stortinget på egnet måte.</w:t>
      </w:r>
    </w:p>
    <w:p w14:paraId="6F7B3518" w14:textId="77777777" w:rsidR="00F7113A" w:rsidRPr="00580C0D" w:rsidRDefault="00142E5B" w:rsidP="00580C0D">
      <w:pPr>
        <w:pStyle w:val="avsnitt-tittel"/>
      </w:pPr>
      <w:r w:rsidRPr="00580C0D">
        <w:t>Eldrevoldssaker – meldeplikt</w:t>
      </w:r>
    </w:p>
    <w:p w14:paraId="64B0D653" w14:textId="77777777" w:rsidR="00F7113A" w:rsidRPr="00580C0D" w:rsidRDefault="00142E5B" w:rsidP="00580C0D">
      <w:pPr>
        <w:pStyle w:val="avsnitt-undertittel"/>
      </w:pPr>
      <w:r w:rsidRPr="00580C0D">
        <w:t>Vedtak nr. 987, 25. mai 2021</w:t>
      </w:r>
    </w:p>
    <w:p w14:paraId="6F1B0AB0" w14:textId="77777777" w:rsidR="00F7113A" w:rsidRPr="00580C0D" w:rsidRDefault="00142E5B" w:rsidP="00580C0D">
      <w:pPr>
        <w:pStyle w:val="blokksit"/>
        <w:rPr>
          <w:rStyle w:val="kursiv"/>
        </w:rPr>
      </w:pPr>
      <w:r w:rsidRPr="00580C0D">
        <w:rPr>
          <w:rStyle w:val="kursiv"/>
        </w:rPr>
        <w:t>«Stortinget ber regjeringen etablere meldeplikt til tilsynsmyndighetene når det er grunn til å tro at eldre blir utsatt for vold og overgrep.»</w:t>
      </w:r>
    </w:p>
    <w:p w14:paraId="7B75E849" w14:textId="77777777" w:rsidR="00F7113A" w:rsidRPr="00580C0D" w:rsidRDefault="00142E5B" w:rsidP="00580C0D">
      <w:r w:rsidRPr="00580C0D">
        <w:t xml:space="preserve">Vedtaket ble truffet ved behandling av Dokument 8:218 S (2020–2021), jf. </w:t>
      </w:r>
      <w:proofErr w:type="spellStart"/>
      <w:r w:rsidRPr="00580C0D">
        <w:t>Innst</w:t>
      </w:r>
      <w:proofErr w:type="spellEnd"/>
      <w:r w:rsidRPr="00580C0D">
        <w:t>. 485 S (2020–2021).</w:t>
      </w:r>
    </w:p>
    <w:p w14:paraId="755D3D84" w14:textId="77777777" w:rsidR="00F7113A" w:rsidRPr="00580C0D" w:rsidRDefault="00142E5B" w:rsidP="00580C0D">
      <w:r w:rsidRPr="00580C0D">
        <w:t>Helsedirektoratet leverte i september 2023 en helhetlig vurdering og prioritering av hvilke tiltak som bidrar til å styrke innsatsen for å forebygge, avdekke, avverge og håndtere eldrevold i omsorgssektoren. Direktoratet har gjennomgått dagens virkemidler og prosedyrer for utredning og håndtering av saker der det er grunn til å tro at eldre blir utsatt for vold og overgrep og vurdere effektive meldesystemer for å ivareta behovet for oppfølging fra tilsynsmyndighetene. Helse- og omsorgsdepartementet vurderer videre oppfølging. Regjeringen vil komme tilbake til Stortinget på egnet måte.</w:t>
      </w:r>
    </w:p>
    <w:p w14:paraId="150DDAAE" w14:textId="77777777" w:rsidR="00F7113A" w:rsidRPr="00580C0D" w:rsidRDefault="00142E5B" w:rsidP="00580C0D">
      <w:pPr>
        <w:pStyle w:val="avsnitt-tittel"/>
      </w:pPr>
      <w:r w:rsidRPr="00580C0D">
        <w:t>Legemiddelloven – narkotika til eget bruk</w:t>
      </w:r>
    </w:p>
    <w:p w14:paraId="4F8B0413" w14:textId="77777777" w:rsidR="00F7113A" w:rsidRPr="00580C0D" w:rsidRDefault="00142E5B" w:rsidP="00580C0D">
      <w:pPr>
        <w:pStyle w:val="avsnitt-undertittel"/>
      </w:pPr>
      <w:r w:rsidRPr="00580C0D">
        <w:t>Vedtak nr. 1114, 3. juni 2021</w:t>
      </w:r>
    </w:p>
    <w:p w14:paraId="232835F4" w14:textId="77777777" w:rsidR="00F7113A" w:rsidRPr="00580C0D" w:rsidRDefault="00142E5B" w:rsidP="00580C0D">
      <w:pPr>
        <w:pStyle w:val="blokksit"/>
        <w:rPr>
          <w:rStyle w:val="kursiv"/>
        </w:rPr>
      </w:pPr>
      <w:r w:rsidRPr="00580C0D">
        <w:rPr>
          <w:rStyle w:val="kursiv"/>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58AA9E71" w14:textId="77777777" w:rsidR="00F7113A" w:rsidRPr="00580C0D" w:rsidRDefault="00142E5B" w:rsidP="00580C0D">
      <w:r w:rsidRPr="00580C0D">
        <w:t xml:space="preserve">Vedtaket ble truffet ved første behandling av </w:t>
      </w:r>
      <w:proofErr w:type="spellStart"/>
      <w:r w:rsidRPr="00580C0D">
        <w:t>Prop</w:t>
      </w:r>
      <w:proofErr w:type="spellEnd"/>
      <w:r w:rsidRPr="00580C0D">
        <w:t xml:space="preserve">. 92 L (2020–2021), jf. </w:t>
      </w:r>
      <w:proofErr w:type="spellStart"/>
      <w:r w:rsidRPr="00580C0D">
        <w:t>Innst</w:t>
      </w:r>
      <w:proofErr w:type="spellEnd"/>
      <w:r w:rsidRPr="00580C0D">
        <w:t>. 612 L (2020–2021).</w:t>
      </w:r>
    </w:p>
    <w:p w14:paraId="248D35DC" w14:textId="77777777" w:rsidR="00F7113A" w:rsidRPr="00580C0D" w:rsidRDefault="00142E5B" w:rsidP="00580C0D">
      <w:r w:rsidRPr="00580C0D">
        <w:t xml:space="preserve">Anmodningsvedtaket følges opp gjennom regjeringens arbeid med stortingsmeldingen om en forebyggings- og behandlingsreform for rusfeltet. Regjeringen vil komme tilbake til Stortinget med forslag knyttet til endringer i legemiddelloven § 31 annet ledd, </w:t>
      </w:r>
      <w:proofErr w:type="gramStart"/>
      <w:r w:rsidRPr="00580C0D">
        <w:t>vedrørende</w:t>
      </w:r>
      <w:proofErr w:type="gramEnd"/>
      <w:r w:rsidRPr="00580C0D">
        <w:t xml:space="preserve"> strafferammen for overtredelse av legemiddelloven § 24 første ledd. Regjeringen vil og vurdere eventuelle avbøtende tiltak for konsekvenser av endringer i lov. Regjeringen vil komme tilbake til Stortinget på egnet måte.</w:t>
      </w:r>
    </w:p>
    <w:p w14:paraId="58580679" w14:textId="77777777" w:rsidR="00F7113A" w:rsidRPr="00580C0D" w:rsidRDefault="00142E5B" w:rsidP="00580C0D">
      <w:pPr>
        <w:pStyle w:val="avsnitt-tittel"/>
      </w:pPr>
      <w:proofErr w:type="spellStart"/>
      <w:r w:rsidRPr="00580C0D">
        <w:t>Ettervernsreform</w:t>
      </w:r>
      <w:proofErr w:type="spellEnd"/>
      <w:r w:rsidRPr="00580C0D">
        <w:t xml:space="preserve"> for rusavhengige</w:t>
      </w:r>
    </w:p>
    <w:p w14:paraId="43FD29B9" w14:textId="77777777" w:rsidR="00F7113A" w:rsidRPr="00580C0D" w:rsidRDefault="00142E5B" w:rsidP="00580C0D">
      <w:pPr>
        <w:pStyle w:val="avsnitt-undertittel"/>
      </w:pPr>
      <w:r w:rsidRPr="00580C0D">
        <w:t>Vedtak nr. 1122, 3. juni 2021</w:t>
      </w:r>
    </w:p>
    <w:p w14:paraId="623668E9" w14:textId="77777777" w:rsidR="00F7113A" w:rsidRPr="00580C0D" w:rsidRDefault="00142E5B" w:rsidP="00580C0D">
      <w:pPr>
        <w:pStyle w:val="blokksit"/>
        <w:rPr>
          <w:rStyle w:val="kursiv"/>
        </w:rPr>
      </w:pPr>
      <w:r w:rsidRPr="00580C0D">
        <w:rPr>
          <w:rStyle w:val="kursiv"/>
        </w:rPr>
        <w:t xml:space="preserve">«Stortinget ber regjeringen komme tilbake til Stortinget med en </w:t>
      </w:r>
      <w:proofErr w:type="spellStart"/>
      <w:r w:rsidRPr="00580C0D">
        <w:rPr>
          <w:rStyle w:val="kursiv"/>
        </w:rPr>
        <w:t>ettervernsreform</w:t>
      </w:r>
      <w:proofErr w:type="spellEnd"/>
      <w:r w:rsidRPr="00580C0D">
        <w:rPr>
          <w:rStyle w:val="kursiv"/>
        </w:rPr>
        <w:t xml:space="preserve"> der rusavhengige blir fulgt opp på en systematisk måte etter behandlings- og fengselsopphold, herunder sikre boforhold og oppfølging som forebygger at de faller tilbake til rusmiljøet.»</w:t>
      </w:r>
    </w:p>
    <w:p w14:paraId="5C639027" w14:textId="77777777" w:rsidR="00F7113A" w:rsidRPr="00580C0D" w:rsidRDefault="00142E5B" w:rsidP="00580C0D">
      <w:r w:rsidRPr="00580C0D">
        <w:t xml:space="preserve">Vedtaket ble truffet ved behandling av Dokument 8:119 S (2020–2021), jf. </w:t>
      </w:r>
      <w:proofErr w:type="spellStart"/>
      <w:r w:rsidRPr="00580C0D">
        <w:t>Innst</w:t>
      </w:r>
      <w:proofErr w:type="spellEnd"/>
      <w:r w:rsidRPr="00580C0D">
        <w:t>. 578 S (2020–2021).</w:t>
      </w:r>
    </w:p>
    <w:p w14:paraId="729E1C61" w14:textId="77777777" w:rsidR="00F7113A" w:rsidRPr="00580C0D" w:rsidRDefault="00142E5B" w:rsidP="00580C0D">
      <w:r w:rsidRPr="00580C0D">
        <w:t>Anmodningsvedtaket følges opp gjennom Helse- og omsorgsdepartementets arbeid med regjeringens forebyggings- og behandlingsreform for rusfeltet. Regjeringen vil komme tilbake til Stortinget på egnet måte.</w:t>
      </w:r>
    </w:p>
    <w:p w14:paraId="36B3AAE0" w14:textId="77777777" w:rsidR="00F7113A" w:rsidRPr="00580C0D" w:rsidRDefault="00142E5B" w:rsidP="00580C0D">
      <w:pPr>
        <w:pStyle w:val="avsnitt-tittel"/>
      </w:pPr>
      <w:r w:rsidRPr="00580C0D">
        <w:t>Evaluering av de regionale odontologiske kompetansesentrene</w:t>
      </w:r>
    </w:p>
    <w:p w14:paraId="25AF341C" w14:textId="77777777" w:rsidR="00F7113A" w:rsidRPr="00580C0D" w:rsidRDefault="00142E5B" w:rsidP="00580C0D">
      <w:pPr>
        <w:pStyle w:val="avsnitt-undertittel"/>
      </w:pPr>
      <w:r w:rsidRPr="00580C0D">
        <w:t>Vedtak nr. 1164, 8. juni 2021</w:t>
      </w:r>
    </w:p>
    <w:p w14:paraId="4D6EDCC1" w14:textId="77777777" w:rsidR="00F7113A" w:rsidRPr="00580C0D" w:rsidRDefault="00142E5B" w:rsidP="00580C0D">
      <w:pPr>
        <w:pStyle w:val="blokksit"/>
        <w:rPr>
          <w:rStyle w:val="kursiv"/>
        </w:rPr>
      </w:pPr>
      <w:r w:rsidRPr="00580C0D">
        <w:rPr>
          <w:rStyle w:val="kursiv"/>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3117B600" w14:textId="77777777" w:rsidR="00F7113A" w:rsidRPr="00580C0D" w:rsidRDefault="00142E5B" w:rsidP="00580C0D">
      <w:r w:rsidRPr="00580C0D">
        <w:t xml:space="preserve">Vedtaket ble truffet ved behandling av Dokument 8:200 S (2020–2021), jf. </w:t>
      </w:r>
      <w:proofErr w:type="spellStart"/>
      <w:r w:rsidRPr="00580C0D">
        <w:t>Innst</w:t>
      </w:r>
      <w:proofErr w:type="spellEnd"/>
      <w:r w:rsidRPr="00580C0D">
        <w:t>. 540 S (2020–2021).</w:t>
      </w:r>
    </w:p>
    <w:p w14:paraId="75ADE853" w14:textId="77777777" w:rsidR="00F7113A" w:rsidRPr="00580C0D" w:rsidRDefault="00142E5B" w:rsidP="00580C0D">
      <w:r w:rsidRPr="00580C0D">
        <w:t xml:space="preserve">Evalueringen av de regionale odontologiske kompetansesentrene utføres av </w:t>
      </w:r>
      <w:proofErr w:type="spellStart"/>
      <w:r w:rsidRPr="00580C0D">
        <w:t>PwC</w:t>
      </w:r>
      <w:proofErr w:type="spellEnd"/>
      <w:r w:rsidRPr="00580C0D">
        <w:t xml:space="preserve"> på oppdrag fra departementet. Forventet leveranse på oppdraget er høsten 2023. Regjeringen vil komme tilbake til Stortinget på egnet måte.</w:t>
      </w:r>
    </w:p>
    <w:p w14:paraId="2BB6BF8D" w14:textId="77777777" w:rsidR="00F7113A" w:rsidRPr="00580C0D" w:rsidRDefault="00142E5B" w:rsidP="00580C0D">
      <w:pPr>
        <w:pStyle w:val="avsnitt-tittel"/>
      </w:pPr>
      <w:r w:rsidRPr="00580C0D">
        <w:t>WHO – tilgang til effektive antibiotika</w:t>
      </w:r>
    </w:p>
    <w:p w14:paraId="1CDF4064" w14:textId="77777777" w:rsidR="00F7113A" w:rsidRPr="00580C0D" w:rsidRDefault="00142E5B" w:rsidP="00580C0D">
      <w:pPr>
        <w:pStyle w:val="avsnitt-undertittel"/>
      </w:pPr>
      <w:r w:rsidRPr="00580C0D">
        <w:t>Vedtak nr. 1170, 8. juni 2021</w:t>
      </w:r>
    </w:p>
    <w:p w14:paraId="3BB610B3" w14:textId="77777777" w:rsidR="00F7113A" w:rsidRPr="00580C0D" w:rsidRDefault="00142E5B" w:rsidP="00580C0D">
      <w:pPr>
        <w:pStyle w:val="blokksit"/>
        <w:rPr>
          <w:rStyle w:val="kursiv"/>
        </w:rPr>
      </w:pPr>
      <w:r w:rsidRPr="00580C0D">
        <w:rPr>
          <w:rStyle w:val="kursiv"/>
        </w:rPr>
        <w:t xml:space="preserve">«Stortinget ber regjeringen inkludere tilgang til effektive antibiotika i arbeidet med å utarbeide en traktat for helseberedskap i regi av WHO. Stortinget ber regjeringen vurdere om </w:t>
      </w:r>
      <w:proofErr w:type="spellStart"/>
      <w:r w:rsidRPr="00580C0D">
        <w:rPr>
          <w:rStyle w:val="kursiv"/>
        </w:rPr>
        <w:t>antibiotikaresistens</w:t>
      </w:r>
      <w:proofErr w:type="spellEnd"/>
      <w:r w:rsidRPr="00580C0D">
        <w:rPr>
          <w:rStyle w:val="kursiv"/>
        </w:rPr>
        <w:t xml:space="preserve"> egner seg for behandling under denne traktaten, og alternativt komme tilbake til Stortinget med forslag til videre oppfølging av </w:t>
      </w:r>
      <w:proofErr w:type="spellStart"/>
      <w:r w:rsidRPr="00580C0D">
        <w:rPr>
          <w:rStyle w:val="kursiv"/>
        </w:rPr>
        <w:t>antibiotikaresistens</w:t>
      </w:r>
      <w:proofErr w:type="spellEnd"/>
      <w:r w:rsidRPr="00580C0D">
        <w:rPr>
          <w:rStyle w:val="kursiv"/>
        </w:rPr>
        <w:t xml:space="preserve"> i WHO.»</w:t>
      </w:r>
    </w:p>
    <w:p w14:paraId="52AB6ABC" w14:textId="77777777" w:rsidR="00F7113A" w:rsidRPr="00580C0D" w:rsidRDefault="00142E5B" w:rsidP="00580C0D">
      <w:r w:rsidRPr="00580C0D">
        <w:t xml:space="preserve">Vedtaket ble truffet ved behandling av Dokument 8:200 S (2020–2021), jf. </w:t>
      </w:r>
      <w:proofErr w:type="spellStart"/>
      <w:r w:rsidRPr="00580C0D">
        <w:t>Innst</w:t>
      </w:r>
      <w:proofErr w:type="spellEnd"/>
      <w:r w:rsidRPr="00580C0D">
        <w:t>. 540 S (2020–2021).</w:t>
      </w:r>
    </w:p>
    <w:p w14:paraId="152A819F" w14:textId="77777777" w:rsidR="00F7113A" w:rsidRPr="00580C0D" w:rsidRDefault="00142E5B" w:rsidP="00580C0D">
      <w:r w:rsidRPr="00580C0D">
        <w:t xml:space="preserve">Vedtaket er fulgt opp i arbeidet med Nasjonal strategi mot </w:t>
      </w:r>
      <w:proofErr w:type="spellStart"/>
      <w:r w:rsidRPr="00580C0D">
        <w:t>antibiotikaresistens</w:t>
      </w:r>
      <w:proofErr w:type="spellEnd"/>
      <w:r w:rsidRPr="00580C0D">
        <w:t xml:space="preserve">. Strategien skal revideres, og internasjonalt samarbeid vil inngå. </w:t>
      </w:r>
      <w:proofErr w:type="spellStart"/>
      <w:r w:rsidRPr="00580C0D">
        <w:t>Antibiotikaresistens</w:t>
      </w:r>
      <w:proofErr w:type="spellEnd"/>
      <w:r w:rsidRPr="00580C0D">
        <w:t xml:space="preserve"> er et felt hvor internasjonalt samarbeid er avgjørende for mulighetene til å lykkes nasjonalt. De mellomstatlige diskusjonene i WHO om utvikling av et bindende internasjonalt regelverk for helseberedskap er pågående. Tiltak som kan ha positiv virkning også på effektiv tilgang til antibiotika er blant temaene som behandles. I 2024 vil det også avholdes et eget høynivåmøte i FNs generalforsamling om </w:t>
      </w:r>
      <w:proofErr w:type="spellStart"/>
      <w:r w:rsidRPr="00580C0D">
        <w:t>antibiotikaresistens</w:t>
      </w:r>
      <w:proofErr w:type="spellEnd"/>
      <w:r w:rsidRPr="00580C0D">
        <w:t>. Anmodningsvedtaket anses som fulgt opp.</w:t>
      </w:r>
    </w:p>
    <w:p w14:paraId="1ABB63A4" w14:textId="77777777" w:rsidR="00F7113A" w:rsidRPr="00580C0D" w:rsidRDefault="00142E5B" w:rsidP="00580C0D">
      <w:pPr>
        <w:pStyle w:val="Overskrift2"/>
      </w:pPr>
      <w:r w:rsidRPr="00580C0D">
        <w:t>Stortingssesjon 2019–2020</w:t>
      </w:r>
    </w:p>
    <w:p w14:paraId="21EA4ADE" w14:textId="77777777" w:rsidR="00F7113A" w:rsidRPr="00580C0D" w:rsidRDefault="00142E5B" w:rsidP="00580C0D">
      <w:pPr>
        <w:pStyle w:val="avsnitt-tittel"/>
      </w:pPr>
      <w:r w:rsidRPr="00580C0D">
        <w:t>Prøveprosjekt der helsesykepleiere henviser til BUP</w:t>
      </w:r>
    </w:p>
    <w:p w14:paraId="3446FAA5" w14:textId="77777777" w:rsidR="00F7113A" w:rsidRPr="00580C0D" w:rsidRDefault="00142E5B" w:rsidP="00580C0D">
      <w:pPr>
        <w:pStyle w:val="avsnitt-undertittel"/>
      </w:pPr>
      <w:r w:rsidRPr="00580C0D">
        <w:t>Vedtak nr. 347, 4. februar 2020</w:t>
      </w:r>
    </w:p>
    <w:p w14:paraId="220A572C" w14:textId="77777777" w:rsidR="00F7113A" w:rsidRPr="00580C0D" w:rsidRDefault="00142E5B" w:rsidP="00580C0D">
      <w:pPr>
        <w:pStyle w:val="blokksit"/>
        <w:rPr>
          <w:rStyle w:val="kursiv"/>
        </w:rPr>
      </w:pPr>
      <w:r w:rsidRPr="00580C0D">
        <w:rPr>
          <w:rStyle w:val="kursiv"/>
        </w:rPr>
        <w:t>«Stortinget ber regjeringen gjennomføre et prøveprosjekt der helsesykepleiere kan henvise barn og unge til Barne- og ungdomspsykiatrien (BUP).»</w:t>
      </w:r>
    </w:p>
    <w:p w14:paraId="01BEF48D"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121 S (2018–2019), jf. </w:t>
      </w:r>
      <w:proofErr w:type="spellStart"/>
      <w:r w:rsidRPr="00580C0D">
        <w:t>Innst</w:t>
      </w:r>
      <w:proofErr w:type="spellEnd"/>
      <w:r w:rsidRPr="00580C0D">
        <w:t>. 131 S (2019–2020).</w:t>
      </w:r>
    </w:p>
    <w:p w14:paraId="15B8763B" w14:textId="77777777" w:rsidR="00F7113A" w:rsidRPr="00580C0D" w:rsidRDefault="00142E5B" w:rsidP="00580C0D">
      <w:r w:rsidRPr="00580C0D">
        <w:t>Regjeringen vil komme tilbake til Stortinget på egnet måte.</w:t>
      </w:r>
    </w:p>
    <w:p w14:paraId="609C60F8" w14:textId="77777777" w:rsidR="00F7113A" w:rsidRPr="00580C0D" w:rsidRDefault="00142E5B" w:rsidP="00580C0D">
      <w:pPr>
        <w:pStyle w:val="avsnitt-tittel"/>
      </w:pPr>
      <w:r w:rsidRPr="00580C0D">
        <w:t>Utredning av markedet for genetisk selvtesting</w:t>
      </w:r>
    </w:p>
    <w:p w14:paraId="6A40E907" w14:textId="77777777" w:rsidR="00F7113A" w:rsidRPr="00580C0D" w:rsidRDefault="00142E5B" w:rsidP="00580C0D">
      <w:pPr>
        <w:pStyle w:val="avsnitt-undertittel"/>
      </w:pPr>
      <w:r w:rsidRPr="00580C0D">
        <w:t>Vedtak nr. 611, 26. mai 2020</w:t>
      </w:r>
    </w:p>
    <w:p w14:paraId="573890B3" w14:textId="77777777" w:rsidR="00F7113A" w:rsidRPr="00580C0D" w:rsidRDefault="00142E5B" w:rsidP="00580C0D">
      <w:pPr>
        <w:pStyle w:val="blokksit"/>
        <w:rPr>
          <w:rStyle w:val="kursiv"/>
        </w:rPr>
      </w:pPr>
      <w:r w:rsidRPr="00580C0D">
        <w:rPr>
          <w:rStyle w:val="kursiv"/>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30141718" w14:textId="77777777" w:rsidR="00F7113A" w:rsidRPr="00580C0D" w:rsidRDefault="00142E5B" w:rsidP="00580C0D">
      <w:r w:rsidRPr="00580C0D">
        <w:t xml:space="preserve">Vedtaket ble truffet ved Stortingets behandling av </w:t>
      </w:r>
      <w:proofErr w:type="spellStart"/>
      <w:r w:rsidRPr="00580C0D">
        <w:t>Prop</w:t>
      </w:r>
      <w:proofErr w:type="spellEnd"/>
      <w:r w:rsidRPr="00580C0D">
        <w:t xml:space="preserve">. 34 L (2019–2020), jf. </w:t>
      </w:r>
      <w:proofErr w:type="spellStart"/>
      <w:r w:rsidRPr="00580C0D">
        <w:t>Innst</w:t>
      </w:r>
      <w:proofErr w:type="spellEnd"/>
      <w:r w:rsidRPr="00580C0D">
        <w:t>. 296 L (2019–2020).</w:t>
      </w:r>
    </w:p>
    <w:p w14:paraId="0DC6B50F" w14:textId="77777777" w:rsidR="00F7113A" w:rsidRPr="00580C0D" w:rsidRDefault="00142E5B" w:rsidP="00580C0D">
      <w:r w:rsidRPr="00580C0D">
        <w:t xml:space="preserve">På oppdrag fra departementet, utredet Helsedirektoratet markedet for genetisk selvtesting som beskrevet i dette vedtaket. Utredningen ble presentert 17. desember 2021 i rapporten: </w:t>
      </w:r>
      <w:r w:rsidRPr="00580C0D">
        <w:rPr>
          <w:rStyle w:val="kursiv"/>
        </w:rPr>
        <w:t>Regulering av genetiske selvtester. Utredning av markedet for genetiske selvtester og av forslag til lovendringer som sikrer at testing av barn utenfor helsetjenesten blir forbudt. Svar på tilleggsoppdrag nr. 50 til tildelingsbrev for 2020, punkt 2.4.</w:t>
      </w:r>
      <w:r w:rsidRPr="00580C0D">
        <w:t xml:space="preserve"> Med utgangspunkt i direktoratets utredning, sendte departementet 28. februar i år på høring forslag til endringer i bioteknologiloven med et forslag til forbud mot genetisk testing av barn utenfor helsetjenesten.</w:t>
      </w:r>
    </w:p>
    <w:p w14:paraId="1B1CC2EA" w14:textId="77777777" w:rsidR="00F7113A" w:rsidRPr="00580C0D" w:rsidRDefault="00142E5B" w:rsidP="00580C0D">
      <w:r w:rsidRPr="00580C0D">
        <w:t>Regjeringen vil komme tilbake til Stortinget på egnet måte.</w:t>
      </w:r>
    </w:p>
    <w:p w14:paraId="396E42E8" w14:textId="77777777" w:rsidR="00F7113A" w:rsidRPr="00580C0D" w:rsidRDefault="00142E5B" w:rsidP="00580C0D">
      <w:pPr>
        <w:pStyle w:val="avsnitt-tittel"/>
      </w:pPr>
      <w:r w:rsidRPr="00580C0D">
        <w:t>Forbud genetisk testing av barn</w:t>
      </w:r>
    </w:p>
    <w:p w14:paraId="56098516" w14:textId="77777777" w:rsidR="00F7113A" w:rsidRPr="00580C0D" w:rsidRDefault="00142E5B" w:rsidP="00580C0D">
      <w:pPr>
        <w:pStyle w:val="avsnitt-undertittel"/>
      </w:pPr>
      <w:r w:rsidRPr="00580C0D">
        <w:t>Vedtak nr. 612, 26. mai 2020</w:t>
      </w:r>
    </w:p>
    <w:p w14:paraId="46438FC8" w14:textId="77777777" w:rsidR="00F7113A" w:rsidRPr="00580C0D" w:rsidRDefault="00142E5B" w:rsidP="00580C0D">
      <w:pPr>
        <w:pStyle w:val="blokksit"/>
        <w:rPr>
          <w:rStyle w:val="kursiv"/>
        </w:rPr>
      </w:pPr>
      <w:r w:rsidRPr="00580C0D">
        <w:rPr>
          <w:rStyle w:val="kursiv"/>
        </w:rPr>
        <w:t>«Stortinget ber regjeringen fremme lovforslag som sikrer at genetisk testing av barn utenfor helsetjenesten er forbudt.»</w:t>
      </w:r>
    </w:p>
    <w:p w14:paraId="28EFCFFD" w14:textId="77777777" w:rsidR="00F7113A" w:rsidRPr="00580C0D" w:rsidRDefault="00142E5B" w:rsidP="00580C0D">
      <w:r w:rsidRPr="00580C0D">
        <w:t xml:space="preserve">Vedtaket ble truffet ved Stortingets behandling av </w:t>
      </w:r>
      <w:proofErr w:type="spellStart"/>
      <w:r w:rsidRPr="00580C0D">
        <w:t>Prop</w:t>
      </w:r>
      <w:proofErr w:type="spellEnd"/>
      <w:r w:rsidRPr="00580C0D">
        <w:t xml:space="preserve">. 34 L (2019–2020), jf. </w:t>
      </w:r>
      <w:proofErr w:type="spellStart"/>
      <w:r w:rsidRPr="00580C0D">
        <w:t>Innst</w:t>
      </w:r>
      <w:proofErr w:type="spellEnd"/>
      <w:r w:rsidRPr="00580C0D">
        <w:t>. 296 L (2019–2020).</w:t>
      </w:r>
    </w:p>
    <w:p w14:paraId="130AD8B5" w14:textId="77777777" w:rsidR="00F7113A" w:rsidRPr="00580C0D" w:rsidRDefault="00142E5B" w:rsidP="00580C0D">
      <w:r w:rsidRPr="00580C0D">
        <w:t xml:space="preserve">På oppdrag fra departementet, utredet Helsedirektoratet markedet for genetisk selvtesting som beskrevet i vedtak 611. Utredningen ble presentert 17. desember 2021 i rapporten: </w:t>
      </w:r>
      <w:r w:rsidRPr="00580C0D">
        <w:rPr>
          <w:rStyle w:val="kursiv"/>
        </w:rPr>
        <w:t>Regulering av genetiske selvtester. Utredning av markedet for genetiske selvtester og av forslag til lovendringer som sikrer at testing av barn utenfor helsetjenesten blir forbudt. Svar på tilleggsoppdrag nr. 50 til tildelingsbrev for 2020, punkt 2.4.</w:t>
      </w:r>
    </w:p>
    <w:p w14:paraId="22284949" w14:textId="77777777" w:rsidR="00F7113A" w:rsidRPr="00580C0D" w:rsidRDefault="00142E5B" w:rsidP="00580C0D">
      <w:r w:rsidRPr="00580C0D">
        <w:t>Med utgangspunkt i direktoratets utredning, sendte departementet 28. februar i år på høring forslag til endringer i bioteknologiloven med et forslag til forbud mot genetisk testing av barn utenfor helsetjenesten.</w:t>
      </w:r>
    </w:p>
    <w:p w14:paraId="7E902B77" w14:textId="77777777" w:rsidR="00F7113A" w:rsidRPr="00580C0D" w:rsidRDefault="00142E5B" w:rsidP="00580C0D">
      <w:r w:rsidRPr="00580C0D">
        <w:t>Regjeringen vil komme tilbake til Stortinget på egnet måte.</w:t>
      </w:r>
    </w:p>
    <w:p w14:paraId="7BE06C0A" w14:textId="77777777" w:rsidR="00F7113A" w:rsidRPr="00580C0D" w:rsidRDefault="00142E5B" w:rsidP="00580C0D">
      <w:pPr>
        <w:pStyle w:val="avsnitt-tittel"/>
      </w:pPr>
      <w:r w:rsidRPr="00580C0D">
        <w:t>Preimplantasjonsdiagnostikk</w:t>
      </w:r>
    </w:p>
    <w:p w14:paraId="6B9DA68E" w14:textId="77777777" w:rsidR="00F7113A" w:rsidRPr="00580C0D" w:rsidRDefault="00142E5B" w:rsidP="00580C0D">
      <w:pPr>
        <w:pStyle w:val="avsnitt-undertittel"/>
      </w:pPr>
      <w:r w:rsidRPr="00580C0D">
        <w:t>Vedtak nr. 616, 8. juni 2020</w:t>
      </w:r>
    </w:p>
    <w:p w14:paraId="1A0B7738" w14:textId="77777777" w:rsidR="00F7113A" w:rsidRPr="00580C0D" w:rsidRDefault="00142E5B" w:rsidP="00580C0D">
      <w:pPr>
        <w:pStyle w:val="blokksit"/>
        <w:rPr>
          <w:rStyle w:val="kursiv"/>
        </w:rPr>
      </w:pPr>
      <w:r w:rsidRPr="00580C0D">
        <w:rPr>
          <w:rStyle w:val="kursiv"/>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44E96CE5" w14:textId="77777777" w:rsidR="00F7113A" w:rsidRPr="00580C0D" w:rsidRDefault="00142E5B" w:rsidP="00580C0D">
      <w:r w:rsidRPr="00580C0D">
        <w:t xml:space="preserve">Vedtaket ble truffet ved Stortingets behandling av </w:t>
      </w:r>
      <w:proofErr w:type="spellStart"/>
      <w:r w:rsidRPr="00580C0D">
        <w:t>Prop</w:t>
      </w:r>
      <w:proofErr w:type="spellEnd"/>
      <w:r w:rsidRPr="00580C0D">
        <w:t xml:space="preserve">. 34 L (2019–2020), jf. </w:t>
      </w:r>
      <w:proofErr w:type="spellStart"/>
      <w:r w:rsidRPr="00580C0D">
        <w:t>Innst</w:t>
      </w:r>
      <w:proofErr w:type="spellEnd"/>
      <w:r w:rsidRPr="00580C0D">
        <w:t>. 296 L (2019–2020).</w:t>
      </w:r>
    </w:p>
    <w:p w14:paraId="4A0366F5" w14:textId="77777777" w:rsidR="00F7113A" w:rsidRPr="00580C0D" w:rsidRDefault="00142E5B" w:rsidP="00580C0D">
      <w:r w:rsidRPr="00580C0D">
        <w:t xml:space="preserve">På oppdrag fra departementet har Helsedirektoratet gjennomgått vilkårene og retningslinjene for PGD og fosterdiagnostikk som beskrevet i vedtaket og utredet og foreslått enkelte lovendringer som følge av gjennomgangen. Svar på oppdraget er presentert i rapporten </w:t>
      </w:r>
      <w:r w:rsidRPr="00580C0D">
        <w:rPr>
          <w:rStyle w:val="kursiv"/>
        </w:rPr>
        <w:t>Et helhetlig og sammenhengende tilbud til kvinner og par som har økt risiko for å få et foster eller barn med en alvorlig, arvelig sykdom eller tilstand. Gjennomgang av vilkår for preimplantasjonsdiagnostikk og genetisk fosterdiagnostikk og forslag til endringer i regelverk. Svar på tilleggsoppdrag nr. 50 til tildelingsbrev for 2020, punkt 2.3.</w:t>
      </w:r>
      <w:r w:rsidRPr="00580C0D">
        <w:t xml:space="preserve"> Rapporten ble levert 17. desember 2021. Med utgangspunkt i direktoratets utredning, sendte departementet 28. februar i år på høring forslag til endringer i bioteknologilovens regler om preimplantasjonsdiagnostikk.</w:t>
      </w:r>
    </w:p>
    <w:p w14:paraId="7F918FB4" w14:textId="77777777" w:rsidR="00F7113A" w:rsidRPr="00580C0D" w:rsidRDefault="00142E5B" w:rsidP="00580C0D">
      <w:r w:rsidRPr="00580C0D">
        <w:t>Regjeringen vil komme tilbake til Stortinget på egnet måte.</w:t>
      </w:r>
    </w:p>
    <w:p w14:paraId="0E42F045" w14:textId="77777777" w:rsidR="00F7113A" w:rsidRPr="00580C0D" w:rsidRDefault="00142E5B" w:rsidP="00580C0D">
      <w:pPr>
        <w:pStyle w:val="avsnitt-tittel"/>
      </w:pPr>
      <w:r w:rsidRPr="00580C0D">
        <w:t>Svangerskap – ultralyd med tilleggsundersøkelser</w:t>
      </w:r>
    </w:p>
    <w:p w14:paraId="39082E8E" w14:textId="77777777" w:rsidR="00F7113A" w:rsidRPr="00580C0D" w:rsidRDefault="00142E5B" w:rsidP="00580C0D">
      <w:pPr>
        <w:pStyle w:val="avsnitt-undertittel"/>
      </w:pPr>
      <w:r w:rsidRPr="00580C0D">
        <w:t>Vedtak nr. 617, 26. mai 2020</w:t>
      </w:r>
    </w:p>
    <w:p w14:paraId="09EECCDD" w14:textId="77777777" w:rsidR="00F7113A" w:rsidRPr="00580C0D" w:rsidRDefault="00142E5B" w:rsidP="00580C0D">
      <w:pPr>
        <w:pStyle w:val="blokksit"/>
        <w:rPr>
          <w:rStyle w:val="kursiv"/>
        </w:rPr>
      </w:pPr>
      <w:r w:rsidRPr="00580C0D">
        <w:rPr>
          <w:rStyle w:val="kursiv"/>
        </w:rPr>
        <w:t>«Stortinget ber regjeringen sørge for at ultralyd med tilleggsundersøkelser som kan avdekke alvorlig sykdom eller skade hos fosteret, blir et tilbud til alle kvinner i første trimester gjennom den offentlige svangerskapsomsorgen.»</w:t>
      </w:r>
    </w:p>
    <w:p w14:paraId="2935F482" w14:textId="77777777" w:rsidR="00F7113A" w:rsidRPr="00580C0D" w:rsidRDefault="00142E5B" w:rsidP="00580C0D">
      <w:r w:rsidRPr="00580C0D">
        <w:t xml:space="preserve">Vedtaket ble truffet ved behandlingen av </w:t>
      </w:r>
      <w:proofErr w:type="spellStart"/>
      <w:r w:rsidRPr="00580C0D">
        <w:t>Prop</w:t>
      </w:r>
      <w:proofErr w:type="spellEnd"/>
      <w:r w:rsidRPr="00580C0D">
        <w:t xml:space="preserve">. 34 L (2019–2020), jf. </w:t>
      </w:r>
      <w:proofErr w:type="spellStart"/>
      <w:r w:rsidRPr="00580C0D">
        <w:t>Innst</w:t>
      </w:r>
      <w:proofErr w:type="spellEnd"/>
      <w:r w:rsidRPr="00580C0D">
        <w:t xml:space="preserve">. 296 L (2019–2020). I </w:t>
      </w:r>
      <w:proofErr w:type="spellStart"/>
      <w:r w:rsidRPr="00580C0D">
        <w:t>Innst</w:t>
      </w:r>
      <w:proofErr w:type="spellEnd"/>
      <w:r w:rsidRPr="00580C0D">
        <w:t xml:space="preserve">. 11 S (2020–2021) merker komiteen seg at tiltaket ikke er </w:t>
      </w:r>
      <w:proofErr w:type="spellStart"/>
      <w:r w:rsidRPr="00580C0D">
        <w:t>utkvittert</w:t>
      </w:r>
      <w:proofErr w:type="spellEnd"/>
      <w:r w:rsidRPr="00580C0D">
        <w:t xml:space="preserve"> av regjeringen, og understreker at tilbudet skal være tilgjengelig for alle kvinner i første trimester gjennom den offentlige svangerskapsomsorgen innen 1. januar 2021.</w:t>
      </w:r>
    </w:p>
    <w:p w14:paraId="15F1D7E0" w14:textId="77777777" w:rsidR="00F7113A" w:rsidRPr="00580C0D" w:rsidRDefault="00142E5B" w:rsidP="00580C0D">
      <w:r w:rsidRPr="00580C0D">
        <w:t xml:space="preserve">Vedtaket er fulgt opp gjennom økning av bevilgningen under kap. 732 i 2022. Tilbudet skulle innføres i alle helseforetak i løpet av 2022. I behandlingen av </w:t>
      </w:r>
      <w:proofErr w:type="spellStart"/>
      <w:r w:rsidRPr="00580C0D">
        <w:t>Prop</w:t>
      </w:r>
      <w:proofErr w:type="spellEnd"/>
      <w:r w:rsidRPr="00580C0D">
        <w:t>. 1 S (2022–2023) ble det bevilget midler slik at tilbudet kunne gis til alle gravide. Grunnet opplæringsbehov og mangel på kvalifiserte ultralydjordmødre klarte noen sykehus ikke å gi et tilbud til alle gravide innen 2023. Tilbudet kom på plass i første halvår 2023. Anmodningsvedtaket anses som fulgt opp.</w:t>
      </w:r>
    </w:p>
    <w:p w14:paraId="79F36C23" w14:textId="77777777" w:rsidR="00F7113A" w:rsidRPr="00580C0D" w:rsidRDefault="00142E5B" w:rsidP="00580C0D">
      <w:pPr>
        <w:pStyle w:val="Overskrift2"/>
      </w:pPr>
      <w:r w:rsidRPr="00580C0D">
        <w:t>Stortingssesjon 2018–2019</w:t>
      </w:r>
    </w:p>
    <w:p w14:paraId="0A886AA9" w14:textId="77777777" w:rsidR="00F7113A" w:rsidRPr="00580C0D" w:rsidRDefault="00142E5B" w:rsidP="00580C0D">
      <w:pPr>
        <w:pStyle w:val="avsnitt-tittel"/>
      </w:pPr>
      <w:r w:rsidRPr="00580C0D">
        <w:t>Styrking av norsk tannhelse</w:t>
      </w:r>
    </w:p>
    <w:p w14:paraId="2E709742" w14:textId="77777777" w:rsidR="00F7113A" w:rsidRPr="00580C0D" w:rsidRDefault="00142E5B" w:rsidP="00580C0D">
      <w:pPr>
        <w:pStyle w:val="avsnitt-undertittel"/>
      </w:pPr>
      <w:r w:rsidRPr="00580C0D">
        <w:t>Vedtak nr. 20, 15. november 2018</w:t>
      </w:r>
    </w:p>
    <w:p w14:paraId="30678BDB" w14:textId="77777777" w:rsidR="00F7113A" w:rsidRPr="00580C0D" w:rsidRDefault="00142E5B" w:rsidP="00580C0D">
      <w:pPr>
        <w:pStyle w:val="blokksit"/>
        <w:rPr>
          <w:rStyle w:val="kursiv"/>
        </w:rPr>
      </w:pPr>
      <w:r w:rsidRPr="00580C0D">
        <w:rPr>
          <w:rStyle w:val="kursiv"/>
        </w:rPr>
        <w:t>«Stortinget ber regjeringen komme tilbake til Stortinget med en egen sak om styrking av norsk tannhelse, med mål om å utjevne sosial ulikhet i tannhelse gjennom å hjelpe dem som trenger det mest. Stortinget ber om at saken inneholder:</w:t>
      </w:r>
    </w:p>
    <w:p w14:paraId="0F6D11F9" w14:textId="77777777" w:rsidR="00F7113A" w:rsidRPr="00580C0D" w:rsidRDefault="00142E5B" w:rsidP="00580C0D">
      <w:pPr>
        <w:pStyle w:val="friliste2"/>
      </w:pPr>
      <w:r w:rsidRPr="00580C0D">
        <w:rPr>
          <w:rStyle w:val="kursiv"/>
        </w:rPr>
        <w:t>a.</w:t>
      </w:r>
      <w:r w:rsidRPr="00580C0D">
        <w:rPr>
          <w:rStyle w:val="kursiv"/>
        </w:rPr>
        <w:tab/>
        <w:t>forslag til hvordan man kan styrke det forebyggende arbeidet for god folketannhelse</w:t>
      </w:r>
    </w:p>
    <w:p w14:paraId="665746E2" w14:textId="77777777" w:rsidR="00F7113A" w:rsidRPr="00580C0D" w:rsidRDefault="00142E5B" w:rsidP="00580C0D">
      <w:pPr>
        <w:pStyle w:val="friliste2"/>
      </w:pPr>
      <w:r w:rsidRPr="00580C0D">
        <w:rPr>
          <w:rStyle w:val="kursiv"/>
        </w:rPr>
        <w:t>b.</w:t>
      </w:r>
      <w:r w:rsidRPr="00580C0D">
        <w:rPr>
          <w:rStyle w:val="kursiv"/>
        </w:rPr>
        <w:tab/>
        <w:t>en gjennomgang av refusjonsordningene på tannhelsefeltet</w:t>
      </w:r>
    </w:p>
    <w:p w14:paraId="3D474C9B" w14:textId="77777777" w:rsidR="00F7113A" w:rsidRPr="00580C0D" w:rsidRDefault="00142E5B" w:rsidP="00580C0D">
      <w:pPr>
        <w:pStyle w:val="friliste2"/>
      </w:pPr>
      <w:r w:rsidRPr="00580C0D">
        <w:rPr>
          <w:rStyle w:val="kursiv"/>
        </w:rPr>
        <w:t>c.</w:t>
      </w:r>
      <w:r w:rsidRPr="00580C0D">
        <w:rPr>
          <w:rStyle w:val="kursiv"/>
        </w:rPr>
        <w:tab/>
        <w:t>forslag som i større grad vil hjelpe dem som i dag ikke har økonomisk mulighet for å få gjennomført nødvendig tannhelsebehandling</w:t>
      </w:r>
    </w:p>
    <w:p w14:paraId="73529D7D" w14:textId="77777777" w:rsidR="00F7113A" w:rsidRPr="00580C0D" w:rsidRDefault="00142E5B" w:rsidP="00580C0D">
      <w:pPr>
        <w:pStyle w:val="friliste2"/>
        <w:rPr>
          <w:rStyle w:val="kursiv"/>
        </w:rPr>
      </w:pPr>
      <w:r w:rsidRPr="00580C0D">
        <w:rPr>
          <w:rStyle w:val="kursiv"/>
        </w:rPr>
        <w:t>d.</w:t>
      </w:r>
      <w:r w:rsidRPr="00580C0D">
        <w:rPr>
          <w:rStyle w:val="kursiv"/>
        </w:rPr>
        <w:tab/>
        <w:t>forslag til forbedring og forenkling av ordningene for refusjon gjennom folketrygden til spesielle diagnoser.»</w:t>
      </w:r>
    </w:p>
    <w:p w14:paraId="4370B3AE" w14:textId="77777777" w:rsidR="00F7113A" w:rsidRPr="00580C0D" w:rsidRDefault="00142E5B" w:rsidP="00580C0D">
      <w:r w:rsidRPr="00580C0D">
        <w:t xml:space="preserve">Vedtaket ble truffet ved behandling av Dokument 8:209 S (2017–2018), jf. </w:t>
      </w:r>
      <w:proofErr w:type="spellStart"/>
      <w:r w:rsidRPr="00580C0D">
        <w:t>Innst</w:t>
      </w:r>
      <w:proofErr w:type="spellEnd"/>
      <w:r w:rsidRPr="00580C0D">
        <w:t>. 39 S (2018–2019).</w:t>
      </w:r>
    </w:p>
    <w:p w14:paraId="55A9EA02" w14:textId="77777777" w:rsidR="00F7113A" w:rsidRPr="00580C0D" w:rsidRDefault="00142E5B" w:rsidP="00580C0D">
      <w:r w:rsidRPr="00580C0D">
        <w:t>I statsråd 12. august 2022 ble det nedsatt et offentlig utvalg som skal gjennomgå tannhelsefeltet. Utvalget skal levere sin utredning innen utgangen av juni 2024. Regjeringen vil komme tilbake til Stortinget på egnet måte.</w:t>
      </w:r>
    </w:p>
    <w:p w14:paraId="728339B9" w14:textId="77777777" w:rsidR="00F7113A" w:rsidRPr="00580C0D" w:rsidRDefault="00142E5B" w:rsidP="00580C0D">
      <w:pPr>
        <w:pStyle w:val="avsnitt-tittel"/>
      </w:pPr>
      <w:r w:rsidRPr="00580C0D">
        <w:t>Ensomhet inn i folkehelseloven § 7</w:t>
      </w:r>
    </w:p>
    <w:p w14:paraId="2F4A56BC" w14:textId="77777777" w:rsidR="00F7113A" w:rsidRPr="00580C0D" w:rsidRDefault="00142E5B" w:rsidP="00580C0D">
      <w:pPr>
        <w:pStyle w:val="avsnitt-undertittel"/>
      </w:pPr>
      <w:r w:rsidRPr="00580C0D">
        <w:t>Vedtak nr. 25, 20. november 2018</w:t>
      </w:r>
    </w:p>
    <w:p w14:paraId="51EE2CC2" w14:textId="77777777" w:rsidR="00F7113A" w:rsidRPr="00580C0D" w:rsidRDefault="00142E5B" w:rsidP="00580C0D">
      <w:pPr>
        <w:pStyle w:val="blokksit"/>
        <w:rPr>
          <w:rStyle w:val="kursiv"/>
        </w:rPr>
      </w:pPr>
      <w:r w:rsidRPr="00580C0D">
        <w:rPr>
          <w:rStyle w:val="kursiv"/>
        </w:rPr>
        <w:t>«Stortinget ber regjeringen fremme forslag om at «ensomhet» tas inn i folkehelseloven § 7.»</w:t>
      </w:r>
    </w:p>
    <w:p w14:paraId="3937ECBD" w14:textId="77777777" w:rsidR="00F7113A" w:rsidRPr="00580C0D" w:rsidRDefault="00142E5B" w:rsidP="00580C0D">
      <w:r w:rsidRPr="00580C0D">
        <w:t>Vedtaket ble truffet ved Stortingets møte 20. november 2018. Regjeringen uttalte i Meld. St. 15 (2022–2023) at den vil vurdere å inkludere ensomhet som en folkehelseutfordring i folkehelseloven. Dette vil skje ifb. den revisjonen av folkehelseloven som regjeringen varslet i samme stortingsmelding. Regjeringen vil komme tilbake til Stortinget på egnet måte.</w:t>
      </w:r>
    </w:p>
    <w:p w14:paraId="3181D578" w14:textId="77777777" w:rsidR="00F7113A" w:rsidRPr="00580C0D" w:rsidRDefault="00142E5B" w:rsidP="00580C0D">
      <w:pPr>
        <w:pStyle w:val="avsnitt-tittel"/>
      </w:pPr>
      <w:r w:rsidRPr="00580C0D">
        <w:t xml:space="preserve">Forslag om </w:t>
      </w:r>
      <w:proofErr w:type="spellStart"/>
      <w:r w:rsidRPr="00580C0D">
        <w:t>innholdsmerking</w:t>
      </w:r>
      <w:proofErr w:type="spellEnd"/>
      <w:r w:rsidRPr="00580C0D">
        <w:t xml:space="preserve"> på alkoholholdig drikk</w:t>
      </w:r>
    </w:p>
    <w:p w14:paraId="5CE72905" w14:textId="77777777" w:rsidR="00F7113A" w:rsidRPr="00580C0D" w:rsidRDefault="00142E5B" w:rsidP="00580C0D">
      <w:pPr>
        <w:pStyle w:val="avsnitt-undertittel"/>
      </w:pPr>
      <w:r w:rsidRPr="00580C0D">
        <w:t>Vedtak nr. 39, 20. november 2018</w:t>
      </w:r>
    </w:p>
    <w:p w14:paraId="2B1D8926" w14:textId="77777777" w:rsidR="00F7113A" w:rsidRPr="00580C0D" w:rsidRDefault="00142E5B" w:rsidP="00580C0D">
      <w:pPr>
        <w:pStyle w:val="blokksit"/>
        <w:rPr>
          <w:rStyle w:val="kursiv"/>
        </w:rPr>
      </w:pPr>
      <w:r w:rsidRPr="00580C0D">
        <w:rPr>
          <w:rStyle w:val="kursiv"/>
        </w:rPr>
        <w:t xml:space="preserve">«Stortinget ber regjeringen fremme forslag for Stortinget om å innføre krav om </w:t>
      </w:r>
      <w:proofErr w:type="spellStart"/>
      <w:r w:rsidRPr="00580C0D">
        <w:rPr>
          <w:rStyle w:val="kursiv"/>
        </w:rPr>
        <w:t>innholdsmerking</w:t>
      </w:r>
      <w:proofErr w:type="spellEnd"/>
      <w:r w:rsidRPr="00580C0D">
        <w:rPr>
          <w:rStyle w:val="kursiv"/>
        </w:rPr>
        <w:t xml:space="preserve"> av alkoholholdig drikk.»</w:t>
      </w:r>
    </w:p>
    <w:p w14:paraId="27233299" w14:textId="77777777" w:rsidR="00F7113A" w:rsidRPr="00580C0D" w:rsidRDefault="00142E5B" w:rsidP="00580C0D">
      <w:r w:rsidRPr="00580C0D">
        <w:t xml:space="preserve">Vedtaket ble truffet ved Stortingets behandling av Dokument 8:141 S (2017–2018) om en offensiv og solidarisk alkoholpolitikk, jf. </w:t>
      </w:r>
      <w:proofErr w:type="spellStart"/>
      <w:r w:rsidRPr="00580C0D">
        <w:t>Innst</w:t>
      </w:r>
      <w:proofErr w:type="spellEnd"/>
      <w:r w:rsidRPr="00580C0D">
        <w:t>. 38 S (2018–2019).</w:t>
      </w:r>
    </w:p>
    <w:p w14:paraId="0C58EF7A" w14:textId="77777777" w:rsidR="00F7113A" w:rsidRPr="00580C0D" w:rsidRDefault="00142E5B" w:rsidP="00580C0D">
      <w:r w:rsidRPr="00580C0D">
        <w:t xml:space="preserve">I Nasjonal alkoholstrategi framgår det at det vil settes i gang en prosess for å foreslå nasjonale krav til </w:t>
      </w:r>
      <w:proofErr w:type="spellStart"/>
      <w:r w:rsidRPr="00580C0D">
        <w:t>innholdsmerking</w:t>
      </w:r>
      <w:proofErr w:type="spellEnd"/>
      <w:r w:rsidRPr="00580C0D">
        <w:t xml:space="preserve"> i Norge. Tidligere utsendt oppdrag til Mattilsynet, om å vurdere et nasjonalt regelverk om obligatorisk </w:t>
      </w:r>
      <w:proofErr w:type="spellStart"/>
      <w:r w:rsidRPr="00580C0D">
        <w:t>innholdsmerking</w:t>
      </w:r>
      <w:proofErr w:type="spellEnd"/>
      <w:r w:rsidRPr="00580C0D">
        <w:t xml:space="preserve">, både næringsdeklarasjon og ingrediensliste, ble utsatt inntil videre, i påvente av forslag om felles europeiske regler. Arbeidet i EU har blitt forsinket, og det er uklart om det vil komme et forslag om felles europeisk regelverk om slik </w:t>
      </w:r>
      <w:proofErr w:type="spellStart"/>
      <w:r w:rsidRPr="00580C0D">
        <w:t>innholdsmerking</w:t>
      </w:r>
      <w:proofErr w:type="spellEnd"/>
      <w:r w:rsidRPr="00580C0D">
        <w:t xml:space="preserve"> i nær framtid. Departementet vil følge opp dette videre og regjeringen vil komme tilbake til Stortinget på egnet måte.</w:t>
      </w:r>
    </w:p>
    <w:p w14:paraId="4AE7D145" w14:textId="77777777" w:rsidR="00F7113A" w:rsidRPr="00580C0D" w:rsidRDefault="00142E5B" w:rsidP="00580C0D">
      <w:pPr>
        <w:pStyle w:val="avsnitt-tittel"/>
      </w:pPr>
      <w:r w:rsidRPr="00580C0D">
        <w:t>Innføring av merking med helseadvarsler på alkoholholdig drikk</w:t>
      </w:r>
    </w:p>
    <w:p w14:paraId="3A541584" w14:textId="77777777" w:rsidR="00F7113A" w:rsidRPr="00580C0D" w:rsidRDefault="00142E5B" w:rsidP="00580C0D">
      <w:pPr>
        <w:pStyle w:val="avsnitt-undertittel"/>
      </w:pPr>
      <w:r w:rsidRPr="00580C0D">
        <w:t>Vedtak nr. 44, 20. november 2018</w:t>
      </w:r>
    </w:p>
    <w:p w14:paraId="46CA2D70" w14:textId="77777777" w:rsidR="00F7113A" w:rsidRPr="00580C0D" w:rsidRDefault="00142E5B" w:rsidP="00580C0D">
      <w:pPr>
        <w:pStyle w:val="blokksit"/>
        <w:rPr>
          <w:rStyle w:val="kursiv"/>
        </w:rPr>
      </w:pPr>
      <w:r w:rsidRPr="00580C0D">
        <w:rPr>
          <w:rStyle w:val="kursiv"/>
        </w:rPr>
        <w:t>«Stortinget ber regjeringen innføre en merkeordning for alkoholholdig drikk med helseadvarsler om alkoholbruk under graviditet og i forbindelse med kjøring.»</w:t>
      </w:r>
    </w:p>
    <w:p w14:paraId="553DFC46" w14:textId="77777777" w:rsidR="00F7113A" w:rsidRPr="00580C0D" w:rsidRDefault="00142E5B" w:rsidP="00580C0D">
      <w:r w:rsidRPr="00580C0D">
        <w:t xml:space="preserve">Vedtaket ble truffet ved Stortingets behandling av Dokument 8:141 S (2017–2018) om en offensiv og solidarisk alkoholpolitikk, jf. </w:t>
      </w:r>
      <w:proofErr w:type="spellStart"/>
      <w:r w:rsidRPr="00580C0D">
        <w:t>Innst</w:t>
      </w:r>
      <w:proofErr w:type="spellEnd"/>
      <w:r w:rsidRPr="00580C0D">
        <w:t>. 38 S (2018–2019).</w:t>
      </w:r>
    </w:p>
    <w:p w14:paraId="4603FA6C" w14:textId="77777777" w:rsidR="00F7113A" w:rsidRPr="00580C0D" w:rsidRDefault="00142E5B" w:rsidP="00580C0D">
      <w:r w:rsidRPr="00580C0D">
        <w:t>I Nasjonal alkoholstrategi framgår det at det vil foreslås innføring av krav til advarselsmerking på alkoholholdig drikk i Norge. Helsedirektoratet har levert en utredning om advarselsmerking som alkoholpolitisk virkemiddel, inkludert kunnskapsgjennomgang og juridiske vurderinger. I tildelingsbrevet for 2023 har direktoratet blitt bedt om å gjøre ytterligere undersøkelser. Slike regler må også ses i sammenheng med matinformasjonsforordningen og matinformasjonsforskriften. Mattilsynet involveres i arbeidet der det er hensiktsmessig. Departementet vil følge opp dette videre, og regjeringen vil komme tilbake til Stortinget på egnet måte.</w:t>
      </w:r>
    </w:p>
    <w:p w14:paraId="21AAD7C7" w14:textId="77777777" w:rsidR="00F7113A" w:rsidRPr="00580C0D" w:rsidRDefault="00142E5B" w:rsidP="00580C0D">
      <w:pPr>
        <w:pStyle w:val="avsnitt-tittel"/>
      </w:pPr>
      <w:r w:rsidRPr="00580C0D">
        <w:t>Ideelle organisasjoners pensjonskostnader</w:t>
      </w:r>
    </w:p>
    <w:p w14:paraId="3224BF44" w14:textId="77777777" w:rsidR="00F7113A" w:rsidRPr="00580C0D" w:rsidRDefault="00142E5B" w:rsidP="00580C0D">
      <w:pPr>
        <w:pStyle w:val="avsnitt-undertittel"/>
      </w:pPr>
      <w:r w:rsidRPr="00580C0D">
        <w:t>Vedtak nr. 82, 3. desember 2018</w:t>
      </w:r>
    </w:p>
    <w:p w14:paraId="46CA629A" w14:textId="77777777" w:rsidR="00F7113A" w:rsidRPr="00580C0D" w:rsidRDefault="00142E5B" w:rsidP="00580C0D">
      <w:pPr>
        <w:pStyle w:val="blokksit"/>
        <w:rPr>
          <w:rStyle w:val="kursiv"/>
        </w:rPr>
      </w:pPr>
      <w:r w:rsidRPr="00580C0D">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5D35920C" w14:textId="77777777" w:rsidR="00F7113A" w:rsidRPr="00580C0D" w:rsidRDefault="00142E5B" w:rsidP="00580C0D">
      <w:r w:rsidRPr="00580C0D">
        <w:t xml:space="preserve">Vedtaket ble truffet ved behandling Meld. St. 1 (2018–2019), jf. </w:t>
      </w:r>
      <w:proofErr w:type="spellStart"/>
      <w:r w:rsidRPr="00580C0D">
        <w:t>Innst</w:t>
      </w:r>
      <w:proofErr w:type="spellEnd"/>
      <w:r w:rsidRPr="00580C0D">
        <w:t>. 2 S (2018–2019).</w:t>
      </w:r>
    </w:p>
    <w:p w14:paraId="6B30C9F9" w14:textId="77777777" w:rsidR="00F7113A" w:rsidRPr="00580C0D" w:rsidRDefault="00142E5B" w:rsidP="00580C0D">
      <w:r w:rsidRPr="00580C0D">
        <w:t>Vedtaket omfatter ideelle organisasjoners arbeid for kommuner og fylkeskommuner over flere år og innenfor ulike sektorer. Anmodningsvedtaket forutsetter et omfattende kartleggingsarbeid når det gjelder i hvor stor grad kommunene og fylkeskommunene allerede har påtatt seg forpliktelser, og i hvilket omfang kommuner og fylkeskommuner i dag står uten ansvar. Arbeidet med utredningen har blitt forsinket som følge av koronasituasjonen både i 2020 og 2021, men er nå startet opp. Regjeringen vil komme tilbake til Stortinget på egnet måte.</w:t>
      </w:r>
    </w:p>
    <w:p w14:paraId="49C139B6" w14:textId="77777777" w:rsidR="00F7113A" w:rsidRPr="00580C0D" w:rsidRDefault="00142E5B" w:rsidP="00580C0D">
      <w:pPr>
        <w:pStyle w:val="avsnitt-tittel"/>
      </w:pPr>
      <w:r w:rsidRPr="00580C0D">
        <w:t>Årsmeldingen for 2017 fra Norges nasjonale institusjon for menneskerettigheter</w:t>
      </w:r>
    </w:p>
    <w:p w14:paraId="14CFD675" w14:textId="77777777" w:rsidR="00F7113A" w:rsidRPr="00580C0D" w:rsidRDefault="00142E5B" w:rsidP="00580C0D">
      <w:pPr>
        <w:pStyle w:val="avsnitt-undertittel"/>
      </w:pPr>
      <w:r w:rsidRPr="00580C0D">
        <w:t>Vedtak nr. 93, 4. desember 2018</w:t>
      </w:r>
    </w:p>
    <w:p w14:paraId="04630A18" w14:textId="77777777" w:rsidR="00F7113A" w:rsidRPr="00580C0D" w:rsidRDefault="00142E5B" w:rsidP="00580C0D">
      <w:pPr>
        <w:pStyle w:val="blokksit"/>
        <w:rPr>
          <w:rStyle w:val="kursiv"/>
        </w:rPr>
      </w:pPr>
      <w:r w:rsidRPr="00580C0D">
        <w:rPr>
          <w:rStyle w:val="kursiv"/>
        </w:rPr>
        <w:t>«Stortinget ber regjeringen gjennomgå anbefalingene i årsmeldingen for 2017 fra Norges nasjonale institusjon for menneskerettigheter og komme tilbake til Stortinget på egnet måte med hvordan anbefalingene er fulgt opp.»</w:t>
      </w:r>
    </w:p>
    <w:p w14:paraId="6686E80C" w14:textId="77777777" w:rsidR="00F7113A" w:rsidRPr="00580C0D" w:rsidRDefault="00142E5B" w:rsidP="00580C0D">
      <w:r w:rsidRPr="00580C0D">
        <w:t xml:space="preserve">Vedtaket ble truffet ved behandling av Dokument 6 (2017–2018), jf. </w:t>
      </w:r>
      <w:proofErr w:type="spellStart"/>
      <w:r w:rsidRPr="00580C0D">
        <w:t>Innst</w:t>
      </w:r>
      <w:proofErr w:type="spellEnd"/>
      <w:r w:rsidRPr="00580C0D">
        <w:t xml:space="preserve">. 78 S (2018–2019). Kontroll- og konstitusjonskomiteen opprettholdt vedtaket, jf. </w:t>
      </w:r>
      <w:proofErr w:type="spellStart"/>
      <w:r w:rsidRPr="00580C0D">
        <w:t>Innst</w:t>
      </w:r>
      <w:proofErr w:type="spellEnd"/>
      <w:r w:rsidRPr="00580C0D">
        <w:t>. 580 S (2020–2021).</w:t>
      </w:r>
    </w:p>
    <w:p w14:paraId="60811070" w14:textId="77777777" w:rsidR="00F7113A" w:rsidRPr="00580C0D" w:rsidRDefault="00142E5B" w:rsidP="00580C0D">
      <w:r w:rsidRPr="00580C0D">
        <w:t>Anbefalingen fra Norges nasjonale institusjon for menneskerettigheter om ECT hører inn under Helse- og omsorgsdepartementets ansvarsområde og lyder slik:</w:t>
      </w:r>
    </w:p>
    <w:p w14:paraId="52609119" w14:textId="77777777" w:rsidR="00F7113A" w:rsidRPr="00580C0D" w:rsidRDefault="00142E5B" w:rsidP="00580C0D">
      <w:r w:rsidRPr="00580C0D">
        <w:t xml:space="preserve">«Omfanget av og behovet for ECT uten samtykke på </w:t>
      </w:r>
      <w:proofErr w:type="spellStart"/>
      <w:r w:rsidRPr="00580C0D">
        <w:t>nødrettslig</w:t>
      </w:r>
      <w:proofErr w:type="spellEnd"/>
      <w:r w:rsidRPr="00580C0D">
        <w:t xml:space="preserve">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5DAB41F3" w14:textId="77777777" w:rsidR="00F7113A" w:rsidRPr="00580C0D" w:rsidRDefault="00142E5B" w:rsidP="00580C0D">
      <w:r w:rsidRPr="00580C0D">
        <w:t xml:space="preserve">Som redegjort i svarbrevet til justiskomiteen 25. juni 2018 nedsatte regjeringen i 2016 et lovutvalg, Tvangslovutvalget, som fikk i mandat å foreta en revisjon av tvangshjemler i helse- og omsorgssektoren. Tvangslovutvalget leverte sin innstilling (NOU 2019: 14 </w:t>
      </w:r>
      <w:r w:rsidRPr="00580C0D">
        <w:rPr>
          <w:rStyle w:val="kursiv"/>
        </w:rPr>
        <w:t>Tvangsbegrensningsloven – Forslag til felles regler om tvang og inngrep uten samtykke i helse- og omsorgstjenesten</w:t>
      </w:r>
      <w:r w:rsidRPr="00580C0D">
        <w:t xml:space="preserve">) 18. juni 2019. Utvalget har levert et omfattende lovutkast med bl.a. forslag til bestemmelser om </w:t>
      </w:r>
      <w:proofErr w:type="spellStart"/>
      <w:r w:rsidRPr="00580C0D">
        <w:t>elektrokonvulsiv</w:t>
      </w:r>
      <w:proofErr w:type="spellEnd"/>
      <w:r w:rsidRPr="00580C0D">
        <w:t xml:space="preserve"> behandling (ECT).</w:t>
      </w:r>
    </w:p>
    <w:p w14:paraId="0E0DE744" w14:textId="77777777" w:rsidR="00F7113A" w:rsidRPr="00580C0D" w:rsidRDefault="00142E5B" w:rsidP="00580C0D">
      <w:r w:rsidRPr="00580C0D">
        <w:t>Departementet oppnevnte i mai 2022 et ekspertutvalg som skulle evaluere lovendringene som innførte manglende samtykkekompetanse som vilkår for tvungen observasjon, tvungent psykisk helsevern og undersøkelse og behandling uten eget samtykke. Utvalgets utredning er sendt på alminnelig høring med frist 1. november.</w:t>
      </w:r>
    </w:p>
    <w:p w14:paraId="466DC2F7" w14:textId="77777777" w:rsidR="00F7113A" w:rsidRPr="00580C0D" w:rsidRDefault="00142E5B" w:rsidP="00580C0D">
      <w:r w:rsidRPr="00580C0D">
        <w:t>Tvangslovutvalget foreslo bl.a. en felles mer diagnosenøytral lov om bruk av tvang i helse- og omsorgssektoren. Utvalget foreslo at manglende samtykkekompetanse skulle være et sentralt vilkår. Det vil bli tatt stilling til hvordan forslagene fra Tvangslovutvalget bør følges opp når høringen av ekspertutvalgets utredning er avsluttet. Regjeringen vil komme tilbake til Stortinget på egnet måte.</w:t>
      </w:r>
    </w:p>
    <w:p w14:paraId="7BDD5E76" w14:textId="77777777" w:rsidR="00F7113A" w:rsidRPr="00580C0D" w:rsidRDefault="00142E5B" w:rsidP="00580C0D">
      <w:pPr>
        <w:pStyle w:val="Overskrift2"/>
      </w:pPr>
      <w:r w:rsidRPr="00580C0D">
        <w:t>Stortingssesjon 2017–2018</w:t>
      </w:r>
    </w:p>
    <w:p w14:paraId="767DC1CF" w14:textId="77777777" w:rsidR="00F7113A" w:rsidRPr="00580C0D" w:rsidRDefault="00142E5B" w:rsidP="00580C0D">
      <w:pPr>
        <w:pStyle w:val="avsnitt-tittel"/>
      </w:pPr>
      <w:r w:rsidRPr="00580C0D">
        <w:t>Legevakt- og fastlegeordningen</w:t>
      </w:r>
    </w:p>
    <w:p w14:paraId="51812699" w14:textId="77777777" w:rsidR="00F7113A" w:rsidRPr="00580C0D" w:rsidRDefault="00142E5B" w:rsidP="00580C0D">
      <w:pPr>
        <w:pStyle w:val="avsnitt-undertittel"/>
      </w:pPr>
      <w:r w:rsidRPr="00580C0D">
        <w:t>Vedtak nr. 468, 13. februar 2018</w:t>
      </w:r>
    </w:p>
    <w:p w14:paraId="62B293EC" w14:textId="77777777" w:rsidR="00F7113A" w:rsidRPr="00580C0D" w:rsidRDefault="00142E5B" w:rsidP="00580C0D">
      <w:pPr>
        <w:pStyle w:val="blokksit"/>
        <w:rPr>
          <w:rStyle w:val="kursiv"/>
        </w:rPr>
      </w:pPr>
      <w:r w:rsidRPr="00580C0D">
        <w:rPr>
          <w:rStyle w:val="kursiv"/>
        </w:rPr>
        <w:t>«Stortinget ber regjeringen fremme en egen sak til Stortinget om forbedringer i legevaktordningen som også bidrar til rekrutteringen til fastlegeordningen.»</w:t>
      </w:r>
    </w:p>
    <w:p w14:paraId="77E1A47D" w14:textId="77777777" w:rsidR="00F7113A" w:rsidRPr="00580C0D" w:rsidRDefault="00142E5B" w:rsidP="00580C0D">
      <w:r w:rsidRPr="00580C0D">
        <w:t xml:space="preserve">Vedtaket ble truffet ved behandling av Representantforslag 8:3 S (2017–2018) om tiltak for å styrke rekruttering til og finansiering av fastlegeordningen, i tråd med intensjonene i samhandlingsreformen, jf. </w:t>
      </w:r>
      <w:proofErr w:type="spellStart"/>
      <w:r w:rsidRPr="00580C0D">
        <w:t>Innst</w:t>
      </w:r>
      <w:proofErr w:type="spellEnd"/>
      <w:r w:rsidRPr="00580C0D">
        <w:t>. 109 S (2017–2018).</w:t>
      </w:r>
    </w:p>
    <w:p w14:paraId="267054DC" w14:textId="77777777" w:rsidR="00F7113A" w:rsidRPr="00580C0D" w:rsidRDefault="00142E5B" w:rsidP="00580C0D">
      <w:r w:rsidRPr="00580C0D">
        <w:t xml:space="preserve">Kontroll- og konstitusjonskomiteen merket seg i </w:t>
      </w:r>
      <w:proofErr w:type="spellStart"/>
      <w:r w:rsidRPr="00580C0D">
        <w:t>Innst</w:t>
      </w:r>
      <w:proofErr w:type="spellEnd"/>
      <w:r w:rsidRPr="00580C0D">
        <w:t xml:space="preserve">. 141 S (2021–2022) at regjeringen har kommet med en handlingsplan, og at denne ikke er fremmet i Stortinget. Komiteen anser derfor ikke anmodningsvedtaket som </w:t>
      </w:r>
      <w:proofErr w:type="spellStart"/>
      <w:r w:rsidRPr="00580C0D">
        <w:t>utkvittert</w:t>
      </w:r>
      <w:proofErr w:type="spellEnd"/>
      <w:r w:rsidRPr="00580C0D">
        <w:t>.</w:t>
      </w:r>
    </w:p>
    <w:p w14:paraId="3E7442BB" w14:textId="77777777" w:rsidR="00F7113A" w:rsidRPr="00580C0D" w:rsidRDefault="00142E5B" w:rsidP="00580C0D">
      <w:r w:rsidRPr="00580C0D">
        <w:t xml:space="preserve">Regjeringen har i </w:t>
      </w:r>
      <w:proofErr w:type="spellStart"/>
      <w:r w:rsidRPr="00580C0D">
        <w:t>Prop</w:t>
      </w:r>
      <w:proofErr w:type="spellEnd"/>
      <w:r w:rsidRPr="00580C0D">
        <w:t>. 1 S (2022–2023) varslet en egen stortingsmelding om akuttmedisinske tjenester. Meldingen vil omfatte legevakt og vil legges fram etter Nasjonal helse- og samhandlingsplan. Arbeidet ses i også sammenheng med oppfølgingen av ekspertutvalget for allmennlegetjenesten.</w:t>
      </w:r>
    </w:p>
    <w:p w14:paraId="0D30CC5D" w14:textId="77777777" w:rsidR="00F7113A" w:rsidRPr="00580C0D" w:rsidRDefault="00142E5B" w:rsidP="00580C0D">
      <w:r w:rsidRPr="00580C0D">
        <w:t>Regjeringen vil komme tilbake til Stortinget på egnet måte.</w:t>
      </w:r>
    </w:p>
    <w:p w14:paraId="241CC9C1" w14:textId="77777777" w:rsidR="00F7113A" w:rsidRPr="00580C0D" w:rsidRDefault="00142E5B" w:rsidP="00580C0D">
      <w:pPr>
        <w:pStyle w:val="avsnitt-tittel"/>
      </w:pPr>
      <w:r w:rsidRPr="00580C0D">
        <w:t>Regelverket for pasientreiser</w:t>
      </w:r>
    </w:p>
    <w:p w14:paraId="7F74ACE7" w14:textId="77777777" w:rsidR="00F7113A" w:rsidRPr="00580C0D" w:rsidRDefault="00142E5B" w:rsidP="00580C0D">
      <w:pPr>
        <w:pStyle w:val="avsnitt-undertittel"/>
      </w:pPr>
      <w:r w:rsidRPr="00580C0D">
        <w:t>Vedtak nr. 615, 19. april 2018</w:t>
      </w:r>
    </w:p>
    <w:p w14:paraId="3A1A182C" w14:textId="77777777" w:rsidR="00F7113A" w:rsidRPr="00580C0D" w:rsidRDefault="00142E5B" w:rsidP="00580C0D">
      <w:pPr>
        <w:pStyle w:val="blokksit"/>
        <w:rPr>
          <w:rStyle w:val="kursiv"/>
        </w:rPr>
      </w:pPr>
      <w:r w:rsidRPr="00580C0D">
        <w:rPr>
          <w:rStyle w:val="kursiv"/>
        </w:rPr>
        <w:t>«Stortinget ber regjeringen foreta en bred gjennomgang av regelverket for pasientreiser og fremme en sak for Stortinget med tiltak for å forenkle og forbedre ordningen.»</w:t>
      </w:r>
    </w:p>
    <w:p w14:paraId="161E2C60" w14:textId="77777777" w:rsidR="00F7113A" w:rsidRPr="00580C0D" w:rsidRDefault="00142E5B" w:rsidP="00580C0D">
      <w:r w:rsidRPr="00580C0D">
        <w:t xml:space="preserve">Vedtaket ble truffet ved behandling av Dokument 8:98 S (2017–2018), jf. </w:t>
      </w:r>
      <w:proofErr w:type="spellStart"/>
      <w:r w:rsidRPr="00580C0D">
        <w:t>Innst</w:t>
      </w:r>
      <w:proofErr w:type="spellEnd"/>
      <w:r w:rsidRPr="00580C0D">
        <w:t>. 196 S (2017–2018).</w:t>
      </w:r>
    </w:p>
    <w:p w14:paraId="1E9910EE" w14:textId="77777777" w:rsidR="00F7113A" w:rsidRPr="00580C0D" w:rsidRDefault="00142E5B" w:rsidP="00580C0D">
      <w:r w:rsidRPr="00580C0D">
        <w:t>Helsedirektoratet fikk i tildelingsbrevet for 2019 i oppdrag å foreta en gjennomgang av regelverket for pasientreiser og oversendte departementet en rapport om gjennomgangen i midten av oktober 2020. Departementet arbeider med forslag til endringer i pasientreiseforskriften for å følge opp innspillene i rapporten. Departementet tar sikte på å sende forslag på alminnelig høring i løpet av høsten og regjeringen vil komme tilbake til Stortinget på egnet måte.</w:t>
      </w:r>
    </w:p>
    <w:p w14:paraId="712B3AD2" w14:textId="77777777" w:rsidR="00F7113A" w:rsidRPr="00580C0D" w:rsidRDefault="00142E5B" w:rsidP="00580C0D">
      <w:pPr>
        <w:pStyle w:val="avsnitt-tittel"/>
      </w:pPr>
      <w:r w:rsidRPr="00580C0D">
        <w:t>Styringen av helsevesenet</w:t>
      </w:r>
    </w:p>
    <w:p w14:paraId="227C8B9E" w14:textId="77777777" w:rsidR="00F7113A" w:rsidRPr="00580C0D" w:rsidRDefault="00142E5B" w:rsidP="00580C0D">
      <w:pPr>
        <w:pStyle w:val="avsnitt-undertittel"/>
      </w:pPr>
      <w:r w:rsidRPr="00580C0D">
        <w:t>Vedtak nr. 625, 18. februar 2018</w:t>
      </w:r>
    </w:p>
    <w:p w14:paraId="1F04F3A8" w14:textId="77777777" w:rsidR="00F7113A" w:rsidRPr="00580C0D" w:rsidRDefault="00142E5B" w:rsidP="00580C0D">
      <w:pPr>
        <w:pStyle w:val="blokksit"/>
        <w:rPr>
          <w:rStyle w:val="kursiv"/>
        </w:rPr>
      </w:pPr>
      <w:r w:rsidRPr="00580C0D">
        <w:rPr>
          <w:rStyle w:val="kursiv"/>
        </w:rPr>
        <w:t xml:space="preserve">«Stortinget ber regjeringen </w:t>
      </w:r>
      <w:proofErr w:type="gramStart"/>
      <w:r w:rsidRPr="00580C0D">
        <w:rPr>
          <w:rStyle w:val="kursiv"/>
        </w:rPr>
        <w:t>integrere</w:t>
      </w:r>
      <w:proofErr w:type="gramEnd"/>
      <w:r w:rsidRPr="00580C0D">
        <w:rPr>
          <w:rStyle w:val="kursiv"/>
        </w:rPr>
        <w:t xml:space="preserve"> målene for livskvalitet i styringen av helsevesenet i større grad enn i dag.»</w:t>
      </w:r>
    </w:p>
    <w:p w14:paraId="1C0443E8" w14:textId="77777777" w:rsidR="00F7113A" w:rsidRPr="00580C0D" w:rsidRDefault="00142E5B" w:rsidP="00580C0D">
      <w:r w:rsidRPr="00580C0D">
        <w:t xml:space="preserve">Vedtaket ble truffet ble truffet ved behandling av Dokument 8:130 S (2017–2018), jf. </w:t>
      </w:r>
      <w:proofErr w:type="spellStart"/>
      <w:r w:rsidRPr="00580C0D">
        <w:t>Innst</w:t>
      </w:r>
      <w:proofErr w:type="spellEnd"/>
      <w:r w:rsidRPr="00580C0D">
        <w:t>. 2019 S (2017–2018).</w:t>
      </w:r>
    </w:p>
    <w:p w14:paraId="6AADE6E2" w14:textId="77777777" w:rsidR="00F7113A" w:rsidRPr="00580C0D" w:rsidRDefault="00142E5B" w:rsidP="00580C0D">
      <w:r w:rsidRPr="00580C0D">
        <w:t xml:space="preserve">Stortinget sluttet seg ved behandlingen av Meld. St. 38 (2020–2021) </w:t>
      </w:r>
      <w:r w:rsidRPr="00580C0D">
        <w:rPr>
          <w:rStyle w:val="kursiv"/>
        </w:rPr>
        <w:t>Nytte, ressurs og alvorlighet – Prioritering i helse- og omsorgstjenesten</w:t>
      </w:r>
      <w:r w:rsidRPr="00580C0D">
        <w:t xml:space="preserve">, jf. </w:t>
      </w:r>
      <w:proofErr w:type="spellStart"/>
      <w:r w:rsidRPr="00580C0D">
        <w:t>Innst</w:t>
      </w:r>
      <w:proofErr w:type="spellEnd"/>
      <w:r w:rsidRPr="00580C0D">
        <w:t>. 221 S (2021–2022), til felles prioriteringskriterier for kommunal helse- og omsorgstjeneste, offentlig finansierte tannhelsetjenester og spesialisthelsetjenesten. Departementet mener at integrering av mål for livskvalitet i styringen av helse- og omsorgstjenestene ivaretas gjennom at mestring nå er inkludert i prioriteringskriteriene nytte og alvorlighet. Den forventede nytten av et tiltak skal bl.a. vurderes ut fra om det kan gi forbedring eller redusert tap av mestring og/eller fysisk eller psykisk funksjon. Videre skal en tilstands alvorlighet bl.a. vurderes ut fra graden av tap av mestring og/eller fysisk eller psykisk funksjon.</w:t>
      </w:r>
    </w:p>
    <w:p w14:paraId="2C7F5082" w14:textId="77777777" w:rsidR="00F7113A" w:rsidRPr="00580C0D" w:rsidRDefault="00142E5B" w:rsidP="00580C0D">
      <w:r w:rsidRPr="00580C0D">
        <w:t xml:space="preserve">Videre la regjeringen i juni 2023 fram Meld. St. 23 (2022–2023) </w:t>
      </w:r>
      <w:r w:rsidRPr="00580C0D">
        <w:rPr>
          <w:rStyle w:val="kursiv"/>
        </w:rPr>
        <w:t>Opptrappingsplan psykisk helse (2023–2033)</w:t>
      </w:r>
      <w:r w:rsidRPr="00580C0D">
        <w:t xml:space="preserve">. Tiltakene i opptrappingsplanen skal bidra til bedre psykisk helse og livskvalitet i befolkningen, forebygging av psykiske plager og lidelser, og at det finnes god og lett tilgjengelig hjelp for personer med psykiske helseutfordringer, og oppfølging av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xml:space="preserve"> og Nasjonal livskvalitetsstrategi som skal legges fram i løpet av 2024. Anmodningsvedtaket anses som fulgt opp.</w:t>
      </w:r>
    </w:p>
    <w:p w14:paraId="2B404DFD" w14:textId="77777777" w:rsidR="00F7113A" w:rsidRPr="00580C0D" w:rsidRDefault="00142E5B" w:rsidP="00580C0D">
      <w:pPr>
        <w:pStyle w:val="avsnitt-tittel"/>
      </w:pPr>
      <w:r w:rsidRPr="00580C0D">
        <w:t>Fødselsomsorg</w:t>
      </w:r>
    </w:p>
    <w:p w14:paraId="5CFCB6AE" w14:textId="77777777" w:rsidR="00F7113A" w:rsidRPr="00580C0D" w:rsidRDefault="00142E5B" w:rsidP="00580C0D">
      <w:pPr>
        <w:pStyle w:val="avsnitt-undertittel"/>
      </w:pPr>
      <w:r w:rsidRPr="00580C0D">
        <w:t>Vedtak nr. 753, 24. mai 2018</w:t>
      </w:r>
    </w:p>
    <w:p w14:paraId="65F90DE5" w14:textId="77777777" w:rsidR="00F7113A" w:rsidRPr="00580C0D" w:rsidRDefault="00142E5B" w:rsidP="00580C0D">
      <w:pPr>
        <w:pStyle w:val="blokksit"/>
        <w:rPr>
          <w:rStyle w:val="kursiv"/>
        </w:rPr>
      </w:pPr>
      <w:r w:rsidRPr="00580C0D">
        <w:rPr>
          <w:rStyle w:val="kursiv"/>
        </w:rPr>
        <w:t>«Stortinget ber regjeringen sørge for at det gjøres en ny vurdering av behovet for å innføre et screening-tiltak for å avdekke depresjon blant gravide kvinner /barselkvinner.»</w:t>
      </w:r>
    </w:p>
    <w:p w14:paraId="1E96FE7C" w14:textId="77777777" w:rsidR="00F7113A" w:rsidRPr="00580C0D" w:rsidRDefault="00142E5B" w:rsidP="00580C0D">
      <w:r w:rsidRPr="00580C0D">
        <w:t xml:space="preserve">Vedtaket ble truffet ved behandling av Representantforslag 154 S (2017–2018) om tiltak for å sikre mor og barn ei faglig god barselomsorg og hindre uforsvarlige kutt i liggetid på sykehus etter fødsel, og Representantforslag 168 S (2017–2018) om åtte tiltak for å sikre trygg fødselsomsorg, jf. </w:t>
      </w:r>
      <w:proofErr w:type="spellStart"/>
      <w:r w:rsidRPr="00580C0D">
        <w:t>Innst</w:t>
      </w:r>
      <w:proofErr w:type="spellEnd"/>
      <w:r w:rsidRPr="00580C0D">
        <w:t>. 280 S (2017–2018).</w:t>
      </w:r>
    </w:p>
    <w:p w14:paraId="21AD8AEE" w14:textId="77777777" w:rsidR="00F7113A" w:rsidRPr="00580C0D" w:rsidRDefault="00142E5B" w:rsidP="00580C0D">
      <w:r w:rsidRPr="00580C0D">
        <w:t>Vedtaket har blitt fulgt opp ved revidering av relevante nasjonalfaglige retningslinjer. I nasjonalfaglig retningslinje for svangerskapsomsorgen er det en sterk faglig anbefaling om at jordmor og/eller fastlege bør identifisere gravide med risiko for angst, depresjon og psykiske helseproblemer. I nasjonalfaglig retningslinje for helsestasjons- og skolehelsetjenesten er det en sterk faglig anbefaling om at foreldres psykiske helse og trivsel bør tematiseres i konsultasjonene i helsestasjonsprogrammet. Anmodningsvedtaket anses som fulgt opp.</w:t>
      </w:r>
    </w:p>
    <w:p w14:paraId="19B78290" w14:textId="77777777" w:rsidR="00F7113A" w:rsidRPr="00580C0D" w:rsidRDefault="00142E5B" w:rsidP="00580C0D">
      <w:pPr>
        <w:pStyle w:val="avsnitt-tittel"/>
      </w:pPr>
      <w:r w:rsidRPr="00580C0D">
        <w:t>Tobakksskadeloven</w:t>
      </w:r>
    </w:p>
    <w:p w14:paraId="30188756" w14:textId="77777777" w:rsidR="00F7113A" w:rsidRPr="00580C0D" w:rsidRDefault="00142E5B" w:rsidP="00580C0D">
      <w:pPr>
        <w:pStyle w:val="avsnitt-undertittel"/>
      </w:pPr>
      <w:r w:rsidRPr="00580C0D">
        <w:t>Vedtak nr. 915, 12. juni 2018</w:t>
      </w:r>
    </w:p>
    <w:p w14:paraId="380CAA7C" w14:textId="77777777" w:rsidR="00F7113A" w:rsidRPr="00580C0D" w:rsidRDefault="00142E5B" w:rsidP="00580C0D">
      <w:pPr>
        <w:pStyle w:val="blokksit"/>
        <w:rPr>
          <w:rStyle w:val="kursiv"/>
        </w:rPr>
      </w:pPr>
      <w:r w:rsidRPr="00580C0D">
        <w:rPr>
          <w:rStyle w:val="kursiv"/>
        </w:rPr>
        <w:t>«Stortinget ber regjeringen utrede og fremme forslag om endringer i tobakksskadeloven med mål om å hindre at en ny generasjon blir avhengig av tobakk, og mål om å gjøre flere arenaer i samfunnet tobakksfrie og å styrke vernet mot passiv røyking.»</w:t>
      </w:r>
    </w:p>
    <w:p w14:paraId="58F53262" w14:textId="77777777" w:rsidR="00F7113A" w:rsidRPr="00580C0D" w:rsidRDefault="00142E5B" w:rsidP="00580C0D">
      <w:r w:rsidRPr="00580C0D">
        <w:t xml:space="preserve">Vedtaket ble truffet ved behandlingen av Dokument 8:189 S (2017–2018), jf. </w:t>
      </w:r>
      <w:proofErr w:type="spellStart"/>
      <w:r w:rsidRPr="00580C0D">
        <w:t>Innst</w:t>
      </w:r>
      <w:proofErr w:type="spellEnd"/>
      <w:r w:rsidRPr="00580C0D">
        <w:t xml:space="preserve">. 367 S (2017–2018). Regjeringen fremla en ny tobakksstrategi i Meld. St. 15 (2022–2023) </w:t>
      </w:r>
      <w:r w:rsidRPr="00580C0D">
        <w:rPr>
          <w:rStyle w:val="kursiv"/>
        </w:rPr>
        <w:t xml:space="preserve">Folkehelsemeldinga – Nasjonal strategi for utjamning av sosiale </w:t>
      </w:r>
      <w:proofErr w:type="spellStart"/>
      <w:r w:rsidRPr="00580C0D">
        <w:rPr>
          <w:rStyle w:val="kursiv"/>
        </w:rPr>
        <w:t>helseforskjellar</w:t>
      </w:r>
      <w:proofErr w:type="spellEnd"/>
      <w:r w:rsidRPr="00580C0D">
        <w:t>. I strategien varsles en rekke innstramninger i tobakksskadeloven, herunder tiltak for å hindre tobakksbruk blant unge og utvidelser av røykeforbudene. Regjeringen vil komme tilbake til Stortinget på egnet måte.</w:t>
      </w:r>
    </w:p>
    <w:p w14:paraId="519AC38D" w14:textId="77777777" w:rsidR="00F7113A" w:rsidRPr="00580C0D" w:rsidRDefault="00142E5B" w:rsidP="00580C0D">
      <w:pPr>
        <w:pStyle w:val="Overskrift2"/>
      </w:pPr>
      <w:r w:rsidRPr="00580C0D">
        <w:t>Stortingssesjon 2015–2016</w:t>
      </w:r>
    </w:p>
    <w:p w14:paraId="394CCBEB" w14:textId="77777777" w:rsidR="00F7113A" w:rsidRPr="00580C0D" w:rsidRDefault="00142E5B" w:rsidP="00580C0D">
      <w:pPr>
        <w:pStyle w:val="avsnitt-tittel"/>
      </w:pPr>
      <w:r w:rsidRPr="00580C0D">
        <w:t>Prevensjon til rusavhengige</w:t>
      </w:r>
    </w:p>
    <w:p w14:paraId="5237CC17" w14:textId="77777777" w:rsidR="00F7113A" w:rsidRPr="00580C0D" w:rsidRDefault="00142E5B" w:rsidP="00580C0D">
      <w:pPr>
        <w:pStyle w:val="avsnitt-undertittel"/>
      </w:pPr>
      <w:r w:rsidRPr="00580C0D">
        <w:t>Vedtak nr. 627, 28. april 2016</w:t>
      </w:r>
    </w:p>
    <w:p w14:paraId="419D6067" w14:textId="77777777" w:rsidR="00F7113A" w:rsidRPr="00580C0D" w:rsidRDefault="00142E5B" w:rsidP="00580C0D">
      <w:pPr>
        <w:pStyle w:val="blokksit"/>
        <w:rPr>
          <w:rStyle w:val="kursiv"/>
        </w:rPr>
      </w:pPr>
      <w:r w:rsidRPr="00580C0D">
        <w:rPr>
          <w:rStyle w:val="kursiv"/>
        </w:rPr>
        <w:t>«Stortinget ber regjeringen vurdere å gi alle kvinner med alvorlig rusmiddelavhengighet tilbud om gratis langtidsvirkende prevensjon.»</w:t>
      </w:r>
    </w:p>
    <w:p w14:paraId="4D882549" w14:textId="77777777" w:rsidR="00F7113A" w:rsidRPr="00580C0D" w:rsidRDefault="00142E5B" w:rsidP="00580C0D">
      <w:r w:rsidRPr="00580C0D">
        <w:t xml:space="preserve">Vedtaket ble truffet ved behandling av </w:t>
      </w:r>
      <w:proofErr w:type="spellStart"/>
      <w:r w:rsidRPr="00580C0D">
        <w:t>Prop</w:t>
      </w:r>
      <w:proofErr w:type="spellEnd"/>
      <w:r w:rsidRPr="00580C0D">
        <w:t xml:space="preserve">. 15 S (2015–2016) – </w:t>
      </w:r>
      <w:r w:rsidRPr="00580C0D">
        <w:rPr>
          <w:rStyle w:val="kursiv"/>
        </w:rPr>
        <w:t>Opptrappingsplan for rusfeltet (2016–2020)</w:t>
      </w:r>
      <w:r w:rsidRPr="00580C0D">
        <w:t xml:space="preserve">, jf. </w:t>
      </w:r>
      <w:proofErr w:type="spellStart"/>
      <w:r w:rsidRPr="00580C0D">
        <w:t>Innst</w:t>
      </w:r>
      <w:proofErr w:type="spellEnd"/>
      <w:r w:rsidRPr="00580C0D">
        <w:t>. 240 S (2015–2016).</w:t>
      </w:r>
    </w:p>
    <w:p w14:paraId="7B0B4180" w14:textId="77777777" w:rsidR="00F7113A" w:rsidRPr="00580C0D" w:rsidRDefault="00142E5B" w:rsidP="00580C0D">
      <w:r w:rsidRPr="00580C0D">
        <w:t>En ordning med gratis langtidsvirkende prevensjon til alle kvinner med alvorlig rusmiddelavhengighet, vil reise flere juridiske, økonomiske og faglige spørsmål. Helse- og omsorgsdepartementet vil vurdere dette etter å ha høstet flere erfaringer med gratis langtidsvirkende prevensjon til kvinner i LAR, og følge opp gjennom regjeringens arbeid med stortingsmeldingen om en forebyggings- og behandlingsreform for rusfeltet.</w:t>
      </w:r>
    </w:p>
    <w:p w14:paraId="79DCBF7C" w14:textId="77777777" w:rsidR="00F7113A" w:rsidRPr="00580C0D" w:rsidRDefault="00142E5B" w:rsidP="00580C0D">
      <w:r w:rsidRPr="00580C0D">
        <w:t>Regjeringen vil komme tilbake til Stortinget på egnet måte.</w:t>
      </w:r>
    </w:p>
    <w:p w14:paraId="24AAFF25" w14:textId="77777777" w:rsidR="00F7113A" w:rsidRPr="00580C0D" w:rsidRDefault="00142E5B" w:rsidP="00580C0D">
      <w:pPr>
        <w:pStyle w:val="Overskrift1"/>
      </w:pPr>
      <w:r w:rsidRPr="00580C0D">
        <w:t>Justis- og beredskapsdepartementet</w:t>
      </w:r>
    </w:p>
    <w:p w14:paraId="4F0AF519" w14:textId="77777777" w:rsidR="00F7113A" w:rsidRPr="00580C0D" w:rsidRDefault="00142E5B" w:rsidP="00580C0D">
      <w:proofErr w:type="spellStart"/>
      <w:r w:rsidRPr="00580C0D">
        <w:t>Nedanfor</w:t>
      </w:r>
      <w:proofErr w:type="spellEnd"/>
      <w:r w:rsidRPr="00580C0D">
        <w:t xml:space="preserve"> gir departementet </w:t>
      </w:r>
      <w:proofErr w:type="gramStart"/>
      <w:r w:rsidRPr="00580C0D">
        <w:t>ei oversikt</w:t>
      </w:r>
      <w:proofErr w:type="gramEnd"/>
      <w:r w:rsidRPr="00580C0D">
        <w:t xml:space="preserve"> over oppfølging av oppmodingsvedtak under Justis- og beredskapsdepartementet. </w:t>
      </w:r>
      <w:proofErr w:type="spellStart"/>
      <w:r w:rsidRPr="00580C0D">
        <w:t>Oversikta</w:t>
      </w:r>
      <w:proofErr w:type="spellEnd"/>
      <w:r w:rsidRPr="00580C0D">
        <w:t xml:space="preserve"> inkluderer alle vedtak </w:t>
      </w:r>
      <w:proofErr w:type="spellStart"/>
      <w:r w:rsidRPr="00580C0D">
        <w:t>frå</w:t>
      </w:r>
      <w:proofErr w:type="spellEnd"/>
      <w:r w:rsidRPr="00580C0D">
        <w:t xml:space="preserve"> stortingssesjonen 2022–2023, og </w:t>
      </w:r>
      <w:proofErr w:type="spellStart"/>
      <w:r w:rsidRPr="00580C0D">
        <w:t>dei</w:t>
      </w:r>
      <w:proofErr w:type="spellEnd"/>
      <w:r w:rsidRPr="00580C0D">
        <w:t xml:space="preserve"> vedtaka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stortingssesjonar</w:t>
      </w:r>
      <w:proofErr w:type="spellEnd"/>
      <w:r w:rsidRPr="00580C0D">
        <w:t xml:space="preserve"> som kontroll- og konstitusjonskomiteen ved behandling av Meld. St. 4 (2022–2023), jf. </w:t>
      </w:r>
      <w:proofErr w:type="spellStart"/>
      <w:r w:rsidRPr="00580C0D">
        <w:t>Innst</w:t>
      </w:r>
      <w:proofErr w:type="spellEnd"/>
      <w:r w:rsidRPr="00580C0D">
        <w:t xml:space="preserve">. 186 S (2022–2023) meinte </w:t>
      </w:r>
      <w:proofErr w:type="spellStart"/>
      <w:r w:rsidRPr="00580C0D">
        <w:t>ikkje</w:t>
      </w:r>
      <w:proofErr w:type="spellEnd"/>
      <w:r w:rsidRPr="00580C0D">
        <w:t xml:space="preserve"> var </w:t>
      </w:r>
      <w:proofErr w:type="spellStart"/>
      <w:r w:rsidRPr="00580C0D">
        <w:t>følgde</w:t>
      </w:r>
      <w:proofErr w:type="spellEnd"/>
      <w:r w:rsidRPr="00580C0D">
        <w:t xml:space="preserve"> opp. I enkelte tilfelle kan oppfølginga av vedtaka </w:t>
      </w:r>
      <w:proofErr w:type="spellStart"/>
      <w:r w:rsidRPr="00580C0D">
        <w:t>vere</w:t>
      </w:r>
      <w:proofErr w:type="spellEnd"/>
      <w:r w:rsidRPr="00580C0D">
        <w:t xml:space="preserve"> </w:t>
      </w:r>
      <w:proofErr w:type="spellStart"/>
      <w:r w:rsidRPr="00580C0D">
        <w:t>meir</w:t>
      </w:r>
      <w:proofErr w:type="spellEnd"/>
      <w:r w:rsidRPr="00580C0D">
        <w:t xml:space="preserve"> </w:t>
      </w:r>
      <w:proofErr w:type="spellStart"/>
      <w:r w:rsidRPr="00580C0D">
        <w:t>omfattande</w:t>
      </w:r>
      <w:proofErr w:type="spellEnd"/>
      <w:r w:rsidRPr="00580C0D">
        <w:t xml:space="preserve"> forklart under det aktuelle programområdet i proposisjonen. I </w:t>
      </w:r>
      <w:proofErr w:type="spellStart"/>
      <w:r w:rsidRPr="00580C0D">
        <w:t>desse</w:t>
      </w:r>
      <w:proofErr w:type="spellEnd"/>
      <w:r w:rsidRPr="00580C0D">
        <w:t xml:space="preserve"> tilfella vil det </w:t>
      </w:r>
      <w:proofErr w:type="spellStart"/>
      <w:r w:rsidRPr="00580C0D">
        <w:t>vere</w:t>
      </w:r>
      <w:proofErr w:type="spellEnd"/>
      <w:r w:rsidRPr="00580C0D">
        <w:t xml:space="preserve"> </w:t>
      </w:r>
      <w:proofErr w:type="spellStart"/>
      <w:r w:rsidRPr="00580C0D">
        <w:t>ein</w:t>
      </w:r>
      <w:proofErr w:type="spellEnd"/>
      <w:r w:rsidRPr="00580C0D">
        <w:t xml:space="preserve"> referanse til kvar denne teksten </w:t>
      </w:r>
      <w:proofErr w:type="spellStart"/>
      <w:r w:rsidRPr="00580C0D">
        <w:t>finst</w:t>
      </w:r>
      <w:proofErr w:type="spellEnd"/>
      <w:r w:rsidRPr="00580C0D">
        <w:t>.</w:t>
      </w:r>
    </w:p>
    <w:p w14:paraId="7269A4EF" w14:textId="77777777" w:rsidR="00F7113A" w:rsidRPr="00580C0D" w:rsidRDefault="00142E5B" w:rsidP="00580C0D">
      <w:r w:rsidRPr="00580C0D">
        <w:t xml:space="preserve">I kolonne fire i tabellen </w:t>
      </w:r>
      <w:proofErr w:type="spellStart"/>
      <w:r w:rsidRPr="00580C0D">
        <w:t>nedanfor</w:t>
      </w:r>
      <w:proofErr w:type="spellEnd"/>
      <w:r w:rsidRPr="00580C0D">
        <w:t xml:space="preserve"> går det fram om departementet planlegg at rapporteringa på oppmodingsvedtaket </w:t>
      </w:r>
      <w:proofErr w:type="spellStart"/>
      <w:r w:rsidRPr="00580C0D">
        <w:t>no</w:t>
      </w:r>
      <w:proofErr w:type="spellEnd"/>
      <w:r w:rsidRPr="00580C0D">
        <w:t xml:space="preserve"> blir avslutta, eller om departementet vil rapportere konkret på vedtaket også i budsjettproposisjonen til neste år.</w:t>
      </w:r>
    </w:p>
    <w:p w14:paraId="59E95165" w14:textId="5BD126AA" w:rsidR="00F7113A" w:rsidRDefault="00142E5B" w:rsidP="00580C0D">
      <w:proofErr w:type="spellStart"/>
      <w:r w:rsidRPr="00580C0D">
        <w:t>Sjølv</w:t>
      </w:r>
      <w:proofErr w:type="spellEnd"/>
      <w:r w:rsidRPr="00580C0D">
        <w:t xml:space="preserve"> om det i tabellen blir opplyst om at rapporteringa blir avslutta, vil det i </w:t>
      </w:r>
      <w:proofErr w:type="spellStart"/>
      <w:r w:rsidRPr="00580C0D">
        <w:t>ein</w:t>
      </w:r>
      <w:proofErr w:type="spellEnd"/>
      <w:r w:rsidRPr="00580C0D">
        <w:t xml:space="preserve"> del tilfelle kunne </w:t>
      </w:r>
      <w:proofErr w:type="spellStart"/>
      <w:r w:rsidRPr="00580C0D">
        <w:t>vere</w:t>
      </w:r>
      <w:proofErr w:type="spellEnd"/>
      <w:r w:rsidRPr="00580C0D">
        <w:t xml:space="preserve"> slik at oppfølginga av alle sider av vedtaket </w:t>
      </w:r>
      <w:proofErr w:type="spellStart"/>
      <w:r w:rsidRPr="00580C0D">
        <w:t>ikkje</w:t>
      </w:r>
      <w:proofErr w:type="spellEnd"/>
      <w:r w:rsidRPr="00580C0D">
        <w:t xml:space="preserve"> er </w:t>
      </w:r>
      <w:proofErr w:type="spellStart"/>
      <w:r w:rsidRPr="00580C0D">
        <w:t>endeleg</w:t>
      </w:r>
      <w:proofErr w:type="spellEnd"/>
      <w:r w:rsidRPr="00580C0D">
        <w:t xml:space="preserve"> avslutta. Dette kan t.d. gjelde vedtak med oppmoding til regjeringa om å vareta </w:t>
      </w:r>
      <w:proofErr w:type="spellStart"/>
      <w:r w:rsidRPr="00580C0D">
        <w:t>særlege</w:t>
      </w:r>
      <w:proofErr w:type="spellEnd"/>
      <w:r w:rsidRPr="00580C0D">
        <w:t xml:space="preserve"> omsyn i politikkutforminga på </w:t>
      </w:r>
      <w:proofErr w:type="spellStart"/>
      <w:r w:rsidRPr="00580C0D">
        <w:t>eit</w:t>
      </w:r>
      <w:proofErr w:type="spellEnd"/>
      <w:r w:rsidRPr="00580C0D">
        <w:t xml:space="preserve"> område, der oppfølginga vil kunne gå over mange år. Stortinget vil i </w:t>
      </w:r>
      <w:proofErr w:type="spellStart"/>
      <w:r w:rsidRPr="00580C0D">
        <w:t>desse</w:t>
      </w:r>
      <w:proofErr w:type="spellEnd"/>
      <w:r w:rsidRPr="00580C0D">
        <w:t xml:space="preserve"> tilfella bli orientert om den </w:t>
      </w:r>
      <w:proofErr w:type="spellStart"/>
      <w:r w:rsidRPr="00580C0D">
        <w:t>vidare</w:t>
      </w:r>
      <w:proofErr w:type="spellEnd"/>
      <w:r w:rsidRPr="00580C0D">
        <w:t xml:space="preserve"> oppfølginga på ordinær måte, gjennom omtale av det relevante politikkområdet i </w:t>
      </w:r>
      <w:proofErr w:type="spellStart"/>
      <w:r w:rsidRPr="00580C0D">
        <w:t>budsjettproposisjonar</w:t>
      </w:r>
      <w:proofErr w:type="spellEnd"/>
      <w:r w:rsidRPr="00580C0D">
        <w:t xml:space="preserve"> og andre dokument.</w:t>
      </w:r>
    </w:p>
    <w:p w14:paraId="01C53C93" w14:textId="06B18DB3" w:rsidR="001231A3" w:rsidRPr="00580C0D" w:rsidRDefault="001231A3" w:rsidP="001231A3">
      <w:pPr>
        <w:pStyle w:val="tabell-tittel"/>
      </w:pPr>
      <w:r w:rsidRPr="00580C0D">
        <w:t>Oversikt over oppmodingsvedtak, ordna etter sesjon og nummer</w:t>
      </w:r>
    </w:p>
    <w:p w14:paraId="66E4712C" w14:textId="77777777" w:rsidR="00F7113A" w:rsidRPr="00580C0D" w:rsidRDefault="00142E5B" w:rsidP="00580C0D">
      <w:pPr>
        <w:pStyle w:val="Tabellnavn"/>
      </w:pPr>
      <w:r w:rsidRPr="00580C0D">
        <w:t>04J1xx2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040"/>
        <w:gridCol w:w="1980"/>
      </w:tblGrid>
      <w:tr w:rsidR="00F7113A" w:rsidRPr="00580C0D" w14:paraId="29C31D9C" w14:textId="77777777" w:rsidTr="001231A3">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957FF0" w14:textId="77777777" w:rsidR="00F7113A" w:rsidRPr="00580C0D" w:rsidRDefault="00142E5B" w:rsidP="001231A3">
            <w:r w:rsidRPr="00580C0D">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59FE5D" w14:textId="77777777" w:rsidR="00F7113A" w:rsidRPr="00580C0D" w:rsidRDefault="00142E5B" w:rsidP="001231A3">
            <w:pPr>
              <w:jc w:val="center"/>
            </w:pPr>
            <w:r w:rsidRPr="00580C0D">
              <w:t>Vedtak nr.</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803071" w14:textId="77777777" w:rsidR="00F7113A" w:rsidRPr="00580C0D" w:rsidRDefault="00142E5B" w:rsidP="001231A3">
            <w:r w:rsidRPr="00580C0D">
              <w:t>Stikkord</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tcPr>
          <w:p w14:paraId="0BCF4628" w14:textId="77777777" w:rsidR="00F7113A" w:rsidRPr="00580C0D" w:rsidRDefault="00142E5B" w:rsidP="001231A3">
            <w:pPr>
              <w:jc w:val="right"/>
            </w:pPr>
            <w:r w:rsidRPr="00580C0D">
              <w:t xml:space="preserve">Rapporteringa </w:t>
            </w:r>
            <w:r w:rsidRPr="00580C0D">
              <w:br/>
              <w:t>blir avslutta (ja/nei)</w:t>
            </w:r>
          </w:p>
        </w:tc>
      </w:tr>
      <w:tr w:rsidR="00F7113A" w:rsidRPr="00580C0D" w14:paraId="0915B1DB" w14:textId="77777777" w:rsidTr="001231A3">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3D53C28A" w14:textId="77777777" w:rsidR="00F7113A" w:rsidRPr="00580C0D" w:rsidRDefault="00142E5B" w:rsidP="001231A3">
            <w:r w:rsidRPr="00580C0D">
              <w:t>2022–2023</w:t>
            </w:r>
          </w:p>
        </w:tc>
        <w:tc>
          <w:tcPr>
            <w:tcW w:w="1120" w:type="dxa"/>
            <w:tcBorders>
              <w:top w:val="single" w:sz="4" w:space="0" w:color="000000"/>
              <w:left w:val="nil"/>
              <w:bottom w:val="nil"/>
              <w:right w:val="nil"/>
            </w:tcBorders>
            <w:tcMar>
              <w:top w:w="128" w:type="dxa"/>
              <w:left w:w="43" w:type="dxa"/>
              <w:bottom w:w="43" w:type="dxa"/>
              <w:right w:w="43" w:type="dxa"/>
            </w:tcMar>
          </w:tcPr>
          <w:p w14:paraId="515AEBF1" w14:textId="77777777" w:rsidR="00F7113A" w:rsidRPr="00580C0D" w:rsidRDefault="00142E5B" w:rsidP="001231A3">
            <w:pPr>
              <w:ind w:right="284"/>
              <w:jc w:val="right"/>
            </w:pPr>
            <w:r w:rsidRPr="00580C0D">
              <w:t>131</w:t>
            </w:r>
          </w:p>
        </w:tc>
        <w:tc>
          <w:tcPr>
            <w:tcW w:w="5040" w:type="dxa"/>
            <w:tcBorders>
              <w:top w:val="single" w:sz="4" w:space="0" w:color="000000"/>
              <w:left w:val="nil"/>
              <w:bottom w:val="nil"/>
              <w:right w:val="nil"/>
            </w:tcBorders>
            <w:tcMar>
              <w:top w:w="128" w:type="dxa"/>
              <w:left w:w="43" w:type="dxa"/>
              <w:bottom w:w="43" w:type="dxa"/>
              <w:right w:w="43" w:type="dxa"/>
            </w:tcMar>
          </w:tcPr>
          <w:p w14:paraId="281A6527" w14:textId="77777777" w:rsidR="00F7113A" w:rsidRPr="00580C0D" w:rsidRDefault="00142E5B" w:rsidP="001231A3">
            <w:r w:rsidRPr="00580C0D">
              <w:t xml:space="preserve">Oppretting av permanent </w:t>
            </w:r>
            <w:proofErr w:type="spellStart"/>
            <w:r w:rsidRPr="00580C0D">
              <w:t>partnardrapskommisjon</w:t>
            </w:r>
            <w:proofErr w:type="spellEnd"/>
          </w:p>
        </w:tc>
        <w:tc>
          <w:tcPr>
            <w:tcW w:w="1980" w:type="dxa"/>
            <w:tcBorders>
              <w:top w:val="single" w:sz="4" w:space="0" w:color="000000"/>
              <w:left w:val="nil"/>
              <w:bottom w:val="nil"/>
              <w:right w:val="nil"/>
            </w:tcBorders>
            <w:tcMar>
              <w:top w:w="128" w:type="dxa"/>
              <w:left w:w="43" w:type="dxa"/>
              <w:bottom w:w="43" w:type="dxa"/>
              <w:right w:w="43" w:type="dxa"/>
            </w:tcMar>
          </w:tcPr>
          <w:p w14:paraId="17A75287" w14:textId="77777777" w:rsidR="00F7113A" w:rsidRPr="00580C0D" w:rsidRDefault="00142E5B" w:rsidP="001231A3">
            <w:pPr>
              <w:jc w:val="right"/>
            </w:pPr>
            <w:r w:rsidRPr="00580C0D">
              <w:t>Nei</w:t>
            </w:r>
          </w:p>
        </w:tc>
      </w:tr>
      <w:tr w:rsidR="00F7113A" w:rsidRPr="00580C0D" w14:paraId="3DD51155"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2054C380"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EDCCE07" w14:textId="77777777" w:rsidR="00F7113A" w:rsidRPr="00580C0D" w:rsidRDefault="00142E5B" w:rsidP="001231A3">
            <w:pPr>
              <w:ind w:right="284"/>
              <w:jc w:val="right"/>
            </w:pPr>
            <w:r w:rsidRPr="00580C0D">
              <w:t>132</w:t>
            </w:r>
          </w:p>
        </w:tc>
        <w:tc>
          <w:tcPr>
            <w:tcW w:w="5040" w:type="dxa"/>
            <w:tcBorders>
              <w:top w:val="nil"/>
              <w:left w:val="nil"/>
              <w:bottom w:val="nil"/>
              <w:right w:val="nil"/>
            </w:tcBorders>
            <w:tcMar>
              <w:top w:w="128" w:type="dxa"/>
              <w:left w:w="43" w:type="dxa"/>
              <w:bottom w:w="43" w:type="dxa"/>
              <w:right w:w="43" w:type="dxa"/>
            </w:tcMar>
          </w:tcPr>
          <w:p w14:paraId="27D8DC27" w14:textId="77777777" w:rsidR="00F7113A" w:rsidRPr="00580C0D" w:rsidRDefault="00142E5B" w:rsidP="001231A3">
            <w:r w:rsidRPr="00580C0D">
              <w:t xml:space="preserve">Nasjonalt </w:t>
            </w:r>
            <w:proofErr w:type="spellStart"/>
            <w:r w:rsidRPr="00580C0D">
              <w:t>førebyggingsprogram</w:t>
            </w:r>
            <w:proofErr w:type="spellEnd"/>
            <w:r w:rsidRPr="00580C0D">
              <w:t xml:space="preserve"> mot </w:t>
            </w:r>
            <w:proofErr w:type="spellStart"/>
            <w:r w:rsidRPr="00580C0D">
              <w:t>partnarvald</w:t>
            </w:r>
            <w:proofErr w:type="spellEnd"/>
            <w:r w:rsidRPr="00580C0D">
              <w:t xml:space="preserve"> og </w:t>
            </w:r>
            <w:proofErr w:type="spellStart"/>
            <w:r w:rsidRPr="00580C0D">
              <w:t>partnardrap</w:t>
            </w:r>
            <w:proofErr w:type="spellEnd"/>
            <w:r w:rsidRPr="00580C0D">
              <w:t xml:space="preserve"> </w:t>
            </w:r>
          </w:p>
        </w:tc>
        <w:tc>
          <w:tcPr>
            <w:tcW w:w="1980" w:type="dxa"/>
            <w:tcBorders>
              <w:top w:val="nil"/>
              <w:left w:val="nil"/>
              <w:bottom w:val="nil"/>
              <w:right w:val="nil"/>
            </w:tcBorders>
            <w:tcMar>
              <w:top w:w="128" w:type="dxa"/>
              <w:left w:w="43" w:type="dxa"/>
              <w:bottom w:w="43" w:type="dxa"/>
              <w:right w:w="43" w:type="dxa"/>
            </w:tcMar>
          </w:tcPr>
          <w:p w14:paraId="45829684" w14:textId="77777777" w:rsidR="00F7113A" w:rsidRPr="00580C0D" w:rsidRDefault="00142E5B" w:rsidP="001231A3">
            <w:pPr>
              <w:jc w:val="right"/>
            </w:pPr>
            <w:r w:rsidRPr="00580C0D">
              <w:t>Nei</w:t>
            </w:r>
          </w:p>
        </w:tc>
      </w:tr>
      <w:tr w:rsidR="00F7113A" w:rsidRPr="00580C0D" w14:paraId="30E506FF"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3206B961"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7028D5D" w14:textId="77777777" w:rsidR="00F7113A" w:rsidRPr="00580C0D" w:rsidRDefault="00142E5B" w:rsidP="001231A3">
            <w:pPr>
              <w:ind w:right="284"/>
              <w:jc w:val="right"/>
            </w:pPr>
            <w:r w:rsidRPr="00580C0D">
              <w:t>133</w:t>
            </w:r>
          </w:p>
        </w:tc>
        <w:tc>
          <w:tcPr>
            <w:tcW w:w="5040" w:type="dxa"/>
            <w:tcBorders>
              <w:top w:val="nil"/>
              <w:left w:val="nil"/>
              <w:bottom w:val="nil"/>
              <w:right w:val="nil"/>
            </w:tcBorders>
            <w:tcMar>
              <w:top w:w="128" w:type="dxa"/>
              <w:left w:w="43" w:type="dxa"/>
              <w:bottom w:w="43" w:type="dxa"/>
              <w:right w:w="43" w:type="dxa"/>
            </w:tcMar>
          </w:tcPr>
          <w:p w14:paraId="47F5FB6E" w14:textId="76824782" w:rsidR="00F7113A" w:rsidRPr="00580C0D" w:rsidRDefault="00142E5B" w:rsidP="001231A3">
            <w:r w:rsidRPr="00580C0D">
              <w:t xml:space="preserve">Kommunale </w:t>
            </w:r>
            <w:proofErr w:type="spellStart"/>
            <w:r w:rsidRPr="00580C0D">
              <w:t>handlingsplanar</w:t>
            </w:r>
            <w:proofErr w:type="spellEnd"/>
            <w:r w:rsidRPr="00580C0D">
              <w:t xml:space="preserve"> mot vald i nære </w:t>
            </w:r>
            <w:r w:rsidR="00C26F72">
              <w:br/>
            </w:r>
            <w:proofErr w:type="spellStart"/>
            <w:r w:rsidRPr="00580C0D">
              <w:t>relasjonar</w:t>
            </w:r>
            <w:proofErr w:type="spellEnd"/>
          </w:p>
        </w:tc>
        <w:tc>
          <w:tcPr>
            <w:tcW w:w="1980" w:type="dxa"/>
            <w:tcBorders>
              <w:top w:val="nil"/>
              <w:left w:val="nil"/>
              <w:bottom w:val="nil"/>
              <w:right w:val="nil"/>
            </w:tcBorders>
            <w:tcMar>
              <w:top w:w="128" w:type="dxa"/>
              <w:left w:w="43" w:type="dxa"/>
              <w:bottom w:w="43" w:type="dxa"/>
              <w:right w:w="43" w:type="dxa"/>
            </w:tcMar>
          </w:tcPr>
          <w:p w14:paraId="42BB9236" w14:textId="77777777" w:rsidR="00F7113A" w:rsidRPr="00580C0D" w:rsidRDefault="00142E5B" w:rsidP="001231A3">
            <w:pPr>
              <w:jc w:val="right"/>
            </w:pPr>
            <w:r w:rsidRPr="00580C0D">
              <w:t>Nei</w:t>
            </w:r>
          </w:p>
        </w:tc>
      </w:tr>
      <w:tr w:rsidR="00F7113A" w:rsidRPr="00580C0D" w14:paraId="760D02EA"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5D4A3542"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2EA0FE7" w14:textId="77777777" w:rsidR="00F7113A" w:rsidRPr="00580C0D" w:rsidRDefault="00142E5B" w:rsidP="001231A3">
            <w:pPr>
              <w:ind w:right="284"/>
              <w:jc w:val="right"/>
            </w:pPr>
            <w:r w:rsidRPr="00580C0D">
              <w:t>134</w:t>
            </w:r>
          </w:p>
        </w:tc>
        <w:tc>
          <w:tcPr>
            <w:tcW w:w="5040" w:type="dxa"/>
            <w:tcBorders>
              <w:top w:val="nil"/>
              <w:left w:val="nil"/>
              <w:bottom w:val="nil"/>
              <w:right w:val="nil"/>
            </w:tcBorders>
            <w:tcMar>
              <w:top w:w="128" w:type="dxa"/>
              <w:left w:w="43" w:type="dxa"/>
              <w:bottom w:w="43" w:type="dxa"/>
              <w:right w:w="43" w:type="dxa"/>
            </w:tcMar>
          </w:tcPr>
          <w:p w14:paraId="6870CC1C" w14:textId="7EFE3784" w:rsidR="00F7113A" w:rsidRPr="00580C0D" w:rsidRDefault="00142E5B" w:rsidP="001231A3">
            <w:r w:rsidRPr="00580C0D">
              <w:t xml:space="preserve">Oppdatert kunnskapsgrunnlag om vald i nære </w:t>
            </w:r>
            <w:r w:rsidR="00C26F72">
              <w:br/>
            </w:r>
            <w:proofErr w:type="spellStart"/>
            <w:r w:rsidRPr="00580C0D">
              <w:t>relasjonar</w:t>
            </w:r>
            <w:proofErr w:type="spellEnd"/>
          </w:p>
        </w:tc>
        <w:tc>
          <w:tcPr>
            <w:tcW w:w="1980" w:type="dxa"/>
            <w:tcBorders>
              <w:top w:val="nil"/>
              <w:left w:val="nil"/>
              <w:bottom w:val="nil"/>
              <w:right w:val="nil"/>
            </w:tcBorders>
            <w:tcMar>
              <w:top w:w="128" w:type="dxa"/>
              <w:left w:w="43" w:type="dxa"/>
              <w:bottom w:w="43" w:type="dxa"/>
              <w:right w:w="43" w:type="dxa"/>
            </w:tcMar>
          </w:tcPr>
          <w:p w14:paraId="4A533B0B" w14:textId="77777777" w:rsidR="00F7113A" w:rsidRPr="00580C0D" w:rsidRDefault="00142E5B" w:rsidP="001231A3">
            <w:pPr>
              <w:jc w:val="right"/>
            </w:pPr>
            <w:r w:rsidRPr="00580C0D">
              <w:t>Nei</w:t>
            </w:r>
          </w:p>
        </w:tc>
      </w:tr>
      <w:tr w:rsidR="00F7113A" w:rsidRPr="00580C0D" w14:paraId="121B4E59"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6C35B6C1"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3B0EBBE" w14:textId="77777777" w:rsidR="00F7113A" w:rsidRPr="00580C0D" w:rsidRDefault="00142E5B" w:rsidP="001231A3">
            <w:pPr>
              <w:ind w:right="284"/>
              <w:jc w:val="right"/>
            </w:pPr>
            <w:r w:rsidRPr="00580C0D">
              <w:t>135</w:t>
            </w:r>
          </w:p>
        </w:tc>
        <w:tc>
          <w:tcPr>
            <w:tcW w:w="5040" w:type="dxa"/>
            <w:tcBorders>
              <w:top w:val="nil"/>
              <w:left w:val="nil"/>
              <w:bottom w:val="nil"/>
              <w:right w:val="nil"/>
            </w:tcBorders>
            <w:tcMar>
              <w:top w:w="128" w:type="dxa"/>
              <w:left w:w="43" w:type="dxa"/>
              <w:bottom w:w="43" w:type="dxa"/>
              <w:right w:w="43" w:type="dxa"/>
            </w:tcMar>
          </w:tcPr>
          <w:p w14:paraId="1550CBF1" w14:textId="77777777" w:rsidR="00F7113A" w:rsidRPr="00580C0D" w:rsidRDefault="00142E5B" w:rsidP="001231A3">
            <w:r w:rsidRPr="00580C0D">
              <w:t xml:space="preserve">Bruk av </w:t>
            </w:r>
            <w:proofErr w:type="spellStart"/>
            <w:r w:rsidRPr="00580C0D">
              <w:t>åleinesamtalar</w:t>
            </w:r>
            <w:proofErr w:type="spellEnd"/>
            <w:r w:rsidRPr="00580C0D">
              <w:t xml:space="preserve"> i hjelpeapparatet</w:t>
            </w:r>
          </w:p>
        </w:tc>
        <w:tc>
          <w:tcPr>
            <w:tcW w:w="1980" w:type="dxa"/>
            <w:tcBorders>
              <w:top w:val="nil"/>
              <w:left w:val="nil"/>
              <w:bottom w:val="nil"/>
              <w:right w:val="nil"/>
            </w:tcBorders>
            <w:tcMar>
              <w:top w:w="128" w:type="dxa"/>
              <w:left w:w="43" w:type="dxa"/>
              <w:bottom w:w="43" w:type="dxa"/>
              <w:right w:w="43" w:type="dxa"/>
            </w:tcMar>
          </w:tcPr>
          <w:p w14:paraId="57AC8FF3" w14:textId="77777777" w:rsidR="00F7113A" w:rsidRPr="00580C0D" w:rsidRDefault="00142E5B" w:rsidP="001231A3">
            <w:pPr>
              <w:jc w:val="right"/>
            </w:pPr>
            <w:r w:rsidRPr="00580C0D">
              <w:t>Nei</w:t>
            </w:r>
          </w:p>
        </w:tc>
      </w:tr>
      <w:tr w:rsidR="00F7113A" w:rsidRPr="00580C0D" w14:paraId="5D4108C6"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3C99637B"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38A3388" w14:textId="77777777" w:rsidR="00F7113A" w:rsidRPr="00580C0D" w:rsidRDefault="00142E5B" w:rsidP="001231A3">
            <w:pPr>
              <w:ind w:right="284"/>
              <w:jc w:val="right"/>
            </w:pPr>
            <w:r w:rsidRPr="00580C0D">
              <w:t>136</w:t>
            </w:r>
          </w:p>
        </w:tc>
        <w:tc>
          <w:tcPr>
            <w:tcW w:w="5040" w:type="dxa"/>
            <w:tcBorders>
              <w:top w:val="nil"/>
              <w:left w:val="nil"/>
              <w:bottom w:val="nil"/>
              <w:right w:val="nil"/>
            </w:tcBorders>
            <w:tcMar>
              <w:top w:w="128" w:type="dxa"/>
              <w:left w:w="43" w:type="dxa"/>
              <w:bottom w:w="43" w:type="dxa"/>
              <w:right w:w="43" w:type="dxa"/>
            </w:tcMar>
          </w:tcPr>
          <w:p w14:paraId="47E7DE0B" w14:textId="77777777" w:rsidR="00F7113A" w:rsidRPr="00580C0D" w:rsidRDefault="00142E5B" w:rsidP="001231A3">
            <w:r w:rsidRPr="00580C0D">
              <w:t xml:space="preserve">Betre dokumentering og informasjonsutveksling </w:t>
            </w:r>
            <w:r w:rsidRPr="00580C0D">
              <w:br/>
              <w:t>i hjelpeapparatet</w:t>
            </w:r>
          </w:p>
        </w:tc>
        <w:tc>
          <w:tcPr>
            <w:tcW w:w="1980" w:type="dxa"/>
            <w:tcBorders>
              <w:top w:val="nil"/>
              <w:left w:val="nil"/>
              <w:bottom w:val="nil"/>
              <w:right w:val="nil"/>
            </w:tcBorders>
            <w:tcMar>
              <w:top w:w="128" w:type="dxa"/>
              <w:left w:w="43" w:type="dxa"/>
              <w:bottom w:w="43" w:type="dxa"/>
              <w:right w:w="43" w:type="dxa"/>
            </w:tcMar>
          </w:tcPr>
          <w:p w14:paraId="253E2C95" w14:textId="77777777" w:rsidR="00F7113A" w:rsidRPr="00580C0D" w:rsidRDefault="00142E5B" w:rsidP="001231A3">
            <w:pPr>
              <w:jc w:val="right"/>
            </w:pPr>
            <w:r w:rsidRPr="00580C0D">
              <w:t>Nei</w:t>
            </w:r>
          </w:p>
        </w:tc>
      </w:tr>
      <w:tr w:rsidR="00F7113A" w:rsidRPr="00580C0D" w14:paraId="431F07EA"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22FA7A0F"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7E295B06" w14:textId="77777777" w:rsidR="00F7113A" w:rsidRPr="00580C0D" w:rsidRDefault="00142E5B" w:rsidP="001231A3">
            <w:pPr>
              <w:ind w:right="284"/>
              <w:jc w:val="right"/>
            </w:pPr>
            <w:r w:rsidRPr="00580C0D">
              <w:t>139</w:t>
            </w:r>
          </w:p>
        </w:tc>
        <w:tc>
          <w:tcPr>
            <w:tcW w:w="5040" w:type="dxa"/>
            <w:tcBorders>
              <w:top w:val="nil"/>
              <w:left w:val="nil"/>
              <w:bottom w:val="nil"/>
              <w:right w:val="nil"/>
            </w:tcBorders>
            <w:tcMar>
              <w:top w:w="128" w:type="dxa"/>
              <w:left w:w="43" w:type="dxa"/>
              <w:bottom w:w="43" w:type="dxa"/>
              <w:right w:w="43" w:type="dxa"/>
            </w:tcMar>
          </w:tcPr>
          <w:p w14:paraId="1396039F" w14:textId="77777777" w:rsidR="00F7113A" w:rsidRPr="00580C0D" w:rsidRDefault="00142E5B" w:rsidP="001231A3">
            <w:r w:rsidRPr="00580C0D">
              <w:t>Elektronisk kontroll ved fotlenke med GPS-</w:t>
            </w:r>
            <w:proofErr w:type="spellStart"/>
            <w:r w:rsidRPr="00580C0D">
              <w:t>sendar</w:t>
            </w:r>
            <w:proofErr w:type="spellEnd"/>
            <w:r w:rsidRPr="00580C0D">
              <w:t xml:space="preserve"> for </w:t>
            </w:r>
            <w:proofErr w:type="spellStart"/>
            <w:r w:rsidRPr="00580C0D">
              <w:t>forvaringsdømde</w:t>
            </w:r>
            <w:proofErr w:type="spellEnd"/>
          </w:p>
        </w:tc>
        <w:tc>
          <w:tcPr>
            <w:tcW w:w="1980" w:type="dxa"/>
            <w:tcBorders>
              <w:top w:val="nil"/>
              <w:left w:val="nil"/>
              <w:bottom w:val="nil"/>
              <w:right w:val="nil"/>
            </w:tcBorders>
            <w:tcMar>
              <w:top w:w="128" w:type="dxa"/>
              <w:left w:w="43" w:type="dxa"/>
              <w:bottom w:w="43" w:type="dxa"/>
              <w:right w:w="43" w:type="dxa"/>
            </w:tcMar>
          </w:tcPr>
          <w:p w14:paraId="7D15A9C6" w14:textId="77777777" w:rsidR="00F7113A" w:rsidRPr="00580C0D" w:rsidRDefault="00142E5B" w:rsidP="001231A3">
            <w:pPr>
              <w:jc w:val="right"/>
            </w:pPr>
            <w:r w:rsidRPr="00580C0D">
              <w:t>Nei</w:t>
            </w:r>
          </w:p>
        </w:tc>
      </w:tr>
      <w:tr w:rsidR="00F7113A" w:rsidRPr="00580C0D" w14:paraId="4FB083DC"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187F86EF"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F683A04" w14:textId="77777777" w:rsidR="00F7113A" w:rsidRPr="00580C0D" w:rsidRDefault="00142E5B" w:rsidP="001231A3">
            <w:pPr>
              <w:ind w:right="284"/>
              <w:jc w:val="right"/>
            </w:pPr>
            <w:r w:rsidRPr="00580C0D">
              <w:t>140</w:t>
            </w:r>
          </w:p>
        </w:tc>
        <w:tc>
          <w:tcPr>
            <w:tcW w:w="5040" w:type="dxa"/>
            <w:tcBorders>
              <w:top w:val="nil"/>
              <w:left w:val="nil"/>
              <w:bottom w:val="nil"/>
              <w:right w:val="nil"/>
            </w:tcBorders>
            <w:tcMar>
              <w:top w:w="128" w:type="dxa"/>
              <w:left w:w="43" w:type="dxa"/>
              <w:bottom w:w="43" w:type="dxa"/>
              <w:right w:w="43" w:type="dxa"/>
            </w:tcMar>
          </w:tcPr>
          <w:p w14:paraId="0C869854" w14:textId="79A4B55E" w:rsidR="00F7113A" w:rsidRPr="00580C0D" w:rsidRDefault="00142E5B" w:rsidP="001231A3">
            <w:r w:rsidRPr="00580C0D">
              <w:t xml:space="preserve">Evaluering av ordninga med </w:t>
            </w:r>
            <w:proofErr w:type="spellStart"/>
            <w:r w:rsidRPr="00580C0D">
              <w:t>statleg</w:t>
            </w:r>
            <w:proofErr w:type="spellEnd"/>
            <w:r w:rsidRPr="00580C0D">
              <w:t xml:space="preserve"> finansiert </w:t>
            </w:r>
            <w:r w:rsidR="00C26F72">
              <w:br/>
            </w:r>
            <w:r w:rsidRPr="00580C0D">
              <w:t>prøvelauslating</w:t>
            </w:r>
          </w:p>
        </w:tc>
        <w:tc>
          <w:tcPr>
            <w:tcW w:w="1980" w:type="dxa"/>
            <w:tcBorders>
              <w:top w:val="nil"/>
              <w:left w:val="nil"/>
              <w:bottom w:val="nil"/>
              <w:right w:val="nil"/>
            </w:tcBorders>
            <w:tcMar>
              <w:top w:w="128" w:type="dxa"/>
              <w:left w:w="43" w:type="dxa"/>
              <w:bottom w:w="43" w:type="dxa"/>
              <w:right w:w="43" w:type="dxa"/>
            </w:tcMar>
          </w:tcPr>
          <w:p w14:paraId="228E7F25" w14:textId="77777777" w:rsidR="00F7113A" w:rsidRPr="00580C0D" w:rsidRDefault="00142E5B" w:rsidP="001231A3">
            <w:pPr>
              <w:jc w:val="right"/>
            </w:pPr>
            <w:r w:rsidRPr="00580C0D">
              <w:t>Ja</w:t>
            </w:r>
          </w:p>
        </w:tc>
      </w:tr>
      <w:tr w:rsidR="00F7113A" w:rsidRPr="00580C0D" w14:paraId="013D942F"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41BF6B75"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78A4DDB" w14:textId="77777777" w:rsidR="00F7113A" w:rsidRPr="00580C0D" w:rsidRDefault="00142E5B" w:rsidP="001231A3">
            <w:pPr>
              <w:ind w:right="284"/>
              <w:jc w:val="right"/>
            </w:pPr>
            <w:r w:rsidRPr="00580C0D">
              <w:t>141</w:t>
            </w:r>
          </w:p>
        </w:tc>
        <w:tc>
          <w:tcPr>
            <w:tcW w:w="5040" w:type="dxa"/>
            <w:tcBorders>
              <w:top w:val="nil"/>
              <w:left w:val="nil"/>
              <w:bottom w:val="nil"/>
              <w:right w:val="nil"/>
            </w:tcBorders>
            <w:tcMar>
              <w:top w:w="128" w:type="dxa"/>
              <w:left w:w="43" w:type="dxa"/>
              <w:bottom w:w="43" w:type="dxa"/>
              <w:right w:w="43" w:type="dxa"/>
            </w:tcMar>
          </w:tcPr>
          <w:p w14:paraId="3FD9A90B" w14:textId="77777777" w:rsidR="00F7113A" w:rsidRPr="00580C0D" w:rsidRDefault="00142E5B" w:rsidP="001231A3">
            <w:r w:rsidRPr="00580C0D">
              <w:t xml:space="preserve">Utgreiing av alternativ til ordninga med </w:t>
            </w:r>
            <w:proofErr w:type="spellStart"/>
            <w:r w:rsidRPr="00580C0D">
              <w:t>statleg</w:t>
            </w:r>
            <w:proofErr w:type="spellEnd"/>
            <w:r w:rsidRPr="00580C0D">
              <w:t xml:space="preserve"> finansiert prøvelauslating</w:t>
            </w:r>
          </w:p>
        </w:tc>
        <w:tc>
          <w:tcPr>
            <w:tcW w:w="1980" w:type="dxa"/>
            <w:tcBorders>
              <w:top w:val="nil"/>
              <w:left w:val="nil"/>
              <w:bottom w:val="nil"/>
              <w:right w:val="nil"/>
            </w:tcBorders>
            <w:tcMar>
              <w:top w:w="128" w:type="dxa"/>
              <w:left w:w="43" w:type="dxa"/>
              <w:bottom w:w="43" w:type="dxa"/>
              <w:right w:w="43" w:type="dxa"/>
            </w:tcMar>
          </w:tcPr>
          <w:p w14:paraId="1C36E6B6" w14:textId="77777777" w:rsidR="00F7113A" w:rsidRPr="00580C0D" w:rsidRDefault="00142E5B" w:rsidP="001231A3">
            <w:pPr>
              <w:jc w:val="right"/>
            </w:pPr>
            <w:r w:rsidRPr="00580C0D">
              <w:t>Ja</w:t>
            </w:r>
          </w:p>
        </w:tc>
      </w:tr>
      <w:tr w:rsidR="00F7113A" w:rsidRPr="00580C0D" w14:paraId="16891371"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326A8E2A"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3CDCB8DA" w14:textId="77777777" w:rsidR="00F7113A" w:rsidRPr="00580C0D" w:rsidRDefault="00142E5B" w:rsidP="001231A3">
            <w:pPr>
              <w:ind w:right="284"/>
              <w:jc w:val="right"/>
            </w:pPr>
            <w:r w:rsidRPr="00580C0D">
              <w:t>142</w:t>
            </w:r>
          </w:p>
        </w:tc>
        <w:tc>
          <w:tcPr>
            <w:tcW w:w="5040" w:type="dxa"/>
            <w:tcBorders>
              <w:top w:val="nil"/>
              <w:left w:val="nil"/>
              <w:bottom w:val="nil"/>
              <w:right w:val="nil"/>
            </w:tcBorders>
            <w:tcMar>
              <w:top w:w="128" w:type="dxa"/>
              <w:left w:w="43" w:type="dxa"/>
              <w:bottom w:w="43" w:type="dxa"/>
              <w:right w:w="43" w:type="dxa"/>
            </w:tcMar>
          </w:tcPr>
          <w:p w14:paraId="7AAC4F22" w14:textId="77777777" w:rsidR="00F7113A" w:rsidRPr="00580C0D" w:rsidRDefault="00142E5B" w:rsidP="001231A3">
            <w:r w:rsidRPr="00580C0D">
              <w:t xml:space="preserve">Evaluering av </w:t>
            </w:r>
            <w:proofErr w:type="spellStart"/>
            <w:r w:rsidRPr="00580C0D">
              <w:t>særreaksjonane</w:t>
            </w:r>
            <w:proofErr w:type="spellEnd"/>
            <w:r w:rsidRPr="00580C0D">
              <w:t xml:space="preserve"> forvaring, dom til </w:t>
            </w:r>
            <w:proofErr w:type="spellStart"/>
            <w:r w:rsidRPr="00580C0D">
              <w:t>tvunge</w:t>
            </w:r>
            <w:proofErr w:type="spellEnd"/>
            <w:r w:rsidRPr="00580C0D">
              <w:t xml:space="preserve"> psykisk helsevern og dom til tvungen omsorg</w:t>
            </w:r>
          </w:p>
        </w:tc>
        <w:tc>
          <w:tcPr>
            <w:tcW w:w="1980" w:type="dxa"/>
            <w:tcBorders>
              <w:top w:val="nil"/>
              <w:left w:val="nil"/>
              <w:bottom w:val="nil"/>
              <w:right w:val="nil"/>
            </w:tcBorders>
            <w:tcMar>
              <w:top w:w="128" w:type="dxa"/>
              <w:left w:w="43" w:type="dxa"/>
              <w:bottom w:w="43" w:type="dxa"/>
              <w:right w:w="43" w:type="dxa"/>
            </w:tcMar>
          </w:tcPr>
          <w:p w14:paraId="3F64BBE5" w14:textId="77777777" w:rsidR="00F7113A" w:rsidRPr="00580C0D" w:rsidRDefault="00142E5B" w:rsidP="001231A3">
            <w:pPr>
              <w:jc w:val="right"/>
            </w:pPr>
            <w:r w:rsidRPr="00580C0D">
              <w:t>Ja</w:t>
            </w:r>
          </w:p>
        </w:tc>
      </w:tr>
      <w:tr w:rsidR="00F7113A" w:rsidRPr="00580C0D" w14:paraId="3FAFEEA5"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23BB81F6"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B757EC6" w14:textId="77777777" w:rsidR="00F7113A" w:rsidRPr="00580C0D" w:rsidRDefault="00142E5B" w:rsidP="001231A3">
            <w:pPr>
              <w:ind w:right="284"/>
              <w:jc w:val="right"/>
            </w:pPr>
            <w:r w:rsidRPr="00580C0D">
              <w:t>445</w:t>
            </w:r>
          </w:p>
        </w:tc>
        <w:tc>
          <w:tcPr>
            <w:tcW w:w="5040" w:type="dxa"/>
            <w:tcBorders>
              <w:top w:val="nil"/>
              <w:left w:val="nil"/>
              <w:bottom w:val="nil"/>
              <w:right w:val="nil"/>
            </w:tcBorders>
            <w:tcMar>
              <w:top w:w="128" w:type="dxa"/>
              <w:left w:w="43" w:type="dxa"/>
              <w:bottom w:w="43" w:type="dxa"/>
              <w:right w:w="43" w:type="dxa"/>
            </w:tcMar>
          </w:tcPr>
          <w:p w14:paraId="158D6BEA" w14:textId="77777777" w:rsidR="00F7113A" w:rsidRPr="00580C0D" w:rsidRDefault="00142E5B" w:rsidP="001231A3">
            <w:r w:rsidRPr="00580C0D">
              <w:t xml:space="preserve">Utgreie forliksrådsordninga </w:t>
            </w:r>
          </w:p>
        </w:tc>
        <w:tc>
          <w:tcPr>
            <w:tcW w:w="1980" w:type="dxa"/>
            <w:tcBorders>
              <w:top w:val="nil"/>
              <w:left w:val="nil"/>
              <w:bottom w:val="nil"/>
              <w:right w:val="nil"/>
            </w:tcBorders>
            <w:tcMar>
              <w:top w:w="128" w:type="dxa"/>
              <w:left w:w="43" w:type="dxa"/>
              <w:bottom w:w="43" w:type="dxa"/>
              <w:right w:w="43" w:type="dxa"/>
            </w:tcMar>
          </w:tcPr>
          <w:p w14:paraId="6D71BEC1" w14:textId="77777777" w:rsidR="00F7113A" w:rsidRPr="00580C0D" w:rsidRDefault="00142E5B" w:rsidP="001231A3">
            <w:pPr>
              <w:jc w:val="right"/>
            </w:pPr>
            <w:r w:rsidRPr="00580C0D">
              <w:t>Nei</w:t>
            </w:r>
          </w:p>
        </w:tc>
      </w:tr>
      <w:tr w:rsidR="00F7113A" w:rsidRPr="00580C0D" w14:paraId="7EEFB1C7"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B630595"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0DA1693" w14:textId="77777777" w:rsidR="00F7113A" w:rsidRPr="00580C0D" w:rsidRDefault="00142E5B" w:rsidP="001231A3">
            <w:pPr>
              <w:ind w:right="284"/>
              <w:jc w:val="right"/>
            </w:pPr>
            <w:r w:rsidRPr="00580C0D">
              <w:t>503</w:t>
            </w:r>
          </w:p>
        </w:tc>
        <w:tc>
          <w:tcPr>
            <w:tcW w:w="5040" w:type="dxa"/>
            <w:tcBorders>
              <w:top w:val="nil"/>
              <w:left w:val="nil"/>
              <w:bottom w:val="nil"/>
              <w:right w:val="nil"/>
            </w:tcBorders>
            <w:tcMar>
              <w:top w:w="128" w:type="dxa"/>
              <w:left w:w="43" w:type="dxa"/>
              <w:bottom w:w="43" w:type="dxa"/>
              <w:right w:w="43" w:type="dxa"/>
            </w:tcMar>
          </w:tcPr>
          <w:p w14:paraId="49A0B907" w14:textId="77777777" w:rsidR="00F7113A" w:rsidRPr="00580C0D" w:rsidRDefault="00142E5B" w:rsidP="001231A3">
            <w:r w:rsidRPr="00580C0D">
              <w:t>Kontroll over strategisk viktige verdikjeder</w:t>
            </w:r>
          </w:p>
        </w:tc>
        <w:tc>
          <w:tcPr>
            <w:tcW w:w="1980" w:type="dxa"/>
            <w:tcBorders>
              <w:top w:val="nil"/>
              <w:left w:val="nil"/>
              <w:bottom w:val="nil"/>
              <w:right w:val="nil"/>
            </w:tcBorders>
            <w:tcMar>
              <w:top w:w="128" w:type="dxa"/>
              <w:left w:w="43" w:type="dxa"/>
              <w:bottom w:w="43" w:type="dxa"/>
              <w:right w:w="43" w:type="dxa"/>
            </w:tcMar>
          </w:tcPr>
          <w:p w14:paraId="35E72127" w14:textId="77777777" w:rsidR="00F7113A" w:rsidRPr="00580C0D" w:rsidRDefault="00142E5B" w:rsidP="001231A3">
            <w:pPr>
              <w:jc w:val="right"/>
            </w:pPr>
            <w:r w:rsidRPr="00580C0D">
              <w:t>Ja</w:t>
            </w:r>
          </w:p>
        </w:tc>
      </w:tr>
      <w:tr w:rsidR="00F7113A" w:rsidRPr="00580C0D" w14:paraId="5536790F"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4C840C9D"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0E4BD7A" w14:textId="77777777" w:rsidR="00F7113A" w:rsidRPr="00580C0D" w:rsidRDefault="00142E5B" w:rsidP="001231A3">
            <w:pPr>
              <w:ind w:right="284"/>
              <w:jc w:val="right"/>
            </w:pPr>
            <w:r w:rsidRPr="00580C0D">
              <w:t>615</w:t>
            </w:r>
          </w:p>
        </w:tc>
        <w:tc>
          <w:tcPr>
            <w:tcW w:w="5040" w:type="dxa"/>
            <w:tcBorders>
              <w:top w:val="nil"/>
              <w:left w:val="nil"/>
              <w:bottom w:val="nil"/>
              <w:right w:val="nil"/>
            </w:tcBorders>
            <w:tcMar>
              <w:top w:w="128" w:type="dxa"/>
              <w:left w:w="43" w:type="dxa"/>
              <w:bottom w:w="43" w:type="dxa"/>
              <w:right w:w="43" w:type="dxa"/>
            </w:tcMar>
          </w:tcPr>
          <w:p w14:paraId="6245AE03" w14:textId="77777777" w:rsidR="00F7113A" w:rsidRPr="00580C0D" w:rsidRDefault="00142E5B" w:rsidP="001231A3">
            <w:proofErr w:type="spellStart"/>
            <w:r w:rsidRPr="00580C0D">
              <w:t>Endringar</w:t>
            </w:r>
            <w:proofErr w:type="spellEnd"/>
            <w:r w:rsidRPr="00580C0D">
              <w:t xml:space="preserve"> i </w:t>
            </w:r>
            <w:proofErr w:type="spellStart"/>
            <w:r w:rsidRPr="00580C0D">
              <w:t>reglane</w:t>
            </w:r>
            <w:proofErr w:type="spellEnd"/>
            <w:r w:rsidRPr="00580C0D">
              <w:t xml:space="preserve"> om </w:t>
            </w:r>
            <w:proofErr w:type="spellStart"/>
            <w:r w:rsidRPr="00580C0D">
              <w:t>avhøyr</w:t>
            </w:r>
            <w:proofErr w:type="spellEnd"/>
            <w:r w:rsidRPr="00580C0D">
              <w:t xml:space="preserve"> av vitne som bur på sperra adresse</w:t>
            </w:r>
          </w:p>
        </w:tc>
        <w:tc>
          <w:tcPr>
            <w:tcW w:w="1980" w:type="dxa"/>
            <w:tcBorders>
              <w:top w:val="nil"/>
              <w:left w:val="nil"/>
              <w:bottom w:val="nil"/>
              <w:right w:val="nil"/>
            </w:tcBorders>
            <w:tcMar>
              <w:top w:w="128" w:type="dxa"/>
              <w:left w:w="43" w:type="dxa"/>
              <w:bottom w:w="43" w:type="dxa"/>
              <w:right w:w="43" w:type="dxa"/>
            </w:tcMar>
          </w:tcPr>
          <w:p w14:paraId="263187E1" w14:textId="77777777" w:rsidR="00F7113A" w:rsidRPr="00580C0D" w:rsidRDefault="00142E5B" w:rsidP="001231A3">
            <w:pPr>
              <w:jc w:val="right"/>
            </w:pPr>
            <w:r w:rsidRPr="00580C0D">
              <w:t xml:space="preserve">Nei </w:t>
            </w:r>
          </w:p>
        </w:tc>
      </w:tr>
      <w:tr w:rsidR="00F7113A" w:rsidRPr="00580C0D" w14:paraId="4F27B85E"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25CF28BD"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175AB0E8" w14:textId="77777777" w:rsidR="00F7113A" w:rsidRPr="00580C0D" w:rsidRDefault="00142E5B" w:rsidP="001231A3">
            <w:pPr>
              <w:ind w:right="284"/>
              <w:jc w:val="right"/>
            </w:pPr>
            <w:r w:rsidRPr="00580C0D">
              <w:t>616</w:t>
            </w:r>
          </w:p>
        </w:tc>
        <w:tc>
          <w:tcPr>
            <w:tcW w:w="5040" w:type="dxa"/>
            <w:tcBorders>
              <w:top w:val="nil"/>
              <w:left w:val="nil"/>
              <w:bottom w:val="nil"/>
              <w:right w:val="nil"/>
            </w:tcBorders>
            <w:tcMar>
              <w:top w:w="128" w:type="dxa"/>
              <w:left w:w="43" w:type="dxa"/>
              <w:bottom w:w="43" w:type="dxa"/>
              <w:right w:w="43" w:type="dxa"/>
            </w:tcMar>
          </w:tcPr>
          <w:p w14:paraId="0D416A62" w14:textId="77777777" w:rsidR="00F7113A" w:rsidRPr="00580C0D" w:rsidRDefault="00142E5B" w:rsidP="001231A3">
            <w:proofErr w:type="spellStart"/>
            <w:r w:rsidRPr="00580C0D">
              <w:t>Endringar</w:t>
            </w:r>
            <w:proofErr w:type="spellEnd"/>
            <w:r w:rsidRPr="00580C0D">
              <w:t xml:space="preserve"> i tvistelova – innstilling av saker </w:t>
            </w:r>
            <w:r w:rsidRPr="00580C0D">
              <w:br/>
              <w:t xml:space="preserve">i forliksrådet som </w:t>
            </w:r>
            <w:proofErr w:type="spellStart"/>
            <w:r w:rsidRPr="00580C0D">
              <w:t>følgje</w:t>
            </w:r>
            <w:proofErr w:type="spellEnd"/>
            <w:r w:rsidRPr="00580C0D">
              <w:t xml:space="preserve"> av lang behandling</w:t>
            </w:r>
          </w:p>
        </w:tc>
        <w:tc>
          <w:tcPr>
            <w:tcW w:w="1980" w:type="dxa"/>
            <w:tcBorders>
              <w:top w:val="nil"/>
              <w:left w:val="nil"/>
              <w:bottom w:val="nil"/>
              <w:right w:val="nil"/>
            </w:tcBorders>
            <w:tcMar>
              <w:top w:w="128" w:type="dxa"/>
              <w:left w:w="43" w:type="dxa"/>
              <w:bottom w:w="43" w:type="dxa"/>
              <w:right w:w="43" w:type="dxa"/>
            </w:tcMar>
          </w:tcPr>
          <w:p w14:paraId="219AEAA0" w14:textId="77777777" w:rsidR="00F7113A" w:rsidRPr="00580C0D" w:rsidRDefault="00142E5B" w:rsidP="001231A3">
            <w:pPr>
              <w:jc w:val="right"/>
            </w:pPr>
            <w:r w:rsidRPr="00580C0D">
              <w:t xml:space="preserve">Nei </w:t>
            </w:r>
          </w:p>
        </w:tc>
      </w:tr>
      <w:tr w:rsidR="00F7113A" w:rsidRPr="00580C0D" w14:paraId="557732A1"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41D8C97C"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34B683FF" w14:textId="77777777" w:rsidR="00F7113A" w:rsidRPr="00580C0D" w:rsidRDefault="00142E5B" w:rsidP="001231A3">
            <w:pPr>
              <w:ind w:right="284"/>
              <w:jc w:val="right"/>
            </w:pPr>
            <w:r w:rsidRPr="00580C0D">
              <w:t>617</w:t>
            </w:r>
          </w:p>
        </w:tc>
        <w:tc>
          <w:tcPr>
            <w:tcW w:w="5040" w:type="dxa"/>
            <w:tcBorders>
              <w:top w:val="nil"/>
              <w:left w:val="nil"/>
              <w:bottom w:val="nil"/>
              <w:right w:val="nil"/>
            </w:tcBorders>
            <w:tcMar>
              <w:top w:w="128" w:type="dxa"/>
              <w:left w:w="43" w:type="dxa"/>
              <w:bottom w:w="43" w:type="dxa"/>
              <w:right w:w="43" w:type="dxa"/>
            </w:tcMar>
          </w:tcPr>
          <w:p w14:paraId="58F2A155" w14:textId="77777777" w:rsidR="00F7113A" w:rsidRPr="00580C0D" w:rsidRDefault="00142E5B" w:rsidP="001231A3">
            <w:proofErr w:type="spellStart"/>
            <w:r w:rsidRPr="00580C0D">
              <w:t>Endringar</w:t>
            </w:r>
            <w:proofErr w:type="spellEnd"/>
            <w:r w:rsidRPr="00580C0D">
              <w:t xml:space="preserve"> i </w:t>
            </w:r>
            <w:proofErr w:type="spellStart"/>
            <w:r w:rsidRPr="00580C0D">
              <w:t>reglane</w:t>
            </w:r>
            <w:proofErr w:type="spellEnd"/>
            <w:r w:rsidRPr="00580C0D">
              <w:t xml:space="preserve"> om </w:t>
            </w:r>
            <w:proofErr w:type="spellStart"/>
            <w:r w:rsidRPr="00580C0D">
              <w:t>gjenopning</w:t>
            </w:r>
            <w:proofErr w:type="spellEnd"/>
            <w:r w:rsidRPr="00580C0D">
              <w:t xml:space="preserve"> i sivile saker som er </w:t>
            </w:r>
            <w:proofErr w:type="spellStart"/>
            <w:r w:rsidRPr="00580C0D">
              <w:t>pådømde</w:t>
            </w:r>
            <w:proofErr w:type="spellEnd"/>
            <w:r w:rsidRPr="00580C0D">
              <w:t xml:space="preserve"> som del av straffesak</w:t>
            </w:r>
          </w:p>
        </w:tc>
        <w:tc>
          <w:tcPr>
            <w:tcW w:w="1980" w:type="dxa"/>
            <w:tcBorders>
              <w:top w:val="nil"/>
              <w:left w:val="nil"/>
              <w:bottom w:val="nil"/>
              <w:right w:val="nil"/>
            </w:tcBorders>
            <w:tcMar>
              <w:top w:w="128" w:type="dxa"/>
              <w:left w:w="43" w:type="dxa"/>
              <w:bottom w:w="43" w:type="dxa"/>
              <w:right w:w="43" w:type="dxa"/>
            </w:tcMar>
          </w:tcPr>
          <w:p w14:paraId="6F240F98" w14:textId="77777777" w:rsidR="00F7113A" w:rsidRPr="00580C0D" w:rsidRDefault="00142E5B" w:rsidP="001231A3">
            <w:pPr>
              <w:jc w:val="right"/>
            </w:pPr>
            <w:r w:rsidRPr="00580C0D">
              <w:t xml:space="preserve">Nei </w:t>
            </w:r>
          </w:p>
        </w:tc>
      </w:tr>
      <w:tr w:rsidR="00F7113A" w:rsidRPr="00580C0D" w14:paraId="4A220416"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8DE206E"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5C8F02E9" w14:textId="77777777" w:rsidR="00F7113A" w:rsidRPr="00580C0D" w:rsidRDefault="00142E5B" w:rsidP="001231A3">
            <w:pPr>
              <w:ind w:right="284"/>
              <w:jc w:val="right"/>
            </w:pPr>
            <w:r w:rsidRPr="00580C0D">
              <w:t>618</w:t>
            </w:r>
          </w:p>
        </w:tc>
        <w:tc>
          <w:tcPr>
            <w:tcW w:w="5040" w:type="dxa"/>
            <w:tcBorders>
              <w:top w:val="nil"/>
              <w:left w:val="nil"/>
              <w:bottom w:val="nil"/>
              <w:right w:val="nil"/>
            </w:tcBorders>
            <w:tcMar>
              <w:top w:w="128" w:type="dxa"/>
              <w:left w:w="43" w:type="dxa"/>
              <w:bottom w:w="43" w:type="dxa"/>
              <w:right w:w="43" w:type="dxa"/>
            </w:tcMar>
          </w:tcPr>
          <w:p w14:paraId="756F9482" w14:textId="77777777" w:rsidR="00F7113A" w:rsidRPr="00580C0D" w:rsidRDefault="00142E5B" w:rsidP="001231A3">
            <w:r w:rsidRPr="00580C0D">
              <w:t xml:space="preserve">Sakskostnader i sivile saker </w:t>
            </w:r>
          </w:p>
        </w:tc>
        <w:tc>
          <w:tcPr>
            <w:tcW w:w="1980" w:type="dxa"/>
            <w:tcBorders>
              <w:top w:val="nil"/>
              <w:left w:val="nil"/>
              <w:bottom w:val="nil"/>
              <w:right w:val="nil"/>
            </w:tcBorders>
            <w:tcMar>
              <w:top w:w="128" w:type="dxa"/>
              <w:left w:w="43" w:type="dxa"/>
              <w:bottom w:w="43" w:type="dxa"/>
              <w:right w:w="43" w:type="dxa"/>
            </w:tcMar>
          </w:tcPr>
          <w:p w14:paraId="54A146B2" w14:textId="77777777" w:rsidR="00F7113A" w:rsidRPr="00580C0D" w:rsidRDefault="00142E5B" w:rsidP="001231A3">
            <w:pPr>
              <w:jc w:val="right"/>
            </w:pPr>
            <w:r w:rsidRPr="00580C0D">
              <w:t xml:space="preserve">Nei </w:t>
            </w:r>
          </w:p>
        </w:tc>
      </w:tr>
      <w:tr w:rsidR="00F7113A" w:rsidRPr="00580C0D" w14:paraId="321E68F9"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1603AFA3"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675CC6B" w14:textId="77777777" w:rsidR="00F7113A" w:rsidRPr="00580C0D" w:rsidRDefault="00142E5B" w:rsidP="001231A3">
            <w:pPr>
              <w:ind w:right="284"/>
              <w:jc w:val="right"/>
            </w:pPr>
            <w:r w:rsidRPr="00580C0D">
              <w:t>644</w:t>
            </w:r>
          </w:p>
        </w:tc>
        <w:tc>
          <w:tcPr>
            <w:tcW w:w="5040" w:type="dxa"/>
            <w:tcBorders>
              <w:top w:val="nil"/>
              <w:left w:val="nil"/>
              <w:bottom w:val="nil"/>
              <w:right w:val="nil"/>
            </w:tcBorders>
            <w:tcMar>
              <w:top w:w="128" w:type="dxa"/>
              <w:left w:w="43" w:type="dxa"/>
              <w:bottom w:w="43" w:type="dxa"/>
              <w:right w:w="43" w:type="dxa"/>
            </w:tcMar>
          </w:tcPr>
          <w:p w14:paraId="102FF44C" w14:textId="3ECEBF13" w:rsidR="00F7113A" w:rsidRPr="00580C0D" w:rsidRDefault="00142E5B" w:rsidP="001231A3">
            <w:proofErr w:type="spellStart"/>
            <w:r w:rsidRPr="00580C0D">
              <w:t>Enklare</w:t>
            </w:r>
            <w:proofErr w:type="spellEnd"/>
            <w:r w:rsidRPr="00580C0D">
              <w:t xml:space="preserve"> og </w:t>
            </w:r>
            <w:proofErr w:type="spellStart"/>
            <w:r w:rsidRPr="00580C0D">
              <w:t>meir</w:t>
            </w:r>
            <w:proofErr w:type="spellEnd"/>
            <w:r w:rsidRPr="00580C0D">
              <w:t xml:space="preserve"> </w:t>
            </w:r>
            <w:proofErr w:type="spellStart"/>
            <w:r w:rsidRPr="00580C0D">
              <w:t>forbrukarvenleg</w:t>
            </w:r>
            <w:proofErr w:type="spellEnd"/>
            <w:r w:rsidRPr="00580C0D">
              <w:t xml:space="preserve"> regelverk for </w:t>
            </w:r>
            <w:r w:rsidR="00C26F72">
              <w:br/>
            </w:r>
            <w:r w:rsidRPr="00580C0D">
              <w:t xml:space="preserve">gavekort </w:t>
            </w:r>
          </w:p>
        </w:tc>
        <w:tc>
          <w:tcPr>
            <w:tcW w:w="1980" w:type="dxa"/>
            <w:tcBorders>
              <w:top w:val="nil"/>
              <w:left w:val="nil"/>
              <w:bottom w:val="nil"/>
              <w:right w:val="nil"/>
            </w:tcBorders>
            <w:tcMar>
              <w:top w:w="128" w:type="dxa"/>
              <w:left w:w="43" w:type="dxa"/>
              <w:bottom w:w="43" w:type="dxa"/>
              <w:right w:w="43" w:type="dxa"/>
            </w:tcMar>
          </w:tcPr>
          <w:p w14:paraId="1ABBCFC5" w14:textId="77777777" w:rsidR="00F7113A" w:rsidRPr="00580C0D" w:rsidRDefault="00142E5B" w:rsidP="001231A3">
            <w:pPr>
              <w:jc w:val="right"/>
            </w:pPr>
            <w:r w:rsidRPr="00580C0D">
              <w:t xml:space="preserve">Nei </w:t>
            </w:r>
          </w:p>
        </w:tc>
      </w:tr>
      <w:tr w:rsidR="00F7113A" w:rsidRPr="00580C0D" w14:paraId="3CF75806"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3ADD8F8"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F698AFE" w14:textId="77777777" w:rsidR="00F7113A" w:rsidRPr="00580C0D" w:rsidRDefault="00142E5B" w:rsidP="001231A3">
            <w:pPr>
              <w:ind w:right="284"/>
              <w:jc w:val="right"/>
            </w:pPr>
            <w:r w:rsidRPr="00580C0D">
              <w:t>653</w:t>
            </w:r>
          </w:p>
        </w:tc>
        <w:tc>
          <w:tcPr>
            <w:tcW w:w="5040" w:type="dxa"/>
            <w:tcBorders>
              <w:top w:val="nil"/>
              <w:left w:val="nil"/>
              <w:bottom w:val="nil"/>
              <w:right w:val="nil"/>
            </w:tcBorders>
            <w:tcMar>
              <w:top w:w="128" w:type="dxa"/>
              <w:left w:w="43" w:type="dxa"/>
              <w:bottom w:w="43" w:type="dxa"/>
              <w:right w:w="43" w:type="dxa"/>
            </w:tcMar>
          </w:tcPr>
          <w:p w14:paraId="1F061781" w14:textId="77777777" w:rsidR="00F7113A" w:rsidRPr="00580C0D" w:rsidRDefault="00142E5B" w:rsidP="001231A3">
            <w:r w:rsidRPr="00580C0D">
              <w:t>Stortingsmelding om kriminalomsorga</w:t>
            </w:r>
          </w:p>
        </w:tc>
        <w:tc>
          <w:tcPr>
            <w:tcW w:w="1980" w:type="dxa"/>
            <w:tcBorders>
              <w:top w:val="nil"/>
              <w:left w:val="nil"/>
              <w:bottom w:val="nil"/>
              <w:right w:val="nil"/>
            </w:tcBorders>
            <w:tcMar>
              <w:top w:w="128" w:type="dxa"/>
              <w:left w:w="43" w:type="dxa"/>
              <w:bottom w:w="43" w:type="dxa"/>
              <w:right w:w="43" w:type="dxa"/>
            </w:tcMar>
          </w:tcPr>
          <w:p w14:paraId="47C0728D" w14:textId="77777777" w:rsidR="00F7113A" w:rsidRPr="00580C0D" w:rsidRDefault="00142E5B" w:rsidP="001231A3">
            <w:pPr>
              <w:jc w:val="right"/>
            </w:pPr>
            <w:r w:rsidRPr="00580C0D">
              <w:t>Nei</w:t>
            </w:r>
          </w:p>
        </w:tc>
      </w:tr>
      <w:tr w:rsidR="00F7113A" w:rsidRPr="00580C0D" w14:paraId="764134FC"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7F8BEFC"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1CC3BD77" w14:textId="77777777" w:rsidR="00F7113A" w:rsidRPr="00580C0D" w:rsidRDefault="00142E5B" w:rsidP="001231A3">
            <w:pPr>
              <w:ind w:right="284"/>
              <w:jc w:val="right"/>
            </w:pPr>
            <w:r w:rsidRPr="00580C0D">
              <w:t>729</w:t>
            </w:r>
          </w:p>
        </w:tc>
        <w:tc>
          <w:tcPr>
            <w:tcW w:w="5040" w:type="dxa"/>
            <w:tcBorders>
              <w:top w:val="nil"/>
              <w:left w:val="nil"/>
              <w:bottom w:val="nil"/>
              <w:right w:val="nil"/>
            </w:tcBorders>
            <w:tcMar>
              <w:top w:w="128" w:type="dxa"/>
              <w:left w:w="43" w:type="dxa"/>
              <w:bottom w:w="43" w:type="dxa"/>
              <w:right w:w="43" w:type="dxa"/>
            </w:tcMar>
          </w:tcPr>
          <w:p w14:paraId="1C4831B5" w14:textId="77777777" w:rsidR="00F7113A" w:rsidRPr="00580C0D" w:rsidRDefault="00142E5B" w:rsidP="001231A3">
            <w:r w:rsidRPr="00580C0D">
              <w:t>A-krimsenter</w:t>
            </w:r>
          </w:p>
        </w:tc>
        <w:tc>
          <w:tcPr>
            <w:tcW w:w="1980" w:type="dxa"/>
            <w:tcBorders>
              <w:top w:val="nil"/>
              <w:left w:val="nil"/>
              <w:bottom w:val="nil"/>
              <w:right w:val="nil"/>
            </w:tcBorders>
            <w:tcMar>
              <w:top w:w="128" w:type="dxa"/>
              <w:left w:w="43" w:type="dxa"/>
              <w:bottom w:w="43" w:type="dxa"/>
              <w:right w:w="43" w:type="dxa"/>
            </w:tcMar>
          </w:tcPr>
          <w:p w14:paraId="18A7BE6E" w14:textId="77777777" w:rsidR="00F7113A" w:rsidRPr="00580C0D" w:rsidRDefault="00142E5B" w:rsidP="001231A3">
            <w:pPr>
              <w:jc w:val="right"/>
            </w:pPr>
            <w:r w:rsidRPr="00580C0D">
              <w:t>Nei</w:t>
            </w:r>
          </w:p>
        </w:tc>
      </w:tr>
      <w:tr w:rsidR="00F7113A" w:rsidRPr="00580C0D" w14:paraId="4AB31C41"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3E9A9C23"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C64B678" w14:textId="77777777" w:rsidR="00F7113A" w:rsidRPr="00580C0D" w:rsidRDefault="00142E5B" w:rsidP="001231A3">
            <w:pPr>
              <w:ind w:right="284"/>
              <w:jc w:val="right"/>
            </w:pPr>
            <w:r w:rsidRPr="00580C0D">
              <w:t>843</w:t>
            </w:r>
          </w:p>
        </w:tc>
        <w:tc>
          <w:tcPr>
            <w:tcW w:w="5040" w:type="dxa"/>
            <w:tcBorders>
              <w:top w:val="nil"/>
              <w:left w:val="nil"/>
              <w:bottom w:val="nil"/>
              <w:right w:val="nil"/>
            </w:tcBorders>
            <w:tcMar>
              <w:top w:w="128" w:type="dxa"/>
              <w:left w:w="43" w:type="dxa"/>
              <w:bottom w:w="43" w:type="dxa"/>
              <w:right w:w="43" w:type="dxa"/>
            </w:tcMar>
          </w:tcPr>
          <w:p w14:paraId="4EB8E592" w14:textId="77777777" w:rsidR="00F7113A" w:rsidRPr="00580C0D" w:rsidRDefault="00142E5B" w:rsidP="001231A3">
            <w:r w:rsidRPr="00580C0D">
              <w:t xml:space="preserve">Yrkesskadeerstatningsordning for </w:t>
            </w:r>
            <w:proofErr w:type="gramStart"/>
            <w:r w:rsidRPr="00580C0D">
              <w:t>tilsette</w:t>
            </w:r>
            <w:proofErr w:type="gramEnd"/>
            <w:r w:rsidRPr="00580C0D">
              <w:t xml:space="preserve"> </w:t>
            </w:r>
            <w:r w:rsidRPr="00580C0D">
              <w:br/>
              <w:t>i kriminalomsorga</w:t>
            </w:r>
          </w:p>
        </w:tc>
        <w:tc>
          <w:tcPr>
            <w:tcW w:w="1980" w:type="dxa"/>
            <w:tcBorders>
              <w:top w:val="nil"/>
              <w:left w:val="nil"/>
              <w:bottom w:val="nil"/>
              <w:right w:val="nil"/>
            </w:tcBorders>
            <w:tcMar>
              <w:top w:w="128" w:type="dxa"/>
              <w:left w:w="43" w:type="dxa"/>
              <w:bottom w:w="43" w:type="dxa"/>
              <w:right w:w="43" w:type="dxa"/>
            </w:tcMar>
          </w:tcPr>
          <w:p w14:paraId="264BF2EC" w14:textId="77777777" w:rsidR="00F7113A" w:rsidRPr="00580C0D" w:rsidRDefault="00142E5B" w:rsidP="001231A3">
            <w:pPr>
              <w:jc w:val="right"/>
            </w:pPr>
            <w:r w:rsidRPr="00580C0D">
              <w:t>Nei</w:t>
            </w:r>
          </w:p>
        </w:tc>
      </w:tr>
      <w:tr w:rsidR="00F7113A" w:rsidRPr="00580C0D" w14:paraId="22676FBD"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44FBF41"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1269120F" w14:textId="77777777" w:rsidR="00F7113A" w:rsidRPr="00580C0D" w:rsidRDefault="00142E5B" w:rsidP="001231A3">
            <w:pPr>
              <w:ind w:right="284"/>
              <w:jc w:val="right"/>
            </w:pPr>
            <w:r w:rsidRPr="00580C0D">
              <w:t>35.49</w:t>
            </w:r>
          </w:p>
        </w:tc>
        <w:tc>
          <w:tcPr>
            <w:tcW w:w="5040" w:type="dxa"/>
            <w:tcBorders>
              <w:top w:val="nil"/>
              <w:left w:val="nil"/>
              <w:bottom w:val="nil"/>
              <w:right w:val="nil"/>
            </w:tcBorders>
            <w:tcMar>
              <w:top w:w="128" w:type="dxa"/>
              <w:left w:w="43" w:type="dxa"/>
              <w:bottom w:w="43" w:type="dxa"/>
              <w:right w:w="43" w:type="dxa"/>
            </w:tcMar>
          </w:tcPr>
          <w:p w14:paraId="63E67D13" w14:textId="77777777" w:rsidR="00F7113A" w:rsidRPr="00580C0D" w:rsidRDefault="00142E5B" w:rsidP="001231A3">
            <w:r w:rsidRPr="00580C0D">
              <w:t xml:space="preserve">Ny </w:t>
            </w:r>
            <w:proofErr w:type="spellStart"/>
            <w:r w:rsidRPr="00580C0D">
              <w:t>rettshjelpordning</w:t>
            </w:r>
            <w:proofErr w:type="spellEnd"/>
          </w:p>
        </w:tc>
        <w:tc>
          <w:tcPr>
            <w:tcW w:w="1980" w:type="dxa"/>
            <w:tcBorders>
              <w:top w:val="nil"/>
              <w:left w:val="nil"/>
              <w:bottom w:val="nil"/>
              <w:right w:val="nil"/>
            </w:tcBorders>
            <w:tcMar>
              <w:top w:w="128" w:type="dxa"/>
              <w:left w:w="43" w:type="dxa"/>
              <w:bottom w:w="43" w:type="dxa"/>
              <w:right w:w="43" w:type="dxa"/>
            </w:tcMar>
          </w:tcPr>
          <w:p w14:paraId="1C592183" w14:textId="77777777" w:rsidR="00F7113A" w:rsidRPr="00580C0D" w:rsidRDefault="00142E5B" w:rsidP="001231A3">
            <w:pPr>
              <w:jc w:val="right"/>
            </w:pPr>
            <w:r w:rsidRPr="00580C0D">
              <w:t>Ja</w:t>
            </w:r>
          </w:p>
        </w:tc>
      </w:tr>
      <w:tr w:rsidR="00F7113A" w:rsidRPr="00580C0D" w14:paraId="1C4B5396"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53674A2"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452555ED" w14:textId="77777777" w:rsidR="00F7113A" w:rsidRPr="00580C0D" w:rsidRDefault="00142E5B" w:rsidP="001231A3">
            <w:pPr>
              <w:ind w:right="284"/>
              <w:jc w:val="right"/>
            </w:pPr>
            <w:r w:rsidRPr="00580C0D">
              <w:t>35.56</w:t>
            </w:r>
          </w:p>
        </w:tc>
        <w:tc>
          <w:tcPr>
            <w:tcW w:w="5040" w:type="dxa"/>
            <w:tcBorders>
              <w:top w:val="nil"/>
              <w:left w:val="nil"/>
              <w:bottom w:val="nil"/>
              <w:right w:val="nil"/>
            </w:tcBorders>
            <w:tcMar>
              <w:top w:w="128" w:type="dxa"/>
              <w:left w:w="43" w:type="dxa"/>
              <w:bottom w:w="43" w:type="dxa"/>
              <w:right w:w="43" w:type="dxa"/>
            </w:tcMar>
          </w:tcPr>
          <w:p w14:paraId="445E2E4D" w14:textId="77777777" w:rsidR="00F7113A" w:rsidRPr="00580C0D" w:rsidRDefault="00142E5B" w:rsidP="001231A3">
            <w:r w:rsidRPr="00580C0D">
              <w:t xml:space="preserve">Pilotprosjekt for </w:t>
            </w:r>
            <w:proofErr w:type="spellStart"/>
            <w:r w:rsidRPr="00580C0D">
              <w:t>notoritet</w:t>
            </w:r>
            <w:proofErr w:type="spellEnd"/>
            <w:r w:rsidRPr="00580C0D">
              <w:t xml:space="preserve"> i </w:t>
            </w:r>
            <w:proofErr w:type="spellStart"/>
            <w:r w:rsidRPr="00580C0D">
              <w:t>personkontrollar</w:t>
            </w:r>
            <w:proofErr w:type="spellEnd"/>
          </w:p>
        </w:tc>
        <w:tc>
          <w:tcPr>
            <w:tcW w:w="1980" w:type="dxa"/>
            <w:tcBorders>
              <w:top w:val="nil"/>
              <w:left w:val="nil"/>
              <w:bottom w:val="nil"/>
              <w:right w:val="nil"/>
            </w:tcBorders>
            <w:tcMar>
              <w:top w:w="128" w:type="dxa"/>
              <w:left w:w="43" w:type="dxa"/>
              <w:bottom w:w="43" w:type="dxa"/>
              <w:right w:w="43" w:type="dxa"/>
            </w:tcMar>
          </w:tcPr>
          <w:p w14:paraId="6C232B91" w14:textId="77777777" w:rsidR="00F7113A" w:rsidRPr="00580C0D" w:rsidRDefault="00142E5B" w:rsidP="001231A3">
            <w:pPr>
              <w:jc w:val="right"/>
            </w:pPr>
            <w:r w:rsidRPr="00580C0D">
              <w:t>Ja</w:t>
            </w:r>
          </w:p>
        </w:tc>
      </w:tr>
      <w:tr w:rsidR="00F7113A" w:rsidRPr="00580C0D" w14:paraId="62232967"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10D2695A"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73205C96" w14:textId="77777777" w:rsidR="00F7113A" w:rsidRPr="00580C0D" w:rsidRDefault="00142E5B" w:rsidP="001231A3">
            <w:pPr>
              <w:ind w:right="284"/>
              <w:jc w:val="right"/>
            </w:pPr>
            <w:r w:rsidRPr="00580C0D">
              <w:t>372</w:t>
            </w:r>
          </w:p>
        </w:tc>
        <w:tc>
          <w:tcPr>
            <w:tcW w:w="5040" w:type="dxa"/>
            <w:tcBorders>
              <w:top w:val="nil"/>
              <w:left w:val="nil"/>
              <w:bottom w:val="nil"/>
              <w:right w:val="nil"/>
            </w:tcBorders>
            <w:tcMar>
              <w:top w:w="128" w:type="dxa"/>
              <w:left w:w="43" w:type="dxa"/>
              <w:bottom w:w="43" w:type="dxa"/>
              <w:right w:w="43" w:type="dxa"/>
            </w:tcMar>
          </w:tcPr>
          <w:p w14:paraId="3B8CDDDB" w14:textId="77777777" w:rsidR="00F7113A" w:rsidRPr="00580C0D" w:rsidRDefault="00142E5B" w:rsidP="001231A3">
            <w:r w:rsidRPr="00580C0D">
              <w:t xml:space="preserve">Utgreiing av </w:t>
            </w:r>
            <w:proofErr w:type="spellStart"/>
            <w:r w:rsidRPr="00580C0D">
              <w:t>fråvikelege</w:t>
            </w:r>
            <w:proofErr w:type="spellEnd"/>
            <w:r w:rsidRPr="00580C0D">
              <w:t xml:space="preserve"> </w:t>
            </w:r>
            <w:proofErr w:type="spellStart"/>
            <w:r w:rsidRPr="00580C0D">
              <w:t>lovreglar</w:t>
            </w:r>
            <w:proofErr w:type="spellEnd"/>
            <w:r w:rsidRPr="00580C0D">
              <w:t xml:space="preserve"> om </w:t>
            </w:r>
            <w:proofErr w:type="spellStart"/>
            <w:r w:rsidRPr="00580C0D">
              <w:t>sambuarskap</w:t>
            </w:r>
            <w:proofErr w:type="spellEnd"/>
            <w:r w:rsidRPr="00580C0D">
              <w:t xml:space="preserve"> </w:t>
            </w:r>
          </w:p>
        </w:tc>
        <w:tc>
          <w:tcPr>
            <w:tcW w:w="1980" w:type="dxa"/>
            <w:tcBorders>
              <w:top w:val="nil"/>
              <w:left w:val="nil"/>
              <w:bottom w:val="nil"/>
              <w:right w:val="nil"/>
            </w:tcBorders>
            <w:tcMar>
              <w:top w:w="128" w:type="dxa"/>
              <w:left w:w="43" w:type="dxa"/>
              <w:bottom w:w="43" w:type="dxa"/>
              <w:right w:w="43" w:type="dxa"/>
            </w:tcMar>
          </w:tcPr>
          <w:p w14:paraId="2627DBAC" w14:textId="77777777" w:rsidR="00F7113A" w:rsidRPr="00580C0D" w:rsidRDefault="00142E5B" w:rsidP="001231A3">
            <w:pPr>
              <w:jc w:val="right"/>
            </w:pPr>
            <w:r w:rsidRPr="00580C0D">
              <w:t xml:space="preserve">Nei </w:t>
            </w:r>
          </w:p>
        </w:tc>
      </w:tr>
      <w:tr w:rsidR="00F7113A" w:rsidRPr="00580C0D" w14:paraId="5117E704"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9F83F0A"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43974EAE" w14:textId="77777777" w:rsidR="00F7113A" w:rsidRPr="00580C0D" w:rsidRDefault="00142E5B" w:rsidP="001231A3">
            <w:pPr>
              <w:ind w:right="284"/>
              <w:jc w:val="right"/>
            </w:pPr>
            <w:r w:rsidRPr="00580C0D">
              <w:t>420</w:t>
            </w:r>
          </w:p>
        </w:tc>
        <w:tc>
          <w:tcPr>
            <w:tcW w:w="5040" w:type="dxa"/>
            <w:tcBorders>
              <w:top w:val="nil"/>
              <w:left w:val="nil"/>
              <w:bottom w:val="nil"/>
              <w:right w:val="nil"/>
            </w:tcBorders>
            <w:tcMar>
              <w:top w:w="128" w:type="dxa"/>
              <w:left w:w="43" w:type="dxa"/>
              <w:bottom w:w="43" w:type="dxa"/>
              <w:right w:w="43" w:type="dxa"/>
            </w:tcMar>
          </w:tcPr>
          <w:p w14:paraId="1EB2405B" w14:textId="77777777" w:rsidR="00F7113A" w:rsidRPr="00580C0D" w:rsidRDefault="00142E5B" w:rsidP="001231A3">
            <w:r w:rsidRPr="00580C0D">
              <w:t>Straffebestemming om seksuell utnytting av barn</w:t>
            </w:r>
          </w:p>
        </w:tc>
        <w:tc>
          <w:tcPr>
            <w:tcW w:w="1980" w:type="dxa"/>
            <w:tcBorders>
              <w:top w:val="nil"/>
              <w:left w:val="nil"/>
              <w:bottom w:val="nil"/>
              <w:right w:val="nil"/>
            </w:tcBorders>
            <w:tcMar>
              <w:top w:w="128" w:type="dxa"/>
              <w:left w:w="43" w:type="dxa"/>
              <w:bottom w:w="43" w:type="dxa"/>
              <w:right w:w="43" w:type="dxa"/>
            </w:tcMar>
          </w:tcPr>
          <w:p w14:paraId="375BA00D" w14:textId="77777777" w:rsidR="00F7113A" w:rsidRPr="00580C0D" w:rsidRDefault="00142E5B" w:rsidP="001231A3">
            <w:pPr>
              <w:jc w:val="right"/>
            </w:pPr>
            <w:r w:rsidRPr="00580C0D">
              <w:t>Nei</w:t>
            </w:r>
          </w:p>
        </w:tc>
      </w:tr>
      <w:tr w:rsidR="00F7113A" w:rsidRPr="00580C0D" w14:paraId="6E8C5F3D"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1D066B8F"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1A58FE08" w14:textId="77777777" w:rsidR="00F7113A" w:rsidRPr="00580C0D" w:rsidRDefault="00142E5B" w:rsidP="001231A3">
            <w:pPr>
              <w:ind w:right="284"/>
              <w:jc w:val="right"/>
            </w:pPr>
            <w:r w:rsidRPr="00580C0D">
              <w:t>504</w:t>
            </w:r>
          </w:p>
        </w:tc>
        <w:tc>
          <w:tcPr>
            <w:tcW w:w="5040" w:type="dxa"/>
            <w:tcBorders>
              <w:top w:val="nil"/>
              <w:left w:val="nil"/>
              <w:bottom w:val="nil"/>
              <w:right w:val="nil"/>
            </w:tcBorders>
            <w:tcMar>
              <w:top w:w="128" w:type="dxa"/>
              <w:left w:w="43" w:type="dxa"/>
              <w:bottom w:w="43" w:type="dxa"/>
              <w:right w:w="43" w:type="dxa"/>
            </w:tcMar>
          </w:tcPr>
          <w:p w14:paraId="63162B68" w14:textId="77777777" w:rsidR="00F7113A" w:rsidRPr="00580C0D" w:rsidRDefault="00142E5B" w:rsidP="001231A3">
            <w:r w:rsidRPr="00580C0D">
              <w:t>Lov om advokater og andre som yter rettslig bistand (advokatlova)</w:t>
            </w:r>
          </w:p>
        </w:tc>
        <w:tc>
          <w:tcPr>
            <w:tcW w:w="1980" w:type="dxa"/>
            <w:tcBorders>
              <w:top w:val="nil"/>
              <w:left w:val="nil"/>
              <w:bottom w:val="nil"/>
              <w:right w:val="nil"/>
            </w:tcBorders>
            <w:tcMar>
              <w:top w:w="128" w:type="dxa"/>
              <w:left w:w="43" w:type="dxa"/>
              <w:bottom w:w="43" w:type="dxa"/>
              <w:right w:w="43" w:type="dxa"/>
            </w:tcMar>
          </w:tcPr>
          <w:p w14:paraId="648C1EF4" w14:textId="77777777" w:rsidR="00F7113A" w:rsidRPr="00580C0D" w:rsidRDefault="00142E5B" w:rsidP="001231A3">
            <w:pPr>
              <w:jc w:val="right"/>
            </w:pPr>
            <w:r w:rsidRPr="00580C0D">
              <w:t>Nei</w:t>
            </w:r>
          </w:p>
        </w:tc>
      </w:tr>
      <w:tr w:rsidR="00F7113A" w:rsidRPr="00580C0D" w14:paraId="68F497A5"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1A2E96E2"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085F08FD" w14:textId="77777777" w:rsidR="00F7113A" w:rsidRPr="00580C0D" w:rsidRDefault="00142E5B" w:rsidP="001231A3">
            <w:pPr>
              <w:ind w:right="284"/>
              <w:jc w:val="right"/>
            </w:pPr>
            <w:r w:rsidRPr="00580C0D">
              <w:t>505</w:t>
            </w:r>
          </w:p>
        </w:tc>
        <w:tc>
          <w:tcPr>
            <w:tcW w:w="5040" w:type="dxa"/>
            <w:tcBorders>
              <w:top w:val="nil"/>
              <w:left w:val="nil"/>
              <w:bottom w:val="nil"/>
              <w:right w:val="nil"/>
            </w:tcBorders>
            <w:tcMar>
              <w:top w:w="128" w:type="dxa"/>
              <w:left w:w="43" w:type="dxa"/>
              <w:bottom w:w="43" w:type="dxa"/>
              <w:right w:w="43" w:type="dxa"/>
            </w:tcMar>
          </w:tcPr>
          <w:p w14:paraId="40E87DD2" w14:textId="77777777" w:rsidR="00F7113A" w:rsidRPr="00580C0D" w:rsidRDefault="00142E5B" w:rsidP="001231A3">
            <w:r w:rsidRPr="00580C0D">
              <w:t>Lov om advokater og andre som yter rettslig bistand (advokatlova)</w:t>
            </w:r>
          </w:p>
        </w:tc>
        <w:tc>
          <w:tcPr>
            <w:tcW w:w="1980" w:type="dxa"/>
            <w:tcBorders>
              <w:top w:val="nil"/>
              <w:left w:val="nil"/>
              <w:bottom w:val="nil"/>
              <w:right w:val="nil"/>
            </w:tcBorders>
            <w:tcMar>
              <w:top w:w="128" w:type="dxa"/>
              <w:left w:w="43" w:type="dxa"/>
              <w:bottom w:w="43" w:type="dxa"/>
              <w:right w:w="43" w:type="dxa"/>
            </w:tcMar>
          </w:tcPr>
          <w:p w14:paraId="322FA5B3" w14:textId="77777777" w:rsidR="00F7113A" w:rsidRPr="00580C0D" w:rsidRDefault="00142E5B" w:rsidP="001231A3">
            <w:pPr>
              <w:jc w:val="right"/>
            </w:pPr>
            <w:r w:rsidRPr="00580C0D">
              <w:t>Nei</w:t>
            </w:r>
          </w:p>
        </w:tc>
      </w:tr>
      <w:tr w:rsidR="00F7113A" w:rsidRPr="00580C0D" w14:paraId="5D7D724B"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0A6A8A0F"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343F1141" w14:textId="77777777" w:rsidR="00F7113A" w:rsidRPr="00580C0D" w:rsidRDefault="00142E5B" w:rsidP="001231A3">
            <w:pPr>
              <w:ind w:right="284"/>
              <w:jc w:val="right"/>
            </w:pPr>
            <w:r w:rsidRPr="00580C0D">
              <w:t>506</w:t>
            </w:r>
          </w:p>
        </w:tc>
        <w:tc>
          <w:tcPr>
            <w:tcW w:w="5040" w:type="dxa"/>
            <w:tcBorders>
              <w:top w:val="nil"/>
              <w:left w:val="nil"/>
              <w:bottom w:val="nil"/>
              <w:right w:val="nil"/>
            </w:tcBorders>
            <w:tcMar>
              <w:top w:w="128" w:type="dxa"/>
              <w:left w:w="43" w:type="dxa"/>
              <w:bottom w:w="43" w:type="dxa"/>
              <w:right w:w="43" w:type="dxa"/>
            </w:tcMar>
          </w:tcPr>
          <w:p w14:paraId="7285C01B" w14:textId="77777777" w:rsidR="00F7113A" w:rsidRPr="00580C0D" w:rsidRDefault="00142E5B" w:rsidP="001231A3">
            <w:r w:rsidRPr="00580C0D">
              <w:t>Lov om advokater og andre som yter rettslig bistand (advokatlova)</w:t>
            </w:r>
          </w:p>
        </w:tc>
        <w:tc>
          <w:tcPr>
            <w:tcW w:w="1980" w:type="dxa"/>
            <w:tcBorders>
              <w:top w:val="nil"/>
              <w:left w:val="nil"/>
              <w:bottom w:val="nil"/>
              <w:right w:val="nil"/>
            </w:tcBorders>
            <w:tcMar>
              <w:top w:w="128" w:type="dxa"/>
              <w:left w:w="43" w:type="dxa"/>
              <w:bottom w:w="43" w:type="dxa"/>
              <w:right w:w="43" w:type="dxa"/>
            </w:tcMar>
          </w:tcPr>
          <w:p w14:paraId="1027AF51" w14:textId="77777777" w:rsidR="00F7113A" w:rsidRPr="00580C0D" w:rsidRDefault="00142E5B" w:rsidP="001231A3">
            <w:pPr>
              <w:jc w:val="right"/>
            </w:pPr>
            <w:r w:rsidRPr="00580C0D">
              <w:t>Nei</w:t>
            </w:r>
          </w:p>
        </w:tc>
      </w:tr>
      <w:tr w:rsidR="00F7113A" w:rsidRPr="00580C0D" w14:paraId="52FBE961"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3096861B"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19A39200" w14:textId="77777777" w:rsidR="00F7113A" w:rsidRPr="00580C0D" w:rsidRDefault="00142E5B" w:rsidP="001231A3">
            <w:pPr>
              <w:ind w:right="284"/>
              <w:jc w:val="right"/>
            </w:pPr>
            <w:r w:rsidRPr="00580C0D">
              <w:t>507</w:t>
            </w:r>
          </w:p>
        </w:tc>
        <w:tc>
          <w:tcPr>
            <w:tcW w:w="5040" w:type="dxa"/>
            <w:tcBorders>
              <w:top w:val="nil"/>
              <w:left w:val="nil"/>
              <w:bottom w:val="nil"/>
              <w:right w:val="nil"/>
            </w:tcBorders>
            <w:tcMar>
              <w:top w:w="128" w:type="dxa"/>
              <w:left w:w="43" w:type="dxa"/>
              <w:bottom w:w="43" w:type="dxa"/>
              <w:right w:w="43" w:type="dxa"/>
            </w:tcMar>
          </w:tcPr>
          <w:p w14:paraId="3324DBD3" w14:textId="77777777" w:rsidR="00F7113A" w:rsidRPr="00580C0D" w:rsidRDefault="00142E5B" w:rsidP="001231A3">
            <w:r w:rsidRPr="00580C0D">
              <w:t>Nytt Oslo fengsel</w:t>
            </w:r>
          </w:p>
        </w:tc>
        <w:tc>
          <w:tcPr>
            <w:tcW w:w="1980" w:type="dxa"/>
            <w:tcBorders>
              <w:top w:val="nil"/>
              <w:left w:val="nil"/>
              <w:bottom w:val="nil"/>
              <w:right w:val="nil"/>
            </w:tcBorders>
            <w:tcMar>
              <w:top w:w="128" w:type="dxa"/>
              <w:left w:w="43" w:type="dxa"/>
              <w:bottom w:w="43" w:type="dxa"/>
              <w:right w:w="43" w:type="dxa"/>
            </w:tcMar>
          </w:tcPr>
          <w:p w14:paraId="2811EE9E" w14:textId="77777777" w:rsidR="00F7113A" w:rsidRPr="00580C0D" w:rsidRDefault="00142E5B" w:rsidP="001231A3">
            <w:pPr>
              <w:jc w:val="right"/>
            </w:pPr>
            <w:r w:rsidRPr="00580C0D">
              <w:t>Ja</w:t>
            </w:r>
          </w:p>
        </w:tc>
      </w:tr>
      <w:tr w:rsidR="00F7113A" w:rsidRPr="00580C0D" w14:paraId="69390759"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2535211B"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0243CDBF" w14:textId="77777777" w:rsidR="00F7113A" w:rsidRPr="00580C0D" w:rsidRDefault="00142E5B" w:rsidP="001231A3">
            <w:pPr>
              <w:ind w:right="284"/>
              <w:jc w:val="right"/>
            </w:pPr>
            <w:r w:rsidRPr="00580C0D">
              <w:t>579</w:t>
            </w:r>
          </w:p>
        </w:tc>
        <w:tc>
          <w:tcPr>
            <w:tcW w:w="5040" w:type="dxa"/>
            <w:tcBorders>
              <w:top w:val="nil"/>
              <w:left w:val="nil"/>
              <w:bottom w:val="nil"/>
              <w:right w:val="nil"/>
            </w:tcBorders>
            <w:tcMar>
              <w:top w:w="128" w:type="dxa"/>
              <w:left w:w="43" w:type="dxa"/>
              <w:bottom w:w="43" w:type="dxa"/>
              <w:right w:w="43" w:type="dxa"/>
            </w:tcMar>
          </w:tcPr>
          <w:p w14:paraId="7E38D00E" w14:textId="77777777" w:rsidR="00F7113A" w:rsidRPr="00580C0D" w:rsidRDefault="00142E5B" w:rsidP="001231A3">
            <w:r w:rsidRPr="00580C0D">
              <w:t>Vurdering av naturskadeforsikringsordninga</w:t>
            </w:r>
          </w:p>
        </w:tc>
        <w:tc>
          <w:tcPr>
            <w:tcW w:w="1980" w:type="dxa"/>
            <w:tcBorders>
              <w:top w:val="nil"/>
              <w:left w:val="nil"/>
              <w:bottom w:val="nil"/>
              <w:right w:val="nil"/>
            </w:tcBorders>
            <w:tcMar>
              <w:top w:w="128" w:type="dxa"/>
              <w:left w:w="43" w:type="dxa"/>
              <w:bottom w:w="43" w:type="dxa"/>
              <w:right w:w="43" w:type="dxa"/>
            </w:tcMar>
          </w:tcPr>
          <w:p w14:paraId="6492A7B7" w14:textId="77777777" w:rsidR="00F7113A" w:rsidRPr="00580C0D" w:rsidRDefault="00142E5B" w:rsidP="001231A3">
            <w:pPr>
              <w:jc w:val="right"/>
            </w:pPr>
            <w:r w:rsidRPr="00580C0D">
              <w:t>Nei</w:t>
            </w:r>
          </w:p>
        </w:tc>
      </w:tr>
      <w:tr w:rsidR="00F7113A" w:rsidRPr="00580C0D" w14:paraId="15786C6A"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4BDBC270"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48BF2C1D" w14:textId="77777777" w:rsidR="00F7113A" w:rsidRPr="00580C0D" w:rsidRDefault="00142E5B" w:rsidP="001231A3">
            <w:pPr>
              <w:ind w:right="284"/>
              <w:jc w:val="right"/>
            </w:pPr>
            <w:r w:rsidRPr="00580C0D">
              <w:t>580</w:t>
            </w:r>
          </w:p>
        </w:tc>
        <w:tc>
          <w:tcPr>
            <w:tcW w:w="5040" w:type="dxa"/>
            <w:tcBorders>
              <w:top w:val="nil"/>
              <w:left w:val="nil"/>
              <w:bottom w:val="nil"/>
              <w:right w:val="nil"/>
            </w:tcBorders>
            <w:tcMar>
              <w:top w:w="128" w:type="dxa"/>
              <w:left w:w="43" w:type="dxa"/>
              <w:bottom w:w="43" w:type="dxa"/>
              <w:right w:w="43" w:type="dxa"/>
            </w:tcMar>
          </w:tcPr>
          <w:p w14:paraId="690C1DD0" w14:textId="77777777" w:rsidR="00F7113A" w:rsidRPr="00580C0D" w:rsidRDefault="00142E5B" w:rsidP="001231A3">
            <w:r w:rsidRPr="00580C0D">
              <w:t xml:space="preserve">Dialog om digitale </w:t>
            </w:r>
            <w:proofErr w:type="spellStart"/>
            <w:r w:rsidRPr="00580C0D">
              <w:t>betalingstenester</w:t>
            </w:r>
            <w:proofErr w:type="spellEnd"/>
            <w:r w:rsidRPr="00580C0D">
              <w:t xml:space="preserve"> og foreldrekontroll</w:t>
            </w:r>
          </w:p>
        </w:tc>
        <w:tc>
          <w:tcPr>
            <w:tcW w:w="1980" w:type="dxa"/>
            <w:tcBorders>
              <w:top w:val="nil"/>
              <w:left w:val="nil"/>
              <w:bottom w:val="nil"/>
              <w:right w:val="nil"/>
            </w:tcBorders>
            <w:tcMar>
              <w:top w:w="128" w:type="dxa"/>
              <w:left w:w="43" w:type="dxa"/>
              <w:bottom w:w="43" w:type="dxa"/>
              <w:right w:w="43" w:type="dxa"/>
            </w:tcMar>
          </w:tcPr>
          <w:p w14:paraId="10E0A722" w14:textId="77777777" w:rsidR="00F7113A" w:rsidRPr="00580C0D" w:rsidRDefault="00142E5B" w:rsidP="001231A3">
            <w:pPr>
              <w:jc w:val="right"/>
            </w:pPr>
            <w:r w:rsidRPr="00580C0D">
              <w:t>Ja</w:t>
            </w:r>
          </w:p>
        </w:tc>
      </w:tr>
      <w:tr w:rsidR="00F7113A" w:rsidRPr="00580C0D" w14:paraId="7DB75346"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47E3E6AA"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0D14DE87" w14:textId="77777777" w:rsidR="00F7113A" w:rsidRPr="00580C0D" w:rsidRDefault="00142E5B" w:rsidP="001231A3">
            <w:pPr>
              <w:ind w:right="284"/>
              <w:jc w:val="right"/>
            </w:pPr>
            <w:r w:rsidRPr="00580C0D">
              <w:t>581</w:t>
            </w:r>
          </w:p>
        </w:tc>
        <w:tc>
          <w:tcPr>
            <w:tcW w:w="5040" w:type="dxa"/>
            <w:tcBorders>
              <w:top w:val="nil"/>
              <w:left w:val="nil"/>
              <w:bottom w:val="nil"/>
              <w:right w:val="nil"/>
            </w:tcBorders>
            <w:tcMar>
              <w:top w:w="128" w:type="dxa"/>
              <w:left w:w="43" w:type="dxa"/>
              <w:bottom w:w="43" w:type="dxa"/>
              <w:right w:w="43" w:type="dxa"/>
            </w:tcMar>
          </w:tcPr>
          <w:p w14:paraId="74A9A18E" w14:textId="77777777" w:rsidR="00F7113A" w:rsidRPr="00580C0D" w:rsidRDefault="00142E5B" w:rsidP="001231A3">
            <w:r w:rsidRPr="00580C0D">
              <w:t xml:space="preserve">Utgreiing av meldeplikt for norske </w:t>
            </w:r>
            <w:proofErr w:type="spellStart"/>
            <w:r w:rsidRPr="00580C0D">
              <w:t>tenesteleverandørar</w:t>
            </w:r>
            <w:proofErr w:type="spellEnd"/>
          </w:p>
        </w:tc>
        <w:tc>
          <w:tcPr>
            <w:tcW w:w="1980" w:type="dxa"/>
            <w:tcBorders>
              <w:top w:val="nil"/>
              <w:left w:val="nil"/>
              <w:bottom w:val="nil"/>
              <w:right w:val="nil"/>
            </w:tcBorders>
            <w:tcMar>
              <w:top w:w="128" w:type="dxa"/>
              <w:left w:w="43" w:type="dxa"/>
              <w:bottom w:w="43" w:type="dxa"/>
              <w:right w:w="43" w:type="dxa"/>
            </w:tcMar>
          </w:tcPr>
          <w:p w14:paraId="2AA7AD7D" w14:textId="77777777" w:rsidR="00F7113A" w:rsidRPr="00580C0D" w:rsidRDefault="00142E5B" w:rsidP="001231A3">
            <w:pPr>
              <w:jc w:val="right"/>
            </w:pPr>
            <w:r w:rsidRPr="00580C0D">
              <w:t>Nei</w:t>
            </w:r>
          </w:p>
        </w:tc>
      </w:tr>
      <w:tr w:rsidR="00F7113A" w:rsidRPr="00580C0D" w14:paraId="49B4FA3B"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D028D7A"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65FA74A2" w14:textId="77777777" w:rsidR="00F7113A" w:rsidRPr="00580C0D" w:rsidRDefault="00142E5B" w:rsidP="001231A3">
            <w:pPr>
              <w:ind w:right="284"/>
              <w:jc w:val="right"/>
            </w:pPr>
            <w:r w:rsidRPr="00580C0D">
              <w:t>582</w:t>
            </w:r>
          </w:p>
        </w:tc>
        <w:tc>
          <w:tcPr>
            <w:tcW w:w="5040" w:type="dxa"/>
            <w:tcBorders>
              <w:top w:val="nil"/>
              <w:left w:val="nil"/>
              <w:bottom w:val="nil"/>
              <w:right w:val="nil"/>
            </w:tcBorders>
            <w:tcMar>
              <w:top w:w="128" w:type="dxa"/>
              <w:left w:w="43" w:type="dxa"/>
              <w:bottom w:w="43" w:type="dxa"/>
              <w:right w:w="43" w:type="dxa"/>
            </w:tcMar>
          </w:tcPr>
          <w:p w14:paraId="545959AB" w14:textId="77777777" w:rsidR="00F7113A" w:rsidRPr="00580C0D" w:rsidRDefault="00142E5B" w:rsidP="001231A3">
            <w:r w:rsidRPr="00580C0D">
              <w:t xml:space="preserve">Regelverk om varsling </w:t>
            </w:r>
            <w:proofErr w:type="spellStart"/>
            <w:r w:rsidRPr="00580C0D">
              <w:t>frå</w:t>
            </w:r>
            <w:proofErr w:type="spellEnd"/>
            <w:r w:rsidRPr="00580C0D">
              <w:t xml:space="preserve"> kriminalomsorga</w:t>
            </w:r>
          </w:p>
        </w:tc>
        <w:tc>
          <w:tcPr>
            <w:tcW w:w="1980" w:type="dxa"/>
            <w:tcBorders>
              <w:top w:val="nil"/>
              <w:left w:val="nil"/>
              <w:bottom w:val="nil"/>
              <w:right w:val="nil"/>
            </w:tcBorders>
            <w:tcMar>
              <w:top w:w="128" w:type="dxa"/>
              <w:left w:w="43" w:type="dxa"/>
              <w:bottom w:w="43" w:type="dxa"/>
              <w:right w:w="43" w:type="dxa"/>
            </w:tcMar>
          </w:tcPr>
          <w:p w14:paraId="02D1E7C4" w14:textId="77777777" w:rsidR="00F7113A" w:rsidRPr="00580C0D" w:rsidRDefault="00142E5B" w:rsidP="001231A3">
            <w:pPr>
              <w:jc w:val="right"/>
            </w:pPr>
            <w:r w:rsidRPr="00580C0D">
              <w:t>Nei</w:t>
            </w:r>
          </w:p>
        </w:tc>
      </w:tr>
      <w:tr w:rsidR="00F7113A" w:rsidRPr="00580C0D" w14:paraId="109EBFA6"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3EF093D6"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2E644086" w14:textId="77777777" w:rsidR="00F7113A" w:rsidRPr="00580C0D" w:rsidRDefault="00142E5B" w:rsidP="001231A3">
            <w:pPr>
              <w:ind w:right="284"/>
              <w:jc w:val="right"/>
            </w:pPr>
            <w:r w:rsidRPr="00580C0D">
              <w:t>583</w:t>
            </w:r>
          </w:p>
        </w:tc>
        <w:tc>
          <w:tcPr>
            <w:tcW w:w="5040" w:type="dxa"/>
            <w:tcBorders>
              <w:top w:val="nil"/>
              <w:left w:val="nil"/>
              <w:bottom w:val="nil"/>
              <w:right w:val="nil"/>
            </w:tcBorders>
            <w:tcMar>
              <w:top w:w="128" w:type="dxa"/>
              <w:left w:w="43" w:type="dxa"/>
              <w:bottom w:w="43" w:type="dxa"/>
              <w:right w:w="43" w:type="dxa"/>
            </w:tcMar>
          </w:tcPr>
          <w:p w14:paraId="570C2EF8" w14:textId="77777777" w:rsidR="00F7113A" w:rsidRPr="00580C0D" w:rsidRDefault="00142E5B" w:rsidP="001231A3">
            <w:r w:rsidRPr="00580C0D">
              <w:t xml:space="preserve">Elektronisk kontroll ved </w:t>
            </w:r>
            <w:proofErr w:type="spellStart"/>
            <w:r w:rsidRPr="00580C0D">
              <w:t>brot</w:t>
            </w:r>
            <w:proofErr w:type="spellEnd"/>
            <w:r w:rsidRPr="00580C0D">
              <w:t xml:space="preserve"> på </w:t>
            </w:r>
            <w:proofErr w:type="spellStart"/>
            <w:r w:rsidRPr="00580C0D">
              <w:t>besøksforbod</w:t>
            </w:r>
            <w:proofErr w:type="spellEnd"/>
          </w:p>
        </w:tc>
        <w:tc>
          <w:tcPr>
            <w:tcW w:w="1980" w:type="dxa"/>
            <w:tcBorders>
              <w:top w:val="nil"/>
              <w:left w:val="nil"/>
              <w:bottom w:val="nil"/>
              <w:right w:val="nil"/>
            </w:tcBorders>
            <w:tcMar>
              <w:top w:w="128" w:type="dxa"/>
              <w:left w:w="43" w:type="dxa"/>
              <w:bottom w:w="43" w:type="dxa"/>
              <w:right w:w="43" w:type="dxa"/>
            </w:tcMar>
          </w:tcPr>
          <w:p w14:paraId="0972B537" w14:textId="77777777" w:rsidR="00F7113A" w:rsidRPr="00580C0D" w:rsidRDefault="00142E5B" w:rsidP="001231A3">
            <w:pPr>
              <w:jc w:val="right"/>
            </w:pPr>
            <w:r w:rsidRPr="00580C0D">
              <w:t>Ja</w:t>
            </w:r>
          </w:p>
        </w:tc>
      </w:tr>
      <w:tr w:rsidR="00F7113A" w:rsidRPr="00580C0D" w14:paraId="122916EF"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352AED6A"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4AE2D87E" w14:textId="77777777" w:rsidR="00F7113A" w:rsidRPr="00580C0D" w:rsidRDefault="00142E5B" w:rsidP="001231A3">
            <w:pPr>
              <w:ind w:right="284"/>
              <w:jc w:val="right"/>
            </w:pPr>
            <w:r w:rsidRPr="00580C0D">
              <w:t>584</w:t>
            </w:r>
          </w:p>
        </w:tc>
        <w:tc>
          <w:tcPr>
            <w:tcW w:w="5040" w:type="dxa"/>
            <w:tcBorders>
              <w:top w:val="nil"/>
              <w:left w:val="nil"/>
              <w:bottom w:val="nil"/>
              <w:right w:val="nil"/>
            </w:tcBorders>
            <w:tcMar>
              <w:top w:w="128" w:type="dxa"/>
              <w:left w:w="43" w:type="dxa"/>
              <w:bottom w:w="43" w:type="dxa"/>
              <w:right w:w="43" w:type="dxa"/>
            </w:tcMar>
          </w:tcPr>
          <w:p w14:paraId="7B984392" w14:textId="77777777" w:rsidR="00F7113A" w:rsidRPr="00580C0D" w:rsidRDefault="00142E5B" w:rsidP="001231A3">
            <w:r w:rsidRPr="00580C0D">
              <w:t xml:space="preserve">Straffenivåa for </w:t>
            </w:r>
            <w:proofErr w:type="spellStart"/>
            <w:r w:rsidRPr="00580C0D">
              <w:t>seksuallovbrot</w:t>
            </w:r>
            <w:proofErr w:type="spellEnd"/>
          </w:p>
        </w:tc>
        <w:tc>
          <w:tcPr>
            <w:tcW w:w="1980" w:type="dxa"/>
            <w:tcBorders>
              <w:top w:val="nil"/>
              <w:left w:val="nil"/>
              <w:bottom w:val="nil"/>
              <w:right w:val="nil"/>
            </w:tcBorders>
            <w:tcMar>
              <w:top w:w="128" w:type="dxa"/>
              <w:left w:w="43" w:type="dxa"/>
              <w:bottom w:w="43" w:type="dxa"/>
              <w:right w:w="43" w:type="dxa"/>
            </w:tcMar>
          </w:tcPr>
          <w:p w14:paraId="1B65242A" w14:textId="77777777" w:rsidR="00F7113A" w:rsidRPr="00580C0D" w:rsidRDefault="00142E5B" w:rsidP="001231A3">
            <w:pPr>
              <w:jc w:val="right"/>
            </w:pPr>
            <w:r w:rsidRPr="00580C0D">
              <w:t>Ja</w:t>
            </w:r>
          </w:p>
        </w:tc>
      </w:tr>
      <w:tr w:rsidR="00F7113A" w:rsidRPr="00580C0D" w14:paraId="254AFFD0"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4D6180BA"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3094385D" w14:textId="77777777" w:rsidR="00F7113A" w:rsidRPr="00580C0D" w:rsidRDefault="00142E5B" w:rsidP="001231A3">
            <w:pPr>
              <w:ind w:right="284"/>
              <w:jc w:val="right"/>
            </w:pPr>
            <w:r w:rsidRPr="00580C0D">
              <w:t>585</w:t>
            </w:r>
          </w:p>
        </w:tc>
        <w:tc>
          <w:tcPr>
            <w:tcW w:w="5040" w:type="dxa"/>
            <w:tcBorders>
              <w:top w:val="nil"/>
              <w:left w:val="nil"/>
              <w:bottom w:val="nil"/>
              <w:right w:val="nil"/>
            </w:tcBorders>
            <w:tcMar>
              <w:top w:w="128" w:type="dxa"/>
              <w:left w:w="43" w:type="dxa"/>
              <w:bottom w:w="43" w:type="dxa"/>
              <w:right w:w="43" w:type="dxa"/>
            </w:tcMar>
          </w:tcPr>
          <w:p w14:paraId="414304A1" w14:textId="77777777" w:rsidR="00F7113A" w:rsidRPr="00580C0D" w:rsidRDefault="00142E5B" w:rsidP="001231A3">
            <w:proofErr w:type="spellStart"/>
            <w:r w:rsidRPr="00580C0D">
              <w:t>Nedsetjing</w:t>
            </w:r>
            <w:proofErr w:type="spellEnd"/>
            <w:r w:rsidRPr="00580C0D">
              <w:t xml:space="preserve"> av </w:t>
            </w:r>
            <w:proofErr w:type="spellStart"/>
            <w:r w:rsidRPr="00580C0D">
              <w:t>valdtektskommisjon</w:t>
            </w:r>
            <w:proofErr w:type="spellEnd"/>
          </w:p>
        </w:tc>
        <w:tc>
          <w:tcPr>
            <w:tcW w:w="1980" w:type="dxa"/>
            <w:tcBorders>
              <w:top w:val="nil"/>
              <w:left w:val="nil"/>
              <w:bottom w:val="nil"/>
              <w:right w:val="nil"/>
            </w:tcBorders>
            <w:tcMar>
              <w:top w:w="128" w:type="dxa"/>
              <w:left w:w="43" w:type="dxa"/>
              <w:bottom w:w="43" w:type="dxa"/>
              <w:right w:w="43" w:type="dxa"/>
            </w:tcMar>
          </w:tcPr>
          <w:p w14:paraId="43155AD9" w14:textId="77777777" w:rsidR="00F7113A" w:rsidRPr="00580C0D" w:rsidRDefault="00142E5B" w:rsidP="001231A3">
            <w:pPr>
              <w:jc w:val="right"/>
            </w:pPr>
            <w:r w:rsidRPr="00580C0D">
              <w:t>Ja</w:t>
            </w:r>
          </w:p>
        </w:tc>
      </w:tr>
      <w:tr w:rsidR="00F7113A" w:rsidRPr="00580C0D" w14:paraId="631FE64A"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4944A541"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69848E85" w14:textId="77777777" w:rsidR="00F7113A" w:rsidRPr="00580C0D" w:rsidRDefault="00142E5B" w:rsidP="001231A3">
            <w:pPr>
              <w:ind w:right="284"/>
              <w:jc w:val="right"/>
            </w:pPr>
            <w:r w:rsidRPr="00580C0D">
              <w:t>587</w:t>
            </w:r>
          </w:p>
        </w:tc>
        <w:tc>
          <w:tcPr>
            <w:tcW w:w="5040" w:type="dxa"/>
            <w:tcBorders>
              <w:top w:val="nil"/>
              <w:left w:val="nil"/>
              <w:bottom w:val="nil"/>
              <w:right w:val="nil"/>
            </w:tcBorders>
            <w:tcMar>
              <w:top w:w="128" w:type="dxa"/>
              <w:left w:w="43" w:type="dxa"/>
              <w:bottom w:w="43" w:type="dxa"/>
              <w:right w:w="43" w:type="dxa"/>
            </w:tcMar>
          </w:tcPr>
          <w:p w14:paraId="1D5C7157" w14:textId="77777777" w:rsidR="00F7113A" w:rsidRPr="00580C0D" w:rsidRDefault="00142E5B" w:rsidP="001231A3">
            <w:r w:rsidRPr="00580C0D">
              <w:t xml:space="preserve">Budsjettmessige </w:t>
            </w:r>
            <w:proofErr w:type="spellStart"/>
            <w:r w:rsidRPr="00580C0D">
              <w:t>konsekvensar</w:t>
            </w:r>
            <w:proofErr w:type="spellEnd"/>
            <w:r w:rsidRPr="00580C0D">
              <w:t xml:space="preserve"> av ny valdserstatningslov</w:t>
            </w:r>
          </w:p>
        </w:tc>
        <w:tc>
          <w:tcPr>
            <w:tcW w:w="1980" w:type="dxa"/>
            <w:tcBorders>
              <w:top w:val="nil"/>
              <w:left w:val="nil"/>
              <w:bottom w:val="nil"/>
              <w:right w:val="nil"/>
            </w:tcBorders>
            <w:tcMar>
              <w:top w:w="128" w:type="dxa"/>
              <w:left w:w="43" w:type="dxa"/>
              <w:bottom w:w="43" w:type="dxa"/>
              <w:right w:w="43" w:type="dxa"/>
            </w:tcMar>
          </w:tcPr>
          <w:p w14:paraId="7E74D518" w14:textId="77777777" w:rsidR="00F7113A" w:rsidRPr="00580C0D" w:rsidRDefault="00142E5B" w:rsidP="001231A3">
            <w:pPr>
              <w:jc w:val="right"/>
            </w:pPr>
            <w:r w:rsidRPr="00580C0D">
              <w:t>Ja</w:t>
            </w:r>
          </w:p>
        </w:tc>
      </w:tr>
      <w:tr w:rsidR="00F7113A" w:rsidRPr="00580C0D" w14:paraId="55E2E23D"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59D2865D"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7C7983AF" w14:textId="77777777" w:rsidR="00F7113A" w:rsidRPr="00580C0D" w:rsidRDefault="00142E5B" w:rsidP="001231A3">
            <w:pPr>
              <w:ind w:right="284"/>
              <w:jc w:val="right"/>
            </w:pPr>
            <w:r w:rsidRPr="00580C0D">
              <w:t>589</w:t>
            </w:r>
          </w:p>
        </w:tc>
        <w:tc>
          <w:tcPr>
            <w:tcW w:w="5040" w:type="dxa"/>
            <w:tcBorders>
              <w:top w:val="nil"/>
              <w:left w:val="nil"/>
              <w:bottom w:val="nil"/>
              <w:right w:val="nil"/>
            </w:tcBorders>
            <w:tcMar>
              <w:top w:w="128" w:type="dxa"/>
              <w:left w:w="43" w:type="dxa"/>
              <w:bottom w:w="43" w:type="dxa"/>
              <w:right w:w="43" w:type="dxa"/>
            </w:tcMar>
          </w:tcPr>
          <w:p w14:paraId="5CBDD1F9" w14:textId="77777777" w:rsidR="00F7113A" w:rsidRPr="00580C0D" w:rsidRDefault="00142E5B" w:rsidP="001231A3">
            <w:r w:rsidRPr="00580C0D">
              <w:t xml:space="preserve">Forseinkingsrente på regresskravet til staten mot </w:t>
            </w:r>
            <w:proofErr w:type="spellStart"/>
            <w:r w:rsidRPr="00580C0D">
              <w:t>skadevaldar</w:t>
            </w:r>
            <w:proofErr w:type="spellEnd"/>
            <w:r w:rsidRPr="00580C0D">
              <w:t xml:space="preserve"> i valdserstatningssaker</w:t>
            </w:r>
          </w:p>
        </w:tc>
        <w:tc>
          <w:tcPr>
            <w:tcW w:w="1980" w:type="dxa"/>
            <w:tcBorders>
              <w:top w:val="nil"/>
              <w:left w:val="nil"/>
              <w:bottom w:val="nil"/>
              <w:right w:val="nil"/>
            </w:tcBorders>
            <w:tcMar>
              <w:top w:w="128" w:type="dxa"/>
              <w:left w:w="43" w:type="dxa"/>
              <w:bottom w:w="43" w:type="dxa"/>
              <w:right w:w="43" w:type="dxa"/>
            </w:tcMar>
          </w:tcPr>
          <w:p w14:paraId="792D31F8" w14:textId="77777777" w:rsidR="00F7113A" w:rsidRPr="00580C0D" w:rsidRDefault="00142E5B" w:rsidP="001231A3">
            <w:pPr>
              <w:jc w:val="right"/>
            </w:pPr>
            <w:r w:rsidRPr="00580C0D">
              <w:t>Nei</w:t>
            </w:r>
          </w:p>
        </w:tc>
      </w:tr>
      <w:tr w:rsidR="00F7113A" w:rsidRPr="00580C0D" w14:paraId="614DC852"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C0E34C5"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480B5803" w14:textId="77777777" w:rsidR="00F7113A" w:rsidRPr="00580C0D" w:rsidRDefault="00142E5B" w:rsidP="001231A3">
            <w:pPr>
              <w:ind w:right="284"/>
              <w:jc w:val="right"/>
            </w:pPr>
            <w:r w:rsidRPr="00580C0D">
              <w:t>654</w:t>
            </w:r>
          </w:p>
        </w:tc>
        <w:tc>
          <w:tcPr>
            <w:tcW w:w="5040" w:type="dxa"/>
            <w:tcBorders>
              <w:top w:val="nil"/>
              <w:left w:val="nil"/>
              <w:bottom w:val="nil"/>
              <w:right w:val="nil"/>
            </w:tcBorders>
            <w:tcMar>
              <w:top w:w="128" w:type="dxa"/>
              <w:left w:w="43" w:type="dxa"/>
              <w:bottom w:w="43" w:type="dxa"/>
              <w:right w:w="43" w:type="dxa"/>
            </w:tcMar>
          </w:tcPr>
          <w:p w14:paraId="763C3B09" w14:textId="77777777" w:rsidR="00F7113A" w:rsidRPr="00580C0D" w:rsidRDefault="00142E5B" w:rsidP="001231A3">
            <w:r w:rsidRPr="00580C0D">
              <w:t xml:space="preserve">Tryggleik for funksjonshindra </w:t>
            </w:r>
          </w:p>
        </w:tc>
        <w:tc>
          <w:tcPr>
            <w:tcW w:w="1980" w:type="dxa"/>
            <w:tcBorders>
              <w:top w:val="nil"/>
              <w:left w:val="nil"/>
              <w:bottom w:val="nil"/>
              <w:right w:val="nil"/>
            </w:tcBorders>
            <w:tcMar>
              <w:top w:w="128" w:type="dxa"/>
              <w:left w:w="43" w:type="dxa"/>
              <w:bottom w:w="43" w:type="dxa"/>
              <w:right w:w="43" w:type="dxa"/>
            </w:tcMar>
          </w:tcPr>
          <w:p w14:paraId="7FB1C133" w14:textId="77777777" w:rsidR="00F7113A" w:rsidRPr="00580C0D" w:rsidRDefault="00142E5B" w:rsidP="001231A3">
            <w:pPr>
              <w:jc w:val="right"/>
            </w:pPr>
            <w:r w:rsidRPr="00580C0D">
              <w:t>Nei</w:t>
            </w:r>
          </w:p>
        </w:tc>
      </w:tr>
      <w:tr w:rsidR="00F7113A" w:rsidRPr="00580C0D" w14:paraId="208AA2E0"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000AE94E"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3DA4FDF3" w14:textId="77777777" w:rsidR="00F7113A" w:rsidRPr="00580C0D" w:rsidRDefault="00142E5B" w:rsidP="001231A3">
            <w:pPr>
              <w:ind w:right="284"/>
              <w:jc w:val="right"/>
            </w:pPr>
            <w:r w:rsidRPr="00580C0D">
              <w:t>795</w:t>
            </w:r>
          </w:p>
        </w:tc>
        <w:tc>
          <w:tcPr>
            <w:tcW w:w="5040" w:type="dxa"/>
            <w:tcBorders>
              <w:top w:val="nil"/>
              <w:left w:val="nil"/>
              <w:bottom w:val="nil"/>
              <w:right w:val="nil"/>
            </w:tcBorders>
            <w:tcMar>
              <w:top w:w="128" w:type="dxa"/>
              <w:left w:w="43" w:type="dxa"/>
              <w:bottom w:w="43" w:type="dxa"/>
              <w:right w:w="43" w:type="dxa"/>
            </w:tcMar>
          </w:tcPr>
          <w:p w14:paraId="7DAF17FC" w14:textId="77777777" w:rsidR="00F7113A" w:rsidRPr="00580C0D" w:rsidRDefault="00142E5B" w:rsidP="001231A3">
            <w:proofErr w:type="spellStart"/>
            <w:r w:rsidRPr="00580C0D">
              <w:t>Forbod</w:t>
            </w:r>
            <w:proofErr w:type="spellEnd"/>
            <w:r w:rsidRPr="00580C0D">
              <w:t xml:space="preserve"> mot sal av forfalne </w:t>
            </w:r>
            <w:proofErr w:type="spellStart"/>
            <w:r w:rsidRPr="00580C0D">
              <w:t>fordringar</w:t>
            </w:r>
            <w:proofErr w:type="spellEnd"/>
          </w:p>
        </w:tc>
        <w:tc>
          <w:tcPr>
            <w:tcW w:w="1980" w:type="dxa"/>
            <w:tcBorders>
              <w:top w:val="nil"/>
              <w:left w:val="nil"/>
              <w:bottom w:val="nil"/>
              <w:right w:val="nil"/>
            </w:tcBorders>
            <w:tcMar>
              <w:top w:w="128" w:type="dxa"/>
              <w:left w:w="43" w:type="dxa"/>
              <w:bottom w:w="43" w:type="dxa"/>
              <w:right w:w="43" w:type="dxa"/>
            </w:tcMar>
          </w:tcPr>
          <w:p w14:paraId="41381BAD" w14:textId="77777777" w:rsidR="00F7113A" w:rsidRPr="00580C0D" w:rsidRDefault="00142E5B" w:rsidP="001231A3">
            <w:pPr>
              <w:jc w:val="right"/>
            </w:pPr>
            <w:r w:rsidRPr="00580C0D">
              <w:t>Nei</w:t>
            </w:r>
          </w:p>
        </w:tc>
      </w:tr>
      <w:tr w:rsidR="00F7113A" w:rsidRPr="00580C0D" w14:paraId="793D049F"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01973BDA"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21DFD0D2" w14:textId="77777777" w:rsidR="00F7113A" w:rsidRPr="00580C0D" w:rsidRDefault="00142E5B" w:rsidP="001231A3">
            <w:pPr>
              <w:ind w:right="284"/>
              <w:jc w:val="right"/>
            </w:pPr>
            <w:r w:rsidRPr="00580C0D">
              <w:t>831</w:t>
            </w:r>
          </w:p>
        </w:tc>
        <w:tc>
          <w:tcPr>
            <w:tcW w:w="5040" w:type="dxa"/>
            <w:tcBorders>
              <w:top w:val="nil"/>
              <w:left w:val="nil"/>
              <w:bottom w:val="nil"/>
              <w:right w:val="nil"/>
            </w:tcBorders>
            <w:tcMar>
              <w:top w:w="128" w:type="dxa"/>
              <w:left w:w="43" w:type="dxa"/>
              <w:bottom w:w="43" w:type="dxa"/>
              <w:right w:w="43" w:type="dxa"/>
            </w:tcMar>
          </w:tcPr>
          <w:p w14:paraId="225ACBBA" w14:textId="1C851359" w:rsidR="00F7113A" w:rsidRPr="00580C0D" w:rsidRDefault="00142E5B" w:rsidP="001231A3">
            <w:proofErr w:type="spellStart"/>
            <w:r w:rsidRPr="00580C0D">
              <w:t>Offentleg</w:t>
            </w:r>
            <w:proofErr w:type="spellEnd"/>
            <w:r w:rsidRPr="00580C0D">
              <w:t xml:space="preserve"> </w:t>
            </w:r>
            <w:proofErr w:type="spellStart"/>
            <w:r w:rsidRPr="00580C0D">
              <w:t>helsetilbod</w:t>
            </w:r>
            <w:proofErr w:type="spellEnd"/>
            <w:r w:rsidRPr="00580C0D">
              <w:t xml:space="preserve"> ved Politiets utlendings</w:t>
            </w:r>
            <w:r w:rsidR="00C26F72">
              <w:softHyphen/>
            </w:r>
            <w:r w:rsidRPr="00580C0D">
              <w:t>internat på Trandum</w:t>
            </w:r>
          </w:p>
        </w:tc>
        <w:tc>
          <w:tcPr>
            <w:tcW w:w="1980" w:type="dxa"/>
            <w:tcBorders>
              <w:top w:val="nil"/>
              <w:left w:val="nil"/>
              <w:bottom w:val="nil"/>
              <w:right w:val="nil"/>
            </w:tcBorders>
            <w:tcMar>
              <w:top w:w="128" w:type="dxa"/>
              <w:left w:w="43" w:type="dxa"/>
              <w:bottom w:w="43" w:type="dxa"/>
              <w:right w:w="43" w:type="dxa"/>
            </w:tcMar>
          </w:tcPr>
          <w:p w14:paraId="10466FD5" w14:textId="77777777" w:rsidR="00F7113A" w:rsidRPr="00580C0D" w:rsidRDefault="00142E5B" w:rsidP="001231A3">
            <w:pPr>
              <w:jc w:val="right"/>
            </w:pPr>
            <w:r w:rsidRPr="00580C0D">
              <w:t>Ja</w:t>
            </w:r>
          </w:p>
        </w:tc>
      </w:tr>
      <w:tr w:rsidR="00F7113A" w:rsidRPr="00580C0D" w14:paraId="7741A11E"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34E73FD6"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2688BE8C" w14:textId="77777777" w:rsidR="00F7113A" w:rsidRPr="00580C0D" w:rsidRDefault="00142E5B" w:rsidP="001231A3">
            <w:pPr>
              <w:ind w:right="284"/>
              <w:jc w:val="right"/>
            </w:pPr>
            <w:r w:rsidRPr="00580C0D">
              <w:t>47</w:t>
            </w:r>
          </w:p>
        </w:tc>
        <w:tc>
          <w:tcPr>
            <w:tcW w:w="5040" w:type="dxa"/>
            <w:tcBorders>
              <w:top w:val="nil"/>
              <w:left w:val="nil"/>
              <w:bottom w:val="nil"/>
              <w:right w:val="nil"/>
            </w:tcBorders>
            <w:tcMar>
              <w:top w:w="128" w:type="dxa"/>
              <w:left w:w="43" w:type="dxa"/>
              <w:bottom w:w="43" w:type="dxa"/>
              <w:right w:w="43" w:type="dxa"/>
            </w:tcMar>
          </w:tcPr>
          <w:p w14:paraId="6702D779" w14:textId="77777777" w:rsidR="00F7113A" w:rsidRPr="00580C0D" w:rsidRDefault="00142E5B" w:rsidP="001231A3">
            <w:r w:rsidRPr="00580C0D">
              <w:t xml:space="preserve">Utviding av </w:t>
            </w:r>
            <w:proofErr w:type="spellStart"/>
            <w:r w:rsidRPr="00580C0D">
              <w:t>avverjingsplikta</w:t>
            </w:r>
            <w:proofErr w:type="spellEnd"/>
          </w:p>
        </w:tc>
        <w:tc>
          <w:tcPr>
            <w:tcW w:w="1980" w:type="dxa"/>
            <w:tcBorders>
              <w:top w:val="nil"/>
              <w:left w:val="nil"/>
              <w:bottom w:val="nil"/>
              <w:right w:val="nil"/>
            </w:tcBorders>
            <w:tcMar>
              <w:top w:w="128" w:type="dxa"/>
              <w:left w:w="43" w:type="dxa"/>
              <w:bottom w:w="43" w:type="dxa"/>
              <w:right w:w="43" w:type="dxa"/>
            </w:tcMar>
          </w:tcPr>
          <w:p w14:paraId="73113C42" w14:textId="77777777" w:rsidR="00F7113A" w:rsidRPr="00580C0D" w:rsidRDefault="00142E5B" w:rsidP="001231A3">
            <w:pPr>
              <w:jc w:val="right"/>
            </w:pPr>
            <w:r w:rsidRPr="00580C0D">
              <w:t>Nei</w:t>
            </w:r>
          </w:p>
        </w:tc>
      </w:tr>
      <w:tr w:rsidR="00F7113A" w:rsidRPr="00580C0D" w14:paraId="28154E57"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2BCEE087"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3A8872C9" w14:textId="77777777" w:rsidR="00F7113A" w:rsidRPr="00580C0D" w:rsidRDefault="00142E5B" w:rsidP="001231A3">
            <w:pPr>
              <w:ind w:right="284"/>
              <w:jc w:val="right"/>
            </w:pPr>
            <w:r w:rsidRPr="00580C0D">
              <w:t>50</w:t>
            </w:r>
          </w:p>
        </w:tc>
        <w:tc>
          <w:tcPr>
            <w:tcW w:w="5040" w:type="dxa"/>
            <w:tcBorders>
              <w:top w:val="nil"/>
              <w:left w:val="nil"/>
              <w:bottom w:val="nil"/>
              <w:right w:val="nil"/>
            </w:tcBorders>
            <w:tcMar>
              <w:top w:w="128" w:type="dxa"/>
              <w:left w:w="43" w:type="dxa"/>
              <w:bottom w:w="43" w:type="dxa"/>
              <w:right w:w="43" w:type="dxa"/>
            </w:tcMar>
          </w:tcPr>
          <w:p w14:paraId="1FA85766" w14:textId="77777777" w:rsidR="00F7113A" w:rsidRPr="00580C0D" w:rsidRDefault="00142E5B" w:rsidP="001231A3">
            <w:proofErr w:type="spellStart"/>
            <w:r w:rsidRPr="00580C0D">
              <w:t>Forelding</w:t>
            </w:r>
            <w:proofErr w:type="spellEnd"/>
            <w:r w:rsidRPr="00580C0D">
              <w:t xml:space="preserve"> av </w:t>
            </w:r>
            <w:proofErr w:type="spellStart"/>
            <w:r w:rsidRPr="00580C0D">
              <w:t>lovbrot</w:t>
            </w:r>
            <w:proofErr w:type="spellEnd"/>
            <w:r w:rsidRPr="00580C0D">
              <w:t xml:space="preserve"> mot mindreårige</w:t>
            </w:r>
          </w:p>
        </w:tc>
        <w:tc>
          <w:tcPr>
            <w:tcW w:w="1980" w:type="dxa"/>
            <w:tcBorders>
              <w:top w:val="nil"/>
              <w:left w:val="nil"/>
              <w:bottom w:val="nil"/>
              <w:right w:val="nil"/>
            </w:tcBorders>
            <w:tcMar>
              <w:top w:w="128" w:type="dxa"/>
              <w:left w:w="43" w:type="dxa"/>
              <w:bottom w:w="43" w:type="dxa"/>
              <w:right w:w="43" w:type="dxa"/>
            </w:tcMar>
          </w:tcPr>
          <w:p w14:paraId="182D9762" w14:textId="77777777" w:rsidR="00F7113A" w:rsidRPr="00580C0D" w:rsidRDefault="00142E5B" w:rsidP="001231A3">
            <w:pPr>
              <w:jc w:val="right"/>
            </w:pPr>
            <w:r w:rsidRPr="00580C0D">
              <w:t>Nei</w:t>
            </w:r>
          </w:p>
        </w:tc>
      </w:tr>
      <w:tr w:rsidR="00F7113A" w:rsidRPr="00580C0D" w14:paraId="36E3D438"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46B1ADF"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2BF2D0DA" w14:textId="77777777" w:rsidR="00F7113A" w:rsidRPr="00580C0D" w:rsidRDefault="00142E5B" w:rsidP="001231A3">
            <w:pPr>
              <w:ind w:right="284"/>
              <w:jc w:val="right"/>
            </w:pPr>
            <w:r w:rsidRPr="00580C0D">
              <w:t>64</w:t>
            </w:r>
          </w:p>
        </w:tc>
        <w:tc>
          <w:tcPr>
            <w:tcW w:w="5040" w:type="dxa"/>
            <w:tcBorders>
              <w:top w:val="nil"/>
              <w:left w:val="nil"/>
              <w:bottom w:val="nil"/>
              <w:right w:val="nil"/>
            </w:tcBorders>
            <w:tcMar>
              <w:top w:w="128" w:type="dxa"/>
              <w:left w:w="43" w:type="dxa"/>
              <w:bottom w:w="43" w:type="dxa"/>
              <w:right w:w="43" w:type="dxa"/>
            </w:tcMar>
          </w:tcPr>
          <w:p w14:paraId="1D430DFE" w14:textId="77777777" w:rsidR="00F7113A" w:rsidRPr="00580C0D" w:rsidRDefault="00142E5B" w:rsidP="001231A3">
            <w:proofErr w:type="spellStart"/>
            <w:r w:rsidRPr="00580C0D">
              <w:t>Tilgjengelege</w:t>
            </w:r>
            <w:proofErr w:type="spellEnd"/>
            <w:r w:rsidRPr="00580C0D">
              <w:t xml:space="preserve"> </w:t>
            </w:r>
            <w:proofErr w:type="spellStart"/>
            <w:r w:rsidRPr="00580C0D">
              <w:t>dopingopplysningar</w:t>
            </w:r>
            <w:proofErr w:type="spellEnd"/>
            <w:r w:rsidRPr="00580C0D">
              <w:t xml:space="preserve"> </w:t>
            </w:r>
          </w:p>
        </w:tc>
        <w:tc>
          <w:tcPr>
            <w:tcW w:w="1980" w:type="dxa"/>
            <w:tcBorders>
              <w:top w:val="nil"/>
              <w:left w:val="nil"/>
              <w:bottom w:val="nil"/>
              <w:right w:val="nil"/>
            </w:tcBorders>
            <w:tcMar>
              <w:top w:w="128" w:type="dxa"/>
              <w:left w:w="43" w:type="dxa"/>
              <w:bottom w:w="43" w:type="dxa"/>
              <w:right w:w="43" w:type="dxa"/>
            </w:tcMar>
          </w:tcPr>
          <w:p w14:paraId="307C9819" w14:textId="77777777" w:rsidR="00F7113A" w:rsidRPr="00580C0D" w:rsidRDefault="00142E5B" w:rsidP="001231A3">
            <w:pPr>
              <w:jc w:val="right"/>
            </w:pPr>
            <w:r w:rsidRPr="00580C0D">
              <w:t>Nei</w:t>
            </w:r>
          </w:p>
        </w:tc>
      </w:tr>
      <w:tr w:rsidR="00F7113A" w:rsidRPr="00580C0D" w14:paraId="59AD2F5F"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5D5139B7"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020055D" w14:textId="77777777" w:rsidR="00F7113A" w:rsidRPr="00580C0D" w:rsidRDefault="00142E5B" w:rsidP="001231A3">
            <w:pPr>
              <w:ind w:right="284"/>
              <w:jc w:val="right"/>
            </w:pPr>
            <w:r w:rsidRPr="00580C0D">
              <w:t>65</w:t>
            </w:r>
          </w:p>
        </w:tc>
        <w:tc>
          <w:tcPr>
            <w:tcW w:w="5040" w:type="dxa"/>
            <w:tcBorders>
              <w:top w:val="nil"/>
              <w:left w:val="nil"/>
              <w:bottom w:val="nil"/>
              <w:right w:val="nil"/>
            </w:tcBorders>
            <w:tcMar>
              <w:top w:w="128" w:type="dxa"/>
              <w:left w:w="43" w:type="dxa"/>
              <w:bottom w:w="43" w:type="dxa"/>
              <w:right w:w="43" w:type="dxa"/>
            </w:tcMar>
          </w:tcPr>
          <w:p w14:paraId="377A7922" w14:textId="77777777" w:rsidR="00F7113A" w:rsidRPr="00580C0D" w:rsidRDefault="00142E5B" w:rsidP="001231A3">
            <w:r w:rsidRPr="00580C0D">
              <w:t xml:space="preserve">Straff for den som </w:t>
            </w:r>
            <w:proofErr w:type="spellStart"/>
            <w:r w:rsidRPr="00580C0D">
              <w:t>tener</w:t>
            </w:r>
            <w:proofErr w:type="spellEnd"/>
            <w:r w:rsidRPr="00580C0D">
              <w:t xml:space="preserve"> </w:t>
            </w:r>
            <w:proofErr w:type="spellStart"/>
            <w:r w:rsidRPr="00580C0D">
              <w:t>pengar</w:t>
            </w:r>
            <w:proofErr w:type="spellEnd"/>
            <w:r w:rsidRPr="00580C0D">
              <w:t xml:space="preserve"> på </w:t>
            </w:r>
            <w:proofErr w:type="spellStart"/>
            <w:r w:rsidRPr="00580C0D">
              <w:t>idrettsprestasjonar</w:t>
            </w:r>
            <w:proofErr w:type="spellEnd"/>
            <w:r w:rsidRPr="00580C0D">
              <w:t xml:space="preserve"> som </w:t>
            </w:r>
            <w:proofErr w:type="spellStart"/>
            <w:r w:rsidRPr="00580C0D">
              <w:t>følgje</w:t>
            </w:r>
            <w:proofErr w:type="spellEnd"/>
            <w:r w:rsidRPr="00580C0D">
              <w:t xml:space="preserve"> av doping</w:t>
            </w:r>
          </w:p>
        </w:tc>
        <w:tc>
          <w:tcPr>
            <w:tcW w:w="1980" w:type="dxa"/>
            <w:tcBorders>
              <w:top w:val="nil"/>
              <w:left w:val="nil"/>
              <w:bottom w:val="nil"/>
              <w:right w:val="nil"/>
            </w:tcBorders>
            <w:tcMar>
              <w:top w:w="128" w:type="dxa"/>
              <w:left w:w="43" w:type="dxa"/>
              <w:bottom w:w="43" w:type="dxa"/>
              <w:right w:w="43" w:type="dxa"/>
            </w:tcMar>
          </w:tcPr>
          <w:p w14:paraId="7085D79A" w14:textId="77777777" w:rsidR="00F7113A" w:rsidRPr="00580C0D" w:rsidRDefault="00142E5B" w:rsidP="001231A3">
            <w:pPr>
              <w:jc w:val="right"/>
            </w:pPr>
            <w:r w:rsidRPr="00580C0D">
              <w:t>Nei</w:t>
            </w:r>
          </w:p>
        </w:tc>
      </w:tr>
      <w:tr w:rsidR="00F7113A" w:rsidRPr="00580C0D" w14:paraId="2998FAA5"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63FF363D"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50D09D1F" w14:textId="77777777" w:rsidR="00F7113A" w:rsidRPr="00580C0D" w:rsidRDefault="00142E5B" w:rsidP="001231A3">
            <w:pPr>
              <w:ind w:right="284"/>
              <w:jc w:val="right"/>
            </w:pPr>
            <w:r w:rsidRPr="00580C0D">
              <w:t>206</w:t>
            </w:r>
          </w:p>
        </w:tc>
        <w:tc>
          <w:tcPr>
            <w:tcW w:w="5040" w:type="dxa"/>
            <w:tcBorders>
              <w:top w:val="nil"/>
              <w:left w:val="nil"/>
              <w:bottom w:val="nil"/>
              <w:right w:val="nil"/>
            </w:tcBorders>
            <w:tcMar>
              <w:top w:w="128" w:type="dxa"/>
              <w:left w:w="43" w:type="dxa"/>
              <w:bottom w:w="43" w:type="dxa"/>
              <w:right w:w="43" w:type="dxa"/>
            </w:tcMar>
          </w:tcPr>
          <w:p w14:paraId="6E289BBB" w14:textId="77777777" w:rsidR="00F7113A" w:rsidRPr="00580C0D" w:rsidRDefault="00142E5B" w:rsidP="001231A3">
            <w:proofErr w:type="spellStart"/>
            <w:r w:rsidRPr="00580C0D">
              <w:t>Klarare</w:t>
            </w:r>
            <w:proofErr w:type="spellEnd"/>
            <w:r w:rsidRPr="00580C0D">
              <w:t xml:space="preserve"> </w:t>
            </w:r>
            <w:proofErr w:type="spellStart"/>
            <w:r w:rsidRPr="00580C0D">
              <w:t>skilje</w:t>
            </w:r>
            <w:proofErr w:type="spellEnd"/>
            <w:r w:rsidRPr="00580C0D">
              <w:t xml:space="preserve"> mellom </w:t>
            </w:r>
            <w:proofErr w:type="spellStart"/>
            <w:r w:rsidRPr="00580C0D">
              <w:t>konvensjonsstatus</w:t>
            </w:r>
            <w:proofErr w:type="spellEnd"/>
            <w:r w:rsidRPr="00580C0D">
              <w:t xml:space="preserve"> (asyl) og subsidiært vern</w:t>
            </w:r>
          </w:p>
        </w:tc>
        <w:tc>
          <w:tcPr>
            <w:tcW w:w="1980" w:type="dxa"/>
            <w:tcBorders>
              <w:top w:val="nil"/>
              <w:left w:val="nil"/>
              <w:bottom w:val="nil"/>
              <w:right w:val="nil"/>
            </w:tcBorders>
            <w:tcMar>
              <w:top w:w="128" w:type="dxa"/>
              <w:left w:w="43" w:type="dxa"/>
              <w:bottom w:w="43" w:type="dxa"/>
              <w:right w:w="43" w:type="dxa"/>
            </w:tcMar>
          </w:tcPr>
          <w:p w14:paraId="26EB3D3C" w14:textId="77777777" w:rsidR="00F7113A" w:rsidRPr="00580C0D" w:rsidRDefault="00142E5B" w:rsidP="001231A3">
            <w:pPr>
              <w:jc w:val="right"/>
            </w:pPr>
            <w:r w:rsidRPr="00580C0D">
              <w:t>Nei</w:t>
            </w:r>
          </w:p>
        </w:tc>
      </w:tr>
      <w:tr w:rsidR="00F7113A" w:rsidRPr="00580C0D" w14:paraId="5C94C148"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6CD4493B"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270A4C9A" w14:textId="77777777" w:rsidR="00F7113A" w:rsidRPr="00580C0D" w:rsidRDefault="00142E5B" w:rsidP="001231A3">
            <w:pPr>
              <w:ind w:right="284"/>
              <w:jc w:val="right"/>
            </w:pPr>
            <w:r w:rsidRPr="00580C0D">
              <w:t>207</w:t>
            </w:r>
          </w:p>
        </w:tc>
        <w:tc>
          <w:tcPr>
            <w:tcW w:w="5040" w:type="dxa"/>
            <w:tcBorders>
              <w:top w:val="nil"/>
              <w:left w:val="nil"/>
              <w:bottom w:val="nil"/>
              <w:right w:val="nil"/>
            </w:tcBorders>
            <w:tcMar>
              <w:top w:w="128" w:type="dxa"/>
              <w:left w:w="43" w:type="dxa"/>
              <w:bottom w:w="43" w:type="dxa"/>
              <w:right w:w="43" w:type="dxa"/>
            </w:tcMar>
          </w:tcPr>
          <w:p w14:paraId="512986A3" w14:textId="77777777" w:rsidR="00F7113A" w:rsidRPr="00580C0D" w:rsidRDefault="00142E5B" w:rsidP="001231A3">
            <w:r w:rsidRPr="00580C0D">
              <w:t>Plan for effektiv motarbeiding av irregulær migrasjon</w:t>
            </w:r>
          </w:p>
        </w:tc>
        <w:tc>
          <w:tcPr>
            <w:tcW w:w="1980" w:type="dxa"/>
            <w:tcBorders>
              <w:top w:val="nil"/>
              <w:left w:val="nil"/>
              <w:bottom w:val="nil"/>
              <w:right w:val="nil"/>
            </w:tcBorders>
            <w:tcMar>
              <w:top w:w="128" w:type="dxa"/>
              <w:left w:w="43" w:type="dxa"/>
              <w:bottom w:w="43" w:type="dxa"/>
              <w:right w:w="43" w:type="dxa"/>
            </w:tcMar>
          </w:tcPr>
          <w:p w14:paraId="411EFB20" w14:textId="77777777" w:rsidR="00F7113A" w:rsidRPr="00580C0D" w:rsidRDefault="00142E5B" w:rsidP="001231A3">
            <w:pPr>
              <w:jc w:val="right"/>
            </w:pPr>
            <w:r w:rsidRPr="00580C0D">
              <w:t>Ja</w:t>
            </w:r>
          </w:p>
        </w:tc>
      </w:tr>
      <w:tr w:rsidR="00F7113A" w:rsidRPr="00580C0D" w14:paraId="18CB2320"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1C7CC02"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78EA554B" w14:textId="77777777" w:rsidR="00F7113A" w:rsidRPr="00580C0D" w:rsidRDefault="00142E5B" w:rsidP="001231A3">
            <w:pPr>
              <w:ind w:right="284"/>
              <w:jc w:val="right"/>
            </w:pPr>
            <w:r w:rsidRPr="00580C0D">
              <w:t>208</w:t>
            </w:r>
          </w:p>
        </w:tc>
        <w:tc>
          <w:tcPr>
            <w:tcW w:w="5040" w:type="dxa"/>
            <w:tcBorders>
              <w:top w:val="nil"/>
              <w:left w:val="nil"/>
              <w:bottom w:val="nil"/>
              <w:right w:val="nil"/>
            </w:tcBorders>
            <w:tcMar>
              <w:top w:w="128" w:type="dxa"/>
              <w:left w:w="43" w:type="dxa"/>
              <w:bottom w:w="43" w:type="dxa"/>
              <w:right w:w="43" w:type="dxa"/>
            </w:tcMar>
          </w:tcPr>
          <w:p w14:paraId="50D72604" w14:textId="77777777" w:rsidR="00F7113A" w:rsidRPr="00580C0D" w:rsidRDefault="00142E5B" w:rsidP="001231A3">
            <w:r w:rsidRPr="00580C0D">
              <w:t>Klarlegging av identitet</w:t>
            </w:r>
          </w:p>
        </w:tc>
        <w:tc>
          <w:tcPr>
            <w:tcW w:w="1980" w:type="dxa"/>
            <w:tcBorders>
              <w:top w:val="nil"/>
              <w:left w:val="nil"/>
              <w:bottom w:val="nil"/>
              <w:right w:val="nil"/>
            </w:tcBorders>
            <w:tcMar>
              <w:top w:w="128" w:type="dxa"/>
              <w:left w:w="43" w:type="dxa"/>
              <w:bottom w:w="43" w:type="dxa"/>
              <w:right w:w="43" w:type="dxa"/>
            </w:tcMar>
          </w:tcPr>
          <w:p w14:paraId="68DA4663" w14:textId="77777777" w:rsidR="00F7113A" w:rsidRPr="00580C0D" w:rsidRDefault="00142E5B" w:rsidP="001231A3">
            <w:pPr>
              <w:jc w:val="right"/>
            </w:pPr>
            <w:r w:rsidRPr="00580C0D">
              <w:t>Nei</w:t>
            </w:r>
          </w:p>
        </w:tc>
      </w:tr>
      <w:tr w:rsidR="00F7113A" w:rsidRPr="00580C0D" w14:paraId="1FAA6313"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440F5053"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A8967DB" w14:textId="77777777" w:rsidR="00F7113A" w:rsidRPr="00580C0D" w:rsidRDefault="00142E5B" w:rsidP="001231A3">
            <w:pPr>
              <w:ind w:right="284"/>
              <w:jc w:val="right"/>
            </w:pPr>
            <w:r w:rsidRPr="00580C0D">
              <w:t>443</w:t>
            </w:r>
          </w:p>
        </w:tc>
        <w:tc>
          <w:tcPr>
            <w:tcW w:w="5040" w:type="dxa"/>
            <w:tcBorders>
              <w:top w:val="nil"/>
              <w:left w:val="nil"/>
              <w:bottom w:val="nil"/>
              <w:right w:val="nil"/>
            </w:tcBorders>
            <w:tcMar>
              <w:top w:w="128" w:type="dxa"/>
              <w:left w:w="43" w:type="dxa"/>
              <w:bottom w:w="43" w:type="dxa"/>
              <w:right w:w="43" w:type="dxa"/>
            </w:tcMar>
          </w:tcPr>
          <w:p w14:paraId="2461FF06" w14:textId="77777777" w:rsidR="00F7113A" w:rsidRPr="00580C0D" w:rsidRDefault="00142E5B" w:rsidP="001231A3">
            <w:proofErr w:type="spellStart"/>
            <w:r w:rsidRPr="00580C0D">
              <w:t>Høgare</w:t>
            </w:r>
            <w:proofErr w:type="spellEnd"/>
            <w:r w:rsidRPr="00580C0D">
              <w:t xml:space="preserve"> straff for barn som er involverte i gjenteken kriminalitet</w:t>
            </w:r>
          </w:p>
        </w:tc>
        <w:tc>
          <w:tcPr>
            <w:tcW w:w="1980" w:type="dxa"/>
            <w:tcBorders>
              <w:top w:val="nil"/>
              <w:left w:val="nil"/>
              <w:bottom w:val="nil"/>
              <w:right w:val="nil"/>
            </w:tcBorders>
            <w:tcMar>
              <w:top w:w="128" w:type="dxa"/>
              <w:left w:w="43" w:type="dxa"/>
              <w:bottom w:w="43" w:type="dxa"/>
              <w:right w:w="43" w:type="dxa"/>
            </w:tcMar>
          </w:tcPr>
          <w:p w14:paraId="5E814113" w14:textId="77777777" w:rsidR="00F7113A" w:rsidRPr="00580C0D" w:rsidRDefault="00142E5B" w:rsidP="001231A3">
            <w:pPr>
              <w:jc w:val="right"/>
            </w:pPr>
            <w:r w:rsidRPr="00580C0D">
              <w:t xml:space="preserve">Nei </w:t>
            </w:r>
          </w:p>
        </w:tc>
      </w:tr>
      <w:tr w:rsidR="00F7113A" w:rsidRPr="00580C0D" w14:paraId="28CABDD7"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66A79C54"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472526D8" w14:textId="77777777" w:rsidR="00F7113A" w:rsidRPr="00580C0D" w:rsidRDefault="00142E5B" w:rsidP="001231A3">
            <w:pPr>
              <w:ind w:right="284"/>
              <w:jc w:val="right"/>
            </w:pPr>
            <w:r w:rsidRPr="00580C0D">
              <w:t>446</w:t>
            </w:r>
          </w:p>
        </w:tc>
        <w:tc>
          <w:tcPr>
            <w:tcW w:w="5040" w:type="dxa"/>
            <w:tcBorders>
              <w:top w:val="nil"/>
              <w:left w:val="nil"/>
              <w:bottom w:val="nil"/>
              <w:right w:val="nil"/>
            </w:tcBorders>
            <w:tcMar>
              <w:top w:w="128" w:type="dxa"/>
              <w:left w:w="43" w:type="dxa"/>
              <w:bottom w:w="43" w:type="dxa"/>
              <w:right w:w="43" w:type="dxa"/>
            </w:tcMar>
          </w:tcPr>
          <w:p w14:paraId="77500E9F" w14:textId="77777777" w:rsidR="00F7113A" w:rsidRPr="00580C0D" w:rsidRDefault="00142E5B" w:rsidP="001231A3">
            <w:r w:rsidRPr="00580C0D">
              <w:t xml:space="preserve">Tiltak for å </w:t>
            </w:r>
            <w:proofErr w:type="spellStart"/>
            <w:r w:rsidRPr="00580C0D">
              <w:t>auke</w:t>
            </w:r>
            <w:proofErr w:type="spellEnd"/>
            <w:r w:rsidRPr="00580C0D">
              <w:t xml:space="preserve"> </w:t>
            </w:r>
            <w:proofErr w:type="spellStart"/>
            <w:r w:rsidRPr="00580C0D">
              <w:t>talet</w:t>
            </w:r>
            <w:proofErr w:type="spellEnd"/>
            <w:r w:rsidRPr="00580C0D">
              <w:t xml:space="preserve"> på </w:t>
            </w:r>
            <w:proofErr w:type="spellStart"/>
            <w:r w:rsidRPr="00580C0D">
              <w:t>inndragingar</w:t>
            </w:r>
            <w:proofErr w:type="spellEnd"/>
          </w:p>
        </w:tc>
        <w:tc>
          <w:tcPr>
            <w:tcW w:w="1980" w:type="dxa"/>
            <w:tcBorders>
              <w:top w:val="nil"/>
              <w:left w:val="nil"/>
              <w:bottom w:val="nil"/>
              <w:right w:val="nil"/>
            </w:tcBorders>
            <w:tcMar>
              <w:top w:w="128" w:type="dxa"/>
              <w:left w:w="43" w:type="dxa"/>
              <w:bottom w:w="43" w:type="dxa"/>
              <w:right w:w="43" w:type="dxa"/>
            </w:tcMar>
          </w:tcPr>
          <w:p w14:paraId="554DE804" w14:textId="77777777" w:rsidR="00F7113A" w:rsidRPr="00580C0D" w:rsidRDefault="00142E5B" w:rsidP="001231A3">
            <w:pPr>
              <w:jc w:val="right"/>
            </w:pPr>
            <w:r w:rsidRPr="00580C0D">
              <w:t>Nei</w:t>
            </w:r>
          </w:p>
        </w:tc>
      </w:tr>
      <w:tr w:rsidR="00F7113A" w:rsidRPr="00580C0D" w14:paraId="78255041"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04E1B986"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62970A0B" w14:textId="77777777" w:rsidR="00F7113A" w:rsidRPr="00580C0D" w:rsidRDefault="00142E5B" w:rsidP="001231A3">
            <w:pPr>
              <w:ind w:right="284"/>
              <w:jc w:val="right"/>
            </w:pPr>
            <w:r w:rsidRPr="00580C0D">
              <w:t>447</w:t>
            </w:r>
          </w:p>
        </w:tc>
        <w:tc>
          <w:tcPr>
            <w:tcW w:w="5040" w:type="dxa"/>
            <w:tcBorders>
              <w:top w:val="nil"/>
              <w:left w:val="nil"/>
              <w:bottom w:val="nil"/>
              <w:right w:val="nil"/>
            </w:tcBorders>
            <w:tcMar>
              <w:top w:w="128" w:type="dxa"/>
              <w:left w:w="43" w:type="dxa"/>
              <w:bottom w:w="43" w:type="dxa"/>
              <w:right w:w="43" w:type="dxa"/>
            </w:tcMar>
          </w:tcPr>
          <w:p w14:paraId="576922F5" w14:textId="77777777" w:rsidR="00F7113A" w:rsidRPr="00580C0D" w:rsidRDefault="00142E5B" w:rsidP="001231A3">
            <w:r w:rsidRPr="00580C0D">
              <w:t xml:space="preserve">Besøks- og </w:t>
            </w:r>
            <w:proofErr w:type="spellStart"/>
            <w:r w:rsidRPr="00580C0D">
              <w:t>opphaldsforbod</w:t>
            </w:r>
            <w:proofErr w:type="spellEnd"/>
          </w:p>
        </w:tc>
        <w:tc>
          <w:tcPr>
            <w:tcW w:w="1980" w:type="dxa"/>
            <w:tcBorders>
              <w:top w:val="nil"/>
              <w:left w:val="nil"/>
              <w:bottom w:val="nil"/>
              <w:right w:val="nil"/>
            </w:tcBorders>
            <w:tcMar>
              <w:top w:w="128" w:type="dxa"/>
              <w:left w:w="43" w:type="dxa"/>
              <w:bottom w:w="43" w:type="dxa"/>
              <w:right w:w="43" w:type="dxa"/>
            </w:tcMar>
          </w:tcPr>
          <w:p w14:paraId="776EFE79" w14:textId="77777777" w:rsidR="00F7113A" w:rsidRPr="00580C0D" w:rsidRDefault="00142E5B" w:rsidP="001231A3">
            <w:pPr>
              <w:jc w:val="right"/>
            </w:pPr>
            <w:r w:rsidRPr="00580C0D">
              <w:t>Ja</w:t>
            </w:r>
          </w:p>
        </w:tc>
      </w:tr>
      <w:tr w:rsidR="00F7113A" w:rsidRPr="00580C0D" w14:paraId="11387003"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4A84C7D2"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62F2A704" w14:textId="77777777" w:rsidR="00F7113A" w:rsidRPr="00580C0D" w:rsidRDefault="00142E5B" w:rsidP="001231A3">
            <w:pPr>
              <w:ind w:right="284"/>
              <w:jc w:val="right"/>
            </w:pPr>
            <w:r w:rsidRPr="00580C0D">
              <w:t>627</w:t>
            </w:r>
          </w:p>
        </w:tc>
        <w:tc>
          <w:tcPr>
            <w:tcW w:w="5040" w:type="dxa"/>
            <w:tcBorders>
              <w:top w:val="nil"/>
              <w:left w:val="nil"/>
              <w:bottom w:val="nil"/>
              <w:right w:val="nil"/>
            </w:tcBorders>
            <w:tcMar>
              <w:top w:w="128" w:type="dxa"/>
              <w:left w:w="43" w:type="dxa"/>
              <w:bottom w:w="43" w:type="dxa"/>
              <w:right w:w="43" w:type="dxa"/>
            </w:tcMar>
          </w:tcPr>
          <w:p w14:paraId="11FE3B98" w14:textId="77777777" w:rsidR="00F7113A" w:rsidRPr="00580C0D" w:rsidRDefault="00142E5B" w:rsidP="001231A3">
            <w:r w:rsidRPr="00580C0D">
              <w:t>Fornyingsordning for barneomsorgsattest</w:t>
            </w:r>
          </w:p>
        </w:tc>
        <w:tc>
          <w:tcPr>
            <w:tcW w:w="1980" w:type="dxa"/>
            <w:tcBorders>
              <w:top w:val="nil"/>
              <w:left w:val="nil"/>
              <w:bottom w:val="nil"/>
              <w:right w:val="nil"/>
            </w:tcBorders>
            <w:tcMar>
              <w:top w:w="128" w:type="dxa"/>
              <w:left w:w="43" w:type="dxa"/>
              <w:bottom w:w="43" w:type="dxa"/>
              <w:right w:w="43" w:type="dxa"/>
            </w:tcMar>
          </w:tcPr>
          <w:p w14:paraId="6140E25A" w14:textId="77777777" w:rsidR="00F7113A" w:rsidRPr="00580C0D" w:rsidRDefault="00142E5B" w:rsidP="001231A3">
            <w:pPr>
              <w:jc w:val="right"/>
            </w:pPr>
            <w:r w:rsidRPr="00580C0D">
              <w:t>Nei</w:t>
            </w:r>
          </w:p>
        </w:tc>
      </w:tr>
      <w:tr w:rsidR="00F7113A" w:rsidRPr="00580C0D" w14:paraId="0C92EB7F"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3D2DEA59"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25842835" w14:textId="77777777" w:rsidR="00F7113A" w:rsidRPr="00580C0D" w:rsidRDefault="00142E5B" w:rsidP="001231A3">
            <w:pPr>
              <w:ind w:right="284"/>
              <w:jc w:val="right"/>
            </w:pPr>
            <w:r w:rsidRPr="00580C0D">
              <w:t>628</w:t>
            </w:r>
          </w:p>
        </w:tc>
        <w:tc>
          <w:tcPr>
            <w:tcW w:w="5040" w:type="dxa"/>
            <w:tcBorders>
              <w:top w:val="nil"/>
              <w:left w:val="nil"/>
              <w:bottom w:val="nil"/>
              <w:right w:val="nil"/>
            </w:tcBorders>
            <w:tcMar>
              <w:top w:w="128" w:type="dxa"/>
              <w:left w:w="43" w:type="dxa"/>
              <w:bottom w:w="43" w:type="dxa"/>
              <w:right w:w="43" w:type="dxa"/>
            </w:tcMar>
          </w:tcPr>
          <w:p w14:paraId="5A0744DB" w14:textId="77777777" w:rsidR="00F7113A" w:rsidRPr="00580C0D" w:rsidRDefault="00142E5B" w:rsidP="001231A3">
            <w:r w:rsidRPr="00580C0D">
              <w:t xml:space="preserve">Gjennomgang av barneomsorgsattestordninga </w:t>
            </w:r>
          </w:p>
        </w:tc>
        <w:tc>
          <w:tcPr>
            <w:tcW w:w="1980" w:type="dxa"/>
            <w:tcBorders>
              <w:top w:val="nil"/>
              <w:left w:val="nil"/>
              <w:bottom w:val="nil"/>
              <w:right w:val="nil"/>
            </w:tcBorders>
            <w:tcMar>
              <w:top w:w="128" w:type="dxa"/>
              <w:left w:w="43" w:type="dxa"/>
              <w:bottom w:w="43" w:type="dxa"/>
              <w:right w:w="43" w:type="dxa"/>
            </w:tcMar>
          </w:tcPr>
          <w:p w14:paraId="63E969F6" w14:textId="77777777" w:rsidR="00F7113A" w:rsidRPr="00580C0D" w:rsidRDefault="00142E5B" w:rsidP="001231A3">
            <w:pPr>
              <w:jc w:val="right"/>
            </w:pPr>
            <w:r w:rsidRPr="00580C0D">
              <w:t>Nei</w:t>
            </w:r>
          </w:p>
        </w:tc>
      </w:tr>
      <w:tr w:rsidR="00F7113A" w:rsidRPr="00580C0D" w14:paraId="1BD278E1"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B61148A"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565DF52E" w14:textId="77777777" w:rsidR="00F7113A" w:rsidRPr="00580C0D" w:rsidRDefault="00142E5B" w:rsidP="001231A3">
            <w:pPr>
              <w:ind w:right="284"/>
              <w:jc w:val="right"/>
            </w:pPr>
            <w:r w:rsidRPr="00580C0D">
              <w:t>681</w:t>
            </w:r>
          </w:p>
        </w:tc>
        <w:tc>
          <w:tcPr>
            <w:tcW w:w="5040" w:type="dxa"/>
            <w:tcBorders>
              <w:top w:val="nil"/>
              <w:left w:val="nil"/>
              <w:bottom w:val="nil"/>
              <w:right w:val="nil"/>
            </w:tcBorders>
            <w:tcMar>
              <w:top w:w="128" w:type="dxa"/>
              <w:left w:w="43" w:type="dxa"/>
              <w:bottom w:w="43" w:type="dxa"/>
              <w:right w:w="43" w:type="dxa"/>
            </w:tcMar>
          </w:tcPr>
          <w:p w14:paraId="6D93DA12" w14:textId="77777777" w:rsidR="00F7113A" w:rsidRPr="00580C0D" w:rsidRDefault="00142E5B" w:rsidP="001231A3">
            <w:r w:rsidRPr="00580C0D">
              <w:t xml:space="preserve">Oppretting av </w:t>
            </w:r>
            <w:proofErr w:type="spellStart"/>
            <w:r w:rsidRPr="00580C0D">
              <w:t>eit</w:t>
            </w:r>
            <w:proofErr w:type="spellEnd"/>
            <w:r w:rsidRPr="00580C0D">
              <w:t xml:space="preserve"> nasjonalt våpenregister</w:t>
            </w:r>
          </w:p>
        </w:tc>
        <w:tc>
          <w:tcPr>
            <w:tcW w:w="1980" w:type="dxa"/>
            <w:tcBorders>
              <w:top w:val="nil"/>
              <w:left w:val="nil"/>
              <w:bottom w:val="nil"/>
              <w:right w:val="nil"/>
            </w:tcBorders>
            <w:tcMar>
              <w:top w:w="128" w:type="dxa"/>
              <w:left w:w="43" w:type="dxa"/>
              <w:bottom w:w="43" w:type="dxa"/>
              <w:right w:w="43" w:type="dxa"/>
            </w:tcMar>
          </w:tcPr>
          <w:p w14:paraId="5C21E81D" w14:textId="77777777" w:rsidR="00F7113A" w:rsidRPr="00580C0D" w:rsidRDefault="00142E5B" w:rsidP="001231A3">
            <w:pPr>
              <w:jc w:val="right"/>
            </w:pPr>
            <w:r w:rsidRPr="00580C0D">
              <w:t>Nei</w:t>
            </w:r>
          </w:p>
        </w:tc>
      </w:tr>
      <w:tr w:rsidR="00F7113A" w:rsidRPr="00580C0D" w14:paraId="049EEFA5"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4740921"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228F3C70" w14:textId="77777777" w:rsidR="00F7113A" w:rsidRPr="00580C0D" w:rsidRDefault="00142E5B" w:rsidP="001231A3">
            <w:pPr>
              <w:ind w:right="284"/>
              <w:jc w:val="right"/>
            </w:pPr>
            <w:r w:rsidRPr="00580C0D">
              <w:t>682</w:t>
            </w:r>
          </w:p>
        </w:tc>
        <w:tc>
          <w:tcPr>
            <w:tcW w:w="5040" w:type="dxa"/>
            <w:tcBorders>
              <w:top w:val="nil"/>
              <w:left w:val="nil"/>
              <w:bottom w:val="nil"/>
              <w:right w:val="nil"/>
            </w:tcBorders>
            <w:tcMar>
              <w:top w:w="128" w:type="dxa"/>
              <w:left w:w="43" w:type="dxa"/>
              <w:bottom w:w="43" w:type="dxa"/>
              <w:right w:w="43" w:type="dxa"/>
            </w:tcMar>
          </w:tcPr>
          <w:p w14:paraId="6C0E5B7E" w14:textId="77777777" w:rsidR="00F7113A" w:rsidRPr="00580C0D" w:rsidRDefault="00142E5B" w:rsidP="001231A3">
            <w:r w:rsidRPr="00580C0D">
              <w:t xml:space="preserve">Identitetsskjerming for </w:t>
            </w:r>
            <w:proofErr w:type="spellStart"/>
            <w:r w:rsidRPr="00580C0D">
              <w:t>polititilsette</w:t>
            </w:r>
            <w:proofErr w:type="spellEnd"/>
          </w:p>
        </w:tc>
        <w:tc>
          <w:tcPr>
            <w:tcW w:w="1980" w:type="dxa"/>
            <w:tcBorders>
              <w:top w:val="nil"/>
              <w:left w:val="nil"/>
              <w:bottom w:val="nil"/>
              <w:right w:val="nil"/>
            </w:tcBorders>
            <w:tcMar>
              <w:top w:w="128" w:type="dxa"/>
              <w:left w:w="43" w:type="dxa"/>
              <w:bottom w:w="43" w:type="dxa"/>
              <w:right w:w="43" w:type="dxa"/>
            </w:tcMar>
          </w:tcPr>
          <w:p w14:paraId="7DD8E38F" w14:textId="77777777" w:rsidR="00F7113A" w:rsidRPr="00580C0D" w:rsidRDefault="00142E5B" w:rsidP="001231A3">
            <w:pPr>
              <w:jc w:val="right"/>
            </w:pPr>
            <w:r w:rsidRPr="00580C0D">
              <w:t>Nei</w:t>
            </w:r>
          </w:p>
        </w:tc>
      </w:tr>
      <w:tr w:rsidR="00F7113A" w:rsidRPr="00580C0D" w14:paraId="1ACE2C62"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605C48CF"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4F620C0F" w14:textId="77777777" w:rsidR="00F7113A" w:rsidRPr="00580C0D" w:rsidRDefault="00142E5B" w:rsidP="001231A3">
            <w:pPr>
              <w:ind w:right="284"/>
              <w:jc w:val="right"/>
            </w:pPr>
            <w:r w:rsidRPr="00580C0D">
              <w:t>712</w:t>
            </w:r>
          </w:p>
        </w:tc>
        <w:tc>
          <w:tcPr>
            <w:tcW w:w="5040" w:type="dxa"/>
            <w:tcBorders>
              <w:top w:val="nil"/>
              <w:left w:val="nil"/>
              <w:bottom w:val="nil"/>
              <w:right w:val="nil"/>
            </w:tcBorders>
            <w:tcMar>
              <w:top w:w="128" w:type="dxa"/>
              <w:left w:w="43" w:type="dxa"/>
              <w:bottom w:w="43" w:type="dxa"/>
              <w:right w:w="43" w:type="dxa"/>
            </w:tcMar>
          </w:tcPr>
          <w:p w14:paraId="7F7573A3" w14:textId="77777777" w:rsidR="00F7113A" w:rsidRPr="00580C0D" w:rsidRDefault="00142E5B" w:rsidP="001231A3">
            <w:r w:rsidRPr="00580C0D">
              <w:t>Straff for å tvinge barn til utlandet</w:t>
            </w:r>
          </w:p>
        </w:tc>
        <w:tc>
          <w:tcPr>
            <w:tcW w:w="1980" w:type="dxa"/>
            <w:tcBorders>
              <w:top w:val="nil"/>
              <w:left w:val="nil"/>
              <w:bottom w:val="nil"/>
              <w:right w:val="nil"/>
            </w:tcBorders>
            <w:tcMar>
              <w:top w:w="128" w:type="dxa"/>
              <w:left w:w="43" w:type="dxa"/>
              <w:bottom w:w="43" w:type="dxa"/>
              <w:right w:w="43" w:type="dxa"/>
            </w:tcMar>
          </w:tcPr>
          <w:p w14:paraId="57E22C66" w14:textId="77777777" w:rsidR="00F7113A" w:rsidRPr="00580C0D" w:rsidRDefault="00142E5B" w:rsidP="001231A3">
            <w:pPr>
              <w:jc w:val="right"/>
            </w:pPr>
            <w:r w:rsidRPr="00580C0D">
              <w:t>Nei</w:t>
            </w:r>
          </w:p>
        </w:tc>
      </w:tr>
      <w:tr w:rsidR="00F7113A" w:rsidRPr="00580C0D" w14:paraId="07B23010"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2897195"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DD753FF" w14:textId="77777777" w:rsidR="00F7113A" w:rsidRPr="00580C0D" w:rsidRDefault="00142E5B" w:rsidP="001231A3">
            <w:pPr>
              <w:ind w:right="284"/>
              <w:jc w:val="right"/>
            </w:pPr>
            <w:r w:rsidRPr="00580C0D">
              <w:t>729</w:t>
            </w:r>
          </w:p>
        </w:tc>
        <w:tc>
          <w:tcPr>
            <w:tcW w:w="5040" w:type="dxa"/>
            <w:tcBorders>
              <w:top w:val="nil"/>
              <w:left w:val="nil"/>
              <w:bottom w:val="nil"/>
              <w:right w:val="nil"/>
            </w:tcBorders>
            <w:tcMar>
              <w:top w:w="128" w:type="dxa"/>
              <w:left w:w="43" w:type="dxa"/>
              <w:bottom w:w="43" w:type="dxa"/>
              <w:right w:w="43" w:type="dxa"/>
            </w:tcMar>
          </w:tcPr>
          <w:p w14:paraId="68BE22A5" w14:textId="77777777" w:rsidR="00F7113A" w:rsidRPr="00580C0D" w:rsidRDefault="00142E5B" w:rsidP="001231A3">
            <w:r w:rsidRPr="00580C0D">
              <w:t>Nasjonal langtidsplan for beredskap</w:t>
            </w:r>
          </w:p>
        </w:tc>
        <w:tc>
          <w:tcPr>
            <w:tcW w:w="1980" w:type="dxa"/>
            <w:tcBorders>
              <w:top w:val="nil"/>
              <w:left w:val="nil"/>
              <w:bottom w:val="nil"/>
              <w:right w:val="nil"/>
            </w:tcBorders>
            <w:tcMar>
              <w:top w:w="128" w:type="dxa"/>
              <w:left w:w="43" w:type="dxa"/>
              <w:bottom w:w="43" w:type="dxa"/>
              <w:right w:w="43" w:type="dxa"/>
            </w:tcMar>
          </w:tcPr>
          <w:p w14:paraId="6143F8F1" w14:textId="77777777" w:rsidR="00F7113A" w:rsidRPr="00580C0D" w:rsidRDefault="00142E5B" w:rsidP="001231A3">
            <w:pPr>
              <w:jc w:val="right"/>
            </w:pPr>
            <w:r w:rsidRPr="00580C0D">
              <w:t>Nei</w:t>
            </w:r>
          </w:p>
        </w:tc>
      </w:tr>
      <w:tr w:rsidR="00F7113A" w:rsidRPr="00580C0D" w14:paraId="68A397CA"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9EA889D"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587CEB9" w14:textId="77777777" w:rsidR="00F7113A" w:rsidRPr="00580C0D" w:rsidRDefault="00142E5B" w:rsidP="001231A3">
            <w:pPr>
              <w:ind w:right="284"/>
              <w:jc w:val="right"/>
            </w:pPr>
            <w:r w:rsidRPr="00580C0D">
              <w:t>730</w:t>
            </w:r>
          </w:p>
        </w:tc>
        <w:tc>
          <w:tcPr>
            <w:tcW w:w="5040" w:type="dxa"/>
            <w:tcBorders>
              <w:top w:val="nil"/>
              <w:left w:val="nil"/>
              <w:bottom w:val="nil"/>
              <w:right w:val="nil"/>
            </w:tcBorders>
            <w:tcMar>
              <w:top w:w="128" w:type="dxa"/>
              <w:left w:w="43" w:type="dxa"/>
              <w:bottom w:w="43" w:type="dxa"/>
              <w:right w:w="43" w:type="dxa"/>
            </w:tcMar>
          </w:tcPr>
          <w:p w14:paraId="161240F6" w14:textId="77777777" w:rsidR="00F7113A" w:rsidRPr="00580C0D" w:rsidRDefault="00142E5B" w:rsidP="001231A3">
            <w:proofErr w:type="spellStart"/>
            <w:r w:rsidRPr="00580C0D">
              <w:t>Totalberedskapsutval</w:t>
            </w:r>
            <w:proofErr w:type="spellEnd"/>
          </w:p>
        </w:tc>
        <w:tc>
          <w:tcPr>
            <w:tcW w:w="1980" w:type="dxa"/>
            <w:tcBorders>
              <w:top w:val="nil"/>
              <w:left w:val="nil"/>
              <w:bottom w:val="nil"/>
              <w:right w:val="nil"/>
            </w:tcBorders>
            <w:tcMar>
              <w:top w:w="128" w:type="dxa"/>
              <w:left w:w="43" w:type="dxa"/>
              <w:bottom w:w="43" w:type="dxa"/>
              <w:right w:w="43" w:type="dxa"/>
            </w:tcMar>
          </w:tcPr>
          <w:p w14:paraId="5552E838" w14:textId="77777777" w:rsidR="00F7113A" w:rsidRPr="00580C0D" w:rsidRDefault="00142E5B" w:rsidP="001231A3">
            <w:pPr>
              <w:jc w:val="right"/>
            </w:pPr>
            <w:r w:rsidRPr="00580C0D">
              <w:t>Nei</w:t>
            </w:r>
          </w:p>
        </w:tc>
      </w:tr>
      <w:tr w:rsidR="00F7113A" w:rsidRPr="00580C0D" w14:paraId="6C1DFD79"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67030C5A"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7AFDCF14" w14:textId="77777777" w:rsidR="00F7113A" w:rsidRPr="00580C0D" w:rsidRDefault="00142E5B" w:rsidP="001231A3">
            <w:pPr>
              <w:ind w:right="284"/>
              <w:jc w:val="right"/>
            </w:pPr>
            <w:r w:rsidRPr="00580C0D">
              <w:t>739</w:t>
            </w:r>
          </w:p>
        </w:tc>
        <w:tc>
          <w:tcPr>
            <w:tcW w:w="5040" w:type="dxa"/>
            <w:tcBorders>
              <w:top w:val="nil"/>
              <w:left w:val="nil"/>
              <w:bottom w:val="nil"/>
              <w:right w:val="nil"/>
            </w:tcBorders>
            <w:tcMar>
              <w:top w:w="128" w:type="dxa"/>
              <w:left w:w="43" w:type="dxa"/>
              <w:bottom w:w="43" w:type="dxa"/>
              <w:right w:w="43" w:type="dxa"/>
            </w:tcMar>
          </w:tcPr>
          <w:p w14:paraId="75FE322A" w14:textId="77777777" w:rsidR="00F7113A" w:rsidRPr="00580C0D" w:rsidRDefault="00142E5B" w:rsidP="001231A3">
            <w:r w:rsidRPr="00580C0D">
              <w:t xml:space="preserve">Nordisk samarbeid </w:t>
            </w:r>
            <w:proofErr w:type="spellStart"/>
            <w:r w:rsidRPr="00580C0D">
              <w:t>innan</w:t>
            </w:r>
            <w:proofErr w:type="spellEnd"/>
            <w:r w:rsidRPr="00580C0D">
              <w:t xml:space="preserve"> samfunnstryggleik</w:t>
            </w:r>
          </w:p>
        </w:tc>
        <w:tc>
          <w:tcPr>
            <w:tcW w:w="1980" w:type="dxa"/>
            <w:tcBorders>
              <w:top w:val="nil"/>
              <w:left w:val="nil"/>
              <w:bottom w:val="nil"/>
              <w:right w:val="nil"/>
            </w:tcBorders>
            <w:tcMar>
              <w:top w:w="128" w:type="dxa"/>
              <w:left w:w="43" w:type="dxa"/>
              <w:bottom w:w="43" w:type="dxa"/>
              <w:right w:w="43" w:type="dxa"/>
            </w:tcMar>
          </w:tcPr>
          <w:p w14:paraId="33D777DC" w14:textId="77777777" w:rsidR="00F7113A" w:rsidRPr="00580C0D" w:rsidRDefault="00142E5B" w:rsidP="001231A3">
            <w:pPr>
              <w:jc w:val="right"/>
            </w:pPr>
            <w:r w:rsidRPr="00580C0D">
              <w:t>Nei</w:t>
            </w:r>
          </w:p>
        </w:tc>
      </w:tr>
      <w:tr w:rsidR="00F7113A" w:rsidRPr="00580C0D" w14:paraId="0B32491A"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59200E5"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5D39276F" w14:textId="77777777" w:rsidR="00F7113A" w:rsidRPr="00580C0D" w:rsidRDefault="00142E5B" w:rsidP="001231A3">
            <w:pPr>
              <w:ind w:right="284"/>
              <w:jc w:val="right"/>
            </w:pPr>
            <w:r w:rsidRPr="00580C0D">
              <w:t>742</w:t>
            </w:r>
          </w:p>
        </w:tc>
        <w:tc>
          <w:tcPr>
            <w:tcW w:w="5040" w:type="dxa"/>
            <w:tcBorders>
              <w:top w:val="nil"/>
              <w:left w:val="nil"/>
              <w:bottom w:val="nil"/>
              <w:right w:val="nil"/>
            </w:tcBorders>
            <w:tcMar>
              <w:top w:w="128" w:type="dxa"/>
              <w:left w:w="43" w:type="dxa"/>
              <w:bottom w:w="43" w:type="dxa"/>
              <w:right w:w="43" w:type="dxa"/>
            </w:tcMar>
          </w:tcPr>
          <w:p w14:paraId="74AAA9C8" w14:textId="77777777" w:rsidR="00F7113A" w:rsidRPr="00580C0D" w:rsidRDefault="00142E5B" w:rsidP="001231A3">
            <w:r w:rsidRPr="00580C0D">
              <w:t>Brann til sjøs</w:t>
            </w:r>
          </w:p>
        </w:tc>
        <w:tc>
          <w:tcPr>
            <w:tcW w:w="1980" w:type="dxa"/>
            <w:tcBorders>
              <w:top w:val="nil"/>
              <w:left w:val="nil"/>
              <w:bottom w:val="nil"/>
              <w:right w:val="nil"/>
            </w:tcBorders>
            <w:tcMar>
              <w:top w:w="128" w:type="dxa"/>
              <w:left w:w="43" w:type="dxa"/>
              <w:bottom w:w="43" w:type="dxa"/>
              <w:right w:w="43" w:type="dxa"/>
            </w:tcMar>
          </w:tcPr>
          <w:p w14:paraId="52406367" w14:textId="77777777" w:rsidR="00F7113A" w:rsidRPr="00580C0D" w:rsidRDefault="00142E5B" w:rsidP="001231A3">
            <w:pPr>
              <w:jc w:val="right"/>
            </w:pPr>
            <w:r w:rsidRPr="00580C0D">
              <w:t>Nei</w:t>
            </w:r>
          </w:p>
        </w:tc>
      </w:tr>
      <w:tr w:rsidR="00F7113A" w:rsidRPr="00580C0D" w14:paraId="7010C110"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232B2664"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496C89CB" w14:textId="77777777" w:rsidR="00F7113A" w:rsidRPr="00580C0D" w:rsidRDefault="00142E5B" w:rsidP="001231A3">
            <w:pPr>
              <w:ind w:right="284"/>
              <w:jc w:val="right"/>
            </w:pPr>
            <w:r w:rsidRPr="00580C0D">
              <w:t>743</w:t>
            </w:r>
          </w:p>
        </w:tc>
        <w:tc>
          <w:tcPr>
            <w:tcW w:w="5040" w:type="dxa"/>
            <w:tcBorders>
              <w:top w:val="nil"/>
              <w:left w:val="nil"/>
              <w:bottom w:val="nil"/>
              <w:right w:val="nil"/>
            </w:tcBorders>
            <w:tcMar>
              <w:top w:w="128" w:type="dxa"/>
              <w:left w:w="43" w:type="dxa"/>
              <w:bottom w:w="43" w:type="dxa"/>
              <w:right w:w="43" w:type="dxa"/>
            </w:tcMar>
          </w:tcPr>
          <w:p w14:paraId="63EF04D0" w14:textId="77777777" w:rsidR="00F7113A" w:rsidRPr="00580C0D" w:rsidRDefault="00142E5B" w:rsidP="001231A3">
            <w:r w:rsidRPr="00580C0D">
              <w:t>Tilfluktsrom</w:t>
            </w:r>
          </w:p>
        </w:tc>
        <w:tc>
          <w:tcPr>
            <w:tcW w:w="1980" w:type="dxa"/>
            <w:tcBorders>
              <w:top w:val="nil"/>
              <w:left w:val="nil"/>
              <w:bottom w:val="nil"/>
              <w:right w:val="nil"/>
            </w:tcBorders>
            <w:tcMar>
              <w:top w:w="128" w:type="dxa"/>
              <w:left w:w="43" w:type="dxa"/>
              <w:bottom w:w="43" w:type="dxa"/>
              <w:right w:w="43" w:type="dxa"/>
            </w:tcMar>
          </w:tcPr>
          <w:p w14:paraId="6398981F" w14:textId="77777777" w:rsidR="00F7113A" w:rsidRPr="00580C0D" w:rsidRDefault="00142E5B" w:rsidP="001231A3">
            <w:pPr>
              <w:jc w:val="right"/>
            </w:pPr>
            <w:r w:rsidRPr="00580C0D">
              <w:t>Nei</w:t>
            </w:r>
          </w:p>
        </w:tc>
      </w:tr>
      <w:tr w:rsidR="00F7113A" w:rsidRPr="00580C0D" w14:paraId="1165A2EA"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4DCB80EB"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31D85D3" w14:textId="77777777" w:rsidR="00F7113A" w:rsidRPr="00580C0D" w:rsidRDefault="00142E5B" w:rsidP="001231A3">
            <w:pPr>
              <w:ind w:right="284"/>
              <w:jc w:val="right"/>
            </w:pPr>
            <w:r w:rsidRPr="00580C0D">
              <w:t>799</w:t>
            </w:r>
          </w:p>
        </w:tc>
        <w:tc>
          <w:tcPr>
            <w:tcW w:w="5040" w:type="dxa"/>
            <w:tcBorders>
              <w:top w:val="nil"/>
              <w:left w:val="nil"/>
              <w:bottom w:val="nil"/>
              <w:right w:val="nil"/>
            </w:tcBorders>
            <w:tcMar>
              <w:top w:w="128" w:type="dxa"/>
              <w:left w:w="43" w:type="dxa"/>
              <w:bottom w:w="43" w:type="dxa"/>
              <w:right w:w="43" w:type="dxa"/>
            </w:tcMar>
          </w:tcPr>
          <w:p w14:paraId="6EA3A9F2" w14:textId="77777777" w:rsidR="00F7113A" w:rsidRPr="00580C0D" w:rsidRDefault="00142E5B" w:rsidP="001231A3">
            <w:r w:rsidRPr="00580C0D">
              <w:t>ADR-kontroll</w:t>
            </w:r>
          </w:p>
        </w:tc>
        <w:tc>
          <w:tcPr>
            <w:tcW w:w="1980" w:type="dxa"/>
            <w:tcBorders>
              <w:top w:val="nil"/>
              <w:left w:val="nil"/>
              <w:bottom w:val="nil"/>
              <w:right w:val="nil"/>
            </w:tcBorders>
            <w:tcMar>
              <w:top w:w="128" w:type="dxa"/>
              <w:left w:w="43" w:type="dxa"/>
              <w:bottom w:w="43" w:type="dxa"/>
              <w:right w:w="43" w:type="dxa"/>
            </w:tcMar>
          </w:tcPr>
          <w:p w14:paraId="17BB8EE5" w14:textId="77777777" w:rsidR="00F7113A" w:rsidRPr="00580C0D" w:rsidRDefault="00142E5B" w:rsidP="001231A3">
            <w:pPr>
              <w:jc w:val="right"/>
            </w:pPr>
            <w:r w:rsidRPr="00580C0D">
              <w:t>Nei</w:t>
            </w:r>
          </w:p>
        </w:tc>
      </w:tr>
      <w:tr w:rsidR="00F7113A" w:rsidRPr="00580C0D" w14:paraId="409EF152"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03279592"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20A1BC1C" w14:textId="77777777" w:rsidR="00F7113A" w:rsidRPr="00580C0D" w:rsidRDefault="00142E5B" w:rsidP="001231A3">
            <w:pPr>
              <w:ind w:right="284"/>
              <w:jc w:val="right"/>
            </w:pPr>
            <w:r w:rsidRPr="00580C0D">
              <w:t>814</w:t>
            </w:r>
          </w:p>
        </w:tc>
        <w:tc>
          <w:tcPr>
            <w:tcW w:w="5040" w:type="dxa"/>
            <w:tcBorders>
              <w:top w:val="nil"/>
              <w:left w:val="nil"/>
              <w:bottom w:val="nil"/>
              <w:right w:val="nil"/>
            </w:tcBorders>
            <w:tcMar>
              <w:top w:w="128" w:type="dxa"/>
              <w:left w:w="43" w:type="dxa"/>
              <w:bottom w:w="43" w:type="dxa"/>
              <w:right w:w="43" w:type="dxa"/>
            </w:tcMar>
          </w:tcPr>
          <w:p w14:paraId="77BA4F3E" w14:textId="77777777" w:rsidR="00F7113A" w:rsidRPr="00580C0D" w:rsidRDefault="00142E5B" w:rsidP="001231A3">
            <w:r w:rsidRPr="00580C0D">
              <w:t xml:space="preserve">Nasjonalt </w:t>
            </w:r>
            <w:proofErr w:type="spellStart"/>
            <w:r w:rsidRPr="00580C0D">
              <w:t>eigarskap</w:t>
            </w:r>
            <w:proofErr w:type="spellEnd"/>
            <w:r w:rsidRPr="00580C0D">
              <w:t xml:space="preserve"> og kontroll</w:t>
            </w:r>
          </w:p>
        </w:tc>
        <w:tc>
          <w:tcPr>
            <w:tcW w:w="1980" w:type="dxa"/>
            <w:tcBorders>
              <w:top w:val="nil"/>
              <w:left w:val="nil"/>
              <w:bottom w:val="nil"/>
              <w:right w:val="nil"/>
            </w:tcBorders>
            <w:tcMar>
              <w:top w:w="128" w:type="dxa"/>
              <w:left w:w="43" w:type="dxa"/>
              <w:bottom w:w="43" w:type="dxa"/>
              <w:right w:w="43" w:type="dxa"/>
            </w:tcMar>
          </w:tcPr>
          <w:p w14:paraId="417F02E5" w14:textId="77777777" w:rsidR="00F7113A" w:rsidRPr="00580C0D" w:rsidRDefault="00142E5B" w:rsidP="001231A3">
            <w:pPr>
              <w:jc w:val="right"/>
            </w:pPr>
            <w:r w:rsidRPr="00580C0D">
              <w:t>Nei</w:t>
            </w:r>
          </w:p>
        </w:tc>
      </w:tr>
      <w:tr w:rsidR="00F7113A" w:rsidRPr="00580C0D" w14:paraId="759ABA24"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2C9CA05F"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0FC11E3A" w14:textId="77777777" w:rsidR="00F7113A" w:rsidRPr="00580C0D" w:rsidRDefault="00142E5B" w:rsidP="001231A3">
            <w:pPr>
              <w:ind w:right="284"/>
              <w:jc w:val="right"/>
            </w:pPr>
            <w:r w:rsidRPr="00580C0D">
              <w:t>848</w:t>
            </w:r>
          </w:p>
        </w:tc>
        <w:tc>
          <w:tcPr>
            <w:tcW w:w="5040" w:type="dxa"/>
            <w:tcBorders>
              <w:top w:val="nil"/>
              <w:left w:val="nil"/>
              <w:bottom w:val="nil"/>
              <w:right w:val="nil"/>
            </w:tcBorders>
            <w:tcMar>
              <w:top w:w="128" w:type="dxa"/>
              <w:left w:w="43" w:type="dxa"/>
              <w:bottom w:w="43" w:type="dxa"/>
              <w:right w:w="43" w:type="dxa"/>
            </w:tcMar>
          </w:tcPr>
          <w:p w14:paraId="7EB15602" w14:textId="77777777" w:rsidR="00F7113A" w:rsidRPr="00580C0D" w:rsidRDefault="00142E5B" w:rsidP="001231A3">
            <w:proofErr w:type="spellStart"/>
            <w:r w:rsidRPr="00580C0D">
              <w:t>Heilskapleg</w:t>
            </w:r>
            <w:proofErr w:type="spellEnd"/>
            <w:r w:rsidRPr="00580C0D">
              <w:t xml:space="preserve"> gjennomgang av </w:t>
            </w:r>
            <w:proofErr w:type="spellStart"/>
            <w:r w:rsidRPr="00580C0D">
              <w:t>verjemålsordninga</w:t>
            </w:r>
            <w:proofErr w:type="spellEnd"/>
          </w:p>
        </w:tc>
        <w:tc>
          <w:tcPr>
            <w:tcW w:w="1980" w:type="dxa"/>
            <w:tcBorders>
              <w:top w:val="nil"/>
              <w:left w:val="nil"/>
              <w:bottom w:val="nil"/>
              <w:right w:val="nil"/>
            </w:tcBorders>
            <w:tcMar>
              <w:top w:w="128" w:type="dxa"/>
              <w:left w:w="43" w:type="dxa"/>
              <w:bottom w:w="43" w:type="dxa"/>
              <w:right w:w="43" w:type="dxa"/>
            </w:tcMar>
          </w:tcPr>
          <w:p w14:paraId="743D7ABE" w14:textId="77777777" w:rsidR="00F7113A" w:rsidRPr="00580C0D" w:rsidRDefault="00142E5B" w:rsidP="001231A3">
            <w:pPr>
              <w:jc w:val="right"/>
            </w:pPr>
            <w:r w:rsidRPr="00580C0D">
              <w:t>Nei</w:t>
            </w:r>
          </w:p>
        </w:tc>
      </w:tr>
      <w:tr w:rsidR="00F7113A" w:rsidRPr="00580C0D" w14:paraId="55340258"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4BE3DF4E"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7FFA8049" w14:textId="77777777" w:rsidR="00F7113A" w:rsidRPr="00580C0D" w:rsidRDefault="00142E5B" w:rsidP="001231A3">
            <w:pPr>
              <w:ind w:right="284"/>
              <w:jc w:val="right"/>
            </w:pPr>
            <w:r w:rsidRPr="00580C0D">
              <w:t>928</w:t>
            </w:r>
          </w:p>
        </w:tc>
        <w:tc>
          <w:tcPr>
            <w:tcW w:w="5040" w:type="dxa"/>
            <w:tcBorders>
              <w:top w:val="nil"/>
              <w:left w:val="nil"/>
              <w:bottom w:val="nil"/>
              <w:right w:val="nil"/>
            </w:tcBorders>
            <w:tcMar>
              <w:top w:w="128" w:type="dxa"/>
              <w:left w:w="43" w:type="dxa"/>
              <w:bottom w:w="43" w:type="dxa"/>
              <w:right w:w="43" w:type="dxa"/>
            </w:tcMar>
          </w:tcPr>
          <w:p w14:paraId="48185F43" w14:textId="77777777" w:rsidR="00F7113A" w:rsidRPr="00580C0D" w:rsidRDefault="00142E5B" w:rsidP="001231A3">
            <w:proofErr w:type="spellStart"/>
            <w:r w:rsidRPr="00580C0D">
              <w:t>Lovendringar</w:t>
            </w:r>
            <w:proofErr w:type="spellEnd"/>
            <w:r w:rsidRPr="00580C0D">
              <w:t xml:space="preserve"> som </w:t>
            </w:r>
            <w:proofErr w:type="spellStart"/>
            <w:r w:rsidRPr="00580C0D">
              <w:t>følgje</w:t>
            </w:r>
            <w:proofErr w:type="spellEnd"/>
            <w:r w:rsidRPr="00580C0D">
              <w:t xml:space="preserve"> av ny </w:t>
            </w:r>
            <w:proofErr w:type="spellStart"/>
            <w:r w:rsidRPr="00580C0D">
              <w:t>sivilombodslov</w:t>
            </w:r>
            <w:proofErr w:type="spellEnd"/>
          </w:p>
        </w:tc>
        <w:tc>
          <w:tcPr>
            <w:tcW w:w="1980" w:type="dxa"/>
            <w:tcBorders>
              <w:top w:val="nil"/>
              <w:left w:val="nil"/>
              <w:bottom w:val="nil"/>
              <w:right w:val="nil"/>
            </w:tcBorders>
            <w:tcMar>
              <w:top w:w="128" w:type="dxa"/>
              <w:left w:w="43" w:type="dxa"/>
              <w:bottom w:w="43" w:type="dxa"/>
              <w:right w:w="43" w:type="dxa"/>
            </w:tcMar>
          </w:tcPr>
          <w:p w14:paraId="6A0B7929" w14:textId="77777777" w:rsidR="00F7113A" w:rsidRPr="00580C0D" w:rsidRDefault="00142E5B" w:rsidP="001231A3">
            <w:pPr>
              <w:jc w:val="right"/>
            </w:pPr>
            <w:r w:rsidRPr="00580C0D">
              <w:t>Ja</w:t>
            </w:r>
          </w:p>
        </w:tc>
      </w:tr>
      <w:tr w:rsidR="00F7113A" w:rsidRPr="00580C0D" w14:paraId="711FA0CE" w14:textId="77777777" w:rsidTr="001231A3">
        <w:trPr>
          <w:trHeight w:val="880"/>
        </w:trPr>
        <w:tc>
          <w:tcPr>
            <w:tcW w:w="1400" w:type="dxa"/>
            <w:tcBorders>
              <w:top w:val="nil"/>
              <w:left w:val="nil"/>
              <w:bottom w:val="nil"/>
              <w:right w:val="nil"/>
            </w:tcBorders>
            <w:tcMar>
              <w:top w:w="128" w:type="dxa"/>
              <w:left w:w="43" w:type="dxa"/>
              <w:bottom w:w="43" w:type="dxa"/>
              <w:right w:w="43" w:type="dxa"/>
            </w:tcMar>
          </w:tcPr>
          <w:p w14:paraId="474ACBC0"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B77602A" w14:textId="77777777" w:rsidR="00F7113A" w:rsidRPr="00580C0D" w:rsidRDefault="00142E5B" w:rsidP="001231A3">
            <w:pPr>
              <w:ind w:right="284"/>
              <w:jc w:val="right"/>
            </w:pPr>
            <w:r w:rsidRPr="00580C0D">
              <w:t>983</w:t>
            </w:r>
          </w:p>
        </w:tc>
        <w:tc>
          <w:tcPr>
            <w:tcW w:w="5040" w:type="dxa"/>
            <w:tcBorders>
              <w:top w:val="nil"/>
              <w:left w:val="nil"/>
              <w:bottom w:val="nil"/>
              <w:right w:val="nil"/>
            </w:tcBorders>
            <w:tcMar>
              <w:top w:w="128" w:type="dxa"/>
              <w:left w:w="43" w:type="dxa"/>
              <w:bottom w:w="43" w:type="dxa"/>
              <w:right w:w="43" w:type="dxa"/>
            </w:tcMar>
          </w:tcPr>
          <w:p w14:paraId="4DB0F5D0" w14:textId="77777777" w:rsidR="00F7113A" w:rsidRPr="00580C0D" w:rsidRDefault="00142E5B" w:rsidP="001231A3">
            <w:r w:rsidRPr="00580C0D">
              <w:t xml:space="preserve">Etablering av ny redningshelikopterbase i Tromsø og felles operasjon med </w:t>
            </w:r>
            <w:proofErr w:type="spellStart"/>
            <w:r w:rsidRPr="00580C0D">
              <w:t>helikoptertenesta</w:t>
            </w:r>
            <w:proofErr w:type="spellEnd"/>
            <w:r w:rsidRPr="00580C0D">
              <w:t xml:space="preserve"> til </w:t>
            </w:r>
            <w:proofErr w:type="spellStart"/>
            <w:r w:rsidRPr="00580C0D">
              <w:t>Sysselmeisteren</w:t>
            </w:r>
            <w:proofErr w:type="spellEnd"/>
          </w:p>
        </w:tc>
        <w:tc>
          <w:tcPr>
            <w:tcW w:w="1980" w:type="dxa"/>
            <w:tcBorders>
              <w:top w:val="nil"/>
              <w:left w:val="nil"/>
              <w:bottom w:val="nil"/>
              <w:right w:val="nil"/>
            </w:tcBorders>
            <w:tcMar>
              <w:top w:w="128" w:type="dxa"/>
              <w:left w:w="43" w:type="dxa"/>
              <w:bottom w:w="43" w:type="dxa"/>
              <w:right w:w="43" w:type="dxa"/>
            </w:tcMar>
          </w:tcPr>
          <w:p w14:paraId="18D2FC24" w14:textId="77777777" w:rsidR="00F7113A" w:rsidRPr="00580C0D" w:rsidRDefault="00142E5B" w:rsidP="001231A3">
            <w:pPr>
              <w:jc w:val="right"/>
            </w:pPr>
            <w:r w:rsidRPr="00580C0D">
              <w:t>Nei</w:t>
            </w:r>
          </w:p>
        </w:tc>
      </w:tr>
      <w:tr w:rsidR="00F7113A" w:rsidRPr="00580C0D" w14:paraId="170A8325" w14:textId="77777777" w:rsidTr="001231A3">
        <w:trPr>
          <w:trHeight w:val="880"/>
        </w:trPr>
        <w:tc>
          <w:tcPr>
            <w:tcW w:w="1400" w:type="dxa"/>
            <w:tcBorders>
              <w:top w:val="nil"/>
              <w:left w:val="nil"/>
              <w:bottom w:val="nil"/>
              <w:right w:val="nil"/>
            </w:tcBorders>
            <w:tcMar>
              <w:top w:w="128" w:type="dxa"/>
              <w:left w:w="43" w:type="dxa"/>
              <w:bottom w:w="43" w:type="dxa"/>
              <w:right w:w="43" w:type="dxa"/>
            </w:tcMar>
          </w:tcPr>
          <w:p w14:paraId="6568F3B9"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065AE7D6" w14:textId="77777777" w:rsidR="00F7113A" w:rsidRPr="00580C0D" w:rsidRDefault="00142E5B" w:rsidP="001231A3">
            <w:pPr>
              <w:ind w:right="284"/>
              <w:jc w:val="right"/>
            </w:pPr>
            <w:r w:rsidRPr="00580C0D">
              <w:t>1038</w:t>
            </w:r>
          </w:p>
        </w:tc>
        <w:tc>
          <w:tcPr>
            <w:tcW w:w="5040" w:type="dxa"/>
            <w:tcBorders>
              <w:top w:val="nil"/>
              <w:left w:val="nil"/>
              <w:bottom w:val="nil"/>
              <w:right w:val="nil"/>
            </w:tcBorders>
            <w:tcMar>
              <w:top w:w="128" w:type="dxa"/>
              <w:left w:w="43" w:type="dxa"/>
              <w:bottom w:w="43" w:type="dxa"/>
              <w:right w:w="43" w:type="dxa"/>
            </w:tcMar>
          </w:tcPr>
          <w:p w14:paraId="687CB83C" w14:textId="77777777" w:rsidR="00F7113A" w:rsidRPr="00580C0D" w:rsidRDefault="00142E5B" w:rsidP="001231A3">
            <w:r w:rsidRPr="00580C0D">
              <w:t xml:space="preserve">Kartlegging av </w:t>
            </w:r>
            <w:proofErr w:type="spellStart"/>
            <w:r w:rsidRPr="00580C0D">
              <w:t>tryggleikskompetanse</w:t>
            </w:r>
            <w:proofErr w:type="spellEnd"/>
            <w:r w:rsidRPr="00580C0D">
              <w:t xml:space="preserve">, gjennomgang av bruken av tryggingslova og evaluering av </w:t>
            </w:r>
            <w:proofErr w:type="spellStart"/>
            <w:r w:rsidRPr="00580C0D">
              <w:t>tryggleiksforståing</w:t>
            </w:r>
            <w:proofErr w:type="spellEnd"/>
          </w:p>
        </w:tc>
        <w:tc>
          <w:tcPr>
            <w:tcW w:w="1980" w:type="dxa"/>
            <w:tcBorders>
              <w:top w:val="nil"/>
              <w:left w:val="nil"/>
              <w:bottom w:val="nil"/>
              <w:right w:val="nil"/>
            </w:tcBorders>
            <w:tcMar>
              <w:top w:w="128" w:type="dxa"/>
              <w:left w:w="43" w:type="dxa"/>
              <w:bottom w:w="43" w:type="dxa"/>
              <w:right w:w="43" w:type="dxa"/>
            </w:tcMar>
          </w:tcPr>
          <w:p w14:paraId="13B4B82E" w14:textId="77777777" w:rsidR="00F7113A" w:rsidRPr="00580C0D" w:rsidRDefault="00142E5B" w:rsidP="001231A3">
            <w:pPr>
              <w:jc w:val="right"/>
            </w:pPr>
            <w:r w:rsidRPr="00580C0D">
              <w:t>Ja</w:t>
            </w:r>
          </w:p>
        </w:tc>
      </w:tr>
      <w:tr w:rsidR="00F7113A" w:rsidRPr="00580C0D" w14:paraId="5A1930C5" w14:textId="77777777" w:rsidTr="001231A3">
        <w:trPr>
          <w:trHeight w:val="880"/>
        </w:trPr>
        <w:tc>
          <w:tcPr>
            <w:tcW w:w="1400" w:type="dxa"/>
            <w:tcBorders>
              <w:top w:val="nil"/>
              <w:left w:val="nil"/>
              <w:bottom w:val="nil"/>
              <w:right w:val="nil"/>
            </w:tcBorders>
            <w:tcMar>
              <w:top w:w="128" w:type="dxa"/>
              <w:left w:w="43" w:type="dxa"/>
              <w:bottom w:w="43" w:type="dxa"/>
              <w:right w:w="43" w:type="dxa"/>
            </w:tcMar>
          </w:tcPr>
          <w:p w14:paraId="0955F265"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4140B8E6" w14:textId="77777777" w:rsidR="00F7113A" w:rsidRPr="00580C0D" w:rsidRDefault="00142E5B" w:rsidP="001231A3">
            <w:pPr>
              <w:ind w:right="284"/>
              <w:jc w:val="right"/>
            </w:pPr>
            <w:r w:rsidRPr="00580C0D">
              <w:t>1040</w:t>
            </w:r>
          </w:p>
        </w:tc>
        <w:tc>
          <w:tcPr>
            <w:tcW w:w="5040" w:type="dxa"/>
            <w:tcBorders>
              <w:top w:val="nil"/>
              <w:left w:val="nil"/>
              <w:bottom w:val="nil"/>
              <w:right w:val="nil"/>
            </w:tcBorders>
            <w:tcMar>
              <w:top w:w="128" w:type="dxa"/>
              <w:left w:w="43" w:type="dxa"/>
              <w:bottom w:w="43" w:type="dxa"/>
              <w:right w:w="43" w:type="dxa"/>
            </w:tcMar>
          </w:tcPr>
          <w:p w14:paraId="6B022FD6" w14:textId="77777777" w:rsidR="00F7113A" w:rsidRPr="00580C0D" w:rsidRDefault="00142E5B" w:rsidP="001231A3">
            <w:r w:rsidRPr="00580C0D">
              <w:t xml:space="preserve">Stortingsmelding om nasjonalt </w:t>
            </w:r>
            <w:proofErr w:type="spellStart"/>
            <w:r w:rsidRPr="00580C0D">
              <w:t>eigarskap</w:t>
            </w:r>
            <w:proofErr w:type="spellEnd"/>
            <w:r w:rsidRPr="00580C0D">
              <w:t xml:space="preserve"> og kontroll over strategisk viktige </w:t>
            </w:r>
            <w:proofErr w:type="spellStart"/>
            <w:r w:rsidRPr="00580C0D">
              <w:t>naturressursar</w:t>
            </w:r>
            <w:proofErr w:type="spellEnd"/>
            <w:r w:rsidRPr="00580C0D">
              <w:t xml:space="preserve">, bedrifter, </w:t>
            </w:r>
            <w:proofErr w:type="spellStart"/>
            <w:r w:rsidRPr="00580C0D">
              <w:t>infrastrukturar</w:t>
            </w:r>
            <w:proofErr w:type="spellEnd"/>
            <w:r w:rsidRPr="00580C0D">
              <w:t xml:space="preserve"> og </w:t>
            </w:r>
            <w:proofErr w:type="spellStart"/>
            <w:r w:rsidRPr="00580C0D">
              <w:t>teknologiar</w:t>
            </w:r>
            <w:proofErr w:type="spellEnd"/>
          </w:p>
        </w:tc>
        <w:tc>
          <w:tcPr>
            <w:tcW w:w="1980" w:type="dxa"/>
            <w:tcBorders>
              <w:top w:val="nil"/>
              <w:left w:val="nil"/>
              <w:bottom w:val="nil"/>
              <w:right w:val="nil"/>
            </w:tcBorders>
            <w:tcMar>
              <w:top w:w="128" w:type="dxa"/>
              <w:left w:w="43" w:type="dxa"/>
              <w:bottom w:w="43" w:type="dxa"/>
              <w:right w:w="43" w:type="dxa"/>
            </w:tcMar>
          </w:tcPr>
          <w:p w14:paraId="4DF20E3E" w14:textId="77777777" w:rsidR="00F7113A" w:rsidRPr="00580C0D" w:rsidRDefault="00142E5B" w:rsidP="001231A3">
            <w:pPr>
              <w:jc w:val="right"/>
            </w:pPr>
            <w:r w:rsidRPr="00580C0D">
              <w:t>Ja</w:t>
            </w:r>
          </w:p>
        </w:tc>
      </w:tr>
      <w:tr w:rsidR="00F7113A" w:rsidRPr="00580C0D" w14:paraId="62A7D513"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1370E404"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6CE816E3" w14:textId="77777777" w:rsidR="00F7113A" w:rsidRPr="00580C0D" w:rsidRDefault="00142E5B" w:rsidP="001231A3">
            <w:pPr>
              <w:ind w:right="284"/>
              <w:jc w:val="right"/>
            </w:pPr>
            <w:r w:rsidRPr="00580C0D">
              <w:t>1041</w:t>
            </w:r>
          </w:p>
        </w:tc>
        <w:tc>
          <w:tcPr>
            <w:tcW w:w="5040" w:type="dxa"/>
            <w:tcBorders>
              <w:top w:val="nil"/>
              <w:left w:val="nil"/>
              <w:bottom w:val="nil"/>
              <w:right w:val="nil"/>
            </w:tcBorders>
            <w:tcMar>
              <w:top w:w="128" w:type="dxa"/>
              <w:left w:w="43" w:type="dxa"/>
              <w:bottom w:w="43" w:type="dxa"/>
              <w:right w:w="43" w:type="dxa"/>
            </w:tcMar>
          </w:tcPr>
          <w:p w14:paraId="1EC2ED77" w14:textId="77777777" w:rsidR="00F7113A" w:rsidRPr="00580C0D" w:rsidRDefault="00142E5B" w:rsidP="001231A3">
            <w:r w:rsidRPr="00580C0D">
              <w:t>Nytt Oslo fengsel</w:t>
            </w:r>
          </w:p>
        </w:tc>
        <w:tc>
          <w:tcPr>
            <w:tcW w:w="1980" w:type="dxa"/>
            <w:tcBorders>
              <w:top w:val="nil"/>
              <w:left w:val="nil"/>
              <w:bottom w:val="nil"/>
              <w:right w:val="nil"/>
            </w:tcBorders>
            <w:tcMar>
              <w:top w:w="128" w:type="dxa"/>
              <w:left w:w="43" w:type="dxa"/>
              <w:bottom w:w="43" w:type="dxa"/>
              <w:right w:w="43" w:type="dxa"/>
            </w:tcMar>
          </w:tcPr>
          <w:p w14:paraId="371CB065" w14:textId="77777777" w:rsidR="00F7113A" w:rsidRPr="00580C0D" w:rsidRDefault="00142E5B" w:rsidP="001231A3">
            <w:pPr>
              <w:jc w:val="right"/>
            </w:pPr>
            <w:r w:rsidRPr="00580C0D">
              <w:t>Ja</w:t>
            </w:r>
          </w:p>
        </w:tc>
      </w:tr>
      <w:tr w:rsidR="00F7113A" w:rsidRPr="00580C0D" w14:paraId="4BEE0132"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BA6378E"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2AE33E1" w14:textId="77777777" w:rsidR="00F7113A" w:rsidRPr="00580C0D" w:rsidRDefault="00142E5B" w:rsidP="001231A3">
            <w:pPr>
              <w:ind w:right="284"/>
              <w:jc w:val="right"/>
            </w:pPr>
            <w:r w:rsidRPr="00580C0D">
              <w:t>1116</w:t>
            </w:r>
          </w:p>
        </w:tc>
        <w:tc>
          <w:tcPr>
            <w:tcW w:w="5040" w:type="dxa"/>
            <w:tcBorders>
              <w:top w:val="nil"/>
              <w:left w:val="nil"/>
              <w:bottom w:val="nil"/>
              <w:right w:val="nil"/>
            </w:tcBorders>
            <w:tcMar>
              <w:top w:w="128" w:type="dxa"/>
              <w:left w:w="43" w:type="dxa"/>
              <w:bottom w:w="43" w:type="dxa"/>
              <w:right w:w="43" w:type="dxa"/>
            </w:tcMar>
          </w:tcPr>
          <w:p w14:paraId="40090ACA" w14:textId="77777777" w:rsidR="00F7113A" w:rsidRPr="00580C0D" w:rsidRDefault="00142E5B" w:rsidP="001231A3">
            <w:r w:rsidRPr="00580C0D">
              <w:t xml:space="preserve">Sperring av </w:t>
            </w:r>
            <w:proofErr w:type="spellStart"/>
            <w:r w:rsidRPr="00580C0D">
              <w:t>opplysningar</w:t>
            </w:r>
            <w:proofErr w:type="spellEnd"/>
            <w:r w:rsidRPr="00580C0D">
              <w:t xml:space="preserve"> i reaksjonsregisteret</w:t>
            </w:r>
          </w:p>
        </w:tc>
        <w:tc>
          <w:tcPr>
            <w:tcW w:w="1980" w:type="dxa"/>
            <w:tcBorders>
              <w:top w:val="nil"/>
              <w:left w:val="nil"/>
              <w:bottom w:val="nil"/>
              <w:right w:val="nil"/>
            </w:tcBorders>
            <w:tcMar>
              <w:top w:w="128" w:type="dxa"/>
              <w:left w:w="43" w:type="dxa"/>
              <w:bottom w:w="43" w:type="dxa"/>
              <w:right w:w="43" w:type="dxa"/>
            </w:tcMar>
          </w:tcPr>
          <w:p w14:paraId="35EFCF3C" w14:textId="77777777" w:rsidR="00F7113A" w:rsidRPr="00580C0D" w:rsidRDefault="00142E5B" w:rsidP="001231A3">
            <w:pPr>
              <w:jc w:val="right"/>
            </w:pPr>
            <w:r w:rsidRPr="00580C0D">
              <w:t>Nei</w:t>
            </w:r>
          </w:p>
        </w:tc>
      </w:tr>
      <w:tr w:rsidR="00F7113A" w:rsidRPr="00580C0D" w14:paraId="740093B1"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04B0B130"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098A1FA2" w14:textId="77777777" w:rsidR="00F7113A" w:rsidRPr="00580C0D" w:rsidRDefault="00142E5B" w:rsidP="001231A3">
            <w:pPr>
              <w:ind w:right="284"/>
              <w:jc w:val="right"/>
            </w:pPr>
            <w:r w:rsidRPr="00580C0D">
              <w:t>1117</w:t>
            </w:r>
          </w:p>
        </w:tc>
        <w:tc>
          <w:tcPr>
            <w:tcW w:w="5040" w:type="dxa"/>
            <w:tcBorders>
              <w:top w:val="nil"/>
              <w:left w:val="nil"/>
              <w:bottom w:val="nil"/>
              <w:right w:val="nil"/>
            </w:tcBorders>
            <w:tcMar>
              <w:top w:w="128" w:type="dxa"/>
              <w:left w:w="43" w:type="dxa"/>
              <w:bottom w:w="43" w:type="dxa"/>
              <w:right w:w="43" w:type="dxa"/>
            </w:tcMar>
          </w:tcPr>
          <w:p w14:paraId="12EC4F3D" w14:textId="77777777" w:rsidR="00F7113A" w:rsidRPr="00580C0D" w:rsidRDefault="00142E5B" w:rsidP="001231A3">
            <w:r w:rsidRPr="00580C0D">
              <w:t xml:space="preserve">Gjennomgang av praksis for tilbakekall av </w:t>
            </w:r>
            <w:proofErr w:type="spellStart"/>
            <w:r w:rsidRPr="00580C0D">
              <w:t>førarrett</w:t>
            </w:r>
            <w:proofErr w:type="spellEnd"/>
          </w:p>
        </w:tc>
        <w:tc>
          <w:tcPr>
            <w:tcW w:w="1980" w:type="dxa"/>
            <w:tcBorders>
              <w:top w:val="nil"/>
              <w:left w:val="nil"/>
              <w:bottom w:val="nil"/>
              <w:right w:val="nil"/>
            </w:tcBorders>
            <w:tcMar>
              <w:top w:w="128" w:type="dxa"/>
              <w:left w:w="43" w:type="dxa"/>
              <w:bottom w:w="43" w:type="dxa"/>
              <w:right w:w="43" w:type="dxa"/>
            </w:tcMar>
          </w:tcPr>
          <w:p w14:paraId="0EA89248" w14:textId="77777777" w:rsidR="00F7113A" w:rsidRPr="00580C0D" w:rsidRDefault="00142E5B" w:rsidP="001231A3">
            <w:pPr>
              <w:jc w:val="right"/>
            </w:pPr>
            <w:r w:rsidRPr="00580C0D">
              <w:t>Nei</w:t>
            </w:r>
          </w:p>
        </w:tc>
      </w:tr>
      <w:tr w:rsidR="00F7113A" w:rsidRPr="00580C0D" w14:paraId="032CE233"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52EEEB3"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04883D8B" w14:textId="77777777" w:rsidR="00F7113A" w:rsidRPr="00580C0D" w:rsidRDefault="00142E5B" w:rsidP="001231A3">
            <w:pPr>
              <w:ind w:right="284"/>
              <w:jc w:val="right"/>
            </w:pPr>
            <w:r w:rsidRPr="00580C0D">
              <w:t>1159</w:t>
            </w:r>
          </w:p>
        </w:tc>
        <w:tc>
          <w:tcPr>
            <w:tcW w:w="5040" w:type="dxa"/>
            <w:tcBorders>
              <w:top w:val="nil"/>
              <w:left w:val="nil"/>
              <w:bottom w:val="nil"/>
              <w:right w:val="nil"/>
            </w:tcBorders>
            <w:tcMar>
              <w:top w:w="128" w:type="dxa"/>
              <w:left w:w="43" w:type="dxa"/>
              <w:bottom w:w="43" w:type="dxa"/>
              <w:right w:w="43" w:type="dxa"/>
            </w:tcMar>
          </w:tcPr>
          <w:p w14:paraId="79ADC247" w14:textId="77777777" w:rsidR="00F7113A" w:rsidRPr="00580C0D" w:rsidRDefault="00142E5B" w:rsidP="001231A3">
            <w:r w:rsidRPr="00580C0D">
              <w:t xml:space="preserve">Unntak </w:t>
            </w:r>
            <w:proofErr w:type="spellStart"/>
            <w:r w:rsidRPr="00580C0D">
              <w:t>frå</w:t>
            </w:r>
            <w:proofErr w:type="spellEnd"/>
            <w:r w:rsidRPr="00580C0D">
              <w:t xml:space="preserve"> </w:t>
            </w:r>
            <w:proofErr w:type="spellStart"/>
            <w:r w:rsidRPr="00580C0D">
              <w:t>forelding</w:t>
            </w:r>
            <w:proofErr w:type="spellEnd"/>
            <w:r w:rsidRPr="00580C0D">
              <w:t xml:space="preserve"> for </w:t>
            </w:r>
            <w:proofErr w:type="spellStart"/>
            <w:r w:rsidRPr="00580C0D">
              <w:t>seksuallovbrot</w:t>
            </w:r>
            <w:proofErr w:type="spellEnd"/>
            <w:r w:rsidRPr="00580C0D">
              <w:t xml:space="preserve"> mot barn</w:t>
            </w:r>
          </w:p>
        </w:tc>
        <w:tc>
          <w:tcPr>
            <w:tcW w:w="1980" w:type="dxa"/>
            <w:tcBorders>
              <w:top w:val="nil"/>
              <w:left w:val="nil"/>
              <w:bottom w:val="nil"/>
              <w:right w:val="nil"/>
            </w:tcBorders>
            <w:tcMar>
              <w:top w:w="128" w:type="dxa"/>
              <w:left w:w="43" w:type="dxa"/>
              <w:bottom w:w="43" w:type="dxa"/>
              <w:right w:w="43" w:type="dxa"/>
            </w:tcMar>
          </w:tcPr>
          <w:p w14:paraId="1A031442" w14:textId="77777777" w:rsidR="00F7113A" w:rsidRPr="00580C0D" w:rsidRDefault="00142E5B" w:rsidP="001231A3">
            <w:pPr>
              <w:jc w:val="right"/>
            </w:pPr>
            <w:r w:rsidRPr="00580C0D">
              <w:t>Nei</w:t>
            </w:r>
          </w:p>
        </w:tc>
      </w:tr>
      <w:tr w:rsidR="00F7113A" w:rsidRPr="00580C0D" w14:paraId="0E48D169"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6BEE772C"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365EB91D" w14:textId="77777777" w:rsidR="00F7113A" w:rsidRPr="00580C0D" w:rsidRDefault="00142E5B" w:rsidP="001231A3">
            <w:pPr>
              <w:ind w:right="284"/>
              <w:jc w:val="right"/>
            </w:pPr>
            <w:r w:rsidRPr="00580C0D">
              <w:t>1161</w:t>
            </w:r>
          </w:p>
        </w:tc>
        <w:tc>
          <w:tcPr>
            <w:tcW w:w="5040" w:type="dxa"/>
            <w:tcBorders>
              <w:top w:val="nil"/>
              <w:left w:val="nil"/>
              <w:bottom w:val="nil"/>
              <w:right w:val="nil"/>
            </w:tcBorders>
            <w:tcMar>
              <w:top w:w="128" w:type="dxa"/>
              <w:left w:w="43" w:type="dxa"/>
              <w:bottom w:w="43" w:type="dxa"/>
              <w:right w:w="43" w:type="dxa"/>
            </w:tcMar>
          </w:tcPr>
          <w:p w14:paraId="6AF06E1E" w14:textId="77777777" w:rsidR="00F7113A" w:rsidRPr="00580C0D" w:rsidRDefault="00142E5B" w:rsidP="001231A3">
            <w:r w:rsidRPr="00580C0D">
              <w:t xml:space="preserve">Internasjonale kriminelle </w:t>
            </w:r>
            <w:proofErr w:type="spellStart"/>
            <w:r w:rsidRPr="00580C0D">
              <w:t>organisasjonar</w:t>
            </w:r>
            <w:proofErr w:type="spellEnd"/>
          </w:p>
        </w:tc>
        <w:tc>
          <w:tcPr>
            <w:tcW w:w="1980" w:type="dxa"/>
            <w:tcBorders>
              <w:top w:val="nil"/>
              <w:left w:val="nil"/>
              <w:bottom w:val="nil"/>
              <w:right w:val="nil"/>
            </w:tcBorders>
            <w:tcMar>
              <w:top w:w="128" w:type="dxa"/>
              <w:left w:w="43" w:type="dxa"/>
              <w:bottom w:w="43" w:type="dxa"/>
              <w:right w:w="43" w:type="dxa"/>
            </w:tcMar>
          </w:tcPr>
          <w:p w14:paraId="24BD53E9" w14:textId="77777777" w:rsidR="00F7113A" w:rsidRPr="00580C0D" w:rsidRDefault="00142E5B" w:rsidP="001231A3">
            <w:pPr>
              <w:jc w:val="right"/>
            </w:pPr>
            <w:r w:rsidRPr="00580C0D">
              <w:t>Nei</w:t>
            </w:r>
          </w:p>
        </w:tc>
      </w:tr>
      <w:tr w:rsidR="00F7113A" w:rsidRPr="00580C0D" w14:paraId="4312135D"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1A9672BA"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8BC0B49" w14:textId="77777777" w:rsidR="00F7113A" w:rsidRPr="00580C0D" w:rsidRDefault="00142E5B" w:rsidP="001231A3">
            <w:pPr>
              <w:ind w:right="284"/>
              <w:jc w:val="right"/>
            </w:pPr>
            <w:r w:rsidRPr="00580C0D">
              <w:t>1162</w:t>
            </w:r>
          </w:p>
        </w:tc>
        <w:tc>
          <w:tcPr>
            <w:tcW w:w="5040" w:type="dxa"/>
            <w:tcBorders>
              <w:top w:val="nil"/>
              <w:left w:val="nil"/>
              <w:bottom w:val="nil"/>
              <w:right w:val="nil"/>
            </w:tcBorders>
            <w:tcMar>
              <w:top w:w="128" w:type="dxa"/>
              <w:left w:w="43" w:type="dxa"/>
              <w:bottom w:w="43" w:type="dxa"/>
              <w:right w:w="43" w:type="dxa"/>
            </w:tcMar>
          </w:tcPr>
          <w:p w14:paraId="0109AE77" w14:textId="77777777" w:rsidR="00F7113A" w:rsidRPr="00580C0D" w:rsidRDefault="00142E5B" w:rsidP="001231A3">
            <w:r w:rsidRPr="00580C0D">
              <w:t>Tilgang på straffeprosessuelle tvangsmiddel</w:t>
            </w:r>
          </w:p>
        </w:tc>
        <w:tc>
          <w:tcPr>
            <w:tcW w:w="1980" w:type="dxa"/>
            <w:tcBorders>
              <w:top w:val="nil"/>
              <w:left w:val="nil"/>
              <w:bottom w:val="nil"/>
              <w:right w:val="nil"/>
            </w:tcBorders>
            <w:tcMar>
              <w:top w:w="128" w:type="dxa"/>
              <w:left w:w="43" w:type="dxa"/>
              <w:bottom w:w="43" w:type="dxa"/>
              <w:right w:w="43" w:type="dxa"/>
            </w:tcMar>
          </w:tcPr>
          <w:p w14:paraId="6B76AE85" w14:textId="77777777" w:rsidR="00F7113A" w:rsidRPr="00580C0D" w:rsidRDefault="00142E5B" w:rsidP="001231A3">
            <w:pPr>
              <w:jc w:val="right"/>
            </w:pPr>
            <w:r w:rsidRPr="00580C0D">
              <w:t>Nei</w:t>
            </w:r>
          </w:p>
        </w:tc>
      </w:tr>
      <w:tr w:rsidR="00F7113A" w:rsidRPr="00580C0D" w14:paraId="18A72563"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277D9D25"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19025D6D" w14:textId="77777777" w:rsidR="00F7113A" w:rsidRPr="00580C0D" w:rsidRDefault="00142E5B" w:rsidP="001231A3">
            <w:pPr>
              <w:ind w:right="284"/>
              <w:jc w:val="right"/>
            </w:pPr>
            <w:r w:rsidRPr="00580C0D">
              <w:t>1343</w:t>
            </w:r>
          </w:p>
        </w:tc>
        <w:tc>
          <w:tcPr>
            <w:tcW w:w="5040" w:type="dxa"/>
            <w:tcBorders>
              <w:top w:val="nil"/>
              <w:left w:val="nil"/>
              <w:bottom w:val="nil"/>
              <w:right w:val="nil"/>
            </w:tcBorders>
            <w:tcMar>
              <w:top w:w="128" w:type="dxa"/>
              <w:left w:w="43" w:type="dxa"/>
              <w:bottom w:w="43" w:type="dxa"/>
              <w:right w:w="43" w:type="dxa"/>
            </w:tcMar>
          </w:tcPr>
          <w:p w14:paraId="0AC6CEEE" w14:textId="77777777" w:rsidR="00F7113A" w:rsidRPr="00580C0D" w:rsidRDefault="00142E5B" w:rsidP="001231A3">
            <w:r w:rsidRPr="00580C0D">
              <w:t xml:space="preserve">Kompensasjonsordning for tapt </w:t>
            </w:r>
            <w:proofErr w:type="spellStart"/>
            <w:r w:rsidRPr="00580C0D">
              <w:t>arbeidsforteneste</w:t>
            </w:r>
            <w:proofErr w:type="spellEnd"/>
            <w:r w:rsidRPr="00580C0D">
              <w:t xml:space="preserve"> for frivillige i </w:t>
            </w:r>
            <w:proofErr w:type="spellStart"/>
            <w:r w:rsidRPr="00580C0D">
              <w:t>redningstenesta</w:t>
            </w:r>
            <w:proofErr w:type="spellEnd"/>
          </w:p>
        </w:tc>
        <w:tc>
          <w:tcPr>
            <w:tcW w:w="1980" w:type="dxa"/>
            <w:tcBorders>
              <w:top w:val="nil"/>
              <w:left w:val="nil"/>
              <w:bottom w:val="nil"/>
              <w:right w:val="nil"/>
            </w:tcBorders>
            <w:tcMar>
              <w:top w:w="128" w:type="dxa"/>
              <w:left w:w="43" w:type="dxa"/>
              <w:bottom w:w="43" w:type="dxa"/>
              <w:right w:w="43" w:type="dxa"/>
            </w:tcMar>
          </w:tcPr>
          <w:p w14:paraId="07FD3A02" w14:textId="77777777" w:rsidR="00F7113A" w:rsidRPr="00580C0D" w:rsidRDefault="00142E5B" w:rsidP="001231A3">
            <w:pPr>
              <w:jc w:val="right"/>
            </w:pPr>
            <w:r w:rsidRPr="00580C0D">
              <w:t>Nei</w:t>
            </w:r>
          </w:p>
        </w:tc>
      </w:tr>
      <w:tr w:rsidR="00F7113A" w:rsidRPr="00580C0D" w14:paraId="5B00E731"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F520574" w14:textId="77777777" w:rsidR="00F7113A" w:rsidRPr="00580C0D" w:rsidRDefault="00142E5B" w:rsidP="001231A3">
            <w:r w:rsidRPr="00580C0D">
              <w:t>2019–2020</w:t>
            </w:r>
          </w:p>
        </w:tc>
        <w:tc>
          <w:tcPr>
            <w:tcW w:w="1120" w:type="dxa"/>
            <w:tcBorders>
              <w:top w:val="nil"/>
              <w:left w:val="nil"/>
              <w:bottom w:val="nil"/>
              <w:right w:val="nil"/>
            </w:tcBorders>
            <w:tcMar>
              <w:top w:w="128" w:type="dxa"/>
              <w:left w:w="43" w:type="dxa"/>
              <w:bottom w:w="43" w:type="dxa"/>
              <w:right w:w="43" w:type="dxa"/>
            </w:tcMar>
          </w:tcPr>
          <w:p w14:paraId="68A81FB6" w14:textId="77777777" w:rsidR="00F7113A" w:rsidRPr="00580C0D" w:rsidRDefault="00142E5B" w:rsidP="001231A3">
            <w:pPr>
              <w:ind w:right="284"/>
              <w:jc w:val="right"/>
            </w:pPr>
            <w:r w:rsidRPr="00580C0D">
              <w:t>436</w:t>
            </w:r>
          </w:p>
        </w:tc>
        <w:tc>
          <w:tcPr>
            <w:tcW w:w="5040" w:type="dxa"/>
            <w:tcBorders>
              <w:top w:val="nil"/>
              <w:left w:val="nil"/>
              <w:bottom w:val="nil"/>
              <w:right w:val="nil"/>
            </w:tcBorders>
            <w:tcMar>
              <w:top w:w="128" w:type="dxa"/>
              <w:left w:w="43" w:type="dxa"/>
              <w:bottom w:w="43" w:type="dxa"/>
              <w:right w:w="43" w:type="dxa"/>
            </w:tcMar>
          </w:tcPr>
          <w:p w14:paraId="14D56A87" w14:textId="77777777" w:rsidR="00F7113A" w:rsidRPr="00580C0D" w:rsidRDefault="00142E5B" w:rsidP="001231A3">
            <w:r w:rsidRPr="00580C0D">
              <w:t>Elektroniske fraktbrev</w:t>
            </w:r>
          </w:p>
        </w:tc>
        <w:tc>
          <w:tcPr>
            <w:tcW w:w="1980" w:type="dxa"/>
            <w:tcBorders>
              <w:top w:val="nil"/>
              <w:left w:val="nil"/>
              <w:bottom w:val="nil"/>
              <w:right w:val="nil"/>
            </w:tcBorders>
            <w:tcMar>
              <w:top w:w="128" w:type="dxa"/>
              <w:left w:w="43" w:type="dxa"/>
              <w:bottom w:w="43" w:type="dxa"/>
              <w:right w:w="43" w:type="dxa"/>
            </w:tcMar>
          </w:tcPr>
          <w:p w14:paraId="5A64759D" w14:textId="77777777" w:rsidR="00F7113A" w:rsidRPr="00580C0D" w:rsidRDefault="00142E5B" w:rsidP="001231A3">
            <w:pPr>
              <w:jc w:val="right"/>
            </w:pPr>
            <w:r w:rsidRPr="00580C0D">
              <w:t>Nei</w:t>
            </w:r>
          </w:p>
        </w:tc>
      </w:tr>
      <w:tr w:rsidR="00F7113A" w:rsidRPr="00580C0D" w14:paraId="3DACFF9C"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4CB236DD" w14:textId="77777777" w:rsidR="00F7113A" w:rsidRPr="00580C0D" w:rsidRDefault="00142E5B" w:rsidP="001231A3">
            <w:r w:rsidRPr="00580C0D">
              <w:t>2019–2020</w:t>
            </w:r>
          </w:p>
        </w:tc>
        <w:tc>
          <w:tcPr>
            <w:tcW w:w="1120" w:type="dxa"/>
            <w:tcBorders>
              <w:top w:val="nil"/>
              <w:left w:val="nil"/>
              <w:bottom w:val="nil"/>
              <w:right w:val="nil"/>
            </w:tcBorders>
            <w:tcMar>
              <w:top w:w="128" w:type="dxa"/>
              <w:left w:w="43" w:type="dxa"/>
              <w:bottom w:w="43" w:type="dxa"/>
              <w:right w:w="43" w:type="dxa"/>
            </w:tcMar>
          </w:tcPr>
          <w:p w14:paraId="6BEFA3FC" w14:textId="77777777" w:rsidR="00F7113A" w:rsidRPr="00580C0D" w:rsidRDefault="00142E5B" w:rsidP="001231A3">
            <w:pPr>
              <w:ind w:right="284"/>
              <w:jc w:val="right"/>
            </w:pPr>
            <w:r w:rsidRPr="00580C0D">
              <w:t>515</w:t>
            </w:r>
          </w:p>
        </w:tc>
        <w:tc>
          <w:tcPr>
            <w:tcW w:w="5040" w:type="dxa"/>
            <w:tcBorders>
              <w:top w:val="nil"/>
              <w:left w:val="nil"/>
              <w:bottom w:val="nil"/>
              <w:right w:val="nil"/>
            </w:tcBorders>
            <w:tcMar>
              <w:top w:w="128" w:type="dxa"/>
              <w:left w:w="43" w:type="dxa"/>
              <w:bottom w:w="43" w:type="dxa"/>
              <w:right w:w="43" w:type="dxa"/>
            </w:tcMar>
          </w:tcPr>
          <w:p w14:paraId="6372E35F" w14:textId="77777777" w:rsidR="00F7113A" w:rsidRPr="00580C0D" w:rsidRDefault="00142E5B" w:rsidP="001231A3">
            <w:r w:rsidRPr="00580C0D">
              <w:t xml:space="preserve">Reklamasjonsfrist på </w:t>
            </w:r>
            <w:proofErr w:type="spellStart"/>
            <w:r w:rsidRPr="00580C0D">
              <w:t>bustader</w:t>
            </w:r>
            <w:proofErr w:type="spellEnd"/>
          </w:p>
        </w:tc>
        <w:tc>
          <w:tcPr>
            <w:tcW w:w="1980" w:type="dxa"/>
            <w:tcBorders>
              <w:top w:val="nil"/>
              <w:left w:val="nil"/>
              <w:bottom w:val="nil"/>
              <w:right w:val="nil"/>
            </w:tcBorders>
            <w:tcMar>
              <w:top w:w="128" w:type="dxa"/>
              <w:left w:w="43" w:type="dxa"/>
              <w:bottom w:w="43" w:type="dxa"/>
              <w:right w:w="43" w:type="dxa"/>
            </w:tcMar>
          </w:tcPr>
          <w:p w14:paraId="498991D9" w14:textId="77777777" w:rsidR="00F7113A" w:rsidRPr="00580C0D" w:rsidRDefault="00142E5B" w:rsidP="001231A3">
            <w:pPr>
              <w:jc w:val="right"/>
            </w:pPr>
            <w:r w:rsidRPr="00580C0D">
              <w:t>Nei</w:t>
            </w:r>
          </w:p>
        </w:tc>
      </w:tr>
      <w:tr w:rsidR="00F7113A" w:rsidRPr="00580C0D" w14:paraId="1DB9FF4E"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30D6CBFB" w14:textId="77777777" w:rsidR="00F7113A" w:rsidRPr="00580C0D" w:rsidRDefault="00142E5B" w:rsidP="001231A3">
            <w:r w:rsidRPr="00580C0D">
              <w:t>2019–2020</w:t>
            </w:r>
          </w:p>
        </w:tc>
        <w:tc>
          <w:tcPr>
            <w:tcW w:w="1120" w:type="dxa"/>
            <w:tcBorders>
              <w:top w:val="nil"/>
              <w:left w:val="nil"/>
              <w:bottom w:val="nil"/>
              <w:right w:val="nil"/>
            </w:tcBorders>
            <w:tcMar>
              <w:top w:w="128" w:type="dxa"/>
              <w:left w:w="43" w:type="dxa"/>
              <w:bottom w:w="43" w:type="dxa"/>
              <w:right w:w="43" w:type="dxa"/>
            </w:tcMar>
          </w:tcPr>
          <w:p w14:paraId="3B5C1A86" w14:textId="77777777" w:rsidR="00F7113A" w:rsidRPr="00580C0D" w:rsidRDefault="00142E5B" w:rsidP="001231A3">
            <w:pPr>
              <w:ind w:right="284"/>
              <w:jc w:val="right"/>
            </w:pPr>
            <w:r w:rsidRPr="00580C0D">
              <w:t>669</w:t>
            </w:r>
          </w:p>
        </w:tc>
        <w:tc>
          <w:tcPr>
            <w:tcW w:w="5040" w:type="dxa"/>
            <w:tcBorders>
              <w:top w:val="nil"/>
              <w:left w:val="nil"/>
              <w:bottom w:val="nil"/>
              <w:right w:val="nil"/>
            </w:tcBorders>
            <w:tcMar>
              <w:top w:w="128" w:type="dxa"/>
              <w:left w:w="43" w:type="dxa"/>
              <w:bottom w:w="43" w:type="dxa"/>
              <w:right w:w="43" w:type="dxa"/>
            </w:tcMar>
          </w:tcPr>
          <w:p w14:paraId="57726550" w14:textId="77777777" w:rsidR="00F7113A" w:rsidRPr="00580C0D" w:rsidRDefault="00142E5B" w:rsidP="001231A3">
            <w:r w:rsidRPr="00580C0D">
              <w:t>Deling av registerinformasjon</w:t>
            </w:r>
          </w:p>
        </w:tc>
        <w:tc>
          <w:tcPr>
            <w:tcW w:w="1980" w:type="dxa"/>
            <w:tcBorders>
              <w:top w:val="nil"/>
              <w:left w:val="nil"/>
              <w:bottom w:val="nil"/>
              <w:right w:val="nil"/>
            </w:tcBorders>
            <w:tcMar>
              <w:top w:w="128" w:type="dxa"/>
              <w:left w:w="43" w:type="dxa"/>
              <w:bottom w:w="43" w:type="dxa"/>
              <w:right w:w="43" w:type="dxa"/>
            </w:tcMar>
          </w:tcPr>
          <w:p w14:paraId="5AA597B6" w14:textId="77777777" w:rsidR="00F7113A" w:rsidRPr="00580C0D" w:rsidRDefault="00142E5B" w:rsidP="001231A3">
            <w:pPr>
              <w:jc w:val="right"/>
            </w:pPr>
            <w:r w:rsidRPr="00580C0D">
              <w:t>Ja</w:t>
            </w:r>
          </w:p>
        </w:tc>
      </w:tr>
      <w:tr w:rsidR="00F7113A" w:rsidRPr="00580C0D" w14:paraId="258C1E23"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0384132E" w14:textId="77777777" w:rsidR="00F7113A" w:rsidRPr="00580C0D" w:rsidRDefault="00142E5B" w:rsidP="001231A3">
            <w:r w:rsidRPr="00580C0D">
              <w:t>2018–2019</w:t>
            </w:r>
          </w:p>
        </w:tc>
        <w:tc>
          <w:tcPr>
            <w:tcW w:w="1120" w:type="dxa"/>
            <w:tcBorders>
              <w:top w:val="nil"/>
              <w:left w:val="nil"/>
              <w:bottom w:val="nil"/>
              <w:right w:val="nil"/>
            </w:tcBorders>
            <w:tcMar>
              <w:top w:w="128" w:type="dxa"/>
              <w:left w:w="43" w:type="dxa"/>
              <w:bottom w:w="43" w:type="dxa"/>
              <w:right w:w="43" w:type="dxa"/>
            </w:tcMar>
          </w:tcPr>
          <w:p w14:paraId="7CE075E4" w14:textId="77777777" w:rsidR="00F7113A" w:rsidRPr="00580C0D" w:rsidRDefault="00142E5B" w:rsidP="001231A3">
            <w:pPr>
              <w:ind w:right="284"/>
              <w:jc w:val="right"/>
            </w:pPr>
            <w:r w:rsidRPr="00580C0D">
              <w:t>98</w:t>
            </w:r>
          </w:p>
        </w:tc>
        <w:tc>
          <w:tcPr>
            <w:tcW w:w="5040" w:type="dxa"/>
            <w:tcBorders>
              <w:top w:val="nil"/>
              <w:left w:val="nil"/>
              <w:bottom w:val="nil"/>
              <w:right w:val="nil"/>
            </w:tcBorders>
            <w:tcMar>
              <w:top w:w="128" w:type="dxa"/>
              <w:left w:w="43" w:type="dxa"/>
              <w:bottom w:w="43" w:type="dxa"/>
              <w:right w:w="43" w:type="dxa"/>
            </w:tcMar>
          </w:tcPr>
          <w:p w14:paraId="4A17B625" w14:textId="77777777" w:rsidR="00F7113A" w:rsidRPr="00580C0D" w:rsidRDefault="00142E5B" w:rsidP="001231A3">
            <w:r w:rsidRPr="00580C0D">
              <w:t>Rettshjelpsordninga</w:t>
            </w:r>
          </w:p>
        </w:tc>
        <w:tc>
          <w:tcPr>
            <w:tcW w:w="1980" w:type="dxa"/>
            <w:tcBorders>
              <w:top w:val="nil"/>
              <w:left w:val="nil"/>
              <w:bottom w:val="nil"/>
              <w:right w:val="nil"/>
            </w:tcBorders>
            <w:tcMar>
              <w:top w:w="128" w:type="dxa"/>
              <w:left w:w="43" w:type="dxa"/>
              <w:bottom w:w="43" w:type="dxa"/>
              <w:right w:w="43" w:type="dxa"/>
            </w:tcMar>
          </w:tcPr>
          <w:p w14:paraId="0AB38F46" w14:textId="77777777" w:rsidR="00F7113A" w:rsidRPr="00580C0D" w:rsidRDefault="00142E5B" w:rsidP="001231A3">
            <w:pPr>
              <w:jc w:val="right"/>
            </w:pPr>
            <w:r w:rsidRPr="00580C0D">
              <w:t>Ja</w:t>
            </w:r>
          </w:p>
        </w:tc>
      </w:tr>
      <w:tr w:rsidR="00F7113A" w:rsidRPr="00580C0D" w14:paraId="136852DD"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0B6CF6EA"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6E492C72" w14:textId="77777777" w:rsidR="00F7113A" w:rsidRPr="00580C0D" w:rsidRDefault="00142E5B" w:rsidP="001231A3">
            <w:pPr>
              <w:ind w:right="284"/>
              <w:jc w:val="right"/>
            </w:pPr>
            <w:r w:rsidRPr="00580C0D">
              <w:t>788</w:t>
            </w:r>
          </w:p>
        </w:tc>
        <w:tc>
          <w:tcPr>
            <w:tcW w:w="5040" w:type="dxa"/>
            <w:tcBorders>
              <w:top w:val="nil"/>
              <w:left w:val="nil"/>
              <w:bottom w:val="nil"/>
              <w:right w:val="nil"/>
            </w:tcBorders>
            <w:tcMar>
              <w:top w:w="128" w:type="dxa"/>
              <w:left w:w="43" w:type="dxa"/>
              <w:bottom w:w="43" w:type="dxa"/>
              <w:right w:w="43" w:type="dxa"/>
            </w:tcMar>
          </w:tcPr>
          <w:p w14:paraId="083B0F86" w14:textId="77777777" w:rsidR="00F7113A" w:rsidRPr="00580C0D" w:rsidRDefault="00142E5B" w:rsidP="001231A3">
            <w:proofErr w:type="spellStart"/>
            <w:r w:rsidRPr="00580C0D">
              <w:t>Utanlandsopphald</w:t>
            </w:r>
            <w:proofErr w:type="spellEnd"/>
          </w:p>
        </w:tc>
        <w:tc>
          <w:tcPr>
            <w:tcW w:w="1980" w:type="dxa"/>
            <w:tcBorders>
              <w:top w:val="nil"/>
              <w:left w:val="nil"/>
              <w:bottom w:val="nil"/>
              <w:right w:val="nil"/>
            </w:tcBorders>
            <w:tcMar>
              <w:top w:w="128" w:type="dxa"/>
              <w:left w:w="43" w:type="dxa"/>
              <w:bottom w:w="43" w:type="dxa"/>
              <w:right w:w="43" w:type="dxa"/>
            </w:tcMar>
          </w:tcPr>
          <w:p w14:paraId="5CCF2FC4" w14:textId="77777777" w:rsidR="00F7113A" w:rsidRPr="00580C0D" w:rsidRDefault="00142E5B" w:rsidP="001231A3">
            <w:pPr>
              <w:jc w:val="right"/>
            </w:pPr>
            <w:r w:rsidRPr="00580C0D">
              <w:t>Nei</w:t>
            </w:r>
          </w:p>
        </w:tc>
      </w:tr>
      <w:tr w:rsidR="00F7113A" w:rsidRPr="00580C0D" w14:paraId="239637AD"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243FA7E7"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39190490" w14:textId="77777777" w:rsidR="00F7113A" w:rsidRPr="00580C0D" w:rsidRDefault="00142E5B" w:rsidP="001231A3">
            <w:pPr>
              <w:ind w:right="284"/>
              <w:jc w:val="right"/>
            </w:pPr>
            <w:r w:rsidRPr="00580C0D">
              <w:t>795</w:t>
            </w:r>
          </w:p>
        </w:tc>
        <w:tc>
          <w:tcPr>
            <w:tcW w:w="5040" w:type="dxa"/>
            <w:tcBorders>
              <w:top w:val="nil"/>
              <w:left w:val="nil"/>
              <w:bottom w:val="nil"/>
              <w:right w:val="nil"/>
            </w:tcBorders>
            <w:tcMar>
              <w:top w:w="128" w:type="dxa"/>
              <w:left w:w="43" w:type="dxa"/>
              <w:bottom w:w="43" w:type="dxa"/>
              <w:right w:w="43" w:type="dxa"/>
            </w:tcMar>
          </w:tcPr>
          <w:p w14:paraId="0FD0D245" w14:textId="77777777" w:rsidR="00F7113A" w:rsidRPr="00580C0D" w:rsidRDefault="00142E5B" w:rsidP="001231A3">
            <w:r w:rsidRPr="00580C0D">
              <w:t>Eige lovverk for Statens barnehus</w:t>
            </w:r>
          </w:p>
        </w:tc>
        <w:tc>
          <w:tcPr>
            <w:tcW w:w="1980" w:type="dxa"/>
            <w:tcBorders>
              <w:top w:val="nil"/>
              <w:left w:val="nil"/>
              <w:bottom w:val="nil"/>
              <w:right w:val="nil"/>
            </w:tcBorders>
            <w:tcMar>
              <w:top w:w="128" w:type="dxa"/>
              <w:left w:w="43" w:type="dxa"/>
              <w:bottom w:w="43" w:type="dxa"/>
              <w:right w:w="43" w:type="dxa"/>
            </w:tcMar>
          </w:tcPr>
          <w:p w14:paraId="591F5F41" w14:textId="77777777" w:rsidR="00F7113A" w:rsidRPr="00580C0D" w:rsidRDefault="00142E5B" w:rsidP="001231A3">
            <w:pPr>
              <w:jc w:val="right"/>
            </w:pPr>
            <w:r w:rsidRPr="00580C0D">
              <w:t>Nei</w:t>
            </w:r>
          </w:p>
        </w:tc>
      </w:tr>
      <w:tr w:rsidR="00F7113A" w:rsidRPr="00580C0D" w14:paraId="45618FE8" w14:textId="77777777" w:rsidTr="001231A3">
        <w:trPr>
          <w:trHeight w:val="640"/>
        </w:trPr>
        <w:tc>
          <w:tcPr>
            <w:tcW w:w="1400" w:type="dxa"/>
            <w:tcBorders>
              <w:top w:val="nil"/>
              <w:left w:val="nil"/>
              <w:bottom w:val="nil"/>
              <w:right w:val="nil"/>
            </w:tcBorders>
            <w:tcMar>
              <w:top w:w="128" w:type="dxa"/>
              <w:left w:w="43" w:type="dxa"/>
              <w:bottom w:w="43" w:type="dxa"/>
              <w:right w:w="43" w:type="dxa"/>
            </w:tcMar>
          </w:tcPr>
          <w:p w14:paraId="54E2B360"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18084750" w14:textId="77777777" w:rsidR="00F7113A" w:rsidRPr="00580C0D" w:rsidRDefault="00142E5B" w:rsidP="001231A3">
            <w:pPr>
              <w:ind w:right="284"/>
              <w:jc w:val="right"/>
            </w:pPr>
            <w:r w:rsidRPr="00580C0D">
              <w:t>798</w:t>
            </w:r>
          </w:p>
        </w:tc>
        <w:tc>
          <w:tcPr>
            <w:tcW w:w="5040" w:type="dxa"/>
            <w:tcBorders>
              <w:top w:val="nil"/>
              <w:left w:val="nil"/>
              <w:bottom w:val="nil"/>
              <w:right w:val="nil"/>
            </w:tcBorders>
            <w:tcMar>
              <w:top w:w="128" w:type="dxa"/>
              <w:left w:w="43" w:type="dxa"/>
              <w:bottom w:w="43" w:type="dxa"/>
              <w:right w:w="43" w:type="dxa"/>
            </w:tcMar>
          </w:tcPr>
          <w:p w14:paraId="10A48EF3" w14:textId="77777777" w:rsidR="00F7113A" w:rsidRPr="00580C0D" w:rsidRDefault="00142E5B" w:rsidP="001231A3">
            <w:r w:rsidRPr="00580C0D">
              <w:t>Regelverk for teieplikt, opplysningsplikt og opplysningsrett – vald og overgrep</w:t>
            </w:r>
          </w:p>
        </w:tc>
        <w:tc>
          <w:tcPr>
            <w:tcW w:w="1980" w:type="dxa"/>
            <w:tcBorders>
              <w:top w:val="nil"/>
              <w:left w:val="nil"/>
              <w:bottom w:val="nil"/>
              <w:right w:val="nil"/>
            </w:tcBorders>
            <w:tcMar>
              <w:top w:w="128" w:type="dxa"/>
              <w:left w:w="43" w:type="dxa"/>
              <w:bottom w:w="43" w:type="dxa"/>
              <w:right w:w="43" w:type="dxa"/>
            </w:tcMar>
          </w:tcPr>
          <w:p w14:paraId="140CAD50" w14:textId="77777777" w:rsidR="00F7113A" w:rsidRPr="00580C0D" w:rsidRDefault="00142E5B" w:rsidP="001231A3">
            <w:pPr>
              <w:jc w:val="right"/>
            </w:pPr>
            <w:r w:rsidRPr="00580C0D">
              <w:t>Ja</w:t>
            </w:r>
          </w:p>
        </w:tc>
      </w:tr>
      <w:tr w:rsidR="00F7113A" w:rsidRPr="00580C0D" w14:paraId="4969D8CF"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4ADA99D0"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3F4B94EF" w14:textId="77777777" w:rsidR="00F7113A" w:rsidRPr="00580C0D" w:rsidRDefault="00142E5B" w:rsidP="001231A3">
            <w:pPr>
              <w:ind w:right="284"/>
              <w:jc w:val="right"/>
            </w:pPr>
            <w:r w:rsidRPr="00580C0D">
              <w:t>899</w:t>
            </w:r>
          </w:p>
        </w:tc>
        <w:tc>
          <w:tcPr>
            <w:tcW w:w="5040" w:type="dxa"/>
            <w:tcBorders>
              <w:top w:val="nil"/>
              <w:left w:val="nil"/>
              <w:bottom w:val="nil"/>
              <w:right w:val="nil"/>
            </w:tcBorders>
            <w:tcMar>
              <w:top w:w="128" w:type="dxa"/>
              <w:left w:w="43" w:type="dxa"/>
              <w:bottom w:w="43" w:type="dxa"/>
              <w:right w:w="43" w:type="dxa"/>
            </w:tcMar>
          </w:tcPr>
          <w:p w14:paraId="519D5C88" w14:textId="77777777" w:rsidR="00F7113A" w:rsidRPr="00580C0D" w:rsidRDefault="00142E5B" w:rsidP="001231A3">
            <w:proofErr w:type="spellStart"/>
            <w:r w:rsidRPr="00580C0D">
              <w:t>Menneskerettane</w:t>
            </w:r>
            <w:proofErr w:type="spellEnd"/>
            <w:r w:rsidRPr="00580C0D">
              <w:t xml:space="preserve"> til utviklingshemma – </w:t>
            </w:r>
            <w:proofErr w:type="spellStart"/>
            <w:r w:rsidRPr="00580C0D">
              <w:t>verjemål</w:t>
            </w:r>
            <w:proofErr w:type="spellEnd"/>
          </w:p>
        </w:tc>
        <w:tc>
          <w:tcPr>
            <w:tcW w:w="1980" w:type="dxa"/>
            <w:tcBorders>
              <w:top w:val="nil"/>
              <w:left w:val="nil"/>
              <w:bottom w:val="nil"/>
              <w:right w:val="nil"/>
            </w:tcBorders>
            <w:tcMar>
              <w:top w:w="128" w:type="dxa"/>
              <w:left w:w="43" w:type="dxa"/>
              <w:bottom w:w="43" w:type="dxa"/>
              <w:right w:w="43" w:type="dxa"/>
            </w:tcMar>
          </w:tcPr>
          <w:p w14:paraId="1CF3A0BB" w14:textId="77777777" w:rsidR="00F7113A" w:rsidRPr="00580C0D" w:rsidRDefault="00142E5B" w:rsidP="001231A3">
            <w:pPr>
              <w:jc w:val="right"/>
            </w:pPr>
            <w:r w:rsidRPr="00580C0D">
              <w:t>Ja</w:t>
            </w:r>
          </w:p>
        </w:tc>
      </w:tr>
      <w:tr w:rsidR="00F7113A" w:rsidRPr="00580C0D" w14:paraId="297889CC"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7CAF63D9" w14:textId="77777777" w:rsidR="00F7113A" w:rsidRPr="00580C0D" w:rsidRDefault="00142E5B" w:rsidP="001231A3">
            <w:r w:rsidRPr="00580C0D">
              <w:t>2016–2017</w:t>
            </w:r>
          </w:p>
        </w:tc>
        <w:tc>
          <w:tcPr>
            <w:tcW w:w="1120" w:type="dxa"/>
            <w:tcBorders>
              <w:top w:val="nil"/>
              <w:left w:val="nil"/>
              <w:bottom w:val="nil"/>
              <w:right w:val="nil"/>
            </w:tcBorders>
            <w:tcMar>
              <w:top w:w="128" w:type="dxa"/>
              <w:left w:w="43" w:type="dxa"/>
              <w:bottom w:w="43" w:type="dxa"/>
              <w:right w:w="43" w:type="dxa"/>
            </w:tcMar>
          </w:tcPr>
          <w:p w14:paraId="6F967630" w14:textId="77777777" w:rsidR="00F7113A" w:rsidRPr="00580C0D" w:rsidRDefault="00142E5B" w:rsidP="001231A3">
            <w:pPr>
              <w:ind w:right="284"/>
              <w:jc w:val="right"/>
            </w:pPr>
            <w:r w:rsidRPr="00580C0D">
              <w:t>523</w:t>
            </w:r>
          </w:p>
        </w:tc>
        <w:tc>
          <w:tcPr>
            <w:tcW w:w="5040" w:type="dxa"/>
            <w:tcBorders>
              <w:top w:val="nil"/>
              <w:left w:val="nil"/>
              <w:bottom w:val="nil"/>
              <w:right w:val="nil"/>
            </w:tcBorders>
            <w:tcMar>
              <w:top w:w="128" w:type="dxa"/>
              <w:left w:w="43" w:type="dxa"/>
              <w:bottom w:w="43" w:type="dxa"/>
              <w:right w:w="43" w:type="dxa"/>
            </w:tcMar>
          </w:tcPr>
          <w:p w14:paraId="7A41011A" w14:textId="77777777" w:rsidR="00F7113A" w:rsidRPr="00580C0D" w:rsidRDefault="00142E5B" w:rsidP="001231A3">
            <w:r w:rsidRPr="00580C0D">
              <w:t>Korrupsjonsføresegnene i straffelova</w:t>
            </w:r>
          </w:p>
        </w:tc>
        <w:tc>
          <w:tcPr>
            <w:tcW w:w="1980" w:type="dxa"/>
            <w:tcBorders>
              <w:top w:val="nil"/>
              <w:left w:val="nil"/>
              <w:bottom w:val="nil"/>
              <w:right w:val="nil"/>
            </w:tcBorders>
            <w:tcMar>
              <w:top w:w="128" w:type="dxa"/>
              <w:left w:w="43" w:type="dxa"/>
              <w:bottom w:w="43" w:type="dxa"/>
              <w:right w:w="43" w:type="dxa"/>
            </w:tcMar>
          </w:tcPr>
          <w:p w14:paraId="2AD4316A" w14:textId="77777777" w:rsidR="00F7113A" w:rsidRPr="00580C0D" w:rsidRDefault="00142E5B" w:rsidP="001231A3">
            <w:pPr>
              <w:jc w:val="right"/>
            </w:pPr>
            <w:r w:rsidRPr="00580C0D">
              <w:t>Nei</w:t>
            </w:r>
          </w:p>
        </w:tc>
      </w:tr>
      <w:tr w:rsidR="00F7113A" w:rsidRPr="00580C0D" w14:paraId="6CB409D6"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104B2C3B" w14:textId="77777777" w:rsidR="00F7113A" w:rsidRPr="00580C0D" w:rsidRDefault="00142E5B" w:rsidP="001231A3">
            <w:r w:rsidRPr="00580C0D">
              <w:t>2016–2017</w:t>
            </w:r>
          </w:p>
        </w:tc>
        <w:tc>
          <w:tcPr>
            <w:tcW w:w="1120" w:type="dxa"/>
            <w:tcBorders>
              <w:top w:val="nil"/>
              <w:left w:val="nil"/>
              <w:bottom w:val="nil"/>
              <w:right w:val="nil"/>
            </w:tcBorders>
            <w:tcMar>
              <w:top w:w="128" w:type="dxa"/>
              <w:left w:w="43" w:type="dxa"/>
              <w:bottom w:w="43" w:type="dxa"/>
              <w:right w:w="43" w:type="dxa"/>
            </w:tcMar>
          </w:tcPr>
          <w:p w14:paraId="2EEC9419" w14:textId="77777777" w:rsidR="00F7113A" w:rsidRPr="00580C0D" w:rsidRDefault="00142E5B" w:rsidP="001231A3">
            <w:pPr>
              <w:ind w:right="284"/>
              <w:jc w:val="right"/>
            </w:pPr>
            <w:r w:rsidRPr="00580C0D">
              <w:t>630</w:t>
            </w:r>
          </w:p>
        </w:tc>
        <w:tc>
          <w:tcPr>
            <w:tcW w:w="5040" w:type="dxa"/>
            <w:tcBorders>
              <w:top w:val="nil"/>
              <w:left w:val="nil"/>
              <w:bottom w:val="nil"/>
              <w:right w:val="nil"/>
            </w:tcBorders>
            <w:tcMar>
              <w:top w:w="128" w:type="dxa"/>
              <w:left w:w="43" w:type="dxa"/>
              <w:bottom w:w="43" w:type="dxa"/>
              <w:right w:w="43" w:type="dxa"/>
            </w:tcMar>
          </w:tcPr>
          <w:p w14:paraId="44FA538E" w14:textId="77777777" w:rsidR="00F7113A" w:rsidRPr="00580C0D" w:rsidRDefault="00142E5B" w:rsidP="001231A3">
            <w:r w:rsidRPr="00580C0D">
              <w:t xml:space="preserve">Omvend </w:t>
            </w:r>
            <w:proofErr w:type="spellStart"/>
            <w:r w:rsidRPr="00580C0D">
              <w:t>valdsalarm</w:t>
            </w:r>
            <w:proofErr w:type="spellEnd"/>
            <w:r w:rsidRPr="00580C0D">
              <w:t xml:space="preserve"> ved </w:t>
            </w:r>
            <w:proofErr w:type="spellStart"/>
            <w:r w:rsidRPr="00580C0D">
              <w:t>brot</w:t>
            </w:r>
            <w:proofErr w:type="spellEnd"/>
            <w:r w:rsidRPr="00580C0D">
              <w:t xml:space="preserve"> på </w:t>
            </w:r>
            <w:proofErr w:type="spellStart"/>
            <w:r w:rsidRPr="00580C0D">
              <w:t>besøksforbod</w:t>
            </w:r>
            <w:proofErr w:type="spellEnd"/>
          </w:p>
        </w:tc>
        <w:tc>
          <w:tcPr>
            <w:tcW w:w="1980" w:type="dxa"/>
            <w:tcBorders>
              <w:top w:val="nil"/>
              <w:left w:val="nil"/>
              <w:bottom w:val="nil"/>
              <w:right w:val="nil"/>
            </w:tcBorders>
            <w:tcMar>
              <w:top w:w="128" w:type="dxa"/>
              <w:left w:w="43" w:type="dxa"/>
              <w:bottom w:w="43" w:type="dxa"/>
              <w:right w:w="43" w:type="dxa"/>
            </w:tcMar>
          </w:tcPr>
          <w:p w14:paraId="52644B92" w14:textId="77777777" w:rsidR="00F7113A" w:rsidRPr="00580C0D" w:rsidRDefault="00142E5B" w:rsidP="001231A3">
            <w:pPr>
              <w:jc w:val="right"/>
            </w:pPr>
            <w:r w:rsidRPr="00580C0D">
              <w:t>Ja</w:t>
            </w:r>
          </w:p>
        </w:tc>
      </w:tr>
      <w:tr w:rsidR="00F7113A" w:rsidRPr="00580C0D" w14:paraId="63CB8194" w14:textId="77777777" w:rsidTr="001231A3">
        <w:trPr>
          <w:trHeight w:val="380"/>
        </w:trPr>
        <w:tc>
          <w:tcPr>
            <w:tcW w:w="1400" w:type="dxa"/>
            <w:tcBorders>
              <w:top w:val="nil"/>
              <w:left w:val="nil"/>
              <w:bottom w:val="nil"/>
              <w:right w:val="nil"/>
            </w:tcBorders>
            <w:tcMar>
              <w:top w:w="128" w:type="dxa"/>
              <w:left w:w="43" w:type="dxa"/>
              <w:bottom w:w="43" w:type="dxa"/>
              <w:right w:w="43" w:type="dxa"/>
            </w:tcMar>
          </w:tcPr>
          <w:p w14:paraId="51EA42DD" w14:textId="77777777" w:rsidR="00F7113A" w:rsidRPr="00580C0D" w:rsidRDefault="00142E5B" w:rsidP="001231A3">
            <w:r w:rsidRPr="00580C0D">
              <w:t>2016–2017</w:t>
            </w:r>
          </w:p>
        </w:tc>
        <w:tc>
          <w:tcPr>
            <w:tcW w:w="1120" w:type="dxa"/>
            <w:tcBorders>
              <w:top w:val="nil"/>
              <w:left w:val="nil"/>
              <w:bottom w:val="nil"/>
              <w:right w:val="nil"/>
            </w:tcBorders>
            <w:tcMar>
              <w:top w:w="128" w:type="dxa"/>
              <w:left w:w="43" w:type="dxa"/>
              <w:bottom w:w="43" w:type="dxa"/>
              <w:right w:w="43" w:type="dxa"/>
            </w:tcMar>
          </w:tcPr>
          <w:p w14:paraId="2313F652" w14:textId="77777777" w:rsidR="00F7113A" w:rsidRPr="00580C0D" w:rsidRDefault="00142E5B" w:rsidP="001231A3">
            <w:pPr>
              <w:ind w:right="284"/>
              <w:jc w:val="right"/>
            </w:pPr>
            <w:r w:rsidRPr="00580C0D">
              <w:t>631</w:t>
            </w:r>
          </w:p>
        </w:tc>
        <w:tc>
          <w:tcPr>
            <w:tcW w:w="5040" w:type="dxa"/>
            <w:tcBorders>
              <w:top w:val="nil"/>
              <w:left w:val="nil"/>
              <w:bottom w:val="nil"/>
              <w:right w:val="nil"/>
            </w:tcBorders>
            <w:tcMar>
              <w:top w:w="128" w:type="dxa"/>
              <w:left w:w="43" w:type="dxa"/>
              <w:bottom w:w="43" w:type="dxa"/>
              <w:right w:w="43" w:type="dxa"/>
            </w:tcMar>
          </w:tcPr>
          <w:p w14:paraId="4FDD800E" w14:textId="77777777" w:rsidR="00F7113A" w:rsidRPr="00580C0D" w:rsidRDefault="00142E5B" w:rsidP="001231A3">
            <w:proofErr w:type="spellStart"/>
            <w:r w:rsidRPr="00580C0D">
              <w:t>Besøksforbod</w:t>
            </w:r>
            <w:proofErr w:type="spellEnd"/>
          </w:p>
        </w:tc>
        <w:tc>
          <w:tcPr>
            <w:tcW w:w="1980" w:type="dxa"/>
            <w:tcBorders>
              <w:top w:val="nil"/>
              <w:left w:val="nil"/>
              <w:bottom w:val="nil"/>
              <w:right w:val="nil"/>
            </w:tcBorders>
            <w:tcMar>
              <w:top w:w="128" w:type="dxa"/>
              <w:left w:w="43" w:type="dxa"/>
              <w:bottom w:w="43" w:type="dxa"/>
              <w:right w:w="43" w:type="dxa"/>
            </w:tcMar>
          </w:tcPr>
          <w:p w14:paraId="7F8671DF" w14:textId="77777777" w:rsidR="00F7113A" w:rsidRPr="00580C0D" w:rsidRDefault="00142E5B" w:rsidP="001231A3">
            <w:pPr>
              <w:jc w:val="right"/>
            </w:pPr>
            <w:r w:rsidRPr="00580C0D">
              <w:t>Ja</w:t>
            </w:r>
          </w:p>
        </w:tc>
      </w:tr>
      <w:tr w:rsidR="00F7113A" w:rsidRPr="00580C0D" w14:paraId="33534F3B" w14:textId="77777777" w:rsidTr="001231A3">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1136F77D" w14:textId="77777777" w:rsidR="00F7113A" w:rsidRPr="00580C0D" w:rsidRDefault="00142E5B" w:rsidP="001231A3">
            <w:r w:rsidRPr="00580C0D">
              <w:t>2016–2017</w:t>
            </w:r>
          </w:p>
        </w:tc>
        <w:tc>
          <w:tcPr>
            <w:tcW w:w="1120" w:type="dxa"/>
            <w:tcBorders>
              <w:top w:val="nil"/>
              <w:left w:val="nil"/>
              <w:bottom w:val="single" w:sz="4" w:space="0" w:color="000000"/>
              <w:right w:val="nil"/>
            </w:tcBorders>
            <w:tcMar>
              <w:top w:w="128" w:type="dxa"/>
              <w:left w:w="43" w:type="dxa"/>
              <w:bottom w:w="43" w:type="dxa"/>
              <w:right w:w="43" w:type="dxa"/>
            </w:tcMar>
          </w:tcPr>
          <w:p w14:paraId="04C13F65" w14:textId="77777777" w:rsidR="00F7113A" w:rsidRPr="00580C0D" w:rsidRDefault="00142E5B" w:rsidP="001231A3">
            <w:pPr>
              <w:ind w:right="284"/>
              <w:jc w:val="right"/>
            </w:pPr>
            <w:r w:rsidRPr="00580C0D">
              <w:t>1043</w:t>
            </w:r>
          </w:p>
        </w:tc>
        <w:tc>
          <w:tcPr>
            <w:tcW w:w="5040" w:type="dxa"/>
            <w:tcBorders>
              <w:top w:val="nil"/>
              <w:left w:val="nil"/>
              <w:bottom w:val="single" w:sz="4" w:space="0" w:color="000000"/>
              <w:right w:val="nil"/>
            </w:tcBorders>
            <w:tcMar>
              <w:top w:w="128" w:type="dxa"/>
              <w:left w:w="43" w:type="dxa"/>
              <w:bottom w:w="43" w:type="dxa"/>
              <w:right w:w="43" w:type="dxa"/>
            </w:tcMar>
          </w:tcPr>
          <w:p w14:paraId="04A9B606" w14:textId="77777777" w:rsidR="00F7113A" w:rsidRPr="00580C0D" w:rsidRDefault="00142E5B" w:rsidP="001231A3">
            <w:r w:rsidRPr="00580C0D">
              <w:t xml:space="preserve">Omvend </w:t>
            </w:r>
            <w:proofErr w:type="spellStart"/>
            <w:r w:rsidRPr="00580C0D">
              <w:t>valdsalarm</w:t>
            </w:r>
            <w:proofErr w:type="spellEnd"/>
          </w:p>
        </w:tc>
        <w:tc>
          <w:tcPr>
            <w:tcW w:w="1980" w:type="dxa"/>
            <w:tcBorders>
              <w:top w:val="nil"/>
              <w:left w:val="nil"/>
              <w:bottom w:val="single" w:sz="4" w:space="0" w:color="000000"/>
              <w:right w:val="nil"/>
            </w:tcBorders>
            <w:tcMar>
              <w:top w:w="128" w:type="dxa"/>
              <w:left w:w="43" w:type="dxa"/>
              <w:bottom w:w="43" w:type="dxa"/>
              <w:right w:w="43" w:type="dxa"/>
            </w:tcMar>
          </w:tcPr>
          <w:p w14:paraId="7DB8BDB9" w14:textId="77777777" w:rsidR="00F7113A" w:rsidRPr="00580C0D" w:rsidRDefault="00142E5B" w:rsidP="001231A3">
            <w:pPr>
              <w:jc w:val="right"/>
            </w:pPr>
            <w:r w:rsidRPr="00580C0D">
              <w:t>Ja</w:t>
            </w:r>
          </w:p>
        </w:tc>
      </w:tr>
    </w:tbl>
    <w:p w14:paraId="64E4522D" w14:textId="77777777" w:rsidR="00F7113A" w:rsidRPr="00580C0D" w:rsidRDefault="00142E5B" w:rsidP="001A1B0B">
      <w:pPr>
        <w:pStyle w:val="Overskrift2"/>
        <w:numPr>
          <w:ilvl w:val="1"/>
          <w:numId w:val="28"/>
        </w:numPr>
      </w:pPr>
      <w:r w:rsidRPr="00580C0D">
        <w:t>Stortingssesjon 2022–2023</w:t>
      </w:r>
    </w:p>
    <w:p w14:paraId="263165A3" w14:textId="77777777" w:rsidR="00F7113A" w:rsidRPr="00580C0D" w:rsidRDefault="00142E5B" w:rsidP="00580C0D">
      <w:pPr>
        <w:pStyle w:val="avsnitt-tittel"/>
      </w:pPr>
      <w:r w:rsidRPr="00580C0D">
        <w:t xml:space="preserve">Oppretting av permanent </w:t>
      </w:r>
      <w:proofErr w:type="spellStart"/>
      <w:r w:rsidRPr="00580C0D">
        <w:t>partnardrapskommisjon</w:t>
      </w:r>
      <w:proofErr w:type="spellEnd"/>
    </w:p>
    <w:p w14:paraId="5014D729" w14:textId="77777777" w:rsidR="00F7113A" w:rsidRPr="00580C0D" w:rsidRDefault="00142E5B" w:rsidP="00580C0D">
      <w:pPr>
        <w:pStyle w:val="avsnitt-undertittel"/>
      </w:pPr>
      <w:r w:rsidRPr="00580C0D">
        <w:t>Vedtak nr. 131, 6. desember 2022</w:t>
      </w:r>
    </w:p>
    <w:p w14:paraId="4A8F1B88" w14:textId="77777777" w:rsidR="00F7113A" w:rsidRPr="00580C0D" w:rsidRDefault="00142E5B" w:rsidP="00580C0D">
      <w:pPr>
        <w:pStyle w:val="blokksit"/>
        <w:rPr>
          <w:rStyle w:val="kursiv"/>
        </w:rPr>
      </w:pPr>
      <w:r w:rsidRPr="00580C0D">
        <w:rPr>
          <w:rStyle w:val="kursiv"/>
        </w:rPr>
        <w:t>«Stortinget ber regjeringen snarest mulig opprette en permanent partnerdrapskommisjon».</w:t>
      </w:r>
    </w:p>
    <w:p w14:paraId="6F200FDD" w14:textId="77777777" w:rsidR="00F7113A" w:rsidRPr="00580C0D" w:rsidRDefault="00142E5B" w:rsidP="00580C0D">
      <w:r w:rsidRPr="00580C0D">
        <w:t xml:space="preserve">Dokumenta som ligg til grunn for vedtaket, er Dokument 8:218 S (2021–2022) og </w:t>
      </w:r>
      <w:proofErr w:type="spellStart"/>
      <w:r w:rsidRPr="00580C0D">
        <w:t>Innst</w:t>
      </w:r>
      <w:proofErr w:type="spellEnd"/>
      <w:r w:rsidRPr="00580C0D">
        <w:t xml:space="preserve">. 64 S (2022–2023) </w:t>
      </w:r>
      <w:proofErr w:type="spellStart"/>
      <w:r w:rsidRPr="00580C0D">
        <w:t>frå</w:t>
      </w:r>
      <w:proofErr w:type="spellEnd"/>
      <w:r w:rsidRPr="00580C0D">
        <w:t xml:space="preserve"> justiskomiteen.</w:t>
      </w:r>
    </w:p>
    <w:p w14:paraId="3C0D7ADC" w14:textId="77777777" w:rsidR="00F7113A" w:rsidRPr="00580C0D" w:rsidRDefault="00142E5B" w:rsidP="00580C0D">
      <w:r w:rsidRPr="00580C0D">
        <w:t xml:space="preserve">Vedtaket er under behandling. Departementet arbeider med </w:t>
      </w:r>
      <w:proofErr w:type="spellStart"/>
      <w:r w:rsidRPr="00580C0D">
        <w:t>eit</w:t>
      </w:r>
      <w:proofErr w:type="spellEnd"/>
      <w:r w:rsidRPr="00580C0D">
        <w:t xml:space="preserve"> </w:t>
      </w:r>
      <w:proofErr w:type="spellStart"/>
      <w:r w:rsidRPr="00580C0D">
        <w:t>høyringsnotat</w:t>
      </w:r>
      <w:proofErr w:type="spellEnd"/>
      <w:r w:rsidRPr="00580C0D">
        <w:t xml:space="preserve"> med forslag til lovregulering av kommisjonen sitt arbeid. Kommisjonen er lagt til Statens sivilrettsforvaltning, og oppstart er planlagt i 2024.</w:t>
      </w:r>
    </w:p>
    <w:p w14:paraId="6C2F2136" w14:textId="77777777" w:rsidR="00F7113A" w:rsidRPr="00580C0D" w:rsidRDefault="00142E5B" w:rsidP="00580C0D">
      <w:pPr>
        <w:pStyle w:val="avsnitt-tittel"/>
      </w:pPr>
      <w:r w:rsidRPr="00580C0D">
        <w:t xml:space="preserve">Nasjonalt </w:t>
      </w:r>
      <w:proofErr w:type="spellStart"/>
      <w:r w:rsidRPr="00580C0D">
        <w:t>førebyggingsprogram</w:t>
      </w:r>
      <w:proofErr w:type="spellEnd"/>
      <w:r w:rsidRPr="00580C0D">
        <w:t xml:space="preserve"> mot </w:t>
      </w:r>
      <w:proofErr w:type="spellStart"/>
      <w:r w:rsidRPr="00580C0D">
        <w:t>partnarvald</w:t>
      </w:r>
      <w:proofErr w:type="spellEnd"/>
      <w:r w:rsidRPr="00580C0D">
        <w:t xml:space="preserve"> og </w:t>
      </w:r>
      <w:proofErr w:type="spellStart"/>
      <w:r w:rsidRPr="00580C0D">
        <w:t>partnardrap</w:t>
      </w:r>
      <w:proofErr w:type="spellEnd"/>
    </w:p>
    <w:p w14:paraId="671A05E8" w14:textId="77777777" w:rsidR="00F7113A" w:rsidRPr="00580C0D" w:rsidRDefault="00142E5B" w:rsidP="00580C0D">
      <w:pPr>
        <w:pStyle w:val="avsnitt-undertittel"/>
      </w:pPr>
      <w:r w:rsidRPr="00580C0D">
        <w:t>Vedtak nr. 132, 6. desember 2022</w:t>
      </w:r>
    </w:p>
    <w:p w14:paraId="6C6187B2" w14:textId="77777777" w:rsidR="00F7113A" w:rsidRPr="00580C0D" w:rsidRDefault="00142E5B" w:rsidP="00580C0D">
      <w:pPr>
        <w:pStyle w:val="blokksit"/>
        <w:rPr>
          <w:rStyle w:val="kursiv"/>
        </w:rPr>
      </w:pPr>
      <w:r w:rsidRPr="00580C0D">
        <w:rPr>
          <w:rStyle w:val="kursiv"/>
        </w:rPr>
        <w:t>«Stortinget ber regjeringen utarbeide et nasjonalt forebyggingsprogram for en samordnet innsats mot partnervold og partnerdrap».</w:t>
      </w:r>
    </w:p>
    <w:p w14:paraId="749F9F83" w14:textId="77777777" w:rsidR="00F7113A" w:rsidRPr="00580C0D" w:rsidRDefault="00142E5B" w:rsidP="00580C0D">
      <w:r w:rsidRPr="00580C0D">
        <w:t xml:space="preserve">Dokumenta som ligg til grunn for vedtaket, er Dokument 8:218 S (2021–2022) og </w:t>
      </w:r>
      <w:proofErr w:type="spellStart"/>
      <w:r w:rsidRPr="00580C0D">
        <w:t>Innst</w:t>
      </w:r>
      <w:proofErr w:type="spellEnd"/>
      <w:r w:rsidRPr="00580C0D">
        <w:t xml:space="preserve">. 64 S (2022–2023) </w:t>
      </w:r>
      <w:proofErr w:type="spellStart"/>
      <w:r w:rsidRPr="00580C0D">
        <w:t>frå</w:t>
      </w:r>
      <w:proofErr w:type="spellEnd"/>
      <w:r w:rsidRPr="00580C0D">
        <w:t xml:space="preserve"> justiskomiteen.</w:t>
      </w:r>
    </w:p>
    <w:p w14:paraId="2AB75B81" w14:textId="77777777" w:rsidR="00F7113A" w:rsidRPr="00580C0D" w:rsidRDefault="00142E5B" w:rsidP="00580C0D">
      <w:r w:rsidRPr="00580C0D">
        <w:t>Vedtaket er under behandling.</w:t>
      </w:r>
    </w:p>
    <w:p w14:paraId="573E2187" w14:textId="77777777" w:rsidR="00F7113A" w:rsidRPr="00580C0D" w:rsidRDefault="00142E5B" w:rsidP="00580C0D">
      <w:pPr>
        <w:pStyle w:val="avsnitt-tittel"/>
      </w:pPr>
      <w:r w:rsidRPr="00580C0D">
        <w:t xml:space="preserve">Kommunale </w:t>
      </w:r>
      <w:proofErr w:type="spellStart"/>
      <w:r w:rsidRPr="00580C0D">
        <w:t>handlingsplanar</w:t>
      </w:r>
      <w:proofErr w:type="spellEnd"/>
      <w:r w:rsidRPr="00580C0D">
        <w:t xml:space="preserve"> mot vald i nære </w:t>
      </w:r>
      <w:proofErr w:type="spellStart"/>
      <w:r w:rsidRPr="00580C0D">
        <w:t>relasjonar</w:t>
      </w:r>
      <w:proofErr w:type="spellEnd"/>
    </w:p>
    <w:p w14:paraId="059924B1" w14:textId="77777777" w:rsidR="00F7113A" w:rsidRPr="00580C0D" w:rsidRDefault="00142E5B" w:rsidP="00580C0D">
      <w:pPr>
        <w:pStyle w:val="avsnitt-undertittel"/>
      </w:pPr>
      <w:r w:rsidRPr="00580C0D">
        <w:t>Vedtak nr. 133, 6. desember 2022</w:t>
      </w:r>
    </w:p>
    <w:p w14:paraId="5F215C50" w14:textId="77777777" w:rsidR="00F7113A" w:rsidRPr="00580C0D" w:rsidRDefault="00142E5B" w:rsidP="00580C0D">
      <w:pPr>
        <w:pStyle w:val="blokksit"/>
        <w:rPr>
          <w:rStyle w:val="kursiv"/>
        </w:rPr>
      </w:pPr>
      <w:r w:rsidRPr="00580C0D">
        <w:rPr>
          <w:rStyle w:val="kursiv"/>
        </w:rPr>
        <w:t>«Stortinget ber regjeringen påse at kommunene, enten i egen regi eller i interkommunalt samarbeid, har vedtatt en handlingsplan mot vold i nære relasjoner».</w:t>
      </w:r>
    </w:p>
    <w:p w14:paraId="1DDF43E1" w14:textId="77777777" w:rsidR="00F7113A" w:rsidRPr="00580C0D" w:rsidRDefault="00142E5B" w:rsidP="00580C0D">
      <w:r w:rsidRPr="00580C0D">
        <w:t xml:space="preserve">Dokumenta som ligg til grunn for vedtaket, er Dokument 8:218 S (2021–2022) og </w:t>
      </w:r>
      <w:proofErr w:type="spellStart"/>
      <w:r w:rsidRPr="00580C0D">
        <w:t>Innst</w:t>
      </w:r>
      <w:proofErr w:type="spellEnd"/>
      <w:r w:rsidRPr="00580C0D">
        <w:t xml:space="preserve">. 64 S (2022–2023) </w:t>
      </w:r>
      <w:proofErr w:type="spellStart"/>
      <w:r w:rsidRPr="00580C0D">
        <w:t>frå</w:t>
      </w:r>
      <w:proofErr w:type="spellEnd"/>
      <w:r w:rsidRPr="00580C0D">
        <w:t xml:space="preserve"> justiskomiteen.</w:t>
      </w:r>
    </w:p>
    <w:p w14:paraId="193BC7E9" w14:textId="77777777" w:rsidR="00F7113A" w:rsidRPr="00580C0D" w:rsidRDefault="00142E5B" w:rsidP="00580C0D">
      <w:r w:rsidRPr="00580C0D">
        <w:t>Vedtaket er under behandling.</w:t>
      </w:r>
    </w:p>
    <w:p w14:paraId="2570FFD3" w14:textId="77777777" w:rsidR="00F7113A" w:rsidRPr="00580C0D" w:rsidRDefault="00142E5B" w:rsidP="00580C0D">
      <w:pPr>
        <w:pStyle w:val="avsnitt-tittel"/>
      </w:pPr>
      <w:r w:rsidRPr="00580C0D">
        <w:t xml:space="preserve">Oppdatert kunnskapsgrunnlag om vald i nære </w:t>
      </w:r>
      <w:proofErr w:type="spellStart"/>
      <w:r w:rsidRPr="00580C0D">
        <w:t>relasjonar</w:t>
      </w:r>
      <w:proofErr w:type="spellEnd"/>
    </w:p>
    <w:p w14:paraId="7B1314BF" w14:textId="77777777" w:rsidR="00F7113A" w:rsidRPr="00580C0D" w:rsidRDefault="00142E5B" w:rsidP="00580C0D">
      <w:pPr>
        <w:pStyle w:val="avsnitt-undertittel"/>
      </w:pPr>
      <w:r w:rsidRPr="00580C0D">
        <w:t>Vedtak nr. 134, 6. desember 2022</w:t>
      </w:r>
    </w:p>
    <w:p w14:paraId="260FCE16" w14:textId="77777777" w:rsidR="00F7113A" w:rsidRPr="00580C0D" w:rsidRDefault="00142E5B" w:rsidP="00580C0D">
      <w:pPr>
        <w:pStyle w:val="blokksit"/>
        <w:rPr>
          <w:rStyle w:val="kursiv"/>
        </w:rPr>
      </w:pPr>
      <w:r w:rsidRPr="00580C0D">
        <w:rPr>
          <w:rStyle w:val="kursiv"/>
        </w:rPr>
        <w:t>«Stortinget ber regjeringen sørge for et godt og oppdatert kunnskapsgrunnlag om vold i nære relasjoner».</w:t>
      </w:r>
    </w:p>
    <w:p w14:paraId="4761EEA5" w14:textId="77777777" w:rsidR="00F7113A" w:rsidRPr="00580C0D" w:rsidRDefault="00142E5B" w:rsidP="00580C0D">
      <w:r w:rsidRPr="00580C0D">
        <w:t xml:space="preserve">Dokumenta som ligg til grunn for vedtaket, er Dokument 8:218 S (2021–2022) og </w:t>
      </w:r>
      <w:proofErr w:type="spellStart"/>
      <w:r w:rsidRPr="00580C0D">
        <w:t>Innst</w:t>
      </w:r>
      <w:proofErr w:type="spellEnd"/>
      <w:r w:rsidRPr="00580C0D">
        <w:t xml:space="preserve">. 64 S (2022–2023) </w:t>
      </w:r>
      <w:proofErr w:type="spellStart"/>
      <w:r w:rsidRPr="00580C0D">
        <w:t>frå</w:t>
      </w:r>
      <w:proofErr w:type="spellEnd"/>
      <w:r w:rsidRPr="00580C0D">
        <w:t xml:space="preserve"> justiskomiteen.</w:t>
      </w:r>
    </w:p>
    <w:p w14:paraId="130D02D1" w14:textId="77777777" w:rsidR="00F7113A" w:rsidRPr="00580C0D" w:rsidRDefault="00142E5B" w:rsidP="00580C0D">
      <w:r w:rsidRPr="00580C0D">
        <w:t>Vedtaket er under behandling.</w:t>
      </w:r>
    </w:p>
    <w:p w14:paraId="7531BB5A" w14:textId="77777777" w:rsidR="00F7113A" w:rsidRPr="00580C0D" w:rsidRDefault="00142E5B" w:rsidP="00580C0D">
      <w:pPr>
        <w:pStyle w:val="avsnitt-tittel"/>
      </w:pPr>
      <w:r w:rsidRPr="00580C0D">
        <w:t xml:space="preserve">Bruk av </w:t>
      </w:r>
      <w:proofErr w:type="spellStart"/>
      <w:r w:rsidRPr="00580C0D">
        <w:t>åleinesamtalar</w:t>
      </w:r>
      <w:proofErr w:type="spellEnd"/>
      <w:r w:rsidRPr="00580C0D">
        <w:t xml:space="preserve"> i hjelpeapparatet</w:t>
      </w:r>
    </w:p>
    <w:p w14:paraId="0FED6B14" w14:textId="77777777" w:rsidR="00F7113A" w:rsidRPr="00580C0D" w:rsidRDefault="00142E5B" w:rsidP="00580C0D">
      <w:pPr>
        <w:pStyle w:val="avsnitt-undertittel"/>
      </w:pPr>
      <w:r w:rsidRPr="00580C0D">
        <w:t>Vedtak nr. 135, 6. desember 2022</w:t>
      </w:r>
    </w:p>
    <w:p w14:paraId="223189A7" w14:textId="77777777" w:rsidR="00F7113A" w:rsidRPr="00580C0D" w:rsidRDefault="00142E5B" w:rsidP="00580C0D">
      <w:pPr>
        <w:pStyle w:val="blokksit"/>
        <w:rPr>
          <w:rStyle w:val="kursiv"/>
        </w:rPr>
      </w:pPr>
      <w:r w:rsidRPr="00580C0D">
        <w:rPr>
          <w:rStyle w:val="kursiv"/>
        </w:rPr>
        <w:t>«Stortinget ber regjeringen legge til rette for at politi og annet hjelpeapparat rutinemessig tilbyr brukere alenesamtaler, og at slike samtaler er obligatoriske i deler av hjelpeapparatet, i tråd med partnerdrapsutvalgets anbefaling.»</w:t>
      </w:r>
    </w:p>
    <w:p w14:paraId="617A85A9" w14:textId="77777777" w:rsidR="00F7113A" w:rsidRPr="00580C0D" w:rsidRDefault="00142E5B" w:rsidP="00580C0D">
      <w:r w:rsidRPr="00580C0D">
        <w:t xml:space="preserve">Dokumenta som ligg til grunn for vedtaket, er Dokument 8:218 S (2021–2022) og </w:t>
      </w:r>
      <w:proofErr w:type="spellStart"/>
      <w:r w:rsidRPr="00580C0D">
        <w:t>Innst</w:t>
      </w:r>
      <w:proofErr w:type="spellEnd"/>
      <w:r w:rsidRPr="00580C0D">
        <w:t xml:space="preserve">. 64 S (2022–2023) </w:t>
      </w:r>
      <w:proofErr w:type="spellStart"/>
      <w:r w:rsidRPr="00580C0D">
        <w:t>frå</w:t>
      </w:r>
      <w:proofErr w:type="spellEnd"/>
      <w:r w:rsidRPr="00580C0D">
        <w:t xml:space="preserve"> justiskomiteen.</w:t>
      </w:r>
    </w:p>
    <w:p w14:paraId="346694DD" w14:textId="77777777" w:rsidR="00F7113A" w:rsidRPr="00580C0D" w:rsidRDefault="00142E5B" w:rsidP="00580C0D">
      <w:r w:rsidRPr="00580C0D">
        <w:t>Vedtaket er under behandling.</w:t>
      </w:r>
    </w:p>
    <w:p w14:paraId="5E69AE69" w14:textId="77777777" w:rsidR="00F7113A" w:rsidRPr="00580C0D" w:rsidRDefault="00142E5B" w:rsidP="00580C0D">
      <w:pPr>
        <w:pStyle w:val="avsnitt-tittel"/>
      </w:pPr>
      <w:r w:rsidRPr="00580C0D">
        <w:t>Betre dokumentering og informasjonsutveksling i hjelpeapparatet</w:t>
      </w:r>
    </w:p>
    <w:p w14:paraId="1754E0F7" w14:textId="77777777" w:rsidR="00F7113A" w:rsidRPr="00580C0D" w:rsidRDefault="00142E5B" w:rsidP="00580C0D">
      <w:pPr>
        <w:pStyle w:val="avsnitt-undertittel"/>
      </w:pPr>
      <w:r w:rsidRPr="00580C0D">
        <w:t>Vedtak nr. 136, 6. desember 2022</w:t>
      </w:r>
    </w:p>
    <w:p w14:paraId="2E473002" w14:textId="77777777" w:rsidR="00F7113A" w:rsidRPr="00580C0D" w:rsidRDefault="00142E5B" w:rsidP="00580C0D">
      <w:pPr>
        <w:pStyle w:val="blokksit"/>
        <w:rPr>
          <w:rStyle w:val="kursiv"/>
        </w:rPr>
      </w:pPr>
      <w:r w:rsidRPr="00580C0D">
        <w:rPr>
          <w:rStyle w:val="kursiv"/>
        </w:rPr>
        <w:t>«Stortinget ber regjeringen legge til rette for bedre dokumentasjonsrutiner og styrke kompetansen på reglene om informasjonsutveksling mellom politi og annet hjelpeapparat, i tråd med partnerdrapsutvalgets anbefaling.»</w:t>
      </w:r>
    </w:p>
    <w:p w14:paraId="7C09931E" w14:textId="77777777" w:rsidR="00F7113A" w:rsidRPr="00580C0D" w:rsidRDefault="00142E5B" w:rsidP="00580C0D">
      <w:r w:rsidRPr="00580C0D">
        <w:t xml:space="preserve">Dokumenta som ligg til grunn for vedtaket, er Dokument 8:218 S (2021–2022) og </w:t>
      </w:r>
      <w:proofErr w:type="spellStart"/>
      <w:r w:rsidRPr="00580C0D">
        <w:t>Innst</w:t>
      </w:r>
      <w:proofErr w:type="spellEnd"/>
      <w:r w:rsidRPr="00580C0D">
        <w:t xml:space="preserve">. 64 S (2022–2023) </w:t>
      </w:r>
      <w:proofErr w:type="spellStart"/>
      <w:r w:rsidRPr="00580C0D">
        <w:t>frå</w:t>
      </w:r>
      <w:proofErr w:type="spellEnd"/>
      <w:r w:rsidRPr="00580C0D">
        <w:t xml:space="preserve"> justiskomiteen. Vedtaket er under behandling.</w:t>
      </w:r>
    </w:p>
    <w:p w14:paraId="165DD04D" w14:textId="77777777" w:rsidR="00F7113A" w:rsidRPr="00580C0D" w:rsidRDefault="00142E5B" w:rsidP="00580C0D">
      <w:pPr>
        <w:pStyle w:val="avsnitt-tittel"/>
      </w:pPr>
      <w:r w:rsidRPr="00580C0D">
        <w:t>Elektronisk kontroll ved fotlenke med GPS-</w:t>
      </w:r>
      <w:proofErr w:type="spellStart"/>
      <w:r w:rsidRPr="00580C0D">
        <w:t>sendar</w:t>
      </w:r>
      <w:proofErr w:type="spellEnd"/>
      <w:r w:rsidRPr="00580C0D">
        <w:t xml:space="preserve"> for </w:t>
      </w:r>
      <w:proofErr w:type="spellStart"/>
      <w:r w:rsidRPr="00580C0D">
        <w:t>forvaringsdømde</w:t>
      </w:r>
      <w:proofErr w:type="spellEnd"/>
    </w:p>
    <w:p w14:paraId="280CCAC1" w14:textId="77777777" w:rsidR="00F7113A" w:rsidRPr="00580C0D" w:rsidRDefault="00142E5B" w:rsidP="00580C0D">
      <w:pPr>
        <w:pStyle w:val="avsnitt-undertittel"/>
      </w:pPr>
      <w:r w:rsidRPr="00580C0D">
        <w:t>Vedtak nr. 139, 6. desember 2022</w:t>
      </w:r>
    </w:p>
    <w:p w14:paraId="0DCB0B1C" w14:textId="77777777" w:rsidR="00F7113A" w:rsidRPr="00580C0D" w:rsidRDefault="00142E5B" w:rsidP="00580C0D">
      <w:pPr>
        <w:pStyle w:val="blokksit"/>
        <w:rPr>
          <w:rStyle w:val="kursiv"/>
        </w:rPr>
      </w:pPr>
      <w:r w:rsidRPr="00580C0D">
        <w:rPr>
          <w:rStyle w:val="kursiv"/>
        </w:rPr>
        <w:t>«Stortinget ber regjeringen sikre adgang til å sette vilkår om elektronisk kontroll ved fotlenke med GPS-sender for forvaringsdømte under permisjon fra soning, og om nødvendig fremme forslag om nødvendige lovendringer for å oppnå formålet.»</w:t>
      </w:r>
    </w:p>
    <w:p w14:paraId="4175DF1A" w14:textId="77777777" w:rsidR="00F7113A" w:rsidRPr="00580C0D" w:rsidRDefault="00142E5B" w:rsidP="00580C0D">
      <w:r w:rsidRPr="00580C0D">
        <w:t xml:space="preserve">Dokumenta som ligg til grunn for vedtaket, er Dokument 8:261 S (2021–2022) og </w:t>
      </w:r>
      <w:proofErr w:type="spellStart"/>
      <w:r w:rsidRPr="00580C0D">
        <w:t>Innst</w:t>
      </w:r>
      <w:proofErr w:type="spellEnd"/>
      <w:r w:rsidRPr="00580C0D">
        <w:t>. 93 S (2022–2023).</w:t>
      </w:r>
    </w:p>
    <w:p w14:paraId="61FCCF8B" w14:textId="77777777" w:rsidR="00F7113A" w:rsidRPr="00580C0D" w:rsidRDefault="00142E5B" w:rsidP="00580C0D">
      <w:r w:rsidRPr="00580C0D">
        <w:t>Vedtaket er under behandling.</w:t>
      </w:r>
    </w:p>
    <w:p w14:paraId="3AB3054D" w14:textId="77777777" w:rsidR="00F7113A" w:rsidRPr="00580C0D" w:rsidRDefault="00142E5B" w:rsidP="00580C0D">
      <w:pPr>
        <w:pStyle w:val="avsnitt-tittel"/>
      </w:pPr>
      <w:r w:rsidRPr="00580C0D">
        <w:t xml:space="preserve">Evaluering av ordninga med </w:t>
      </w:r>
      <w:proofErr w:type="spellStart"/>
      <w:r w:rsidRPr="00580C0D">
        <w:t>statleg</w:t>
      </w:r>
      <w:proofErr w:type="spellEnd"/>
      <w:r w:rsidRPr="00580C0D">
        <w:t xml:space="preserve"> finansiert prøvelauslating</w:t>
      </w:r>
    </w:p>
    <w:p w14:paraId="00DF33D7" w14:textId="77777777" w:rsidR="00F7113A" w:rsidRPr="00580C0D" w:rsidRDefault="00142E5B" w:rsidP="00580C0D">
      <w:pPr>
        <w:pStyle w:val="avsnitt-undertittel"/>
      </w:pPr>
      <w:r w:rsidRPr="00580C0D">
        <w:t>Vedtak nr. 140, 6. desember 2022</w:t>
      </w:r>
    </w:p>
    <w:p w14:paraId="0DD482EB" w14:textId="77777777" w:rsidR="00F7113A" w:rsidRPr="00580C0D" w:rsidRDefault="00142E5B" w:rsidP="00580C0D">
      <w:pPr>
        <w:pStyle w:val="blokksit"/>
        <w:rPr>
          <w:rStyle w:val="kursiv"/>
        </w:rPr>
      </w:pPr>
      <w:r w:rsidRPr="00580C0D">
        <w:rPr>
          <w:rStyle w:val="kursiv"/>
        </w:rPr>
        <w:t>«Stortinget ber regjeringen gjennomføre en bred evaluering av ordningen med statlig finansiert prøveløslatelse.»</w:t>
      </w:r>
    </w:p>
    <w:p w14:paraId="2CAF339C" w14:textId="77777777" w:rsidR="00F7113A" w:rsidRPr="00580C0D" w:rsidRDefault="00142E5B" w:rsidP="00580C0D">
      <w:r w:rsidRPr="00580C0D">
        <w:t xml:space="preserve">Dokumenta som ligg til grunn for vedtaket, er Dokument 8:257 S (2021–2022) og </w:t>
      </w:r>
      <w:proofErr w:type="spellStart"/>
      <w:r w:rsidRPr="00580C0D">
        <w:t>Innst</w:t>
      </w:r>
      <w:proofErr w:type="spellEnd"/>
      <w:r w:rsidRPr="00580C0D">
        <w:t>. 96 S (2022–2023).</w:t>
      </w:r>
    </w:p>
    <w:p w14:paraId="585BBC87" w14:textId="77777777" w:rsidR="00F7113A" w:rsidRPr="00580C0D" w:rsidRDefault="00142E5B" w:rsidP="00580C0D">
      <w:r w:rsidRPr="00580C0D">
        <w:t xml:space="preserve">Vedtaket blir </w:t>
      </w:r>
      <w:proofErr w:type="spellStart"/>
      <w:r w:rsidRPr="00580C0D">
        <w:t>følgt</w:t>
      </w:r>
      <w:proofErr w:type="spellEnd"/>
      <w:r w:rsidRPr="00580C0D">
        <w:t xml:space="preserve"> opp gjennom det nyoppretta </w:t>
      </w:r>
      <w:proofErr w:type="spellStart"/>
      <w:r w:rsidRPr="00580C0D">
        <w:t>utvalet</w:t>
      </w:r>
      <w:proofErr w:type="spellEnd"/>
      <w:r w:rsidRPr="00580C0D">
        <w:t xml:space="preserve"> som skal evaluere </w:t>
      </w:r>
      <w:proofErr w:type="spellStart"/>
      <w:r w:rsidRPr="00580C0D">
        <w:t>ordningane</w:t>
      </w:r>
      <w:proofErr w:type="spellEnd"/>
      <w:r w:rsidRPr="00580C0D">
        <w:t xml:space="preserve"> med forvaring, </w:t>
      </w:r>
      <w:proofErr w:type="spellStart"/>
      <w:r w:rsidRPr="00580C0D">
        <w:t>særreaksjonane</w:t>
      </w:r>
      <w:proofErr w:type="spellEnd"/>
      <w:r w:rsidRPr="00580C0D">
        <w:t xml:space="preserve"> </w:t>
      </w:r>
      <w:proofErr w:type="spellStart"/>
      <w:r w:rsidRPr="00580C0D">
        <w:t>tvunge</w:t>
      </w:r>
      <w:proofErr w:type="spellEnd"/>
      <w:r w:rsidRPr="00580C0D">
        <w:t xml:space="preserve"> psykisk helsevern og tvungen omsorg, og som skal greie ut varetakinga av domfelte og innsette med </w:t>
      </w:r>
      <w:proofErr w:type="spellStart"/>
      <w:r w:rsidRPr="00580C0D">
        <w:t>alvorlege</w:t>
      </w:r>
      <w:proofErr w:type="spellEnd"/>
      <w:r w:rsidRPr="00580C0D">
        <w:t xml:space="preserve"> psykiske </w:t>
      </w:r>
      <w:proofErr w:type="spellStart"/>
      <w:r w:rsidRPr="00580C0D">
        <w:t>lidingar</w:t>
      </w:r>
      <w:proofErr w:type="spellEnd"/>
      <w:r w:rsidRPr="00580C0D">
        <w:t xml:space="preserve"> eller utviklingshemming. </w:t>
      </w:r>
      <w:proofErr w:type="spellStart"/>
      <w:r w:rsidRPr="00580C0D">
        <w:t>Utvalet</w:t>
      </w:r>
      <w:proofErr w:type="spellEnd"/>
      <w:r w:rsidRPr="00580C0D">
        <w:t xml:space="preserve"> vart </w:t>
      </w:r>
      <w:proofErr w:type="spellStart"/>
      <w:r w:rsidRPr="00580C0D">
        <w:t>utnemnt</w:t>
      </w:r>
      <w:proofErr w:type="spellEnd"/>
      <w:r w:rsidRPr="00580C0D">
        <w:t xml:space="preserve"> av Kongen i statsråd 20. juni 2023, og utgreiinga skal leverast </w:t>
      </w:r>
      <w:proofErr w:type="spellStart"/>
      <w:r w:rsidRPr="00580C0D">
        <w:t>innan</w:t>
      </w:r>
      <w:proofErr w:type="spellEnd"/>
      <w:r w:rsidRPr="00580C0D">
        <w:t xml:space="preserve"> 1. september 2024. </w:t>
      </w:r>
      <w:proofErr w:type="spellStart"/>
      <w:r w:rsidRPr="00580C0D">
        <w:t>Utvalet</w:t>
      </w:r>
      <w:proofErr w:type="spellEnd"/>
      <w:r w:rsidRPr="00580C0D">
        <w:t xml:space="preserve"> skal bl.a. evaluere ordninga med </w:t>
      </w:r>
      <w:proofErr w:type="spellStart"/>
      <w:r w:rsidRPr="00580C0D">
        <w:t>statleg</w:t>
      </w:r>
      <w:proofErr w:type="spellEnd"/>
      <w:r w:rsidRPr="00580C0D">
        <w:t xml:space="preserve"> finansiert prøvelauslating av </w:t>
      </w:r>
      <w:proofErr w:type="spellStart"/>
      <w:r w:rsidRPr="00580C0D">
        <w:t>forvaringsdømde</w:t>
      </w:r>
      <w:proofErr w:type="spellEnd"/>
      <w:r w:rsidRPr="00580C0D">
        <w:t xml:space="preserve"> til plassering i institusjon eller kommunal </w:t>
      </w:r>
      <w:proofErr w:type="spellStart"/>
      <w:r w:rsidRPr="00580C0D">
        <w:t>bueining</w:t>
      </w:r>
      <w:proofErr w:type="spellEnd"/>
      <w:r w:rsidRPr="00580C0D">
        <w:t>.</w:t>
      </w:r>
    </w:p>
    <w:p w14:paraId="525C68DC" w14:textId="77777777" w:rsidR="00F7113A" w:rsidRPr="00580C0D" w:rsidRDefault="00142E5B" w:rsidP="00580C0D">
      <w:pPr>
        <w:pStyle w:val="avsnitt-tittel"/>
      </w:pPr>
      <w:r w:rsidRPr="00580C0D">
        <w:t xml:space="preserve">Utgreiing av alternativ til ordninga med </w:t>
      </w:r>
      <w:proofErr w:type="spellStart"/>
      <w:r w:rsidRPr="00580C0D">
        <w:t>statleg</w:t>
      </w:r>
      <w:proofErr w:type="spellEnd"/>
      <w:r w:rsidRPr="00580C0D">
        <w:t xml:space="preserve"> finansiert prøvelauslating</w:t>
      </w:r>
    </w:p>
    <w:p w14:paraId="3E2FB1F7" w14:textId="77777777" w:rsidR="00F7113A" w:rsidRPr="00580C0D" w:rsidRDefault="00142E5B" w:rsidP="00580C0D">
      <w:pPr>
        <w:pStyle w:val="avsnitt-undertittel"/>
      </w:pPr>
      <w:r w:rsidRPr="00580C0D">
        <w:t>Vedtak nr. 141, 6. desember 2022</w:t>
      </w:r>
    </w:p>
    <w:p w14:paraId="46CB15BD" w14:textId="77777777" w:rsidR="00F7113A" w:rsidRPr="00580C0D" w:rsidRDefault="00142E5B" w:rsidP="00580C0D">
      <w:pPr>
        <w:pStyle w:val="blokksit"/>
        <w:rPr>
          <w:rStyle w:val="kursiv"/>
        </w:rPr>
      </w:pPr>
      <w:r w:rsidRPr="00580C0D">
        <w:rPr>
          <w:rStyle w:val="kursiv"/>
        </w:rPr>
        <w:t>«Stortinget ber regjeringen utrede alternativer til ordningen med statlig finansiert prøveløslatelse, herunder</w:t>
      </w:r>
    </w:p>
    <w:p w14:paraId="780DD8A9" w14:textId="77777777" w:rsidR="00F7113A" w:rsidRPr="00580C0D" w:rsidRDefault="00142E5B" w:rsidP="00580C0D">
      <w:pPr>
        <w:pStyle w:val="blokksit"/>
        <w:rPr>
          <w:rStyle w:val="kursiv"/>
        </w:rPr>
      </w:pPr>
      <w:r w:rsidRPr="00580C0D">
        <w:rPr>
          <w:rStyle w:val="kursiv"/>
        </w:rPr>
        <w:t>en ny form for særreaksjon rettet mot personer som er forvaringsdømt og forsøkt rehabilitert, men som på grunn av dårlig psykisk funksjonsevne vil ha permanent behov for grensesettende omsorg</w:t>
      </w:r>
    </w:p>
    <w:p w14:paraId="463DC5E7" w14:textId="77777777" w:rsidR="00F7113A" w:rsidRPr="00580C0D" w:rsidRDefault="00142E5B" w:rsidP="00580C0D">
      <w:pPr>
        <w:pStyle w:val="blokksit"/>
        <w:rPr>
          <w:rStyle w:val="kursiv"/>
        </w:rPr>
      </w:pPr>
      <w:r w:rsidRPr="00580C0D">
        <w:rPr>
          <w:rStyle w:val="kursiv"/>
        </w:rPr>
        <w:t>en ny type institusjon for personer som dømmes til denne formen for særreaksjon, samt hvordan en slik organisasjon bør organiseres og finansieres.»</w:t>
      </w:r>
    </w:p>
    <w:p w14:paraId="4ADE0828" w14:textId="77777777" w:rsidR="00F7113A" w:rsidRPr="00580C0D" w:rsidRDefault="00142E5B" w:rsidP="00580C0D">
      <w:r w:rsidRPr="00580C0D">
        <w:t xml:space="preserve">Dokumenta som ligg til grunn for vedtaket, er Dokument 8:257 S (2021–2022) og </w:t>
      </w:r>
      <w:proofErr w:type="spellStart"/>
      <w:r w:rsidRPr="00580C0D">
        <w:t>Innst</w:t>
      </w:r>
      <w:proofErr w:type="spellEnd"/>
      <w:r w:rsidRPr="00580C0D">
        <w:t>. 96 S (2022–2023).</w:t>
      </w:r>
    </w:p>
    <w:p w14:paraId="42EBCD2F" w14:textId="77777777" w:rsidR="00F7113A" w:rsidRPr="00580C0D" w:rsidRDefault="00142E5B" w:rsidP="00580C0D">
      <w:r w:rsidRPr="00580C0D">
        <w:t xml:space="preserve">Vedtaket er </w:t>
      </w:r>
      <w:proofErr w:type="spellStart"/>
      <w:r w:rsidRPr="00580C0D">
        <w:t>følgt</w:t>
      </w:r>
      <w:proofErr w:type="spellEnd"/>
      <w:r w:rsidRPr="00580C0D">
        <w:t xml:space="preserve"> opp. Det blir vist til vedtak nr. 140, 6. desember 2022, og </w:t>
      </w:r>
      <w:proofErr w:type="spellStart"/>
      <w:r w:rsidRPr="00580C0D">
        <w:t>utvalet</w:t>
      </w:r>
      <w:proofErr w:type="spellEnd"/>
      <w:r w:rsidRPr="00580C0D">
        <w:t xml:space="preserve"> som skal evaluere </w:t>
      </w:r>
      <w:proofErr w:type="spellStart"/>
      <w:r w:rsidRPr="00580C0D">
        <w:t>ordningane</w:t>
      </w:r>
      <w:proofErr w:type="spellEnd"/>
      <w:r w:rsidRPr="00580C0D">
        <w:t xml:space="preserve"> med forvaring, </w:t>
      </w:r>
      <w:proofErr w:type="spellStart"/>
      <w:r w:rsidRPr="00580C0D">
        <w:t>særreaksjonane</w:t>
      </w:r>
      <w:proofErr w:type="spellEnd"/>
      <w:r w:rsidRPr="00580C0D">
        <w:t xml:space="preserve"> </w:t>
      </w:r>
      <w:proofErr w:type="spellStart"/>
      <w:r w:rsidRPr="00580C0D">
        <w:t>tvunge</w:t>
      </w:r>
      <w:proofErr w:type="spellEnd"/>
      <w:r w:rsidRPr="00580C0D">
        <w:t xml:space="preserve"> psykisk helsevern og tvungen omsorg, og som skal greie ut varetakinga av domfelte og innsette med </w:t>
      </w:r>
      <w:proofErr w:type="spellStart"/>
      <w:r w:rsidRPr="00580C0D">
        <w:t>alvorlege</w:t>
      </w:r>
      <w:proofErr w:type="spellEnd"/>
      <w:r w:rsidRPr="00580C0D">
        <w:t xml:space="preserve"> psykiske </w:t>
      </w:r>
      <w:proofErr w:type="spellStart"/>
      <w:r w:rsidRPr="00580C0D">
        <w:t>lidingar</w:t>
      </w:r>
      <w:proofErr w:type="spellEnd"/>
      <w:r w:rsidRPr="00580C0D">
        <w:t xml:space="preserve"> eller utviklingshemming. Mandatet til </w:t>
      </w:r>
      <w:proofErr w:type="spellStart"/>
      <w:r w:rsidRPr="00580C0D">
        <w:t>utvalet</w:t>
      </w:r>
      <w:proofErr w:type="spellEnd"/>
      <w:r w:rsidRPr="00580C0D">
        <w:t xml:space="preserve"> inkluderer ei vurdering av om det er behov for nye </w:t>
      </w:r>
      <w:proofErr w:type="spellStart"/>
      <w:r w:rsidRPr="00580C0D">
        <w:t>modellar</w:t>
      </w:r>
      <w:proofErr w:type="spellEnd"/>
      <w:r w:rsidRPr="00580C0D">
        <w:t xml:space="preserve"> for langvarig, høgspesialisert, </w:t>
      </w:r>
      <w:proofErr w:type="spellStart"/>
      <w:r w:rsidRPr="00580C0D">
        <w:t>grensesetjande</w:t>
      </w:r>
      <w:proofErr w:type="spellEnd"/>
      <w:r w:rsidRPr="00580C0D">
        <w:t xml:space="preserve"> omsorg under straffegjennomføring, ved tilbakeføring </w:t>
      </w:r>
      <w:proofErr w:type="spellStart"/>
      <w:r w:rsidRPr="00580C0D">
        <w:t>frå</w:t>
      </w:r>
      <w:proofErr w:type="spellEnd"/>
      <w:r w:rsidRPr="00580C0D">
        <w:t xml:space="preserve"> fengsel eller ved utskriving </w:t>
      </w:r>
      <w:proofErr w:type="spellStart"/>
      <w:r w:rsidRPr="00580C0D">
        <w:t>frå</w:t>
      </w:r>
      <w:proofErr w:type="spellEnd"/>
      <w:r w:rsidRPr="00580C0D">
        <w:t xml:space="preserve"> barnevernsinstitusjon eller døgnbehandling i </w:t>
      </w:r>
      <w:proofErr w:type="spellStart"/>
      <w:r w:rsidRPr="00580C0D">
        <w:t>spesialisthelsetenesta</w:t>
      </w:r>
      <w:proofErr w:type="spellEnd"/>
      <w:r w:rsidRPr="00580C0D">
        <w:t xml:space="preserve">. </w:t>
      </w:r>
    </w:p>
    <w:p w14:paraId="6B2B5811" w14:textId="77777777" w:rsidR="00F7113A" w:rsidRPr="00580C0D" w:rsidRDefault="00142E5B" w:rsidP="00580C0D">
      <w:pPr>
        <w:pStyle w:val="avsnitt-tittel"/>
      </w:pPr>
      <w:r w:rsidRPr="00580C0D">
        <w:t xml:space="preserve">Evaluering av særreaksjonene forvaring, dom til </w:t>
      </w:r>
      <w:proofErr w:type="spellStart"/>
      <w:r w:rsidRPr="00580C0D">
        <w:t>tvunge</w:t>
      </w:r>
      <w:proofErr w:type="spellEnd"/>
      <w:r w:rsidRPr="00580C0D">
        <w:t xml:space="preserve"> psykisk helsevern og dom til tvungen omsorg</w:t>
      </w:r>
    </w:p>
    <w:p w14:paraId="78DE75C4" w14:textId="77777777" w:rsidR="00F7113A" w:rsidRPr="00580C0D" w:rsidRDefault="00142E5B" w:rsidP="00580C0D">
      <w:pPr>
        <w:pStyle w:val="avsnitt-undertittel"/>
      </w:pPr>
      <w:r w:rsidRPr="00580C0D">
        <w:t>Vedtak nr. 142, 6. desember 2022</w:t>
      </w:r>
    </w:p>
    <w:p w14:paraId="0958C822" w14:textId="77777777" w:rsidR="00F7113A" w:rsidRPr="00580C0D" w:rsidRDefault="00142E5B" w:rsidP="00580C0D">
      <w:pPr>
        <w:pStyle w:val="blokksit"/>
        <w:rPr>
          <w:rStyle w:val="kursiv"/>
        </w:rPr>
      </w:pPr>
      <w:r w:rsidRPr="00580C0D">
        <w:rPr>
          <w:rStyle w:val="kursiv"/>
        </w:rPr>
        <w:t>«Stortinget ber regjeringen gjennomføre en bred evaluering av særreaksjonene forvaring, dom til tvungent psykisk helsevern og dom til tvungen omsorg, og herunder vurdere om særreaksjonene er hensiktsmessige for særreaksjonsdømte uten ytterligere rehabiliteringspotensial.»</w:t>
      </w:r>
    </w:p>
    <w:p w14:paraId="2E02716E" w14:textId="77777777" w:rsidR="00F7113A" w:rsidRPr="00580C0D" w:rsidRDefault="00142E5B" w:rsidP="00580C0D">
      <w:r w:rsidRPr="00580C0D">
        <w:t xml:space="preserve">Dokumenta som ligg til grunn for vedtaket, er Dokument 8:257 S (2021–2022) og </w:t>
      </w:r>
      <w:proofErr w:type="spellStart"/>
      <w:r w:rsidRPr="00580C0D">
        <w:t>Innst</w:t>
      </w:r>
      <w:proofErr w:type="spellEnd"/>
      <w:r w:rsidRPr="00580C0D">
        <w:t>. 96 S (2022–2023).</w:t>
      </w:r>
    </w:p>
    <w:p w14:paraId="2EC661D4" w14:textId="77777777" w:rsidR="00F7113A" w:rsidRPr="00580C0D" w:rsidRDefault="00142E5B" w:rsidP="00580C0D">
      <w:r w:rsidRPr="00580C0D">
        <w:t xml:space="preserve">Vedtaket er </w:t>
      </w:r>
      <w:proofErr w:type="spellStart"/>
      <w:r w:rsidRPr="00580C0D">
        <w:t>følgt</w:t>
      </w:r>
      <w:proofErr w:type="spellEnd"/>
      <w:r w:rsidRPr="00580C0D">
        <w:t xml:space="preserve"> opp. Det blir vist til vedtak nr. 140 og 141, 6. desember 2022, og </w:t>
      </w:r>
      <w:proofErr w:type="spellStart"/>
      <w:r w:rsidRPr="00580C0D">
        <w:t>utvalet</w:t>
      </w:r>
      <w:proofErr w:type="spellEnd"/>
      <w:r w:rsidRPr="00580C0D">
        <w:t xml:space="preserve"> som skal evaluere </w:t>
      </w:r>
      <w:proofErr w:type="spellStart"/>
      <w:r w:rsidRPr="00580C0D">
        <w:t>ordningane</w:t>
      </w:r>
      <w:proofErr w:type="spellEnd"/>
      <w:r w:rsidRPr="00580C0D">
        <w:t xml:space="preserve"> med forvaring, </w:t>
      </w:r>
      <w:proofErr w:type="spellStart"/>
      <w:r w:rsidRPr="00580C0D">
        <w:t>særreaksjonane</w:t>
      </w:r>
      <w:proofErr w:type="spellEnd"/>
      <w:r w:rsidRPr="00580C0D">
        <w:t xml:space="preserve"> </w:t>
      </w:r>
      <w:proofErr w:type="spellStart"/>
      <w:r w:rsidRPr="00580C0D">
        <w:t>tvunge</w:t>
      </w:r>
      <w:proofErr w:type="spellEnd"/>
      <w:r w:rsidRPr="00580C0D">
        <w:t xml:space="preserve"> psykisk helsevern og tvungen omsorg, og som skal greie ut varetakinga av domfelte og innsette med </w:t>
      </w:r>
      <w:proofErr w:type="spellStart"/>
      <w:r w:rsidRPr="00580C0D">
        <w:t>alvorlege</w:t>
      </w:r>
      <w:proofErr w:type="spellEnd"/>
      <w:r w:rsidRPr="00580C0D">
        <w:t xml:space="preserve"> psykiske </w:t>
      </w:r>
      <w:proofErr w:type="spellStart"/>
      <w:r w:rsidRPr="00580C0D">
        <w:t>lidingar</w:t>
      </w:r>
      <w:proofErr w:type="spellEnd"/>
      <w:r w:rsidRPr="00580C0D">
        <w:t xml:space="preserve"> eller utviklingshemming.</w:t>
      </w:r>
    </w:p>
    <w:p w14:paraId="0BA3C5D4" w14:textId="77777777" w:rsidR="00F7113A" w:rsidRPr="00580C0D" w:rsidRDefault="00142E5B" w:rsidP="00580C0D">
      <w:pPr>
        <w:pStyle w:val="avsnitt-tittel"/>
      </w:pPr>
      <w:r w:rsidRPr="00580C0D">
        <w:t>Forliksrådsordninga</w:t>
      </w:r>
    </w:p>
    <w:p w14:paraId="24E91841" w14:textId="77777777" w:rsidR="00F7113A" w:rsidRPr="00580C0D" w:rsidRDefault="00142E5B" w:rsidP="00580C0D">
      <w:pPr>
        <w:pStyle w:val="avsnitt-undertittel"/>
      </w:pPr>
      <w:r w:rsidRPr="00580C0D">
        <w:t>Vedtak nr. 445, 5. januar 2023</w:t>
      </w:r>
    </w:p>
    <w:p w14:paraId="1D543EF8" w14:textId="77777777" w:rsidR="00F7113A" w:rsidRPr="00580C0D" w:rsidRDefault="00142E5B" w:rsidP="00580C0D">
      <w:pPr>
        <w:pStyle w:val="blokksit"/>
        <w:rPr>
          <w:rStyle w:val="kursiv"/>
        </w:rPr>
      </w:pPr>
      <w:r w:rsidRPr="00580C0D">
        <w:rPr>
          <w:rStyle w:val="kursiv"/>
        </w:rPr>
        <w:t>«Stortinget ber regjeringen utrede forliksrådsordningen med sikte på å styrke og forbedre den.»</w:t>
      </w:r>
    </w:p>
    <w:p w14:paraId="44008344" w14:textId="77777777" w:rsidR="00F7113A" w:rsidRPr="00580C0D" w:rsidRDefault="00142E5B" w:rsidP="00580C0D">
      <w:r w:rsidRPr="00580C0D">
        <w:t xml:space="preserve">Dokumenta som ligg til grunn for saka, er Dokument 8:6 S (2022–2023), jf. </w:t>
      </w:r>
      <w:proofErr w:type="spellStart"/>
      <w:r w:rsidRPr="00580C0D">
        <w:t>Innst</w:t>
      </w:r>
      <w:proofErr w:type="spellEnd"/>
      <w:r w:rsidRPr="00580C0D">
        <w:t>. 123 S (2022–2023).</w:t>
      </w:r>
    </w:p>
    <w:p w14:paraId="62B89301" w14:textId="77777777" w:rsidR="00F7113A" w:rsidRPr="00580C0D" w:rsidRDefault="00142E5B" w:rsidP="00580C0D">
      <w:r w:rsidRPr="00580C0D">
        <w:t xml:space="preserve">Vedtaket er under behandling. Departementet har satt i gang </w:t>
      </w:r>
      <w:proofErr w:type="spellStart"/>
      <w:r w:rsidRPr="00580C0D">
        <w:t>eit</w:t>
      </w:r>
      <w:proofErr w:type="spellEnd"/>
      <w:r w:rsidRPr="00580C0D">
        <w:t xml:space="preserve"> forskings- og utgreiingsoppdrag for å betre kunnskapsgrunnlaget om forliksråda. Sjå </w:t>
      </w:r>
      <w:proofErr w:type="spellStart"/>
      <w:r w:rsidRPr="00580C0D">
        <w:t>nærmare</w:t>
      </w:r>
      <w:proofErr w:type="spellEnd"/>
      <w:r w:rsidRPr="00580C0D">
        <w:t xml:space="preserve"> omtale under programkategori 06.20.</w:t>
      </w:r>
    </w:p>
    <w:p w14:paraId="5DEC7C41" w14:textId="77777777" w:rsidR="00F7113A" w:rsidRPr="00580C0D" w:rsidRDefault="00142E5B" w:rsidP="00580C0D">
      <w:pPr>
        <w:pStyle w:val="avsnitt-tittel"/>
      </w:pPr>
      <w:r w:rsidRPr="00580C0D">
        <w:t>Kontroll over strategisk viktige verdikjeder</w:t>
      </w:r>
    </w:p>
    <w:p w14:paraId="5467C339" w14:textId="77777777" w:rsidR="00F7113A" w:rsidRPr="00580C0D" w:rsidRDefault="00142E5B" w:rsidP="00580C0D">
      <w:pPr>
        <w:pStyle w:val="avsnitt-undertittel"/>
      </w:pPr>
      <w:r w:rsidRPr="00580C0D">
        <w:t>Vedtak nr. 503, 23. februar 2023</w:t>
      </w:r>
    </w:p>
    <w:p w14:paraId="2BB933FB" w14:textId="77777777" w:rsidR="00F7113A" w:rsidRPr="00580C0D" w:rsidRDefault="00142E5B" w:rsidP="00580C0D">
      <w:pPr>
        <w:pStyle w:val="blokksit"/>
        <w:rPr>
          <w:rStyle w:val="kursiv"/>
        </w:rPr>
      </w:pPr>
      <w:r w:rsidRPr="00580C0D">
        <w:rPr>
          <w:rStyle w:val="kursiv"/>
        </w:rPr>
        <w:t>«Stortinget ber regjeringen vurdere hvordan Norge kan sikre kontroll over strategisk viktige verdikjeder i lys av den nye geopolitiske situasjonen, og vurdere om det har implikasjoner for statlig eierskap. Stortinget ber regjeringen legge frem en stortingsmelding om dette, eller på annen egnet måte komme tilbake til Stortinget i løpet av 2023».</w:t>
      </w:r>
    </w:p>
    <w:p w14:paraId="7B0BE897" w14:textId="77777777" w:rsidR="00F7113A" w:rsidRPr="00580C0D" w:rsidRDefault="00142E5B" w:rsidP="00580C0D">
      <w:r w:rsidRPr="00580C0D">
        <w:t xml:space="preserve">Dokumenta som ligg til grunn for saka er Meld. St. 6 (2022–2023), </w:t>
      </w:r>
      <w:proofErr w:type="spellStart"/>
      <w:r w:rsidRPr="00580C0D">
        <w:t>Innst</w:t>
      </w:r>
      <w:proofErr w:type="spellEnd"/>
      <w:r w:rsidRPr="00580C0D">
        <w:t>. 190 S (2022–2023).</w:t>
      </w:r>
    </w:p>
    <w:p w14:paraId="12E6E2D8" w14:textId="77777777" w:rsidR="00F7113A" w:rsidRPr="00580C0D" w:rsidRDefault="00142E5B" w:rsidP="00580C0D">
      <w:r w:rsidRPr="00580C0D">
        <w:t xml:space="preserve">Vedtaket er </w:t>
      </w:r>
      <w:proofErr w:type="spellStart"/>
      <w:r w:rsidRPr="00580C0D">
        <w:t>følgt</w:t>
      </w:r>
      <w:proofErr w:type="spellEnd"/>
      <w:r w:rsidRPr="00580C0D">
        <w:t xml:space="preserve"> opp i Meld. St. 9 (2022–2023) «Nasjonal kontroll og digital motstandskraft for å ivareta nasjonal sikkerhet», jf. </w:t>
      </w:r>
      <w:proofErr w:type="spellStart"/>
      <w:r w:rsidRPr="00580C0D">
        <w:t>Innst</w:t>
      </w:r>
      <w:proofErr w:type="spellEnd"/>
      <w:r w:rsidRPr="00580C0D">
        <w:t xml:space="preserve">. 247 S (2022–2023), som vart behandla i Stortinget 30. mars 2023. Ei rekke tiltak i meldinga </w:t>
      </w:r>
      <w:proofErr w:type="spellStart"/>
      <w:r w:rsidRPr="00580C0D">
        <w:t>peiker</w:t>
      </w:r>
      <w:proofErr w:type="spellEnd"/>
      <w:r w:rsidRPr="00580C0D">
        <w:t xml:space="preserve"> på korleis regjeringa skal bidra til å sikre nasjonal kontroll og </w:t>
      </w:r>
      <w:proofErr w:type="spellStart"/>
      <w:r w:rsidRPr="00580C0D">
        <w:t>eigarskap</w:t>
      </w:r>
      <w:proofErr w:type="spellEnd"/>
      <w:r w:rsidRPr="00580C0D">
        <w:t xml:space="preserve"> over </w:t>
      </w:r>
      <w:proofErr w:type="spellStart"/>
      <w:r w:rsidRPr="00580C0D">
        <w:t>verdiar</w:t>
      </w:r>
      <w:proofErr w:type="spellEnd"/>
      <w:r w:rsidRPr="00580C0D">
        <w:t xml:space="preserve"> av </w:t>
      </w:r>
      <w:proofErr w:type="spellStart"/>
      <w:r w:rsidRPr="00580C0D">
        <w:t>betyding</w:t>
      </w:r>
      <w:proofErr w:type="spellEnd"/>
      <w:r w:rsidRPr="00580C0D">
        <w:t xml:space="preserve"> for nasjonal tryggleik. I kva grad direkte </w:t>
      </w:r>
      <w:proofErr w:type="spellStart"/>
      <w:r w:rsidRPr="00580C0D">
        <w:t>statleg</w:t>
      </w:r>
      <w:proofErr w:type="spellEnd"/>
      <w:r w:rsidRPr="00580C0D">
        <w:t xml:space="preserve"> </w:t>
      </w:r>
      <w:proofErr w:type="spellStart"/>
      <w:r w:rsidRPr="00580C0D">
        <w:t>eigarskap</w:t>
      </w:r>
      <w:proofErr w:type="spellEnd"/>
      <w:r w:rsidRPr="00580C0D">
        <w:t xml:space="preserve"> er </w:t>
      </w:r>
      <w:proofErr w:type="spellStart"/>
      <w:r w:rsidRPr="00580C0D">
        <w:t>eit</w:t>
      </w:r>
      <w:proofErr w:type="spellEnd"/>
      <w:r w:rsidRPr="00580C0D">
        <w:t xml:space="preserve"> hensiktsmessig tiltak følgjer av Meld. St. 6 (2022–2023)</w:t>
      </w:r>
      <w:r w:rsidRPr="00580C0D">
        <w:rPr>
          <w:rStyle w:val="kursiv"/>
        </w:rPr>
        <w:t xml:space="preserve"> </w:t>
      </w:r>
      <w:r w:rsidRPr="00580C0D">
        <w:t>«</w:t>
      </w:r>
      <w:proofErr w:type="spellStart"/>
      <w:r w:rsidRPr="00580C0D">
        <w:t>Eit</w:t>
      </w:r>
      <w:proofErr w:type="spellEnd"/>
      <w:r w:rsidRPr="00580C0D">
        <w:t xml:space="preserve"> </w:t>
      </w:r>
      <w:proofErr w:type="spellStart"/>
      <w:r w:rsidRPr="00580C0D">
        <w:t>grønare</w:t>
      </w:r>
      <w:proofErr w:type="spellEnd"/>
      <w:r w:rsidRPr="00580C0D">
        <w:t xml:space="preserve"> og </w:t>
      </w:r>
      <w:proofErr w:type="spellStart"/>
      <w:r w:rsidRPr="00580C0D">
        <w:t>meir</w:t>
      </w:r>
      <w:proofErr w:type="spellEnd"/>
      <w:r w:rsidRPr="00580C0D">
        <w:t xml:space="preserve"> aktivt </w:t>
      </w:r>
      <w:proofErr w:type="spellStart"/>
      <w:r w:rsidRPr="00580C0D">
        <w:t>statleg</w:t>
      </w:r>
      <w:proofErr w:type="spellEnd"/>
      <w:r w:rsidRPr="00580C0D">
        <w:t xml:space="preserve"> </w:t>
      </w:r>
      <w:proofErr w:type="spellStart"/>
      <w:r w:rsidRPr="00580C0D">
        <w:t>eigarskap</w:t>
      </w:r>
      <w:proofErr w:type="spellEnd"/>
      <w:r w:rsidRPr="00580C0D">
        <w:t xml:space="preserve"> – Statens direkte </w:t>
      </w:r>
      <w:proofErr w:type="spellStart"/>
      <w:r w:rsidRPr="00580C0D">
        <w:t>eigarskap</w:t>
      </w:r>
      <w:proofErr w:type="spellEnd"/>
      <w:r w:rsidRPr="00580C0D">
        <w:t xml:space="preserve"> i selskap» der går det fram at utgangspunktet er at regulering er det primære </w:t>
      </w:r>
      <w:proofErr w:type="spellStart"/>
      <w:r w:rsidRPr="00580C0D">
        <w:t>verkemiddelet</w:t>
      </w:r>
      <w:proofErr w:type="spellEnd"/>
      <w:r w:rsidRPr="00580C0D">
        <w:t xml:space="preserve"> for å ivareta omsyn til nasjonal tryggleik, samfunnstryggleik og beredskap, men at i enkelte særskilte høve vil </w:t>
      </w:r>
      <w:proofErr w:type="spellStart"/>
      <w:r w:rsidRPr="00580C0D">
        <w:t>statleg</w:t>
      </w:r>
      <w:proofErr w:type="spellEnd"/>
      <w:r w:rsidRPr="00580C0D">
        <w:t xml:space="preserve"> direkte </w:t>
      </w:r>
      <w:proofErr w:type="spellStart"/>
      <w:r w:rsidRPr="00580C0D">
        <w:t>eigarskap</w:t>
      </w:r>
      <w:proofErr w:type="spellEnd"/>
      <w:r w:rsidRPr="00580C0D">
        <w:t xml:space="preserve"> kunne </w:t>
      </w:r>
      <w:proofErr w:type="spellStart"/>
      <w:r w:rsidRPr="00580C0D">
        <w:t>vurderast</w:t>
      </w:r>
      <w:proofErr w:type="spellEnd"/>
      <w:r w:rsidRPr="00580C0D">
        <w:t xml:space="preserve"> som </w:t>
      </w:r>
      <w:proofErr w:type="spellStart"/>
      <w:r w:rsidRPr="00580C0D">
        <w:t>eit</w:t>
      </w:r>
      <w:proofErr w:type="spellEnd"/>
      <w:r w:rsidRPr="00580C0D">
        <w:t xml:space="preserve"> nødvendig tiltak. Vedtaket treffer både Justis- og beredskapsdepartementet, som har ansvar for samfunnstryggleik og nasjonal tryggleik, og Nærings- og fiskeridepartementet som den sentrale </w:t>
      </w:r>
      <w:proofErr w:type="spellStart"/>
      <w:r w:rsidRPr="00580C0D">
        <w:t>eigarskapseinheita</w:t>
      </w:r>
      <w:proofErr w:type="spellEnd"/>
      <w:r w:rsidRPr="00580C0D">
        <w:t>.</w:t>
      </w:r>
    </w:p>
    <w:p w14:paraId="3E9920DB" w14:textId="77777777" w:rsidR="00F7113A" w:rsidRPr="00580C0D" w:rsidRDefault="00142E5B" w:rsidP="00580C0D">
      <w:pPr>
        <w:pStyle w:val="avsnitt-tittel"/>
      </w:pPr>
      <w:proofErr w:type="spellStart"/>
      <w:r w:rsidRPr="00580C0D">
        <w:t>Endringar</w:t>
      </w:r>
      <w:proofErr w:type="spellEnd"/>
      <w:r w:rsidRPr="00580C0D">
        <w:t xml:space="preserve"> i </w:t>
      </w:r>
      <w:proofErr w:type="spellStart"/>
      <w:r w:rsidRPr="00580C0D">
        <w:t>reglane</w:t>
      </w:r>
      <w:proofErr w:type="spellEnd"/>
      <w:r w:rsidRPr="00580C0D">
        <w:t xml:space="preserve"> om </w:t>
      </w:r>
      <w:proofErr w:type="spellStart"/>
      <w:r w:rsidRPr="00580C0D">
        <w:t>avhøyr</w:t>
      </w:r>
      <w:proofErr w:type="spellEnd"/>
      <w:r w:rsidRPr="00580C0D">
        <w:t xml:space="preserve"> av vitne m.m. som bur på sperra adresse m.m.</w:t>
      </w:r>
    </w:p>
    <w:p w14:paraId="138E47BB" w14:textId="77777777" w:rsidR="00F7113A" w:rsidRPr="00580C0D" w:rsidRDefault="00142E5B" w:rsidP="00580C0D">
      <w:pPr>
        <w:pStyle w:val="avsnitt-undertittel"/>
      </w:pPr>
      <w:r w:rsidRPr="00580C0D">
        <w:t>Vedtak nr. 615, 25. april 2023</w:t>
      </w:r>
    </w:p>
    <w:p w14:paraId="54628010" w14:textId="77777777" w:rsidR="00F7113A" w:rsidRPr="00580C0D" w:rsidRDefault="00142E5B" w:rsidP="00580C0D">
      <w:pPr>
        <w:pStyle w:val="blokksit"/>
        <w:rPr>
          <w:rStyle w:val="kursiv"/>
        </w:rPr>
      </w:pPr>
      <w:r w:rsidRPr="00580C0D">
        <w:rPr>
          <w:rStyle w:val="kursiv"/>
        </w:rPr>
        <w:t>«Stortinget ber regjeringen innen 1. juli 2023 sende på høring forslag til ytterligere endringer i tvisteloven for å ivareta at skjulte eller sperrede adresser ikke blir avslørt som følge av vitners plikt til å oppgi navn og personalia, og så snart som mulig komme tilbake til Stortinget på egnet måte.»</w:t>
      </w:r>
    </w:p>
    <w:p w14:paraId="61D7C951" w14:textId="77777777" w:rsidR="00F7113A" w:rsidRPr="00580C0D" w:rsidRDefault="00142E5B" w:rsidP="00580C0D">
      <w:r w:rsidRPr="00580C0D">
        <w:t xml:space="preserve">Vedtaket </w:t>
      </w:r>
      <w:proofErr w:type="spellStart"/>
      <w:r w:rsidRPr="00580C0D">
        <w:t>vart</w:t>
      </w:r>
      <w:proofErr w:type="spellEnd"/>
      <w:r w:rsidRPr="00580C0D">
        <w:t xml:space="preserve"> fatta på bakgrunn av et </w:t>
      </w:r>
      <w:proofErr w:type="spellStart"/>
      <w:r w:rsidRPr="00580C0D">
        <w:t>eit</w:t>
      </w:r>
      <w:proofErr w:type="spellEnd"/>
      <w:r w:rsidRPr="00580C0D">
        <w:t xml:space="preserve"> «laust forslag» til saka. Dokumenta som ligg til grunn for saka, er </w:t>
      </w:r>
      <w:proofErr w:type="spellStart"/>
      <w:r w:rsidRPr="00580C0D">
        <w:t>Prop</w:t>
      </w:r>
      <w:proofErr w:type="spellEnd"/>
      <w:r w:rsidRPr="00580C0D">
        <w:t xml:space="preserve">. 34 L (2022–2023) og </w:t>
      </w:r>
      <w:proofErr w:type="spellStart"/>
      <w:r w:rsidRPr="00580C0D">
        <w:t>Innst</w:t>
      </w:r>
      <w:proofErr w:type="spellEnd"/>
      <w:r w:rsidRPr="00580C0D">
        <w:t>. 273 L (2022–2023).</w:t>
      </w:r>
    </w:p>
    <w:p w14:paraId="2E530AA8" w14:textId="77777777" w:rsidR="00F7113A" w:rsidRPr="00580C0D" w:rsidRDefault="00142E5B" w:rsidP="00580C0D">
      <w:r w:rsidRPr="00580C0D">
        <w:t xml:space="preserve">Vedtaket er under behandling. Forslag til </w:t>
      </w:r>
      <w:proofErr w:type="spellStart"/>
      <w:r w:rsidRPr="00580C0D">
        <w:t>endringar</w:t>
      </w:r>
      <w:proofErr w:type="spellEnd"/>
      <w:r w:rsidRPr="00580C0D">
        <w:t xml:space="preserve"> i tvistelova og barnelova </w:t>
      </w:r>
      <w:proofErr w:type="spellStart"/>
      <w:r w:rsidRPr="00580C0D">
        <w:t>vart</w:t>
      </w:r>
      <w:proofErr w:type="spellEnd"/>
      <w:r w:rsidRPr="00580C0D">
        <w:t xml:space="preserve"> sendt på </w:t>
      </w:r>
      <w:proofErr w:type="spellStart"/>
      <w:r w:rsidRPr="00580C0D">
        <w:t>høyring</w:t>
      </w:r>
      <w:proofErr w:type="spellEnd"/>
      <w:r w:rsidRPr="00580C0D">
        <w:t xml:space="preserve"> 30. juni 2023 med </w:t>
      </w:r>
      <w:proofErr w:type="spellStart"/>
      <w:r w:rsidRPr="00580C0D">
        <w:t>høyringsfrist</w:t>
      </w:r>
      <w:proofErr w:type="spellEnd"/>
      <w:r w:rsidRPr="00580C0D">
        <w:t xml:space="preserve"> 2. oktober 2023.</w:t>
      </w:r>
    </w:p>
    <w:p w14:paraId="42CCADE4" w14:textId="77777777" w:rsidR="00F7113A" w:rsidRPr="00580C0D" w:rsidRDefault="00142E5B" w:rsidP="00580C0D">
      <w:pPr>
        <w:pStyle w:val="avsnitt-tittel"/>
      </w:pPr>
      <w:proofErr w:type="spellStart"/>
      <w:r w:rsidRPr="00580C0D">
        <w:t>Endringar</w:t>
      </w:r>
      <w:proofErr w:type="spellEnd"/>
      <w:r w:rsidRPr="00580C0D">
        <w:t xml:space="preserve"> i tvistelova – innstilling av saker i forliksrådet som </w:t>
      </w:r>
      <w:proofErr w:type="spellStart"/>
      <w:r w:rsidRPr="00580C0D">
        <w:t>følgje</w:t>
      </w:r>
      <w:proofErr w:type="spellEnd"/>
      <w:r w:rsidRPr="00580C0D">
        <w:t xml:space="preserve"> av lang behandling</w:t>
      </w:r>
    </w:p>
    <w:p w14:paraId="4137DC05" w14:textId="77777777" w:rsidR="00F7113A" w:rsidRPr="00580C0D" w:rsidRDefault="00142E5B" w:rsidP="00580C0D">
      <w:pPr>
        <w:pStyle w:val="avsnitt-undertittel"/>
      </w:pPr>
      <w:r w:rsidRPr="00580C0D">
        <w:t>Vedtak nr. 616, 25. april 2023</w:t>
      </w:r>
    </w:p>
    <w:p w14:paraId="17007DA4" w14:textId="77777777" w:rsidR="00F7113A" w:rsidRPr="00580C0D" w:rsidRDefault="00142E5B" w:rsidP="00580C0D">
      <w:pPr>
        <w:pStyle w:val="blokksit"/>
        <w:rPr>
          <w:rStyle w:val="kursiv"/>
        </w:rPr>
      </w:pPr>
      <w:r w:rsidRPr="00580C0D">
        <w:rPr>
          <w:rStyle w:val="kursiv"/>
        </w:rPr>
        <w:t>«Stortinget ber regjeringen vurdere endringer i tvisteloven kapittel 6 for saker som kreves innstilt som følge av at behandlingen ikke er avsluttet innen fristen i § 6-11 fjerde ledd.»</w:t>
      </w:r>
    </w:p>
    <w:p w14:paraId="08E0BD8B"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273 L (2022–2023).</w:t>
      </w:r>
    </w:p>
    <w:p w14:paraId="30D4437B" w14:textId="77777777" w:rsidR="00F7113A" w:rsidRPr="00580C0D" w:rsidRDefault="00142E5B" w:rsidP="00580C0D">
      <w:r w:rsidRPr="00580C0D">
        <w:t>Vedtaket er under behandling.</w:t>
      </w:r>
    </w:p>
    <w:p w14:paraId="5A2D922F" w14:textId="77777777" w:rsidR="00F7113A" w:rsidRPr="00580C0D" w:rsidRDefault="00142E5B" w:rsidP="00580C0D">
      <w:pPr>
        <w:pStyle w:val="avsnitt-tittel"/>
      </w:pPr>
      <w:proofErr w:type="spellStart"/>
      <w:r w:rsidRPr="00580C0D">
        <w:t>Reglane</w:t>
      </w:r>
      <w:proofErr w:type="spellEnd"/>
      <w:r w:rsidRPr="00580C0D">
        <w:t xml:space="preserve"> om </w:t>
      </w:r>
      <w:proofErr w:type="spellStart"/>
      <w:r w:rsidRPr="00580C0D">
        <w:t>gjenopning</w:t>
      </w:r>
      <w:proofErr w:type="spellEnd"/>
      <w:r w:rsidRPr="00580C0D">
        <w:t xml:space="preserve"> av sivile krav som er </w:t>
      </w:r>
      <w:proofErr w:type="spellStart"/>
      <w:r w:rsidRPr="00580C0D">
        <w:t>pådømde</w:t>
      </w:r>
      <w:proofErr w:type="spellEnd"/>
      <w:r w:rsidRPr="00580C0D">
        <w:t xml:space="preserve"> som del av straffesak</w:t>
      </w:r>
    </w:p>
    <w:p w14:paraId="214E0060" w14:textId="77777777" w:rsidR="00F7113A" w:rsidRPr="00580C0D" w:rsidRDefault="00142E5B" w:rsidP="00580C0D">
      <w:pPr>
        <w:pStyle w:val="avsnitt-undertittel"/>
      </w:pPr>
      <w:r w:rsidRPr="00580C0D">
        <w:t>Vedtak nr. 617, 25. april 2023</w:t>
      </w:r>
    </w:p>
    <w:p w14:paraId="48711A8C" w14:textId="77777777" w:rsidR="00F7113A" w:rsidRPr="00580C0D" w:rsidRDefault="00142E5B" w:rsidP="00580C0D">
      <w:pPr>
        <w:pStyle w:val="blokksit"/>
        <w:rPr>
          <w:rStyle w:val="kursiv"/>
        </w:rPr>
      </w:pPr>
      <w:r w:rsidRPr="00580C0D">
        <w:rPr>
          <w:rStyle w:val="kursiv"/>
        </w:rPr>
        <w:t>«Stortinget ber regjeringen vurdere endringer i /unntak fra den absolutte fristen etter tvisteloven § 31-6 på ti år for gjenåpning av sivile saker som er pådømt som del av en straffesak.»</w:t>
      </w:r>
    </w:p>
    <w:p w14:paraId="36144520"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273 L (2022–2023).</w:t>
      </w:r>
    </w:p>
    <w:p w14:paraId="42ACB56A" w14:textId="77777777" w:rsidR="00F7113A" w:rsidRPr="00580C0D" w:rsidRDefault="00142E5B" w:rsidP="00580C0D">
      <w:r w:rsidRPr="00580C0D">
        <w:t>Vedtaket er under behandling.</w:t>
      </w:r>
    </w:p>
    <w:p w14:paraId="76B886B6" w14:textId="77777777" w:rsidR="00F7113A" w:rsidRPr="00580C0D" w:rsidRDefault="00142E5B" w:rsidP="00580C0D">
      <w:pPr>
        <w:pStyle w:val="avsnitt-tittel"/>
      </w:pPr>
      <w:r w:rsidRPr="00580C0D">
        <w:t>Sakskostnadsnivået i sivile saker</w:t>
      </w:r>
    </w:p>
    <w:p w14:paraId="2014E0D7" w14:textId="77777777" w:rsidR="00F7113A" w:rsidRPr="00580C0D" w:rsidRDefault="00142E5B" w:rsidP="00580C0D">
      <w:pPr>
        <w:pStyle w:val="avsnitt-undertittel"/>
      </w:pPr>
      <w:r w:rsidRPr="00580C0D">
        <w:t>Vedtak nr. 618, 25. april 2023</w:t>
      </w:r>
    </w:p>
    <w:p w14:paraId="5C026129" w14:textId="77777777" w:rsidR="00F7113A" w:rsidRPr="00580C0D" w:rsidRDefault="00142E5B" w:rsidP="00580C0D">
      <w:pPr>
        <w:pStyle w:val="blokksit"/>
        <w:rPr>
          <w:rStyle w:val="kursiv"/>
        </w:rPr>
      </w:pPr>
      <w:r w:rsidRPr="00580C0D">
        <w:rPr>
          <w:rStyle w:val="kursiv"/>
        </w:rPr>
        <w:t>«Stortinget ber regjeringen utrede hvordan partenes sakskostnader i sivile saker kan bli lavere, og komme tilbake til Stortinget på egnet måte.»</w:t>
      </w:r>
    </w:p>
    <w:p w14:paraId="62563F8E"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34 L (2022–2023) og </w:t>
      </w:r>
      <w:proofErr w:type="spellStart"/>
      <w:r w:rsidRPr="00580C0D">
        <w:t>Innst</w:t>
      </w:r>
      <w:proofErr w:type="spellEnd"/>
      <w:r w:rsidRPr="00580C0D">
        <w:t>. 273 L (2022–2023).</w:t>
      </w:r>
    </w:p>
    <w:p w14:paraId="21D10660" w14:textId="77777777" w:rsidR="00F7113A" w:rsidRPr="00580C0D" w:rsidRDefault="00142E5B" w:rsidP="00580C0D">
      <w:r w:rsidRPr="00580C0D">
        <w:t>Vedtaket er under behandling.</w:t>
      </w:r>
    </w:p>
    <w:p w14:paraId="6AEE57E8" w14:textId="77777777" w:rsidR="00F7113A" w:rsidRPr="00580C0D" w:rsidRDefault="00142E5B" w:rsidP="00580C0D">
      <w:pPr>
        <w:pStyle w:val="avsnitt-tittel"/>
      </w:pPr>
      <w:proofErr w:type="spellStart"/>
      <w:r w:rsidRPr="00580C0D">
        <w:t>Enklare</w:t>
      </w:r>
      <w:proofErr w:type="spellEnd"/>
      <w:r w:rsidRPr="00580C0D">
        <w:t xml:space="preserve"> og </w:t>
      </w:r>
      <w:proofErr w:type="spellStart"/>
      <w:r w:rsidRPr="00580C0D">
        <w:t>meir</w:t>
      </w:r>
      <w:proofErr w:type="spellEnd"/>
      <w:r w:rsidRPr="00580C0D">
        <w:t xml:space="preserve"> </w:t>
      </w:r>
      <w:proofErr w:type="spellStart"/>
      <w:r w:rsidRPr="00580C0D">
        <w:t>forbrukarvenleg</w:t>
      </w:r>
      <w:proofErr w:type="spellEnd"/>
      <w:r w:rsidRPr="00580C0D">
        <w:t xml:space="preserve"> regelverk for gavekort</w:t>
      </w:r>
    </w:p>
    <w:p w14:paraId="54AF409D" w14:textId="77777777" w:rsidR="00F7113A" w:rsidRPr="00580C0D" w:rsidRDefault="00142E5B" w:rsidP="00580C0D">
      <w:pPr>
        <w:pStyle w:val="avsnitt-undertittel"/>
      </w:pPr>
      <w:r w:rsidRPr="00580C0D">
        <w:t>Vedtak nr. 644, 9. mai 2023</w:t>
      </w:r>
    </w:p>
    <w:p w14:paraId="624E9F13" w14:textId="77777777" w:rsidR="00F7113A" w:rsidRPr="00580C0D" w:rsidRDefault="00142E5B" w:rsidP="00580C0D">
      <w:pPr>
        <w:pStyle w:val="blokksit"/>
        <w:rPr>
          <w:rStyle w:val="kursiv"/>
        </w:rPr>
      </w:pPr>
      <w:r w:rsidRPr="00580C0D">
        <w:rPr>
          <w:rStyle w:val="kursiv"/>
        </w:rPr>
        <w:t>«Stortinget ber regjeringen vurdere en styrking av forbrukernes rettigheter ved erverv og bruk av gavekort. Videre bes regjeringen vurdere innføring av et forbud mot at gavekortutsteder kan trekke gebyr fra kortet etter at det er solgt og overlevert til kunden, samt å innføre plikt til at de avtalerettslige prinsippene som gjelder for gavekortet, synliggjøres på selve kortet. Det bes om at regjeringen kommer tilbake til Stortinget på egnet måte.»</w:t>
      </w:r>
    </w:p>
    <w:p w14:paraId="7D398626" w14:textId="77777777" w:rsidR="00F7113A" w:rsidRPr="00580C0D" w:rsidRDefault="00142E5B" w:rsidP="00580C0D">
      <w:r w:rsidRPr="00580C0D">
        <w:t xml:space="preserve">Dokumenta som ligg til grunn for vedtaket, er Dokument 8:122 S (2022–2023) og </w:t>
      </w:r>
      <w:proofErr w:type="spellStart"/>
      <w:r w:rsidRPr="00580C0D">
        <w:t>Innst</w:t>
      </w:r>
      <w:proofErr w:type="spellEnd"/>
      <w:r w:rsidRPr="00580C0D">
        <w:t>. 299 S (2022–2023).</w:t>
      </w:r>
    </w:p>
    <w:p w14:paraId="22DC4F60" w14:textId="77777777" w:rsidR="00F7113A" w:rsidRPr="00580C0D" w:rsidRDefault="00142E5B" w:rsidP="00580C0D">
      <w:r w:rsidRPr="00580C0D">
        <w:t>Vedtaket er under behandling.</w:t>
      </w:r>
    </w:p>
    <w:p w14:paraId="78DDDB2E" w14:textId="77777777" w:rsidR="00F7113A" w:rsidRPr="00580C0D" w:rsidRDefault="00142E5B" w:rsidP="00580C0D">
      <w:pPr>
        <w:pStyle w:val="avsnitt-tittel"/>
      </w:pPr>
      <w:r w:rsidRPr="00580C0D">
        <w:t>Stortingsmelding om kriminalomsorga</w:t>
      </w:r>
    </w:p>
    <w:p w14:paraId="722E7496" w14:textId="77777777" w:rsidR="00F7113A" w:rsidRPr="00580C0D" w:rsidRDefault="00142E5B" w:rsidP="00580C0D">
      <w:pPr>
        <w:pStyle w:val="avsnitt-undertittel"/>
      </w:pPr>
      <w:r w:rsidRPr="00580C0D">
        <w:t>Vedtak nr. 653, 11. mai 2023</w:t>
      </w:r>
    </w:p>
    <w:p w14:paraId="7B3B8883" w14:textId="77777777" w:rsidR="00F7113A" w:rsidRPr="00580C0D" w:rsidRDefault="00142E5B" w:rsidP="00580C0D">
      <w:pPr>
        <w:pStyle w:val="blokksit"/>
        <w:rPr>
          <w:rStyle w:val="kursiv"/>
        </w:rPr>
      </w:pPr>
      <w:r w:rsidRPr="00580C0D">
        <w:rPr>
          <w:rStyle w:val="kursiv"/>
        </w:rPr>
        <w:t>«Stortinget ber regjeringen, som en del av en helhetlig stortingsmelding om kriminalomsorgen, utrede de samlede behovene og vurdere nødvendige tiltak for å sikre likeverdige soningsforhold for kvinnelige og mannlige innsatte.»</w:t>
      </w:r>
    </w:p>
    <w:p w14:paraId="35F10AB1" w14:textId="77777777" w:rsidR="00F7113A" w:rsidRPr="00580C0D" w:rsidRDefault="00142E5B" w:rsidP="00580C0D">
      <w:r w:rsidRPr="00580C0D">
        <w:t xml:space="preserve">Dokumenta som ligg til grunn for vedtaket, er Dokument 8:152 S (2022–2023) og </w:t>
      </w:r>
      <w:proofErr w:type="spellStart"/>
      <w:r w:rsidRPr="00580C0D">
        <w:t>Innst</w:t>
      </w:r>
      <w:proofErr w:type="spellEnd"/>
      <w:r w:rsidRPr="00580C0D">
        <w:t>. 318 S (2022–2023).</w:t>
      </w:r>
    </w:p>
    <w:p w14:paraId="7B3400F0" w14:textId="77777777" w:rsidR="00F7113A" w:rsidRPr="00580C0D" w:rsidRDefault="00142E5B" w:rsidP="00580C0D">
      <w:r w:rsidRPr="00580C0D">
        <w:t>Vedtaket er under behandling.</w:t>
      </w:r>
    </w:p>
    <w:p w14:paraId="1514F2D2" w14:textId="77777777" w:rsidR="00F7113A" w:rsidRPr="00580C0D" w:rsidRDefault="00142E5B" w:rsidP="00580C0D">
      <w:pPr>
        <w:pStyle w:val="avsnitt-tittel"/>
      </w:pPr>
      <w:r w:rsidRPr="00580C0D">
        <w:t>A-krimsenter</w:t>
      </w:r>
    </w:p>
    <w:p w14:paraId="5FB43109" w14:textId="77777777" w:rsidR="00F7113A" w:rsidRPr="00580C0D" w:rsidRDefault="00142E5B" w:rsidP="00580C0D">
      <w:pPr>
        <w:pStyle w:val="avsnitt-undertittel"/>
      </w:pPr>
      <w:r w:rsidRPr="00580C0D">
        <w:t>Vedtak nr. 729, 1. juni 2023</w:t>
      </w:r>
    </w:p>
    <w:p w14:paraId="1ECA22CD" w14:textId="77777777" w:rsidR="00F7113A" w:rsidRPr="00580C0D" w:rsidRDefault="00142E5B" w:rsidP="00580C0D">
      <w:pPr>
        <w:pStyle w:val="blokksit"/>
        <w:rPr>
          <w:rStyle w:val="kursiv"/>
        </w:rPr>
      </w:pPr>
      <w:r w:rsidRPr="00580C0D">
        <w:rPr>
          <w:rStyle w:val="kursiv"/>
        </w:rPr>
        <w:t>«Stortinget ber regjeringen sikre at politiet har tydelige hjemler for deltakelse i kontrollgruppen og kunnskapsbyggingen ved a-krimsentrene, og om nødvendig komme tilbake til Stortinget med forslag til oppdaterte lovhjemler»</w:t>
      </w:r>
    </w:p>
    <w:p w14:paraId="4BA5E7F7" w14:textId="77777777" w:rsidR="00F7113A" w:rsidRPr="00580C0D" w:rsidRDefault="00142E5B" w:rsidP="00580C0D">
      <w:r w:rsidRPr="00580C0D">
        <w:t xml:space="preserve">Dokumenta som ligg til grunn for vedtaket, er Dokument 8:198 S (2022–2023) og </w:t>
      </w:r>
      <w:proofErr w:type="spellStart"/>
      <w:r w:rsidRPr="00580C0D">
        <w:t>Innst</w:t>
      </w:r>
      <w:proofErr w:type="spellEnd"/>
      <w:r w:rsidRPr="00580C0D">
        <w:t>. 388 S (2022–2023).</w:t>
      </w:r>
    </w:p>
    <w:p w14:paraId="36C0D23C" w14:textId="77777777" w:rsidR="00F7113A" w:rsidRPr="00580C0D" w:rsidRDefault="00142E5B" w:rsidP="00580C0D">
      <w:r w:rsidRPr="00580C0D">
        <w:t>Vedtaket er under behandling.</w:t>
      </w:r>
    </w:p>
    <w:p w14:paraId="1E4E2A08" w14:textId="77777777" w:rsidR="00F7113A" w:rsidRPr="00580C0D" w:rsidRDefault="00142E5B" w:rsidP="00580C0D">
      <w:pPr>
        <w:pStyle w:val="avsnitt-tittel"/>
      </w:pPr>
      <w:r w:rsidRPr="00580C0D">
        <w:t xml:space="preserve">Yrkesskadeerstatningsordning for </w:t>
      </w:r>
      <w:proofErr w:type="gramStart"/>
      <w:r w:rsidRPr="00580C0D">
        <w:t>tilsette</w:t>
      </w:r>
      <w:proofErr w:type="gramEnd"/>
      <w:r w:rsidRPr="00580C0D">
        <w:t xml:space="preserve"> i kriminalomsorga</w:t>
      </w:r>
    </w:p>
    <w:p w14:paraId="37AF2D67" w14:textId="77777777" w:rsidR="00F7113A" w:rsidRPr="00580C0D" w:rsidRDefault="00142E5B" w:rsidP="00580C0D">
      <w:pPr>
        <w:pStyle w:val="avsnitt-undertittel"/>
      </w:pPr>
      <w:r w:rsidRPr="00580C0D">
        <w:t>Vedtak nr. 843, 14. juni 2023</w:t>
      </w:r>
    </w:p>
    <w:p w14:paraId="566DA09C" w14:textId="77777777" w:rsidR="00F7113A" w:rsidRPr="00580C0D" w:rsidRDefault="00142E5B" w:rsidP="00580C0D">
      <w:pPr>
        <w:pStyle w:val="blokksit"/>
        <w:rPr>
          <w:rStyle w:val="kursiv"/>
        </w:rPr>
      </w:pPr>
      <w:r w:rsidRPr="00580C0D">
        <w:rPr>
          <w:rStyle w:val="kursiv"/>
        </w:rPr>
        <w:t>«Stortinget ber regjeringen innføre en reell yrkesskadeerstatningsordning for ansatte i kriminalomsorgen, tilsvarende den som har blitt innført for ansatte i politiet»</w:t>
      </w:r>
    </w:p>
    <w:p w14:paraId="46B7527E" w14:textId="77777777" w:rsidR="00F7113A" w:rsidRPr="00580C0D" w:rsidRDefault="00142E5B" w:rsidP="00580C0D">
      <w:r w:rsidRPr="00580C0D">
        <w:t xml:space="preserve">Dokumenta som ligg til grunn for vedtaket, er Dokument 8:200 S (2022–2023) og </w:t>
      </w:r>
      <w:proofErr w:type="spellStart"/>
      <w:r w:rsidRPr="00580C0D">
        <w:t>Innst</w:t>
      </w:r>
      <w:proofErr w:type="spellEnd"/>
      <w:r w:rsidRPr="00580C0D">
        <w:t>. 468 S (2022–2023).</w:t>
      </w:r>
    </w:p>
    <w:p w14:paraId="01E4931B" w14:textId="77777777" w:rsidR="00F7113A" w:rsidRPr="00580C0D" w:rsidRDefault="00142E5B" w:rsidP="00580C0D">
      <w:r w:rsidRPr="00580C0D">
        <w:t xml:space="preserve">Vedtaket er under behandling. Justis- og beredskapsdepartementet har sendt forslag til </w:t>
      </w:r>
      <w:proofErr w:type="spellStart"/>
      <w:r w:rsidRPr="00580C0D">
        <w:t>endringar</w:t>
      </w:r>
      <w:proofErr w:type="spellEnd"/>
      <w:r w:rsidRPr="00580C0D">
        <w:t xml:space="preserve"> i straffegjennomføringslova, som gir tilsette i kriminalomsorga rett på yrkesskadeerstatning for </w:t>
      </w:r>
      <w:proofErr w:type="spellStart"/>
      <w:r w:rsidRPr="00580C0D">
        <w:t>skadar</w:t>
      </w:r>
      <w:proofErr w:type="spellEnd"/>
      <w:r w:rsidRPr="00580C0D">
        <w:t xml:space="preserve"> som oppstår under ei bestemt form for trening og øving, på </w:t>
      </w:r>
      <w:proofErr w:type="spellStart"/>
      <w:r w:rsidRPr="00580C0D">
        <w:t>høyring</w:t>
      </w:r>
      <w:proofErr w:type="spellEnd"/>
      <w:r w:rsidRPr="00580C0D">
        <w:t xml:space="preserve">. </w:t>
      </w:r>
      <w:proofErr w:type="spellStart"/>
      <w:r w:rsidRPr="00580C0D">
        <w:t>Høyringsfristen</w:t>
      </w:r>
      <w:proofErr w:type="spellEnd"/>
      <w:r w:rsidRPr="00580C0D">
        <w:t xml:space="preserve"> var 13. september 2023.</w:t>
      </w:r>
    </w:p>
    <w:p w14:paraId="38EC126E" w14:textId="77777777" w:rsidR="00F7113A" w:rsidRPr="00580C0D" w:rsidRDefault="00142E5B" w:rsidP="00580C0D">
      <w:pPr>
        <w:pStyle w:val="Overskrift2"/>
      </w:pPr>
      <w:r w:rsidRPr="00580C0D">
        <w:t>Stortingssesjon 2021–2022</w:t>
      </w:r>
    </w:p>
    <w:p w14:paraId="538BD277" w14:textId="77777777" w:rsidR="00F7113A" w:rsidRPr="00580C0D" w:rsidRDefault="00142E5B" w:rsidP="00580C0D">
      <w:pPr>
        <w:pStyle w:val="avsnitt-tittel"/>
      </w:pPr>
      <w:r w:rsidRPr="00580C0D">
        <w:t>Ny rettshjelpsordning</w:t>
      </w:r>
    </w:p>
    <w:p w14:paraId="3615FB2B" w14:textId="77777777" w:rsidR="00F7113A" w:rsidRPr="00580C0D" w:rsidRDefault="00142E5B" w:rsidP="00580C0D">
      <w:pPr>
        <w:pStyle w:val="avsnitt-undertittel"/>
      </w:pPr>
      <w:r w:rsidRPr="00580C0D">
        <w:t>Vedtak nr. 35.49, 2. desember 2021</w:t>
      </w:r>
    </w:p>
    <w:p w14:paraId="04517598" w14:textId="77777777" w:rsidR="00F7113A" w:rsidRPr="00580C0D" w:rsidRDefault="00142E5B" w:rsidP="00580C0D">
      <w:pPr>
        <w:pStyle w:val="blokksit"/>
        <w:rPr>
          <w:rStyle w:val="kursiv"/>
        </w:rPr>
      </w:pPr>
      <w:r w:rsidRPr="00580C0D">
        <w:rPr>
          <w:rStyle w:val="kursiv"/>
        </w:rPr>
        <w:t>«Stortinget ber regjeringen om å legge frem forslag til ny lov om støtte til rettshjelp i løpet av våren 2023, og vurdere ulike tiltak som kan forsterke rettshjelpsordningen for befolkningen, herunder forslagene i NOU 2020:5»</w:t>
      </w:r>
    </w:p>
    <w:p w14:paraId="4418FAF2" w14:textId="77777777" w:rsidR="00F7113A" w:rsidRPr="00580C0D" w:rsidRDefault="00142E5B" w:rsidP="00580C0D">
      <w:r w:rsidRPr="00580C0D">
        <w:t xml:space="preserve">Dokumenta som ligg til grunn for vedtaket, er Meld. St. 1 (2021–2022), </w:t>
      </w:r>
      <w:proofErr w:type="spellStart"/>
      <w:r w:rsidRPr="00580C0D">
        <w:t>Prop</w:t>
      </w:r>
      <w:proofErr w:type="spellEnd"/>
      <w:r w:rsidRPr="00580C0D">
        <w:t xml:space="preserve">. 1 S (2021–2022), </w:t>
      </w:r>
      <w:proofErr w:type="spellStart"/>
      <w:r w:rsidRPr="00580C0D">
        <w:t>Prop</w:t>
      </w:r>
      <w:proofErr w:type="spellEnd"/>
      <w:r w:rsidRPr="00580C0D">
        <w:t xml:space="preserve">. 1 S Tillegg 1 (2021–2022) og </w:t>
      </w:r>
      <w:proofErr w:type="spellStart"/>
      <w:r w:rsidRPr="00580C0D">
        <w:t>Innst</w:t>
      </w:r>
      <w:proofErr w:type="spellEnd"/>
      <w:r w:rsidRPr="00580C0D">
        <w:t>. 2 S (2021–2022).</w:t>
      </w:r>
    </w:p>
    <w:p w14:paraId="0D5FEEA2" w14:textId="77777777" w:rsidR="00F7113A" w:rsidRPr="00580C0D" w:rsidRDefault="00142E5B" w:rsidP="00580C0D">
      <w:r w:rsidRPr="00580C0D">
        <w:t xml:space="preserve">Vedtaket er </w:t>
      </w:r>
      <w:proofErr w:type="spellStart"/>
      <w:r w:rsidRPr="00580C0D">
        <w:t>følgt</w:t>
      </w:r>
      <w:proofErr w:type="spellEnd"/>
      <w:r w:rsidRPr="00580C0D">
        <w:t xml:space="preserve"> opp, jf. </w:t>
      </w:r>
      <w:proofErr w:type="spellStart"/>
      <w:r w:rsidRPr="00580C0D">
        <w:t>Prop</w:t>
      </w:r>
      <w:proofErr w:type="spellEnd"/>
      <w:r w:rsidRPr="00580C0D">
        <w:t xml:space="preserve">. 124 L (2022–2023) </w:t>
      </w:r>
      <w:r w:rsidRPr="00580C0D">
        <w:rPr>
          <w:rStyle w:val="kursiv"/>
        </w:rPr>
        <w:t>Endringer i rettshjelploven (ny modell for økonomisk behovsprøving)</w:t>
      </w:r>
      <w:r w:rsidRPr="00580C0D">
        <w:t xml:space="preserve">. </w:t>
      </w:r>
      <w:proofErr w:type="spellStart"/>
      <w:r w:rsidRPr="00580C0D">
        <w:t>Endringane</w:t>
      </w:r>
      <w:proofErr w:type="spellEnd"/>
      <w:r w:rsidRPr="00580C0D">
        <w:t xml:space="preserve"> </w:t>
      </w:r>
      <w:proofErr w:type="spellStart"/>
      <w:r w:rsidRPr="00580C0D">
        <w:t>inneber</w:t>
      </w:r>
      <w:proofErr w:type="spellEnd"/>
      <w:r w:rsidRPr="00580C0D">
        <w:t xml:space="preserve"> at </w:t>
      </w:r>
      <w:proofErr w:type="spellStart"/>
      <w:r w:rsidRPr="00580C0D">
        <w:t>fleire</w:t>
      </w:r>
      <w:proofErr w:type="spellEnd"/>
      <w:r w:rsidRPr="00580C0D">
        <w:t xml:space="preserve"> kan få rettshjelp dekt av staten. Forslaget vil fjerne skilnadene mellom </w:t>
      </w:r>
      <w:proofErr w:type="spellStart"/>
      <w:r w:rsidRPr="00580C0D">
        <w:t>partar</w:t>
      </w:r>
      <w:proofErr w:type="spellEnd"/>
      <w:r w:rsidRPr="00580C0D">
        <w:t xml:space="preserve"> med relativt lik økonomi og sikre at ordninga </w:t>
      </w:r>
      <w:proofErr w:type="spellStart"/>
      <w:r w:rsidRPr="00580C0D">
        <w:t>ikkje</w:t>
      </w:r>
      <w:proofErr w:type="spellEnd"/>
      <w:r w:rsidRPr="00580C0D">
        <w:t xml:space="preserve"> blir svekt over tid. Sjå </w:t>
      </w:r>
      <w:proofErr w:type="spellStart"/>
      <w:r w:rsidRPr="00580C0D">
        <w:t>nærmare</w:t>
      </w:r>
      <w:proofErr w:type="spellEnd"/>
      <w:r w:rsidRPr="00580C0D">
        <w:t xml:space="preserve"> omtale under programkategori 06.70.</w:t>
      </w:r>
    </w:p>
    <w:p w14:paraId="345272BA" w14:textId="77777777" w:rsidR="00F7113A" w:rsidRPr="00580C0D" w:rsidRDefault="00142E5B" w:rsidP="00580C0D">
      <w:pPr>
        <w:pStyle w:val="avsnitt-tittel"/>
      </w:pPr>
      <w:r w:rsidRPr="00580C0D">
        <w:t xml:space="preserve">Pilotprosjekt for </w:t>
      </w:r>
      <w:proofErr w:type="spellStart"/>
      <w:r w:rsidRPr="00580C0D">
        <w:t>notoritet</w:t>
      </w:r>
      <w:proofErr w:type="spellEnd"/>
      <w:r w:rsidRPr="00580C0D">
        <w:t xml:space="preserve"> i </w:t>
      </w:r>
      <w:proofErr w:type="spellStart"/>
      <w:r w:rsidRPr="00580C0D">
        <w:t>personkontrollar</w:t>
      </w:r>
      <w:proofErr w:type="spellEnd"/>
    </w:p>
    <w:p w14:paraId="5A08140C" w14:textId="77777777" w:rsidR="00F7113A" w:rsidRPr="00580C0D" w:rsidRDefault="00142E5B" w:rsidP="00580C0D">
      <w:pPr>
        <w:pStyle w:val="avsnitt-undertittel"/>
      </w:pPr>
      <w:r w:rsidRPr="00580C0D">
        <w:t>Vedtak nr. 35.56, 2. desember 2021</w:t>
      </w:r>
    </w:p>
    <w:p w14:paraId="02F5FF55" w14:textId="77777777" w:rsidR="00F7113A" w:rsidRPr="00580C0D" w:rsidRDefault="00142E5B" w:rsidP="00580C0D">
      <w:pPr>
        <w:pStyle w:val="blokksit"/>
        <w:rPr>
          <w:rStyle w:val="kursiv"/>
        </w:rPr>
      </w:pPr>
      <w:r w:rsidRPr="00580C0D">
        <w:rPr>
          <w:rStyle w:val="kursiv"/>
        </w:rPr>
        <w:t xml:space="preserve">«Stortinget ber regjeringen om å gjennomføre en pilotordning i Oslo med teknisk løsning for sikring av </w:t>
      </w:r>
      <w:proofErr w:type="spellStart"/>
      <w:r w:rsidRPr="00580C0D">
        <w:rPr>
          <w:rStyle w:val="kursiv"/>
        </w:rPr>
        <w:t>notoritet</w:t>
      </w:r>
      <w:proofErr w:type="spellEnd"/>
      <w:r w:rsidRPr="00580C0D">
        <w:rPr>
          <w:rStyle w:val="kursiv"/>
        </w:rPr>
        <w:t xml:space="preserve"> for personkontroller som politiet foretar dersom den som blir kontrollert vil la seg registrere. Ordningen skal innebære at den som blir stoppet kan motta en bekreftelse på kontrollen.»</w:t>
      </w:r>
    </w:p>
    <w:p w14:paraId="325113BB" w14:textId="77777777" w:rsidR="00F7113A" w:rsidRPr="00580C0D" w:rsidRDefault="00142E5B" w:rsidP="00580C0D">
      <w:r w:rsidRPr="00580C0D">
        <w:t xml:space="preserve">Dokumenta som ligg til grunn for vedtaket, er Meld. St. 1 (2021–2022) og </w:t>
      </w:r>
      <w:proofErr w:type="spellStart"/>
      <w:r w:rsidRPr="00580C0D">
        <w:t>Innst</w:t>
      </w:r>
      <w:proofErr w:type="spellEnd"/>
      <w:r w:rsidRPr="00580C0D">
        <w:t xml:space="preserve">. 2 S (2021–2022), jf. òg Meld. St. 4 (2022–2023) og </w:t>
      </w:r>
      <w:proofErr w:type="spellStart"/>
      <w:r w:rsidRPr="00580C0D">
        <w:t>Innst</w:t>
      </w:r>
      <w:proofErr w:type="spellEnd"/>
      <w:r w:rsidRPr="00580C0D">
        <w:t>. 186 S (2022–2023).</w:t>
      </w:r>
    </w:p>
    <w:p w14:paraId="6B6EBB15" w14:textId="77777777" w:rsidR="00F7113A" w:rsidRPr="00580C0D" w:rsidRDefault="00142E5B" w:rsidP="00580C0D">
      <w:r w:rsidRPr="00580C0D">
        <w:t xml:space="preserve">Vedtaket er </w:t>
      </w:r>
      <w:proofErr w:type="spellStart"/>
      <w:r w:rsidRPr="00580C0D">
        <w:t>følgt</w:t>
      </w:r>
      <w:proofErr w:type="spellEnd"/>
      <w:r w:rsidRPr="00580C0D">
        <w:t xml:space="preserve"> opp. I starten av desember 2022 </w:t>
      </w:r>
      <w:proofErr w:type="spellStart"/>
      <w:r w:rsidRPr="00580C0D">
        <w:t>vart</w:t>
      </w:r>
      <w:proofErr w:type="spellEnd"/>
      <w:r w:rsidRPr="00580C0D">
        <w:t xml:space="preserve"> det sett i gang </w:t>
      </w:r>
      <w:proofErr w:type="spellStart"/>
      <w:r w:rsidRPr="00580C0D">
        <w:t>eit</w:t>
      </w:r>
      <w:proofErr w:type="spellEnd"/>
      <w:r w:rsidRPr="00580C0D">
        <w:t xml:space="preserve"> pilotprosjekt sentralt i Oslo der </w:t>
      </w:r>
      <w:proofErr w:type="spellStart"/>
      <w:r w:rsidRPr="00580C0D">
        <w:t>ein</w:t>
      </w:r>
      <w:proofErr w:type="spellEnd"/>
      <w:r w:rsidRPr="00580C0D">
        <w:t xml:space="preserve"> </w:t>
      </w:r>
      <w:proofErr w:type="spellStart"/>
      <w:r w:rsidRPr="00580C0D">
        <w:t>utferdar</w:t>
      </w:r>
      <w:proofErr w:type="spellEnd"/>
      <w:r w:rsidRPr="00580C0D">
        <w:t xml:space="preserve"> ei stadfesting på gjennomført personkontroll. Prosjektet blei avslutta i september 2023, og ei ekstern evaluering er sett i gang.</w:t>
      </w:r>
    </w:p>
    <w:p w14:paraId="74D2BDC3" w14:textId="77777777" w:rsidR="00F7113A" w:rsidRPr="00580C0D" w:rsidRDefault="00142E5B" w:rsidP="00580C0D">
      <w:pPr>
        <w:pStyle w:val="avsnitt-tittel"/>
      </w:pPr>
      <w:r w:rsidRPr="00580C0D">
        <w:t xml:space="preserve">Utgreiing av </w:t>
      </w:r>
      <w:proofErr w:type="spellStart"/>
      <w:r w:rsidRPr="00580C0D">
        <w:t>fråvikelege</w:t>
      </w:r>
      <w:proofErr w:type="spellEnd"/>
      <w:r w:rsidRPr="00580C0D">
        <w:t xml:space="preserve"> </w:t>
      </w:r>
      <w:proofErr w:type="spellStart"/>
      <w:r w:rsidRPr="00580C0D">
        <w:t>lovreglar</w:t>
      </w:r>
      <w:proofErr w:type="spellEnd"/>
      <w:r w:rsidRPr="00580C0D">
        <w:t xml:space="preserve"> om </w:t>
      </w:r>
      <w:proofErr w:type="spellStart"/>
      <w:r w:rsidRPr="00580C0D">
        <w:t>sambuarskap</w:t>
      </w:r>
      <w:proofErr w:type="spellEnd"/>
    </w:p>
    <w:p w14:paraId="53C6CA24" w14:textId="77777777" w:rsidR="00F7113A" w:rsidRPr="00580C0D" w:rsidRDefault="00142E5B" w:rsidP="00580C0D">
      <w:pPr>
        <w:pStyle w:val="avsnitt-undertittel"/>
      </w:pPr>
      <w:r w:rsidRPr="00580C0D">
        <w:t>Vedtak nr. 372, 3. februar 2022</w:t>
      </w:r>
    </w:p>
    <w:p w14:paraId="0C459AED" w14:textId="77777777" w:rsidR="00F7113A" w:rsidRPr="00580C0D" w:rsidRDefault="00142E5B" w:rsidP="00580C0D">
      <w:pPr>
        <w:pStyle w:val="blokksit"/>
        <w:rPr>
          <w:rStyle w:val="kursiv"/>
        </w:rPr>
      </w:pPr>
      <w:r w:rsidRPr="00580C0D">
        <w:rPr>
          <w:rStyle w:val="kursiv"/>
        </w:rPr>
        <w:t xml:space="preserve">«Stortinget ber regjeringen utrede en fravikelig </w:t>
      </w:r>
      <w:proofErr w:type="spellStart"/>
      <w:r w:rsidRPr="00580C0D">
        <w:rPr>
          <w:rStyle w:val="kursiv"/>
        </w:rPr>
        <w:t>samboerlov</w:t>
      </w:r>
      <w:proofErr w:type="spellEnd"/>
      <w:r w:rsidRPr="00580C0D">
        <w:rPr>
          <w:rStyle w:val="kursiv"/>
        </w:rPr>
        <w:t>.»</w:t>
      </w:r>
    </w:p>
    <w:p w14:paraId="65553363" w14:textId="77777777" w:rsidR="00F7113A" w:rsidRPr="00580C0D" w:rsidRDefault="00142E5B" w:rsidP="00580C0D">
      <w:r w:rsidRPr="00580C0D">
        <w:t xml:space="preserve">Dokumenta som ligg til grunn for vedtaket, er Dokument 8:5 S (2021–2022) og </w:t>
      </w:r>
      <w:proofErr w:type="spellStart"/>
      <w:r w:rsidRPr="00580C0D">
        <w:t>Innst</w:t>
      </w:r>
      <w:proofErr w:type="spellEnd"/>
      <w:r w:rsidRPr="00580C0D">
        <w:t xml:space="preserve">. 121 S (2021–2022) </w:t>
      </w:r>
      <w:proofErr w:type="spellStart"/>
      <w:r w:rsidRPr="00580C0D">
        <w:t>frå</w:t>
      </w:r>
      <w:proofErr w:type="spellEnd"/>
      <w:r w:rsidRPr="00580C0D">
        <w:t xml:space="preserve"> familie- og kulturkomiteen.</w:t>
      </w:r>
    </w:p>
    <w:p w14:paraId="10A14D23" w14:textId="77777777" w:rsidR="00F7113A" w:rsidRPr="00580C0D" w:rsidRDefault="00142E5B" w:rsidP="00580C0D">
      <w:r w:rsidRPr="00580C0D">
        <w:t xml:space="preserve">Vedtaket er under behandling. Regjeringa </w:t>
      </w:r>
      <w:proofErr w:type="spellStart"/>
      <w:r w:rsidRPr="00580C0D">
        <w:t>oppnemnde</w:t>
      </w:r>
      <w:proofErr w:type="spellEnd"/>
      <w:r w:rsidRPr="00580C0D">
        <w:t xml:space="preserve"> i mars 2023 </w:t>
      </w:r>
      <w:proofErr w:type="spellStart"/>
      <w:r w:rsidRPr="00580C0D">
        <w:t>eit</w:t>
      </w:r>
      <w:proofErr w:type="spellEnd"/>
      <w:r w:rsidRPr="00580C0D">
        <w:t xml:space="preserve"> </w:t>
      </w:r>
      <w:proofErr w:type="spellStart"/>
      <w:r w:rsidRPr="00580C0D">
        <w:t>offentleg</w:t>
      </w:r>
      <w:proofErr w:type="spellEnd"/>
      <w:r w:rsidRPr="00580C0D">
        <w:t xml:space="preserve"> </w:t>
      </w:r>
      <w:proofErr w:type="spellStart"/>
      <w:r w:rsidRPr="00580C0D">
        <w:t>utval</w:t>
      </w:r>
      <w:proofErr w:type="spellEnd"/>
      <w:r w:rsidRPr="00580C0D">
        <w:t xml:space="preserve"> som skal vurdere ei </w:t>
      </w:r>
      <w:proofErr w:type="spellStart"/>
      <w:r w:rsidRPr="00580C0D">
        <w:t>mogleg</w:t>
      </w:r>
      <w:proofErr w:type="spellEnd"/>
      <w:r w:rsidRPr="00580C0D">
        <w:t xml:space="preserve"> ny regulering. </w:t>
      </w:r>
      <w:proofErr w:type="spellStart"/>
      <w:r w:rsidRPr="00580C0D">
        <w:t>Utvalet</w:t>
      </w:r>
      <w:proofErr w:type="spellEnd"/>
      <w:r w:rsidRPr="00580C0D">
        <w:t xml:space="preserve"> skal levere utgreiinga si </w:t>
      </w:r>
      <w:proofErr w:type="spellStart"/>
      <w:r w:rsidRPr="00580C0D">
        <w:t>innan</w:t>
      </w:r>
      <w:proofErr w:type="spellEnd"/>
      <w:r w:rsidRPr="00580C0D">
        <w:t xml:space="preserve"> 1. mai 2025.</w:t>
      </w:r>
    </w:p>
    <w:p w14:paraId="1718E7F9" w14:textId="77777777" w:rsidR="00F7113A" w:rsidRPr="00580C0D" w:rsidRDefault="00142E5B" w:rsidP="00580C0D">
      <w:pPr>
        <w:pStyle w:val="avsnitt-tittel"/>
      </w:pPr>
      <w:r w:rsidRPr="00580C0D">
        <w:t>Straffebestemming om seksuell utnytting av barn</w:t>
      </w:r>
    </w:p>
    <w:p w14:paraId="3187EE09" w14:textId="77777777" w:rsidR="00F7113A" w:rsidRPr="00580C0D" w:rsidRDefault="00142E5B" w:rsidP="00580C0D">
      <w:pPr>
        <w:pStyle w:val="avsnitt-undertittel"/>
      </w:pPr>
      <w:r w:rsidRPr="00580C0D">
        <w:t>Vedtak nr. 420, 8. mars 2022</w:t>
      </w:r>
    </w:p>
    <w:p w14:paraId="46C39A0C" w14:textId="77777777" w:rsidR="00F7113A" w:rsidRPr="00580C0D" w:rsidRDefault="00142E5B" w:rsidP="00580C0D">
      <w:pPr>
        <w:pStyle w:val="blokksit"/>
        <w:rPr>
          <w:rStyle w:val="kursiv"/>
        </w:rPr>
      </w:pPr>
      <w:r w:rsidRPr="00580C0D">
        <w:rPr>
          <w:rStyle w:val="kursiv"/>
        </w:rPr>
        <w:t>«Stortinget ber regjeringen vurdere om ordet «livssituasjon» i straffeloven § 295 første ledd bokstav c bør endres til «situasjon», slik at bestemmelsen rammer det «å utnytte en person under 18 år i en særlig sårbar situasjon.»</w:t>
      </w:r>
    </w:p>
    <w:p w14:paraId="58F9A2D6" w14:textId="77777777" w:rsidR="00F7113A" w:rsidRPr="00580C0D" w:rsidRDefault="00142E5B" w:rsidP="00580C0D">
      <w:r w:rsidRPr="00580C0D">
        <w:t xml:space="preserve">Dokumenta som ligg til grunn for vedtaket, er Dokument 8:26 S (2021–2022) og </w:t>
      </w:r>
      <w:proofErr w:type="spellStart"/>
      <w:r w:rsidRPr="00580C0D">
        <w:t>Innst</w:t>
      </w:r>
      <w:proofErr w:type="spellEnd"/>
      <w:r w:rsidRPr="00580C0D">
        <w:t xml:space="preserve">. 177 S (2021–2022) </w:t>
      </w:r>
      <w:proofErr w:type="spellStart"/>
      <w:r w:rsidRPr="00580C0D">
        <w:t>frå</w:t>
      </w:r>
      <w:proofErr w:type="spellEnd"/>
      <w:r w:rsidRPr="00580C0D">
        <w:t xml:space="preserve"> justiskomiteen.</w:t>
      </w:r>
    </w:p>
    <w:p w14:paraId="7BE8DBD5" w14:textId="77777777" w:rsidR="00F7113A" w:rsidRPr="00580C0D" w:rsidRDefault="00142E5B" w:rsidP="00580C0D">
      <w:r w:rsidRPr="00580C0D">
        <w:t xml:space="preserve">Vedtaket er under behandling. Straffelovrådet la i desember 2022 fram ei utgreiing om </w:t>
      </w:r>
      <w:proofErr w:type="spellStart"/>
      <w:r w:rsidRPr="00580C0D">
        <w:t>strafferettsleg</w:t>
      </w:r>
      <w:proofErr w:type="spellEnd"/>
      <w:r w:rsidRPr="00580C0D">
        <w:t xml:space="preserve"> vern av den seksuelle </w:t>
      </w:r>
      <w:proofErr w:type="spellStart"/>
      <w:r w:rsidRPr="00580C0D">
        <w:t>sjølvråderetten</w:t>
      </w:r>
      <w:proofErr w:type="spellEnd"/>
      <w:r w:rsidRPr="00580C0D">
        <w:t xml:space="preserve">, NOU 2022: 21. I utgreiinga tilrår rådet ei ny føresegn som </w:t>
      </w:r>
      <w:proofErr w:type="spellStart"/>
      <w:r w:rsidRPr="00580C0D">
        <w:t>rammar</w:t>
      </w:r>
      <w:proofErr w:type="spellEnd"/>
      <w:r w:rsidRPr="00580C0D">
        <w:t xml:space="preserve"> «den som skaffer seg seksuell omgang med noen under 18 år ved å utnytte at vedkommende befinner seg i en særlig sårbar situasjon og derved har vesentlig nedsatte forutsetninger for å motsette seg handlingen». Rådet tilrår at føresegna òg </w:t>
      </w:r>
      <w:proofErr w:type="spellStart"/>
      <w:r w:rsidRPr="00580C0D">
        <w:t>rammar</w:t>
      </w:r>
      <w:proofErr w:type="spellEnd"/>
      <w:r w:rsidRPr="00580C0D">
        <w:t xml:space="preserve"> </w:t>
      </w:r>
      <w:proofErr w:type="spellStart"/>
      <w:r w:rsidRPr="00580C0D">
        <w:t>dei</w:t>
      </w:r>
      <w:proofErr w:type="spellEnd"/>
      <w:r w:rsidRPr="00580C0D">
        <w:t xml:space="preserve"> som ved forholda som er </w:t>
      </w:r>
      <w:proofErr w:type="spellStart"/>
      <w:r w:rsidRPr="00580C0D">
        <w:t>nemnde</w:t>
      </w:r>
      <w:proofErr w:type="spellEnd"/>
      <w:r w:rsidRPr="00580C0D">
        <w:t xml:space="preserve"> </w:t>
      </w:r>
      <w:proofErr w:type="spellStart"/>
      <w:r w:rsidRPr="00580C0D">
        <w:t>ovanfor</w:t>
      </w:r>
      <w:proofErr w:type="spellEnd"/>
      <w:r w:rsidRPr="00580C0D">
        <w:t xml:space="preserve">, «får noen under 18 år til å ha seksuell omgang med en annen eller til å utføre handlinger som svarer til seksuell omgang med seg selv». Oppfølging av NOU-en er ei prioritert </w:t>
      </w:r>
      <w:proofErr w:type="spellStart"/>
      <w:r w:rsidRPr="00580C0D">
        <w:t>oppgåve</w:t>
      </w:r>
      <w:proofErr w:type="spellEnd"/>
      <w:r w:rsidRPr="00580C0D">
        <w:t xml:space="preserve"> for departementet.</w:t>
      </w:r>
    </w:p>
    <w:p w14:paraId="2F467064" w14:textId="77777777" w:rsidR="00F7113A" w:rsidRPr="00580C0D" w:rsidRDefault="00142E5B" w:rsidP="00580C0D">
      <w:pPr>
        <w:pStyle w:val="avsnitt-tittel"/>
      </w:pPr>
      <w:r w:rsidRPr="00580C0D">
        <w:t>Advokatlova</w:t>
      </w:r>
    </w:p>
    <w:p w14:paraId="3C528977" w14:textId="77777777" w:rsidR="00F7113A" w:rsidRPr="00580C0D" w:rsidRDefault="00142E5B" w:rsidP="00580C0D">
      <w:pPr>
        <w:pStyle w:val="avsnitt-undertittel"/>
      </w:pPr>
      <w:r w:rsidRPr="00580C0D">
        <w:t>Vedtak nr. 504, 28. april 2022</w:t>
      </w:r>
    </w:p>
    <w:p w14:paraId="45706B9A" w14:textId="77777777" w:rsidR="00F7113A" w:rsidRPr="00580C0D" w:rsidRDefault="00142E5B" w:rsidP="00580C0D">
      <w:pPr>
        <w:pStyle w:val="blokksit"/>
        <w:rPr>
          <w:rStyle w:val="kursiv"/>
        </w:rPr>
      </w:pPr>
      <w:r w:rsidRPr="00580C0D">
        <w:rPr>
          <w:rStyle w:val="kursiv"/>
        </w:rPr>
        <w:t xml:space="preserve">«Stortinget ber regjeringen utarbeide forskrift etter § 19 andre ledd, hvor forsikringsselskap kan tilby advokatbistand gjennom </w:t>
      </w:r>
      <w:proofErr w:type="spellStart"/>
      <w:r w:rsidRPr="00580C0D">
        <w:rPr>
          <w:rStyle w:val="kursiv"/>
        </w:rPr>
        <w:t>rettshjelpforsikring</w:t>
      </w:r>
      <w:proofErr w:type="spellEnd"/>
      <w:r w:rsidRPr="00580C0D">
        <w:rPr>
          <w:rStyle w:val="kursiv"/>
        </w:rPr>
        <w:t>.»</w:t>
      </w:r>
    </w:p>
    <w:p w14:paraId="04DCD6D4"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214 L (2020–2021) </w:t>
      </w:r>
      <w:r w:rsidRPr="00580C0D">
        <w:rPr>
          <w:rStyle w:val="kursiv"/>
        </w:rPr>
        <w:t>Lov om advokater og andre som yter rettslig bistand (advokatloven)</w:t>
      </w:r>
      <w:r w:rsidRPr="00580C0D">
        <w:t xml:space="preserve">, </w:t>
      </w:r>
      <w:proofErr w:type="spellStart"/>
      <w:r w:rsidRPr="00580C0D">
        <w:t>Innst</w:t>
      </w:r>
      <w:proofErr w:type="spellEnd"/>
      <w:r w:rsidRPr="00580C0D">
        <w:t>. 234 L (2021–2022) og Lovvedtak 61 (2021–2022).</w:t>
      </w:r>
    </w:p>
    <w:p w14:paraId="272A3B5D" w14:textId="77777777" w:rsidR="00F7113A" w:rsidRPr="00580C0D" w:rsidRDefault="00142E5B" w:rsidP="00580C0D">
      <w:r w:rsidRPr="00580C0D">
        <w:t xml:space="preserve">Vedtaket er under behandling. Ny </w:t>
      </w:r>
      <w:proofErr w:type="spellStart"/>
      <w:r w:rsidRPr="00580C0D">
        <w:t>advokatlov</w:t>
      </w:r>
      <w:proofErr w:type="spellEnd"/>
      <w:r w:rsidRPr="00580C0D">
        <w:t xml:space="preserve"> er </w:t>
      </w:r>
      <w:proofErr w:type="spellStart"/>
      <w:r w:rsidRPr="00580C0D">
        <w:t>vedteken</w:t>
      </w:r>
      <w:proofErr w:type="spellEnd"/>
      <w:r w:rsidRPr="00580C0D">
        <w:t xml:space="preserve"> av Stortinget, og forslag til ny advokatforskrift og </w:t>
      </w:r>
      <w:proofErr w:type="spellStart"/>
      <w:r w:rsidRPr="00580C0D">
        <w:t>overgangsreglar</w:t>
      </w:r>
      <w:proofErr w:type="spellEnd"/>
      <w:r w:rsidRPr="00580C0D">
        <w:t xml:space="preserve"> blir sende på </w:t>
      </w:r>
      <w:proofErr w:type="spellStart"/>
      <w:r w:rsidRPr="00580C0D">
        <w:t>høyring</w:t>
      </w:r>
      <w:proofErr w:type="spellEnd"/>
      <w:r w:rsidRPr="00580C0D">
        <w:t xml:space="preserve"> </w:t>
      </w:r>
      <w:proofErr w:type="spellStart"/>
      <w:r w:rsidRPr="00580C0D">
        <w:t>hausten</w:t>
      </w:r>
      <w:proofErr w:type="spellEnd"/>
      <w:r w:rsidRPr="00580C0D">
        <w:t xml:space="preserve"> 2023. Sjå </w:t>
      </w:r>
      <w:proofErr w:type="spellStart"/>
      <w:r w:rsidRPr="00580C0D">
        <w:t>nærmare</w:t>
      </w:r>
      <w:proofErr w:type="spellEnd"/>
      <w:r w:rsidRPr="00580C0D">
        <w:t xml:space="preserve"> omtale under programkategori 06.60.</w:t>
      </w:r>
    </w:p>
    <w:p w14:paraId="1A34290B" w14:textId="77777777" w:rsidR="00F7113A" w:rsidRPr="00580C0D" w:rsidRDefault="00142E5B" w:rsidP="00580C0D">
      <w:pPr>
        <w:pStyle w:val="avsnitt-tittel"/>
      </w:pPr>
      <w:r w:rsidRPr="00580C0D">
        <w:t>Advokatlova</w:t>
      </w:r>
    </w:p>
    <w:p w14:paraId="5E173EB2" w14:textId="77777777" w:rsidR="00F7113A" w:rsidRPr="00580C0D" w:rsidRDefault="00142E5B" w:rsidP="00580C0D">
      <w:pPr>
        <w:pStyle w:val="avsnitt-undertittel"/>
      </w:pPr>
      <w:r w:rsidRPr="00580C0D">
        <w:t>Vedtak nr. 505, 28. april 2022</w:t>
      </w:r>
    </w:p>
    <w:p w14:paraId="3CCD193E" w14:textId="77777777" w:rsidR="00F7113A" w:rsidRPr="00580C0D" w:rsidRDefault="00142E5B" w:rsidP="00580C0D">
      <w:pPr>
        <w:pStyle w:val="blokksit"/>
        <w:rPr>
          <w:rStyle w:val="kursiv"/>
        </w:rPr>
      </w:pPr>
      <w:r w:rsidRPr="00580C0D">
        <w:rPr>
          <w:rStyle w:val="kursiv"/>
        </w:rPr>
        <w:t xml:space="preserve">«Stortinget ber regjeringen sikre klare overgangsordninger for foretak som blir berørt av endringer i ny </w:t>
      </w:r>
      <w:proofErr w:type="spellStart"/>
      <w:r w:rsidRPr="00580C0D">
        <w:rPr>
          <w:rStyle w:val="kursiv"/>
        </w:rPr>
        <w:t>advokatlov</w:t>
      </w:r>
      <w:proofErr w:type="spellEnd"/>
      <w:r w:rsidRPr="00580C0D">
        <w:rPr>
          <w:rStyle w:val="kursiv"/>
        </w:rPr>
        <w:t xml:space="preserve">, som må gi slike god nok tid til å omorganisere seg, slik det åpnes for i </w:t>
      </w:r>
      <w:proofErr w:type="spellStart"/>
      <w:r w:rsidRPr="00580C0D">
        <w:rPr>
          <w:rStyle w:val="kursiv"/>
        </w:rPr>
        <w:t>Prop</w:t>
      </w:r>
      <w:proofErr w:type="spellEnd"/>
      <w:r w:rsidRPr="00580C0D">
        <w:rPr>
          <w:rStyle w:val="kursiv"/>
        </w:rPr>
        <w:t>. 214 L (2020–2021) kapittel 22.»</w:t>
      </w:r>
    </w:p>
    <w:p w14:paraId="234E2C8D"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214 L (2020–2021) </w:t>
      </w:r>
      <w:r w:rsidRPr="00580C0D">
        <w:rPr>
          <w:rStyle w:val="kursiv"/>
        </w:rPr>
        <w:t>Lov om advokater og andre som yter rettslig bistand (advokatloven)</w:t>
      </w:r>
      <w:r w:rsidRPr="00580C0D">
        <w:t xml:space="preserve">, </w:t>
      </w:r>
      <w:proofErr w:type="spellStart"/>
      <w:r w:rsidRPr="00580C0D">
        <w:t>Innst</w:t>
      </w:r>
      <w:proofErr w:type="spellEnd"/>
      <w:r w:rsidRPr="00580C0D">
        <w:t>. 234 L (2021–2022) og Lovvedtak 61 (2021–2022).</w:t>
      </w:r>
    </w:p>
    <w:p w14:paraId="090FEC93" w14:textId="77777777" w:rsidR="00F7113A" w:rsidRPr="00580C0D" w:rsidRDefault="00142E5B" w:rsidP="00580C0D">
      <w:r w:rsidRPr="00580C0D">
        <w:t xml:space="preserve">Vedtaket er under behandling. Ny </w:t>
      </w:r>
      <w:proofErr w:type="spellStart"/>
      <w:r w:rsidRPr="00580C0D">
        <w:t>advokatlov</w:t>
      </w:r>
      <w:proofErr w:type="spellEnd"/>
      <w:r w:rsidRPr="00580C0D">
        <w:t xml:space="preserve"> er </w:t>
      </w:r>
      <w:proofErr w:type="spellStart"/>
      <w:r w:rsidRPr="00580C0D">
        <w:t>vedteken</w:t>
      </w:r>
      <w:proofErr w:type="spellEnd"/>
      <w:r w:rsidRPr="00580C0D">
        <w:t xml:space="preserve"> av Stortinget, og forslag til ny advokatforskrift og </w:t>
      </w:r>
      <w:proofErr w:type="spellStart"/>
      <w:r w:rsidRPr="00580C0D">
        <w:t>overgangsreglar</w:t>
      </w:r>
      <w:proofErr w:type="spellEnd"/>
      <w:r w:rsidRPr="00580C0D">
        <w:t xml:space="preserve"> blir sende på </w:t>
      </w:r>
      <w:proofErr w:type="spellStart"/>
      <w:r w:rsidRPr="00580C0D">
        <w:t>høyring</w:t>
      </w:r>
      <w:proofErr w:type="spellEnd"/>
      <w:r w:rsidRPr="00580C0D">
        <w:t xml:space="preserve"> </w:t>
      </w:r>
      <w:proofErr w:type="spellStart"/>
      <w:r w:rsidRPr="00580C0D">
        <w:t>hausten</w:t>
      </w:r>
      <w:proofErr w:type="spellEnd"/>
      <w:r w:rsidRPr="00580C0D">
        <w:t xml:space="preserve"> 2023. Sjå </w:t>
      </w:r>
      <w:proofErr w:type="spellStart"/>
      <w:r w:rsidRPr="00580C0D">
        <w:t>nærmare</w:t>
      </w:r>
      <w:proofErr w:type="spellEnd"/>
      <w:r w:rsidRPr="00580C0D">
        <w:t xml:space="preserve"> omtale under programkategori 06.60.</w:t>
      </w:r>
    </w:p>
    <w:p w14:paraId="42F38497" w14:textId="77777777" w:rsidR="00F7113A" w:rsidRPr="00580C0D" w:rsidRDefault="00142E5B" w:rsidP="00580C0D">
      <w:pPr>
        <w:pStyle w:val="avsnitt-tittel"/>
      </w:pPr>
      <w:r w:rsidRPr="00580C0D">
        <w:t>Advokatlova</w:t>
      </w:r>
    </w:p>
    <w:p w14:paraId="13326FBF" w14:textId="77777777" w:rsidR="00F7113A" w:rsidRPr="00580C0D" w:rsidRDefault="00142E5B" w:rsidP="00580C0D">
      <w:pPr>
        <w:pStyle w:val="avsnitt-undertittel"/>
      </w:pPr>
      <w:r w:rsidRPr="00580C0D">
        <w:t>Vedtak nr. 506, 28. april 2022</w:t>
      </w:r>
    </w:p>
    <w:p w14:paraId="10F5B287" w14:textId="77777777" w:rsidR="00F7113A" w:rsidRPr="00580C0D" w:rsidRDefault="00142E5B" w:rsidP="00580C0D">
      <w:pPr>
        <w:pStyle w:val="blokksit"/>
        <w:rPr>
          <w:rStyle w:val="kursiv"/>
        </w:rPr>
      </w:pPr>
      <w:r w:rsidRPr="00580C0D">
        <w:rPr>
          <w:rStyle w:val="kursiv"/>
        </w:rPr>
        <w:t>«Stortinget ber regjeringen iverksette forskrift for berørte forsikringsselskap i god tid før overgangsreglene som vil bli fremmet i forbindelse med ikraftsettingen av advokatloven, utløper i tid.»</w:t>
      </w:r>
    </w:p>
    <w:p w14:paraId="3CCEAB1A"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214 L (2020–2021) </w:t>
      </w:r>
      <w:r w:rsidRPr="00580C0D">
        <w:rPr>
          <w:rStyle w:val="kursiv"/>
        </w:rPr>
        <w:t>Lov om advokater og andre som yter rettslig bistand (advokatloven)</w:t>
      </w:r>
      <w:r w:rsidRPr="00580C0D">
        <w:t xml:space="preserve">, </w:t>
      </w:r>
      <w:proofErr w:type="spellStart"/>
      <w:r w:rsidRPr="00580C0D">
        <w:t>Innst</w:t>
      </w:r>
      <w:proofErr w:type="spellEnd"/>
      <w:r w:rsidRPr="00580C0D">
        <w:t>. 234 L (2021–2022) og Lovvedtak 61 (2021–2022).</w:t>
      </w:r>
    </w:p>
    <w:p w14:paraId="5F86D7EA" w14:textId="77777777" w:rsidR="00F7113A" w:rsidRPr="00580C0D" w:rsidRDefault="00142E5B" w:rsidP="00580C0D">
      <w:r w:rsidRPr="00580C0D">
        <w:t xml:space="preserve">Vedtaket er under behandling. Ny </w:t>
      </w:r>
      <w:proofErr w:type="spellStart"/>
      <w:r w:rsidRPr="00580C0D">
        <w:t>advokatlov</w:t>
      </w:r>
      <w:proofErr w:type="spellEnd"/>
      <w:r w:rsidRPr="00580C0D">
        <w:t xml:space="preserve"> er </w:t>
      </w:r>
      <w:proofErr w:type="spellStart"/>
      <w:r w:rsidRPr="00580C0D">
        <w:t>vedteken</w:t>
      </w:r>
      <w:proofErr w:type="spellEnd"/>
      <w:r w:rsidRPr="00580C0D">
        <w:t xml:space="preserve"> av Stortinget, og forslag til ny advokatforskrift og </w:t>
      </w:r>
      <w:proofErr w:type="spellStart"/>
      <w:r w:rsidRPr="00580C0D">
        <w:t>overgangsreglar</w:t>
      </w:r>
      <w:proofErr w:type="spellEnd"/>
      <w:r w:rsidRPr="00580C0D">
        <w:t xml:space="preserve"> blir sende på </w:t>
      </w:r>
      <w:proofErr w:type="spellStart"/>
      <w:r w:rsidRPr="00580C0D">
        <w:t>høyring</w:t>
      </w:r>
      <w:proofErr w:type="spellEnd"/>
      <w:r w:rsidRPr="00580C0D">
        <w:t xml:space="preserve"> </w:t>
      </w:r>
      <w:proofErr w:type="spellStart"/>
      <w:r w:rsidRPr="00580C0D">
        <w:t>hausten</w:t>
      </w:r>
      <w:proofErr w:type="spellEnd"/>
      <w:r w:rsidRPr="00580C0D">
        <w:t xml:space="preserve"> 2023. Sjå </w:t>
      </w:r>
      <w:proofErr w:type="spellStart"/>
      <w:r w:rsidRPr="00580C0D">
        <w:t>nærmare</w:t>
      </w:r>
      <w:proofErr w:type="spellEnd"/>
      <w:r w:rsidRPr="00580C0D">
        <w:t xml:space="preserve"> omtale under programkategori 06.60.</w:t>
      </w:r>
    </w:p>
    <w:p w14:paraId="5316132F" w14:textId="77777777" w:rsidR="00F7113A" w:rsidRPr="00580C0D" w:rsidRDefault="00142E5B" w:rsidP="00580C0D">
      <w:pPr>
        <w:pStyle w:val="avsnitt-tittel"/>
      </w:pPr>
      <w:r w:rsidRPr="00580C0D">
        <w:t>Nytt Oslo fengsel</w:t>
      </w:r>
    </w:p>
    <w:p w14:paraId="10EAD07D" w14:textId="77777777" w:rsidR="00F7113A" w:rsidRPr="00580C0D" w:rsidRDefault="00142E5B" w:rsidP="00580C0D">
      <w:pPr>
        <w:pStyle w:val="avsnitt-undertittel"/>
      </w:pPr>
      <w:r w:rsidRPr="00580C0D">
        <w:t>Vedtak nr. 507, 28. april 2022</w:t>
      </w:r>
    </w:p>
    <w:p w14:paraId="1B4CF9CB" w14:textId="77777777" w:rsidR="00F7113A" w:rsidRPr="00580C0D" w:rsidRDefault="00142E5B" w:rsidP="00580C0D">
      <w:pPr>
        <w:pStyle w:val="blokksit"/>
        <w:rPr>
          <w:rStyle w:val="kursiv"/>
        </w:rPr>
      </w:pPr>
      <w:r w:rsidRPr="00580C0D">
        <w:rPr>
          <w:rStyle w:val="kursiv"/>
        </w:rPr>
        <w:t>«Stortinget ber regjeringen komme tilbake til Stortinget med egen sak om plassering av nytt Oslo fengsel før endelig beslutning fattes.»</w:t>
      </w:r>
    </w:p>
    <w:p w14:paraId="7317A4EE" w14:textId="77777777" w:rsidR="00F7113A" w:rsidRPr="00580C0D" w:rsidRDefault="00142E5B" w:rsidP="00580C0D">
      <w:r w:rsidRPr="00580C0D">
        <w:t xml:space="preserve">Dokumenta som ligg til grunn for vedtaket, er Dokument 8:88 S og </w:t>
      </w:r>
      <w:proofErr w:type="spellStart"/>
      <w:r w:rsidRPr="00580C0D">
        <w:t>Innst</w:t>
      </w:r>
      <w:proofErr w:type="spellEnd"/>
      <w:r w:rsidRPr="00580C0D">
        <w:t>. 241 S (2021– 2022).</w:t>
      </w:r>
    </w:p>
    <w:p w14:paraId="6D1F2389" w14:textId="77777777" w:rsidR="00F7113A" w:rsidRPr="00580C0D" w:rsidRDefault="00142E5B" w:rsidP="00580C0D">
      <w:r w:rsidRPr="00580C0D">
        <w:t xml:space="preserve">Vedtaket er </w:t>
      </w:r>
      <w:proofErr w:type="spellStart"/>
      <w:r w:rsidRPr="00580C0D">
        <w:t>følgt</w:t>
      </w:r>
      <w:proofErr w:type="spellEnd"/>
      <w:r w:rsidRPr="00580C0D">
        <w:t xml:space="preserve"> opp. Det vises til omtale under programkategori 06.30, kap. 430. Som erstatning for </w:t>
      </w:r>
      <w:proofErr w:type="spellStart"/>
      <w:r w:rsidRPr="00580C0D">
        <w:t>nokre</w:t>
      </w:r>
      <w:proofErr w:type="spellEnd"/>
      <w:r w:rsidRPr="00580C0D">
        <w:t xml:space="preserve"> av </w:t>
      </w:r>
      <w:proofErr w:type="spellStart"/>
      <w:r w:rsidRPr="00580C0D">
        <w:t>dei</w:t>
      </w:r>
      <w:proofErr w:type="spellEnd"/>
      <w:r w:rsidRPr="00580C0D">
        <w:t xml:space="preserve"> </w:t>
      </w:r>
      <w:proofErr w:type="spellStart"/>
      <w:r w:rsidRPr="00580C0D">
        <w:t>eksisterande</w:t>
      </w:r>
      <w:proofErr w:type="spellEnd"/>
      <w:r w:rsidRPr="00580C0D">
        <w:t xml:space="preserve"> </w:t>
      </w:r>
      <w:proofErr w:type="spellStart"/>
      <w:r w:rsidRPr="00580C0D">
        <w:t>fengselsplassane</w:t>
      </w:r>
      <w:proofErr w:type="spellEnd"/>
      <w:r w:rsidRPr="00580C0D">
        <w:t xml:space="preserve"> ved Oslo fengsel er det gitt startløyving til å utvide Romerike fengsel, Ullersmo avdeling med netto 76 </w:t>
      </w:r>
      <w:proofErr w:type="spellStart"/>
      <w:r w:rsidRPr="00580C0D">
        <w:t>plassar</w:t>
      </w:r>
      <w:proofErr w:type="spellEnd"/>
      <w:r w:rsidRPr="00580C0D">
        <w:t xml:space="preserve">. </w:t>
      </w:r>
      <w:proofErr w:type="spellStart"/>
      <w:r w:rsidRPr="00580C0D">
        <w:t>Vidare</w:t>
      </w:r>
      <w:proofErr w:type="spellEnd"/>
      <w:r w:rsidRPr="00580C0D">
        <w:t xml:space="preserve"> planlegg regjeringa for å utvide Ilseng fengsel med minst 96 </w:t>
      </w:r>
      <w:proofErr w:type="spellStart"/>
      <w:r w:rsidRPr="00580C0D">
        <w:t>plassar</w:t>
      </w:r>
      <w:proofErr w:type="spellEnd"/>
      <w:r w:rsidRPr="00580C0D">
        <w:t xml:space="preserve"> og </w:t>
      </w:r>
      <w:proofErr w:type="spellStart"/>
      <w:r w:rsidRPr="00580C0D">
        <w:t>byggje</w:t>
      </w:r>
      <w:proofErr w:type="spellEnd"/>
      <w:r w:rsidRPr="00580C0D">
        <w:t xml:space="preserve"> om lag 140 </w:t>
      </w:r>
      <w:proofErr w:type="spellStart"/>
      <w:r w:rsidRPr="00580C0D">
        <w:t>fengselsplassar</w:t>
      </w:r>
      <w:proofErr w:type="spellEnd"/>
      <w:r w:rsidRPr="00580C0D">
        <w:t xml:space="preserve"> på Grønland for å erstatte </w:t>
      </w:r>
      <w:proofErr w:type="spellStart"/>
      <w:r w:rsidRPr="00580C0D">
        <w:t>dei</w:t>
      </w:r>
      <w:proofErr w:type="spellEnd"/>
      <w:r w:rsidRPr="00580C0D">
        <w:t xml:space="preserve"> </w:t>
      </w:r>
      <w:proofErr w:type="spellStart"/>
      <w:r w:rsidRPr="00580C0D">
        <w:t>resterande</w:t>
      </w:r>
      <w:proofErr w:type="spellEnd"/>
      <w:r w:rsidRPr="00580C0D">
        <w:t xml:space="preserve"> </w:t>
      </w:r>
      <w:proofErr w:type="spellStart"/>
      <w:r w:rsidRPr="00580C0D">
        <w:t>plassane</w:t>
      </w:r>
      <w:proofErr w:type="spellEnd"/>
      <w:r w:rsidRPr="00580C0D">
        <w:t xml:space="preserve">. I samband med utvidinga på Ilseng har Justis- og beredskapsdepartementet gitt Statsbygg og Kriminalomsorgsdirektoratet i oppdrag å greie ut 130 nye </w:t>
      </w:r>
      <w:proofErr w:type="spellStart"/>
      <w:r w:rsidRPr="00580C0D">
        <w:t>plassar</w:t>
      </w:r>
      <w:proofErr w:type="spellEnd"/>
      <w:r w:rsidRPr="00580C0D">
        <w:t xml:space="preserve"> på Ilseng, kor </w:t>
      </w:r>
      <w:proofErr w:type="spellStart"/>
      <w:r w:rsidRPr="00580C0D">
        <w:t>dei</w:t>
      </w:r>
      <w:proofErr w:type="spellEnd"/>
      <w:r w:rsidRPr="00580C0D">
        <w:t xml:space="preserve"> siste 30 </w:t>
      </w:r>
      <w:proofErr w:type="spellStart"/>
      <w:r w:rsidRPr="00580C0D">
        <w:t>plassane</w:t>
      </w:r>
      <w:proofErr w:type="spellEnd"/>
      <w:r w:rsidRPr="00580C0D">
        <w:t xml:space="preserve"> er tenkt å kunne erstatte dagens fengsel på Hamar.</w:t>
      </w:r>
    </w:p>
    <w:p w14:paraId="5EA34052" w14:textId="77777777" w:rsidR="00F7113A" w:rsidRPr="00580C0D" w:rsidRDefault="00142E5B" w:rsidP="00580C0D">
      <w:pPr>
        <w:pStyle w:val="avsnitt-tittel"/>
      </w:pPr>
      <w:r w:rsidRPr="00580C0D">
        <w:t>Naturskadeforsikring</w:t>
      </w:r>
    </w:p>
    <w:p w14:paraId="37E765E0" w14:textId="77777777" w:rsidR="00F7113A" w:rsidRPr="00580C0D" w:rsidRDefault="00142E5B" w:rsidP="00580C0D">
      <w:pPr>
        <w:pStyle w:val="avsnitt-undertittel"/>
      </w:pPr>
      <w:r w:rsidRPr="00580C0D">
        <w:t>Vedtak nr. 579, 24. mai 2022</w:t>
      </w:r>
    </w:p>
    <w:p w14:paraId="433C2548" w14:textId="77777777" w:rsidR="00F7113A" w:rsidRPr="00580C0D" w:rsidRDefault="00142E5B" w:rsidP="00580C0D">
      <w:pPr>
        <w:pStyle w:val="blokksit"/>
        <w:rPr>
          <w:rStyle w:val="kursiv"/>
        </w:rPr>
      </w:pPr>
      <w:r w:rsidRPr="00580C0D">
        <w:rPr>
          <w:rStyle w:val="kursiv"/>
        </w:rPr>
        <w:t>«Stortinget ber regjeringen vurdere mulighetene for å innrette naturskadeforsikringsordningen slik at den bedre ivaretar hensynet til forebygging, men likevel slik at dette ikke går på bekostning av prinsippet om en solidarisk og lik premiefastsettelse for forsikringskunder i hele landet.»</w:t>
      </w:r>
    </w:p>
    <w:p w14:paraId="756F0C00" w14:textId="77777777" w:rsidR="00F7113A" w:rsidRPr="00580C0D" w:rsidRDefault="00142E5B" w:rsidP="00580C0D">
      <w:r w:rsidRPr="00580C0D">
        <w:t xml:space="preserve">Dokumenta som ligg til grunn for forslaget, er </w:t>
      </w:r>
      <w:proofErr w:type="spellStart"/>
      <w:r w:rsidRPr="00580C0D">
        <w:t>Prop</w:t>
      </w:r>
      <w:proofErr w:type="spellEnd"/>
      <w:r w:rsidRPr="00580C0D">
        <w:t xml:space="preserve">. 62 L (2021–2022) og </w:t>
      </w:r>
      <w:proofErr w:type="spellStart"/>
      <w:r w:rsidRPr="00580C0D">
        <w:t>Innst</w:t>
      </w:r>
      <w:proofErr w:type="spellEnd"/>
      <w:r w:rsidRPr="00580C0D">
        <w:t>. 308 L (2021–2022).</w:t>
      </w:r>
    </w:p>
    <w:p w14:paraId="402C5BD4" w14:textId="77777777" w:rsidR="00F7113A" w:rsidRPr="00580C0D" w:rsidRDefault="00142E5B" w:rsidP="00580C0D">
      <w:r w:rsidRPr="00580C0D">
        <w:t>Vedtaket er under behandling.</w:t>
      </w:r>
    </w:p>
    <w:p w14:paraId="00CBA95D" w14:textId="77777777" w:rsidR="00F7113A" w:rsidRPr="00580C0D" w:rsidRDefault="00142E5B" w:rsidP="00580C0D">
      <w:pPr>
        <w:pStyle w:val="avsnitt-tittel"/>
      </w:pPr>
      <w:r w:rsidRPr="00580C0D">
        <w:t xml:space="preserve">Dialog om digitale </w:t>
      </w:r>
      <w:proofErr w:type="spellStart"/>
      <w:r w:rsidRPr="00580C0D">
        <w:t>betalingstenester</w:t>
      </w:r>
      <w:proofErr w:type="spellEnd"/>
      <w:r w:rsidRPr="00580C0D">
        <w:t xml:space="preserve"> og foreldrekontroll</w:t>
      </w:r>
    </w:p>
    <w:p w14:paraId="202D03FE" w14:textId="77777777" w:rsidR="00F7113A" w:rsidRPr="00580C0D" w:rsidRDefault="00142E5B" w:rsidP="00580C0D">
      <w:pPr>
        <w:pStyle w:val="avsnitt-undertittel"/>
      </w:pPr>
      <w:r w:rsidRPr="00580C0D">
        <w:t>Vedtak nr. 580, 30. mai 2022</w:t>
      </w:r>
    </w:p>
    <w:p w14:paraId="79FEEB62" w14:textId="77777777" w:rsidR="00F7113A" w:rsidRPr="00580C0D" w:rsidRDefault="00142E5B" w:rsidP="00580C0D">
      <w:pPr>
        <w:pStyle w:val="blokksit"/>
        <w:rPr>
          <w:rStyle w:val="kursiv"/>
        </w:rPr>
      </w:pPr>
      <w:r w:rsidRPr="00580C0D">
        <w:rPr>
          <w:rStyle w:val="kursiv"/>
        </w:rPr>
        <w:t>«Stortinget ber regjeringen gå i dialog med aktuelle leverandører av digitale betalingstjenester for å øke bevisstheten rundt foreldre og foresattes mulighet til å kontrollere transaksjoner inn og ut av betalingskontoen til deres barn samt for å finne løsninger for å styrke foreldrekontrollen.»</w:t>
      </w:r>
    </w:p>
    <w:p w14:paraId="4398F837" w14:textId="77777777" w:rsidR="00F7113A" w:rsidRPr="00580C0D" w:rsidRDefault="00142E5B" w:rsidP="00580C0D">
      <w:r w:rsidRPr="00580C0D">
        <w:t xml:space="preserve">Dokumenta som ligg til grunn for vedtaket, er Dokument 8:126 S (2021–2022) og </w:t>
      </w:r>
      <w:proofErr w:type="spellStart"/>
      <w:r w:rsidRPr="00580C0D">
        <w:t>Innst</w:t>
      </w:r>
      <w:proofErr w:type="spellEnd"/>
      <w:r w:rsidRPr="00580C0D">
        <w:t xml:space="preserve">. 309 S (2021–2022) </w:t>
      </w:r>
      <w:proofErr w:type="spellStart"/>
      <w:r w:rsidRPr="00580C0D">
        <w:t>frå</w:t>
      </w:r>
      <w:proofErr w:type="spellEnd"/>
      <w:r w:rsidRPr="00580C0D">
        <w:t xml:space="preserve"> justiskomiteen.</w:t>
      </w:r>
    </w:p>
    <w:p w14:paraId="5E771D89" w14:textId="77777777" w:rsidR="00F7113A" w:rsidRPr="00580C0D" w:rsidRDefault="00142E5B" w:rsidP="00580C0D">
      <w:r w:rsidRPr="00580C0D">
        <w:t xml:space="preserve">Vedtaket er </w:t>
      </w:r>
      <w:proofErr w:type="spellStart"/>
      <w:r w:rsidRPr="00580C0D">
        <w:t>følgt</w:t>
      </w:r>
      <w:proofErr w:type="spellEnd"/>
      <w:r w:rsidRPr="00580C0D">
        <w:t xml:space="preserve"> opp. Departementet har hatt dialog med aktuelle </w:t>
      </w:r>
      <w:proofErr w:type="spellStart"/>
      <w:r w:rsidRPr="00580C0D">
        <w:t>leverandørar</w:t>
      </w:r>
      <w:proofErr w:type="spellEnd"/>
      <w:r w:rsidRPr="00580C0D">
        <w:t xml:space="preserve"> om å styrke foreldrekontrollen.</w:t>
      </w:r>
    </w:p>
    <w:p w14:paraId="1AB4FC85" w14:textId="77777777" w:rsidR="00F7113A" w:rsidRPr="00580C0D" w:rsidRDefault="00142E5B" w:rsidP="00580C0D">
      <w:pPr>
        <w:pStyle w:val="avsnitt-tittel"/>
      </w:pPr>
      <w:r w:rsidRPr="00580C0D">
        <w:t xml:space="preserve">Utgreiing av meldeplikt for norske </w:t>
      </w:r>
      <w:proofErr w:type="spellStart"/>
      <w:r w:rsidRPr="00580C0D">
        <w:t>tenesteleverandørar</w:t>
      </w:r>
      <w:proofErr w:type="spellEnd"/>
    </w:p>
    <w:p w14:paraId="2C483570" w14:textId="77777777" w:rsidR="00F7113A" w:rsidRPr="00580C0D" w:rsidRDefault="00142E5B" w:rsidP="00580C0D">
      <w:pPr>
        <w:pStyle w:val="avsnitt-undertittel"/>
      </w:pPr>
      <w:r w:rsidRPr="00580C0D">
        <w:t>Vedtak nr. 581, 30. mai 2022</w:t>
      </w:r>
    </w:p>
    <w:p w14:paraId="6936C939" w14:textId="77777777" w:rsidR="00F7113A" w:rsidRPr="00580C0D" w:rsidRDefault="00142E5B" w:rsidP="00580C0D">
      <w:pPr>
        <w:pStyle w:val="blokksit"/>
        <w:rPr>
          <w:rStyle w:val="kursiv"/>
        </w:rPr>
      </w:pPr>
      <w:r w:rsidRPr="00580C0D">
        <w:rPr>
          <w:rStyle w:val="kursiv"/>
        </w:rPr>
        <w:t>«Stortinget ber regjeringen utrede innføring av en plikt for norske tjenesteleverandører til å melde fra dersom de oppdager at deres tjenester brukes til straffbar oppbevaring eller distribusjon av overgrepsmateriale.»</w:t>
      </w:r>
    </w:p>
    <w:p w14:paraId="75D2911B" w14:textId="77777777" w:rsidR="00F7113A" w:rsidRPr="00580C0D" w:rsidRDefault="00142E5B" w:rsidP="00580C0D">
      <w:r w:rsidRPr="00580C0D">
        <w:t xml:space="preserve">Dokumenta som ligg til grunn for vedtaket, er Dokument 8:126 S (2021–2022) og </w:t>
      </w:r>
      <w:proofErr w:type="spellStart"/>
      <w:r w:rsidRPr="00580C0D">
        <w:t>Innst</w:t>
      </w:r>
      <w:proofErr w:type="spellEnd"/>
      <w:r w:rsidRPr="00580C0D">
        <w:t xml:space="preserve">. 309 S (2021–2022) </w:t>
      </w:r>
      <w:proofErr w:type="spellStart"/>
      <w:r w:rsidRPr="00580C0D">
        <w:t>frå</w:t>
      </w:r>
      <w:proofErr w:type="spellEnd"/>
      <w:r w:rsidRPr="00580C0D">
        <w:t xml:space="preserve"> justiskomiteen.</w:t>
      </w:r>
    </w:p>
    <w:p w14:paraId="2A15AD40" w14:textId="77777777" w:rsidR="00F7113A" w:rsidRPr="00580C0D" w:rsidRDefault="00142E5B" w:rsidP="00580C0D">
      <w:r w:rsidRPr="00580C0D">
        <w:t xml:space="preserve">Vedtaket er under behandling. Justis- og beredskapsdepartementet ser denne saka i </w:t>
      </w:r>
      <w:proofErr w:type="spellStart"/>
      <w:r w:rsidRPr="00580C0D">
        <w:t>samanheng</w:t>
      </w:r>
      <w:proofErr w:type="spellEnd"/>
      <w:r w:rsidRPr="00580C0D">
        <w:t xml:space="preserve"> med forslaget til EU om å innføre ei </w:t>
      </w:r>
      <w:proofErr w:type="spellStart"/>
      <w:r w:rsidRPr="00580C0D">
        <w:t>tilsvarande</w:t>
      </w:r>
      <w:proofErr w:type="spellEnd"/>
      <w:r w:rsidRPr="00580C0D">
        <w:t xml:space="preserve"> plikt. I samband med dette er det etablert ei interdepartemental arbeidsgruppe som skal greie ut saka.</w:t>
      </w:r>
    </w:p>
    <w:p w14:paraId="1CA42E38" w14:textId="77777777" w:rsidR="00F7113A" w:rsidRPr="00580C0D" w:rsidRDefault="00142E5B" w:rsidP="00580C0D">
      <w:pPr>
        <w:pStyle w:val="avsnitt-tittel"/>
      </w:pPr>
      <w:r w:rsidRPr="00580C0D">
        <w:t xml:space="preserve">Regelverk om varsling </w:t>
      </w:r>
      <w:proofErr w:type="spellStart"/>
      <w:r w:rsidRPr="00580C0D">
        <w:t>frå</w:t>
      </w:r>
      <w:proofErr w:type="spellEnd"/>
      <w:r w:rsidRPr="00580C0D">
        <w:t xml:space="preserve"> kriminalomsorga</w:t>
      </w:r>
    </w:p>
    <w:p w14:paraId="618DD623" w14:textId="77777777" w:rsidR="00F7113A" w:rsidRPr="00580C0D" w:rsidRDefault="00142E5B" w:rsidP="00580C0D">
      <w:pPr>
        <w:pStyle w:val="avsnitt-undertittel"/>
      </w:pPr>
      <w:r w:rsidRPr="00580C0D">
        <w:t>Vedtak nr. 582, 30. mai 2022</w:t>
      </w:r>
    </w:p>
    <w:p w14:paraId="195CD49C" w14:textId="77777777" w:rsidR="00F7113A" w:rsidRPr="00580C0D" w:rsidRDefault="00142E5B" w:rsidP="00580C0D">
      <w:pPr>
        <w:pStyle w:val="blokksit"/>
        <w:rPr>
          <w:rStyle w:val="kursiv"/>
        </w:rPr>
      </w:pPr>
      <w:r w:rsidRPr="00580C0D">
        <w:rPr>
          <w:rStyle w:val="kursiv"/>
        </w:rPr>
        <w:t>«Stortinget ber regjeringen gjennomføre et regelverksarbeid om varsling fra kriminalomsorgen, der hensynet til fornærmede og etterlatte vektlegges sterkere enn det som ligger i dagens regler.»</w:t>
      </w:r>
    </w:p>
    <w:p w14:paraId="19551A9F" w14:textId="77777777" w:rsidR="00F7113A" w:rsidRPr="00580C0D" w:rsidRDefault="00142E5B" w:rsidP="00580C0D">
      <w:r w:rsidRPr="00580C0D">
        <w:t xml:space="preserve">Dokumenta som ligg til grunn for vedtaket, er Dokument 8:133 S (2021–2022) og </w:t>
      </w:r>
      <w:proofErr w:type="spellStart"/>
      <w:r w:rsidRPr="00580C0D">
        <w:t>Innst</w:t>
      </w:r>
      <w:proofErr w:type="spellEnd"/>
      <w:r w:rsidRPr="00580C0D">
        <w:t xml:space="preserve">. 311 S (2021–2022) </w:t>
      </w:r>
      <w:proofErr w:type="spellStart"/>
      <w:r w:rsidRPr="00580C0D">
        <w:t>frå</w:t>
      </w:r>
      <w:proofErr w:type="spellEnd"/>
      <w:r w:rsidRPr="00580C0D">
        <w:t xml:space="preserve"> justiskomiteen.</w:t>
      </w:r>
    </w:p>
    <w:p w14:paraId="70EB1735" w14:textId="77777777" w:rsidR="00F7113A" w:rsidRPr="00580C0D" w:rsidRDefault="00142E5B" w:rsidP="00580C0D">
      <w:r w:rsidRPr="00580C0D">
        <w:t xml:space="preserve">Vedtaket er under behandling. Departementet arbeider med </w:t>
      </w:r>
      <w:proofErr w:type="spellStart"/>
      <w:r w:rsidRPr="00580C0D">
        <w:t>eit</w:t>
      </w:r>
      <w:proofErr w:type="spellEnd"/>
      <w:r w:rsidRPr="00580C0D">
        <w:t xml:space="preserve"> </w:t>
      </w:r>
      <w:proofErr w:type="spellStart"/>
      <w:r w:rsidRPr="00580C0D">
        <w:t>høyringsnotat</w:t>
      </w:r>
      <w:proofErr w:type="spellEnd"/>
      <w:r w:rsidRPr="00580C0D">
        <w:t xml:space="preserve"> for å </w:t>
      </w:r>
      <w:proofErr w:type="spellStart"/>
      <w:r w:rsidRPr="00580C0D">
        <w:t>følgje</w:t>
      </w:r>
      <w:proofErr w:type="spellEnd"/>
      <w:r w:rsidRPr="00580C0D">
        <w:t xml:space="preserve"> opp vedtaket. </w:t>
      </w:r>
    </w:p>
    <w:p w14:paraId="05E6371B" w14:textId="77777777" w:rsidR="00F7113A" w:rsidRPr="00580C0D" w:rsidRDefault="00142E5B" w:rsidP="00580C0D">
      <w:pPr>
        <w:pStyle w:val="avsnitt-tittel"/>
      </w:pPr>
      <w:r w:rsidRPr="00580C0D">
        <w:t xml:space="preserve">Elektronisk kontroll ved </w:t>
      </w:r>
      <w:proofErr w:type="spellStart"/>
      <w:r w:rsidRPr="00580C0D">
        <w:t>brot</w:t>
      </w:r>
      <w:proofErr w:type="spellEnd"/>
      <w:r w:rsidRPr="00580C0D">
        <w:t xml:space="preserve"> på </w:t>
      </w:r>
      <w:proofErr w:type="spellStart"/>
      <w:r w:rsidRPr="00580C0D">
        <w:t>besøksforbod</w:t>
      </w:r>
      <w:proofErr w:type="spellEnd"/>
    </w:p>
    <w:p w14:paraId="6BDCBB2E" w14:textId="77777777" w:rsidR="00F7113A" w:rsidRPr="00580C0D" w:rsidRDefault="00142E5B" w:rsidP="00580C0D">
      <w:pPr>
        <w:pStyle w:val="avsnitt-undertittel"/>
      </w:pPr>
      <w:r w:rsidRPr="00580C0D">
        <w:t>Vedtak nr. 583, 30. mai 2022</w:t>
      </w:r>
    </w:p>
    <w:p w14:paraId="0E05D2A5" w14:textId="77777777" w:rsidR="00F7113A" w:rsidRPr="00580C0D" w:rsidRDefault="00142E5B" w:rsidP="00580C0D">
      <w:pPr>
        <w:pStyle w:val="blokksit"/>
        <w:rPr>
          <w:rStyle w:val="kursiv"/>
        </w:rPr>
      </w:pPr>
      <w:r w:rsidRPr="00580C0D">
        <w:rPr>
          <w:rStyle w:val="kursiv"/>
        </w:rPr>
        <w:t>«Stortinget ber regjeringen fremme forslag om innføring av en ordning med elektronisk kontroll (såkalt omvendt voldsalarm) ved brudd på besøksforbud.»</w:t>
      </w:r>
    </w:p>
    <w:p w14:paraId="106EAC08" w14:textId="77777777" w:rsidR="00F7113A" w:rsidRPr="00580C0D" w:rsidRDefault="00142E5B" w:rsidP="00580C0D">
      <w:r w:rsidRPr="00580C0D">
        <w:t xml:space="preserve">Dokumenta som ligg til grunn for vedtaket, er Dokument 8:133 S (2021–2022) og </w:t>
      </w:r>
      <w:proofErr w:type="spellStart"/>
      <w:r w:rsidRPr="00580C0D">
        <w:t>Innst</w:t>
      </w:r>
      <w:proofErr w:type="spellEnd"/>
      <w:r w:rsidRPr="00580C0D">
        <w:t xml:space="preserve">. 311 S (2021–2022) </w:t>
      </w:r>
      <w:proofErr w:type="spellStart"/>
      <w:r w:rsidRPr="00580C0D">
        <w:t>frå</w:t>
      </w:r>
      <w:proofErr w:type="spellEnd"/>
      <w:r w:rsidRPr="00580C0D">
        <w:t xml:space="preserve"> justiskomiteen.</w:t>
      </w:r>
    </w:p>
    <w:p w14:paraId="00CA6934" w14:textId="77777777" w:rsidR="00F7113A" w:rsidRPr="00580C0D" w:rsidRDefault="00142E5B" w:rsidP="00580C0D">
      <w:r w:rsidRPr="00580C0D">
        <w:t xml:space="preserve">Vedtaket er </w:t>
      </w:r>
      <w:proofErr w:type="spellStart"/>
      <w:r w:rsidRPr="00580C0D">
        <w:t>følgt</w:t>
      </w:r>
      <w:proofErr w:type="spellEnd"/>
      <w:r w:rsidRPr="00580C0D">
        <w:t xml:space="preserve"> opp i </w:t>
      </w:r>
      <w:proofErr w:type="spellStart"/>
      <w:r w:rsidRPr="00580C0D">
        <w:t>Prop</w:t>
      </w:r>
      <w:proofErr w:type="spellEnd"/>
      <w:r w:rsidRPr="00580C0D">
        <w:t xml:space="preserve">. 128 L (2022–2023). Det er foreslått </w:t>
      </w:r>
      <w:proofErr w:type="spellStart"/>
      <w:r w:rsidRPr="00580C0D">
        <w:t>endringar</w:t>
      </w:r>
      <w:proofErr w:type="spellEnd"/>
      <w:r w:rsidRPr="00580C0D">
        <w:t xml:space="preserve"> i straffeprosesslova m.m. for å innføre ei ordning med elektronisk kontroll av </w:t>
      </w:r>
      <w:proofErr w:type="spellStart"/>
      <w:r w:rsidRPr="00580C0D">
        <w:t>besøksforbod</w:t>
      </w:r>
      <w:proofErr w:type="spellEnd"/>
      <w:r w:rsidRPr="00580C0D">
        <w:t>. Sjå òg omtale under vedtak nr. 630 og 631, 25. april 2017, vedtak nr. 1043, 20. juni 2017, og vedtak nr. 447, 18. desember 2020.</w:t>
      </w:r>
    </w:p>
    <w:p w14:paraId="7032AF81" w14:textId="77777777" w:rsidR="00F7113A" w:rsidRPr="00580C0D" w:rsidRDefault="00142E5B" w:rsidP="00580C0D">
      <w:pPr>
        <w:pStyle w:val="avsnitt-tittel"/>
      </w:pPr>
      <w:r w:rsidRPr="00580C0D">
        <w:t xml:space="preserve">Straffenivåa for </w:t>
      </w:r>
      <w:proofErr w:type="spellStart"/>
      <w:r w:rsidRPr="00580C0D">
        <w:t>seksuallovbrot</w:t>
      </w:r>
      <w:proofErr w:type="spellEnd"/>
    </w:p>
    <w:p w14:paraId="6383C9DE" w14:textId="77777777" w:rsidR="00F7113A" w:rsidRPr="00580C0D" w:rsidRDefault="00142E5B" w:rsidP="00580C0D">
      <w:pPr>
        <w:pStyle w:val="avsnitt-undertittel"/>
      </w:pPr>
      <w:r w:rsidRPr="00580C0D">
        <w:t>Vedtak nr. 584, 30. mai 2022</w:t>
      </w:r>
    </w:p>
    <w:p w14:paraId="51E44581" w14:textId="77777777" w:rsidR="00F7113A" w:rsidRPr="00580C0D" w:rsidRDefault="00142E5B" w:rsidP="00580C0D">
      <w:pPr>
        <w:pStyle w:val="blokksit"/>
        <w:rPr>
          <w:rStyle w:val="kursiv"/>
        </w:rPr>
      </w:pPr>
      <w:r w:rsidRPr="00580C0D">
        <w:rPr>
          <w:rStyle w:val="kursiv"/>
        </w:rPr>
        <w:t>«Stortinget ber regjeringen gi Straffelovrådet i oppdrag å foreta en tilleggsutredning av straffenivåene for straffelovens bestemmelser om seksuallovbrudd. Tilleggsutredningen bes ferdigstilles før sommeren 2023.»</w:t>
      </w:r>
    </w:p>
    <w:p w14:paraId="3D4B495E" w14:textId="77777777" w:rsidR="00F7113A" w:rsidRPr="00580C0D" w:rsidRDefault="00142E5B" w:rsidP="00580C0D">
      <w:r w:rsidRPr="00580C0D">
        <w:t xml:space="preserve">Dokumenta som ligg til grunn for vedtaket, er Dokument 8:134 S (2021–2022) og </w:t>
      </w:r>
      <w:proofErr w:type="spellStart"/>
      <w:r w:rsidRPr="00580C0D">
        <w:t>Innst</w:t>
      </w:r>
      <w:proofErr w:type="spellEnd"/>
      <w:r w:rsidRPr="00580C0D">
        <w:t xml:space="preserve">. 307S (2021–2022) </w:t>
      </w:r>
      <w:proofErr w:type="spellStart"/>
      <w:r w:rsidRPr="00580C0D">
        <w:t>frå</w:t>
      </w:r>
      <w:proofErr w:type="spellEnd"/>
      <w:r w:rsidRPr="00580C0D">
        <w:t xml:space="preserve"> justiskomiteen.</w:t>
      </w:r>
    </w:p>
    <w:p w14:paraId="0C4A7D62" w14:textId="77777777" w:rsidR="00F7113A" w:rsidRPr="00580C0D" w:rsidRDefault="00142E5B" w:rsidP="00580C0D">
      <w:r w:rsidRPr="00580C0D">
        <w:t xml:space="preserve">Vedtaket er </w:t>
      </w:r>
      <w:proofErr w:type="spellStart"/>
      <w:r w:rsidRPr="00580C0D">
        <w:t>følgt</w:t>
      </w:r>
      <w:proofErr w:type="spellEnd"/>
      <w:r w:rsidRPr="00580C0D">
        <w:t xml:space="preserve"> opp. Straffelovrådet la i desember 2022 fram ei utgreiing om </w:t>
      </w:r>
      <w:proofErr w:type="spellStart"/>
      <w:r w:rsidRPr="00580C0D">
        <w:t>strafferettsleg</w:t>
      </w:r>
      <w:proofErr w:type="spellEnd"/>
      <w:r w:rsidRPr="00580C0D">
        <w:t xml:space="preserve"> vern av den seksuelle </w:t>
      </w:r>
      <w:proofErr w:type="spellStart"/>
      <w:r w:rsidRPr="00580C0D">
        <w:t>sjølvråderetten</w:t>
      </w:r>
      <w:proofErr w:type="spellEnd"/>
      <w:r w:rsidRPr="00580C0D">
        <w:t xml:space="preserve">, NOU 2022: 21. I utgreiinga vurderer rådet strafferammene og retningslinjene i lovforarbeidet om straffeutmåling ved </w:t>
      </w:r>
      <w:proofErr w:type="spellStart"/>
      <w:r w:rsidRPr="00580C0D">
        <w:t>brot</w:t>
      </w:r>
      <w:proofErr w:type="spellEnd"/>
      <w:r w:rsidRPr="00580C0D">
        <w:t xml:space="preserve"> på føresegnene i straffelova kapittel 26 om </w:t>
      </w:r>
      <w:proofErr w:type="spellStart"/>
      <w:r w:rsidRPr="00580C0D">
        <w:t>seksuallovbrot</w:t>
      </w:r>
      <w:proofErr w:type="spellEnd"/>
      <w:r w:rsidRPr="00580C0D">
        <w:t>.</w:t>
      </w:r>
    </w:p>
    <w:p w14:paraId="20B8D11A" w14:textId="77777777" w:rsidR="00F7113A" w:rsidRPr="00580C0D" w:rsidRDefault="00142E5B" w:rsidP="00580C0D">
      <w:pPr>
        <w:pStyle w:val="avsnitt-tittel"/>
      </w:pPr>
      <w:proofErr w:type="spellStart"/>
      <w:r w:rsidRPr="00580C0D">
        <w:t>Nedsetjing</w:t>
      </w:r>
      <w:proofErr w:type="spellEnd"/>
      <w:r w:rsidRPr="00580C0D">
        <w:t xml:space="preserve"> av </w:t>
      </w:r>
      <w:proofErr w:type="spellStart"/>
      <w:r w:rsidRPr="00580C0D">
        <w:t>valdtektskommisjon</w:t>
      </w:r>
      <w:proofErr w:type="spellEnd"/>
    </w:p>
    <w:p w14:paraId="6D3A8445" w14:textId="77777777" w:rsidR="00F7113A" w:rsidRPr="00580C0D" w:rsidRDefault="00142E5B" w:rsidP="00580C0D">
      <w:pPr>
        <w:pStyle w:val="avsnitt-undertittel"/>
      </w:pPr>
      <w:r w:rsidRPr="00580C0D">
        <w:t>Vedtak nr. 585, 30. mai 2022</w:t>
      </w:r>
    </w:p>
    <w:p w14:paraId="78F14340" w14:textId="77777777" w:rsidR="00F7113A" w:rsidRPr="00580C0D" w:rsidRDefault="00142E5B" w:rsidP="00580C0D">
      <w:pPr>
        <w:pStyle w:val="blokksit"/>
        <w:rPr>
          <w:rStyle w:val="kursiv"/>
        </w:rPr>
      </w:pPr>
      <w:r w:rsidRPr="00580C0D">
        <w:rPr>
          <w:rStyle w:val="kursiv"/>
        </w:rPr>
        <w:t xml:space="preserve">«Stortinget ber regjeringen nedsette en </w:t>
      </w:r>
      <w:proofErr w:type="spellStart"/>
      <w:r w:rsidRPr="00580C0D">
        <w:rPr>
          <w:rStyle w:val="kursiv"/>
        </w:rPr>
        <w:t>voldtektskommisjon</w:t>
      </w:r>
      <w:proofErr w:type="spellEnd"/>
      <w:r w:rsidRPr="00580C0D">
        <w:rPr>
          <w:rStyle w:val="kursiv"/>
        </w:rPr>
        <w:t xml:space="preserve">, som skal levere sin utredning innen september 2023. Kommisjonen bør være bredt sammensatt av ulike typer kompetanse innenfor pedagogikk, psykologi, sosialfag, </w:t>
      </w:r>
      <w:proofErr w:type="spellStart"/>
      <w:r w:rsidRPr="00580C0D">
        <w:rPr>
          <w:rStyle w:val="kursiv"/>
        </w:rPr>
        <w:t>politifag</w:t>
      </w:r>
      <w:proofErr w:type="spellEnd"/>
      <w:r w:rsidRPr="00580C0D">
        <w:rPr>
          <w:rStyle w:val="kursiv"/>
        </w:rPr>
        <w:t xml:space="preserve"> og juss.»</w:t>
      </w:r>
    </w:p>
    <w:p w14:paraId="5AADD593" w14:textId="77777777" w:rsidR="00F7113A" w:rsidRPr="00580C0D" w:rsidRDefault="00142E5B" w:rsidP="00580C0D">
      <w:r w:rsidRPr="00580C0D">
        <w:t xml:space="preserve">Dokumenta som ligg til grunn for vedtaket, er Dokument 8:134 S (2021–2022) og </w:t>
      </w:r>
      <w:proofErr w:type="spellStart"/>
      <w:r w:rsidRPr="00580C0D">
        <w:t>Innst</w:t>
      </w:r>
      <w:proofErr w:type="spellEnd"/>
      <w:r w:rsidRPr="00580C0D">
        <w:t xml:space="preserve">. 307 S (2021–2022) </w:t>
      </w:r>
      <w:proofErr w:type="spellStart"/>
      <w:r w:rsidRPr="00580C0D">
        <w:t>frå</w:t>
      </w:r>
      <w:proofErr w:type="spellEnd"/>
      <w:r w:rsidRPr="00580C0D">
        <w:t xml:space="preserve"> justiskomiteen.</w:t>
      </w:r>
    </w:p>
    <w:p w14:paraId="59E754D3" w14:textId="77777777" w:rsidR="00F7113A" w:rsidRPr="00580C0D" w:rsidRDefault="00142E5B" w:rsidP="00580C0D">
      <w:r w:rsidRPr="00580C0D">
        <w:t xml:space="preserve">Vedtaket er </w:t>
      </w:r>
      <w:proofErr w:type="spellStart"/>
      <w:r w:rsidRPr="00580C0D">
        <w:t>følgt</w:t>
      </w:r>
      <w:proofErr w:type="spellEnd"/>
      <w:r w:rsidRPr="00580C0D">
        <w:t xml:space="preserve"> opp. I februar 2023 </w:t>
      </w:r>
      <w:proofErr w:type="spellStart"/>
      <w:r w:rsidRPr="00580C0D">
        <w:t>oppnemnde</w:t>
      </w:r>
      <w:proofErr w:type="spellEnd"/>
      <w:r w:rsidRPr="00580C0D">
        <w:t xml:space="preserve"> regjeringa </w:t>
      </w:r>
      <w:proofErr w:type="spellStart"/>
      <w:r w:rsidRPr="00580C0D">
        <w:t>eit</w:t>
      </w:r>
      <w:proofErr w:type="spellEnd"/>
      <w:r w:rsidRPr="00580C0D">
        <w:t xml:space="preserve"> </w:t>
      </w:r>
      <w:proofErr w:type="spellStart"/>
      <w:r w:rsidRPr="00580C0D">
        <w:t>offentleg</w:t>
      </w:r>
      <w:proofErr w:type="spellEnd"/>
      <w:r w:rsidRPr="00580C0D">
        <w:t xml:space="preserve"> </w:t>
      </w:r>
      <w:proofErr w:type="spellStart"/>
      <w:r w:rsidRPr="00580C0D">
        <w:t>utval</w:t>
      </w:r>
      <w:proofErr w:type="spellEnd"/>
      <w:r w:rsidRPr="00580C0D">
        <w:t xml:space="preserve"> som skal </w:t>
      </w:r>
      <w:proofErr w:type="spellStart"/>
      <w:r w:rsidRPr="00580C0D">
        <w:t>gjere</w:t>
      </w:r>
      <w:proofErr w:type="spellEnd"/>
      <w:r w:rsidRPr="00580C0D">
        <w:t xml:space="preserve"> </w:t>
      </w:r>
      <w:proofErr w:type="spellStart"/>
      <w:r w:rsidRPr="00580C0D">
        <w:t>ein</w:t>
      </w:r>
      <w:proofErr w:type="spellEnd"/>
      <w:r w:rsidRPr="00580C0D">
        <w:t xml:space="preserve"> samla gjennomgang av </w:t>
      </w:r>
      <w:proofErr w:type="spellStart"/>
      <w:r w:rsidRPr="00580C0D">
        <w:t>valdtektsfeltet</w:t>
      </w:r>
      <w:proofErr w:type="spellEnd"/>
      <w:r w:rsidRPr="00580C0D">
        <w:t xml:space="preserve"> og komme med </w:t>
      </w:r>
      <w:proofErr w:type="spellStart"/>
      <w:r w:rsidRPr="00580C0D">
        <w:t>tilrådingar</w:t>
      </w:r>
      <w:proofErr w:type="spellEnd"/>
      <w:r w:rsidRPr="00580C0D">
        <w:t xml:space="preserve"> om korleis </w:t>
      </w:r>
      <w:proofErr w:type="spellStart"/>
      <w:r w:rsidRPr="00580C0D">
        <w:t>utfordringane</w:t>
      </w:r>
      <w:proofErr w:type="spellEnd"/>
      <w:r w:rsidRPr="00580C0D">
        <w:t xml:space="preserve"> på dette kriminalitetsområdet skal </w:t>
      </w:r>
      <w:proofErr w:type="spellStart"/>
      <w:r w:rsidRPr="00580C0D">
        <w:t>takast</w:t>
      </w:r>
      <w:proofErr w:type="spellEnd"/>
      <w:r w:rsidRPr="00580C0D">
        <w:t xml:space="preserve"> </w:t>
      </w:r>
      <w:proofErr w:type="spellStart"/>
      <w:r w:rsidRPr="00580C0D">
        <w:t>vidare</w:t>
      </w:r>
      <w:proofErr w:type="spellEnd"/>
      <w:r w:rsidRPr="00580C0D">
        <w:t xml:space="preserve">. </w:t>
      </w:r>
      <w:proofErr w:type="spellStart"/>
      <w:r w:rsidRPr="00580C0D">
        <w:t>Utvalet</w:t>
      </w:r>
      <w:proofErr w:type="spellEnd"/>
      <w:r w:rsidRPr="00580C0D">
        <w:t xml:space="preserve"> har ei brei </w:t>
      </w:r>
      <w:proofErr w:type="spellStart"/>
      <w:r w:rsidRPr="00580C0D">
        <w:t>fagleg</w:t>
      </w:r>
      <w:proofErr w:type="spellEnd"/>
      <w:r w:rsidRPr="00580C0D">
        <w:t xml:space="preserve"> </w:t>
      </w:r>
      <w:proofErr w:type="spellStart"/>
      <w:r w:rsidRPr="00580C0D">
        <w:t>samansetjing</w:t>
      </w:r>
      <w:proofErr w:type="spellEnd"/>
      <w:r w:rsidRPr="00580C0D">
        <w:t xml:space="preserve"> der ulike </w:t>
      </w:r>
      <w:proofErr w:type="spellStart"/>
      <w:r w:rsidRPr="00580C0D">
        <w:t>typar</w:t>
      </w:r>
      <w:proofErr w:type="spellEnd"/>
      <w:r w:rsidRPr="00580C0D">
        <w:t xml:space="preserve"> kompetanse er representerte, både </w:t>
      </w:r>
      <w:proofErr w:type="spellStart"/>
      <w:r w:rsidRPr="00580C0D">
        <w:t>strafferettsleg</w:t>
      </w:r>
      <w:proofErr w:type="spellEnd"/>
      <w:r w:rsidRPr="00580C0D">
        <w:t xml:space="preserve">, </w:t>
      </w:r>
      <w:proofErr w:type="spellStart"/>
      <w:r w:rsidRPr="00580C0D">
        <w:t>samfunnsvitskapleg</w:t>
      </w:r>
      <w:proofErr w:type="spellEnd"/>
      <w:r w:rsidRPr="00580C0D">
        <w:t xml:space="preserve"> og helse- og </w:t>
      </w:r>
      <w:proofErr w:type="spellStart"/>
      <w:r w:rsidRPr="00580C0D">
        <w:t>politifagleg</w:t>
      </w:r>
      <w:proofErr w:type="spellEnd"/>
      <w:r w:rsidRPr="00580C0D">
        <w:t>.</w:t>
      </w:r>
    </w:p>
    <w:p w14:paraId="1AADF620" w14:textId="77777777" w:rsidR="00F7113A" w:rsidRPr="00580C0D" w:rsidRDefault="00142E5B" w:rsidP="00580C0D">
      <w:r w:rsidRPr="00580C0D">
        <w:t xml:space="preserve">For å sikre god representasjon har </w:t>
      </w:r>
      <w:proofErr w:type="spellStart"/>
      <w:r w:rsidRPr="00580C0D">
        <w:t>utvalet</w:t>
      </w:r>
      <w:proofErr w:type="spellEnd"/>
      <w:r w:rsidRPr="00580C0D">
        <w:t xml:space="preserve"> òg etablert ei referansegruppe der </w:t>
      </w:r>
      <w:proofErr w:type="spellStart"/>
      <w:r w:rsidRPr="00580C0D">
        <w:t>brukargrupper</w:t>
      </w:r>
      <w:proofErr w:type="spellEnd"/>
      <w:r w:rsidRPr="00580C0D">
        <w:t xml:space="preserve">, frivillige </w:t>
      </w:r>
      <w:proofErr w:type="spellStart"/>
      <w:r w:rsidRPr="00580C0D">
        <w:t>organisasjonar</w:t>
      </w:r>
      <w:proofErr w:type="spellEnd"/>
      <w:r w:rsidRPr="00580C0D">
        <w:t xml:space="preserve"> og </w:t>
      </w:r>
      <w:proofErr w:type="spellStart"/>
      <w:r w:rsidRPr="00580C0D">
        <w:t>personar</w:t>
      </w:r>
      <w:proofErr w:type="spellEnd"/>
      <w:r w:rsidRPr="00580C0D">
        <w:t xml:space="preserve"> med minoritets- og urfolksbakgrunn er med.</w:t>
      </w:r>
    </w:p>
    <w:p w14:paraId="1EC7EA71" w14:textId="77777777" w:rsidR="00F7113A" w:rsidRPr="00580C0D" w:rsidRDefault="00142E5B" w:rsidP="00580C0D">
      <w:proofErr w:type="spellStart"/>
      <w:r w:rsidRPr="00580C0D">
        <w:t>Utvalet</w:t>
      </w:r>
      <w:proofErr w:type="spellEnd"/>
      <w:r w:rsidRPr="00580C0D">
        <w:t xml:space="preserve"> planlegg å levere utgreiinga si i slutten av januar 2024.</w:t>
      </w:r>
    </w:p>
    <w:p w14:paraId="7679A918" w14:textId="77777777" w:rsidR="00F7113A" w:rsidRPr="00580C0D" w:rsidRDefault="00142E5B" w:rsidP="00580C0D">
      <w:pPr>
        <w:pStyle w:val="avsnitt-tittel"/>
      </w:pPr>
      <w:r w:rsidRPr="00580C0D">
        <w:t>Valdserstatningslov</w:t>
      </w:r>
    </w:p>
    <w:p w14:paraId="3458F8D4" w14:textId="77777777" w:rsidR="00F7113A" w:rsidRPr="00580C0D" w:rsidRDefault="00142E5B" w:rsidP="00580C0D">
      <w:pPr>
        <w:pStyle w:val="avsnitt-undertittel"/>
      </w:pPr>
      <w:r w:rsidRPr="00580C0D">
        <w:t>Vedtak nr. 587, 30. mai 2022</w:t>
      </w:r>
    </w:p>
    <w:p w14:paraId="544EA146" w14:textId="77777777" w:rsidR="00F7113A" w:rsidRPr="00580C0D" w:rsidRDefault="00142E5B" w:rsidP="00580C0D">
      <w:pPr>
        <w:pStyle w:val="blokksit"/>
        <w:rPr>
          <w:rStyle w:val="kursiv"/>
        </w:rPr>
      </w:pPr>
      <w:r w:rsidRPr="00580C0D">
        <w:rPr>
          <w:rStyle w:val="kursiv"/>
        </w:rPr>
        <w:t>«Stortinget ber regjeringen komme tilbake til de budsjettmessige konsekvensene av ny voldserstatningslov i forbindelse med nysalderingen av budsjettet for 2022.»</w:t>
      </w:r>
    </w:p>
    <w:p w14:paraId="678DE679"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238 L (2020–2021), </w:t>
      </w:r>
      <w:proofErr w:type="spellStart"/>
      <w:r w:rsidRPr="00580C0D">
        <w:t>Innst</w:t>
      </w:r>
      <w:proofErr w:type="spellEnd"/>
      <w:r w:rsidRPr="00580C0D">
        <w:t xml:space="preserve">. 310 L (2021–2022) </w:t>
      </w:r>
      <w:proofErr w:type="spellStart"/>
      <w:r w:rsidRPr="00580C0D">
        <w:t>frå</w:t>
      </w:r>
      <w:proofErr w:type="spellEnd"/>
      <w:r w:rsidRPr="00580C0D">
        <w:t xml:space="preserve"> justiskomiteen og Lovvedtak 70 (2021–2022).</w:t>
      </w:r>
    </w:p>
    <w:p w14:paraId="49CFAD50" w14:textId="77777777" w:rsidR="00F7113A" w:rsidRPr="00580C0D" w:rsidRDefault="00142E5B" w:rsidP="00580C0D">
      <w:r w:rsidRPr="00580C0D">
        <w:t xml:space="preserve">Vedtaket er </w:t>
      </w:r>
      <w:proofErr w:type="spellStart"/>
      <w:r w:rsidRPr="00580C0D">
        <w:t>følgt</w:t>
      </w:r>
      <w:proofErr w:type="spellEnd"/>
      <w:r w:rsidRPr="00580C0D">
        <w:t xml:space="preserve"> opp, jf. </w:t>
      </w:r>
      <w:proofErr w:type="spellStart"/>
      <w:r w:rsidRPr="00580C0D">
        <w:t>Prop</w:t>
      </w:r>
      <w:proofErr w:type="spellEnd"/>
      <w:r w:rsidRPr="00580C0D">
        <w:t xml:space="preserve">. 33 S (2022–2023) </w:t>
      </w:r>
      <w:r w:rsidRPr="00580C0D">
        <w:rPr>
          <w:rStyle w:val="kursiv"/>
        </w:rPr>
        <w:t>Ny saldering av statsbudsjettet 2022</w:t>
      </w:r>
      <w:r w:rsidRPr="00580C0D">
        <w:t xml:space="preserve"> og </w:t>
      </w:r>
      <w:proofErr w:type="spellStart"/>
      <w:r w:rsidRPr="00580C0D">
        <w:t>Innst</w:t>
      </w:r>
      <w:proofErr w:type="spellEnd"/>
      <w:r w:rsidRPr="00580C0D">
        <w:t>. 140 S (2022–2023).</w:t>
      </w:r>
    </w:p>
    <w:p w14:paraId="3F38AB7B" w14:textId="77777777" w:rsidR="00F7113A" w:rsidRPr="00580C0D" w:rsidRDefault="00142E5B" w:rsidP="00580C0D">
      <w:pPr>
        <w:pStyle w:val="avsnitt-undertittel"/>
      </w:pPr>
      <w:r w:rsidRPr="00580C0D">
        <w:t>Vedtak nr. 589, 30. mai 2022</w:t>
      </w:r>
    </w:p>
    <w:p w14:paraId="7C176A37" w14:textId="77777777" w:rsidR="00F7113A" w:rsidRPr="00580C0D" w:rsidRDefault="00142E5B" w:rsidP="00580C0D">
      <w:pPr>
        <w:pStyle w:val="blokksit"/>
        <w:rPr>
          <w:rStyle w:val="kursiv"/>
        </w:rPr>
      </w:pPr>
      <w:r w:rsidRPr="00580C0D">
        <w:rPr>
          <w:rStyle w:val="kursiv"/>
        </w:rPr>
        <w:t>«Stortinget ber regjeringen fastsette i forskrift at det ikke skal løpe forsinkelsesrenter på statens regresskrav mot skadevolderen i voldserstatningssaker mens skadevolderen soner alminnelig fengselsstraff.»</w:t>
      </w:r>
    </w:p>
    <w:p w14:paraId="2952CCB3"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238 L (2020–2021), </w:t>
      </w:r>
      <w:proofErr w:type="spellStart"/>
      <w:r w:rsidRPr="00580C0D">
        <w:t>Innst</w:t>
      </w:r>
      <w:proofErr w:type="spellEnd"/>
      <w:r w:rsidRPr="00580C0D">
        <w:t xml:space="preserve">. 310 L (2021–2022) </w:t>
      </w:r>
      <w:proofErr w:type="spellStart"/>
      <w:r w:rsidRPr="00580C0D">
        <w:t>frå</w:t>
      </w:r>
      <w:proofErr w:type="spellEnd"/>
      <w:r w:rsidRPr="00580C0D">
        <w:t xml:space="preserve"> justiskomiteen og Lovvedtak 70 (2021–2022).</w:t>
      </w:r>
    </w:p>
    <w:p w14:paraId="6883A74C" w14:textId="77777777" w:rsidR="00F7113A" w:rsidRPr="00580C0D" w:rsidRDefault="00142E5B" w:rsidP="00580C0D">
      <w:r w:rsidRPr="00580C0D">
        <w:t xml:space="preserve">Vedtaket er under behandling. Forslag til forskrift </w:t>
      </w:r>
      <w:proofErr w:type="spellStart"/>
      <w:r w:rsidRPr="00580C0D">
        <w:t>vart</w:t>
      </w:r>
      <w:proofErr w:type="spellEnd"/>
      <w:r w:rsidRPr="00580C0D">
        <w:t xml:space="preserve"> sendt på </w:t>
      </w:r>
      <w:proofErr w:type="spellStart"/>
      <w:r w:rsidRPr="00580C0D">
        <w:t>høyring</w:t>
      </w:r>
      <w:proofErr w:type="spellEnd"/>
      <w:r w:rsidRPr="00580C0D">
        <w:t xml:space="preserve"> september 2023. Departementet ser på aktuelle </w:t>
      </w:r>
      <w:proofErr w:type="spellStart"/>
      <w:r w:rsidRPr="00580C0D">
        <w:t>løysingar</w:t>
      </w:r>
      <w:proofErr w:type="spellEnd"/>
      <w:r w:rsidRPr="00580C0D">
        <w:t xml:space="preserve"> og vil komme tilbake til Stortinget på </w:t>
      </w:r>
      <w:proofErr w:type="spellStart"/>
      <w:r w:rsidRPr="00580C0D">
        <w:t>ein</w:t>
      </w:r>
      <w:proofErr w:type="spellEnd"/>
      <w:r w:rsidRPr="00580C0D">
        <w:t xml:space="preserve"> eigna måte.</w:t>
      </w:r>
    </w:p>
    <w:p w14:paraId="1DB5F843" w14:textId="77777777" w:rsidR="00F7113A" w:rsidRPr="00580C0D" w:rsidRDefault="00142E5B" w:rsidP="00580C0D">
      <w:pPr>
        <w:pStyle w:val="avsnitt-tittel"/>
      </w:pPr>
      <w:r w:rsidRPr="00580C0D">
        <w:t xml:space="preserve">Tryggleik for </w:t>
      </w:r>
      <w:proofErr w:type="spellStart"/>
      <w:r w:rsidRPr="00580C0D">
        <w:t>personar</w:t>
      </w:r>
      <w:proofErr w:type="spellEnd"/>
      <w:r w:rsidRPr="00580C0D">
        <w:t xml:space="preserve"> med funksjonshindring</w:t>
      </w:r>
    </w:p>
    <w:p w14:paraId="6901DA29" w14:textId="77777777" w:rsidR="00F7113A" w:rsidRPr="00580C0D" w:rsidRDefault="00142E5B" w:rsidP="00580C0D">
      <w:pPr>
        <w:pStyle w:val="avsnitt-undertittel"/>
      </w:pPr>
      <w:r w:rsidRPr="00580C0D">
        <w:t>Vedtak nr. 654, 3. juni 2022</w:t>
      </w:r>
    </w:p>
    <w:p w14:paraId="071B3D1A" w14:textId="77777777" w:rsidR="00F7113A" w:rsidRPr="00580C0D" w:rsidRDefault="00142E5B" w:rsidP="00580C0D">
      <w:pPr>
        <w:pStyle w:val="blokksit"/>
        <w:rPr>
          <w:rStyle w:val="kursiv"/>
        </w:rPr>
      </w:pPr>
      <w:r w:rsidRPr="00580C0D">
        <w:rPr>
          <w:rStyle w:val="kursiv"/>
        </w:rPr>
        <w:t>«Stortinget ber regjeringen se på hvordan myndighetene kan treffe nødvendige tiltak for å sikre funksjonshindrede beskyttelse og sikkerhet i risikosituasjoner i hele krisespekteret, og sikre at funksjonshindredes organisasjoner høres i forbindelse med dette.»</w:t>
      </w:r>
    </w:p>
    <w:p w14:paraId="3B03B8A1" w14:textId="77777777" w:rsidR="00F7113A" w:rsidRPr="00580C0D" w:rsidRDefault="00142E5B" w:rsidP="00580C0D">
      <w:r w:rsidRPr="00580C0D">
        <w:t xml:space="preserve">Dokumenta som ligg til grunn for vedtaket, er Dokument 8:213 S (2021–2022) og </w:t>
      </w:r>
      <w:proofErr w:type="spellStart"/>
      <w:r w:rsidRPr="00580C0D">
        <w:t>Innst</w:t>
      </w:r>
      <w:proofErr w:type="spellEnd"/>
      <w:r w:rsidRPr="00580C0D">
        <w:t xml:space="preserve">. 367 S (2021–2022) </w:t>
      </w:r>
      <w:proofErr w:type="spellStart"/>
      <w:r w:rsidRPr="00580C0D">
        <w:t>frå</w:t>
      </w:r>
      <w:proofErr w:type="spellEnd"/>
      <w:r w:rsidRPr="00580C0D">
        <w:t xml:space="preserve"> justiskomiteen.</w:t>
      </w:r>
    </w:p>
    <w:p w14:paraId="18CEDC72" w14:textId="77777777" w:rsidR="00F7113A" w:rsidRPr="00580C0D" w:rsidRDefault="00142E5B" w:rsidP="00580C0D">
      <w:r w:rsidRPr="00580C0D">
        <w:t xml:space="preserve">Vedtaket er under behandling. Departementet har bede Direktoratet for samfunnstryggleik og beredskap (DSB) i samband med arbeidet med forprosjekt om sivile vernetiltak å vurdere behovet til funksjonshindra særskilt i utforminga av framtidige </w:t>
      </w:r>
      <w:proofErr w:type="spellStart"/>
      <w:r w:rsidRPr="00580C0D">
        <w:t>tilrådingar</w:t>
      </w:r>
      <w:proofErr w:type="spellEnd"/>
      <w:r w:rsidRPr="00580C0D">
        <w:t xml:space="preserve"> om sivile vernetiltak.</w:t>
      </w:r>
    </w:p>
    <w:p w14:paraId="52EBC0BA" w14:textId="77777777" w:rsidR="00F7113A" w:rsidRPr="00580C0D" w:rsidRDefault="00142E5B" w:rsidP="00580C0D">
      <w:pPr>
        <w:pStyle w:val="avsnitt-tittel"/>
      </w:pPr>
      <w:proofErr w:type="spellStart"/>
      <w:r w:rsidRPr="00580C0D">
        <w:t>Forbod</w:t>
      </w:r>
      <w:proofErr w:type="spellEnd"/>
      <w:r w:rsidRPr="00580C0D">
        <w:t xml:space="preserve"> mot sal av forfalne </w:t>
      </w:r>
      <w:proofErr w:type="spellStart"/>
      <w:r w:rsidRPr="00580C0D">
        <w:t>fordringar</w:t>
      </w:r>
      <w:proofErr w:type="spellEnd"/>
    </w:p>
    <w:p w14:paraId="394D8C11" w14:textId="77777777" w:rsidR="00F7113A" w:rsidRPr="00580C0D" w:rsidRDefault="00142E5B" w:rsidP="00580C0D">
      <w:pPr>
        <w:pStyle w:val="avsnitt-undertittel"/>
      </w:pPr>
      <w:r w:rsidRPr="00580C0D">
        <w:t>Vedtak nr. 795, 15. juni 2022</w:t>
      </w:r>
    </w:p>
    <w:p w14:paraId="6F03429D" w14:textId="77777777" w:rsidR="00F7113A" w:rsidRPr="00580C0D" w:rsidRDefault="00142E5B" w:rsidP="00580C0D">
      <w:pPr>
        <w:pStyle w:val="blokksit"/>
        <w:rPr>
          <w:rStyle w:val="kursiv"/>
        </w:rPr>
      </w:pPr>
      <w:r w:rsidRPr="00580C0D">
        <w:rPr>
          <w:rStyle w:val="kursiv"/>
        </w:rPr>
        <w:t>«Stortinget ber regjeringen utrede muligheten for å forby salg av forfalte fordringer hvor forbruker er debitor.»</w:t>
      </w:r>
    </w:p>
    <w:p w14:paraId="6B1F6417" w14:textId="77777777" w:rsidR="00F7113A" w:rsidRPr="00580C0D" w:rsidRDefault="00142E5B" w:rsidP="00580C0D">
      <w:r w:rsidRPr="00580C0D">
        <w:t xml:space="preserve">Dokumenta som ligg til grunn for vedtaket, er Dokument 8:200 S (2021–2022) og </w:t>
      </w:r>
      <w:proofErr w:type="spellStart"/>
      <w:r w:rsidRPr="00580C0D">
        <w:t>Innst</w:t>
      </w:r>
      <w:proofErr w:type="spellEnd"/>
      <w:r w:rsidRPr="00580C0D">
        <w:t>. 373 S (2021–2022).</w:t>
      </w:r>
    </w:p>
    <w:p w14:paraId="2E4FA54B" w14:textId="77777777" w:rsidR="00F7113A" w:rsidRPr="00580C0D" w:rsidRDefault="00142E5B" w:rsidP="00580C0D">
      <w:r w:rsidRPr="00580C0D">
        <w:t>Vedtaket er under behandling.</w:t>
      </w:r>
    </w:p>
    <w:p w14:paraId="4084E71E" w14:textId="77777777" w:rsidR="00F7113A" w:rsidRPr="00580C0D" w:rsidRDefault="00142E5B" w:rsidP="00580C0D">
      <w:pPr>
        <w:pStyle w:val="avsnitt-tittel"/>
      </w:pPr>
      <w:proofErr w:type="spellStart"/>
      <w:r w:rsidRPr="00580C0D">
        <w:t>Offentleg</w:t>
      </w:r>
      <w:proofErr w:type="spellEnd"/>
      <w:r w:rsidRPr="00580C0D">
        <w:t xml:space="preserve"> </w:t>
      </w:r>
      <w:proofErr w:type="spellStart"/>
      <w:r w:rsidRPr="00580C0D">
        <w:t>helsetilbod</w:t>
      </w:r>
      <w:proofErr w:type="spellEnd"/>
      <w:r w:rsidRPr="00580C0D">
        <w:t xml:space="preserve"> ved Politiets utlendingsinternat på Trandum</w:t>
      </w:r>
    </w:p>
    <w:p w14:paraId="45A33E91" w14:textId="77777777" w:rsidR="00F7113A" w:rsidRPr="00580C0D" w:rsidRDefault="00142E5B" w:rsidP="00580C0D">
      <w:pPr>
        <w:pStyle w:val="avsnitt-undertittel"/>
      </w:pPr>
      <w:r w:rsidRPr="00580C0D">
        <w:t>Vedtak nr. 831, 17. juni 2022</w:t>
      </w:r>
    </w:p>
    <w:p w14:paraId="22A42442" w14:textId="77777777" w:rsidR="00F7113A" w:rsidRPr="00580C0D" w:rsidRDefault="00142E5B" w:rsidP="00580C0D">
      <w:pPr>
        <w:pStyle w:val="blokksit"/>
        <w:rPr>
          <w:rStyle w:val="kursiv"/>
        </w:rPr>
      </w:pPr>
      <w:r w:rsidRPr="00580C0D">
        <w:rPr>
          <w:rStyle w:val="kursiv"/>
        </w:rPr>
        <w:t>«Stortinget ber regjeringen sikre at helsetjenesten på Politiets utlendingsinternat, Trandum, legges under den offentlige helsetjenesten og at beslutningen om dette tas i løpet av 2022 slik at overføringen kan gjennomføres senest 1. juli 2023.»</w:t>
      </w:r>
    </w:p>
    <w:p w14:paraId="0E0FBAD1" w14:textId="77777777" w:rsidR="00F7113A" w:rsidRPr="00580C0D" w:rsidRDefault="00142E5B" w:rsidP="00580C0D">
      <w:r w:rsidRPr="00580C0D">
        <w:t xml:space="preserve">Dokumenta som ligg til grunn for vedtaket, er Meld. St. 2 (2021–2022) og </w:t>
      </w:r>
      <w:proofErr w:type="spellStart"/>
      <w:r w:rsidRPr="00580C0D">
        <w:t>Innst</w:t>
      </w:r>
      <w:proofErr w:type="spellEnd"/>
      <w:r w:rsidRPr="00580C0D">
        <w:t>. 450 S (2021–2022).</w:t>
      </w:r>
    </w:p>
    <w:p w14:paraId="0C7E984E" w14:textId="77777777" w:rsidR="00F7113A" w:rsidRPr="00580C0D" w:rsidRDefault="00142E5B" w:rsidP="00580C0D">
      <w:r w:rsidRPr="00580C0D">
        <w:t xml:space="preserve">Vedtaket er </w:t>
      </w:r>
      <w:proofErr w:type="spellStart"/>
      <w:r w:rsidRPr="00580C0D">
        <w:t>følgt</w:t>
      </w:r>
      <w:proofErr w:type="spellEnd"/>
      <w:r w:rsidRPr="00580C0D">
        <w:t xml:space="preserve"> opp. </w:t>
      </w:r>
      <w:proofErr w:type="spellStart"/>
      <w:r w:rsidRPr="00580C0D">
        <w:t>Eit</w:t>
      </w:r>
      <w:proofErr w:type="spellEnd"/>
      <w:r w:rsidRPr="00580C0D">
        <w:t xml:space="preserve"> lovforslag om å gi </w:t>
      </w:r>
      <w:proofErr w:type="spellStart"/>
      <w:r w:rsidRPr="00580C0D">
        <w:t>kommunar</w:t>
      </w:r>
      <w:proofErr w:type="spellEnd"/>
      <w:r w:rsidRPr="00580C0D">
        <w:t xml:space="preserve"> der det ligg utlendingsinternat, ansvar for helse- og </w:t>
      </w:r>
      <w:proofErr w:type="spellStart"/>
      <w:r w:rsidRPr="00580C0D">
        <w:t>omsorgstenester</w:t>
      </w:r>
      <w:proofErr w:type="spellEnd"/>
      <w:r w:rsidRPr="00580C0D">
        <w:t xml:space="preserve"> til internerte har </w:t>
      </w:r>
      <w:proofErr w:type="spellStart"/>
      <w:r w:rsidRPr="00580C0D">
        <w:t>vore</w:t>
      </w:r>
      <w:proofErr w:type="spellEnd"/>
      <w:r w:rsidRPr="00580C0D">
        <w:t xml:space="preserve"> på </w:t>
      </w:r>
      <w:proofErr w:type="spellStart"/>
      <w:r w:rsidRPr="00580C0D">
        <w:t>høyring</w:t>
      </w:r>
      <w:proofErr w:type="spellEnd"/>
      <w:r w:rsidRPr="00580C0D">
        <w:t xml:space="preserve">. Regjeringa vil </w:t>
      </w:r>
      <w:proofErr w:type="spellStart"/>
      <w:r w:rsidRPr="00580C0D">
        <w:t>leggje</w:t>
      </w:r>
      <w:proofErr w:type="spellEnd"/>
      <w:r w:rsidRPr="00580C0D">
        <w:t xml:space="preserve"> fram </w:t>
      </w:r>
      <w:proofErr w:type="spellStart"/>
      <w:r w:rsidRPr="00580C0D">
        <w:t>eit</w:t>
      </w:r>
      <w:proofErr w:type="spellEnd"/>
      <w:r w:rsidRPr="00580C0D">
        <w:t xml:space="preserve"> lovforslag for Stortinget. Det er planlagt at lovforslaget trer i kraft 1. juli 2024.</w:t>
      </w:r>
    </w:p>
    <w:p w14:paraId="6FA59A89" w14:textId="77777777" w:rsidR="00F7113A" w:rsidRPr="00580C0D" w:rsidRDefault="00142E5B" w:rsidP="00580C0D">
      <w:pPr>
        <w:pStyle w:val="Overskrift2"/>
      </w:pPr>
      <w:r w:rsidRPr="00580C0D">
        <w:t>Stortingssesjon 2020–2021</w:t>
      </w:r>
    </w:p>
    <w:p w14:paraId="3F266E6F" w14:textId="77777777" w:rsidR="00F7113A" w:rsidRPr="00580C0D" w:rsidRDefault="00142E5B" w:rsidP="00580C0D">
      <w:pPr>
        <w:pStyle w:val="avsnitt-tittel"/>
      </w:pPr>
      <w:r w:rsidRPr="00580C0D">
        <w:t xml:space="preserve">Utviding av </w:t>
      </w:r>
      <w:proofErr w:type="spellStart"/>
      <w:r w:rsidRPr="00580C0D">
        <w:t>avverjingsplikta</w:t>
      </w:r>
      <w:proofErr w:type="spellEnd"/>
    </w:p>
    <w:p w14:paraId="40676B1F" w14:textId="77777777" w:rsidR="00F7113A" w:rsidRPr="00580C0D" w:rsidRDefault="00142E5B" w:rsidP="00580C0D">
      <w:pPr>
        <w:pStyle w:val="avsnitt-undertittel"/>
      </w:pPr>
      <w:r w:rsidRPr="00580C0D">
        <w:t>Vedtak nr. 47, 3. november 2020</w:t>
      </w:r>
    </w:p>
    <w:p w14:paraId="5A855316" w14:textId="77777777" w:rsidR="00F7113A" w:rsidRPr="00580C0D" w:rsidRDefault="00142E5B" w:rsidP="00580C0D">
      <w:pPr>
        <w:pStyle w:val="blokksit"/>
        <w:rPr>
          <w:rStyle w:val="kursiv"/>
        </w:rPr>
      </w:pPr>
      <w:r w:rsidRPr="00580C0D">
        <w:rPr>
          <w:rStyle w:val="kursiv"/>
        </w:rPr>
        <w:t>«Stortinget ber regjeringen utrede om avvergingsplikten i straffeloven § 196 bør utvides til også å omfatte flere straffbare handlinger, særlig straffeloven §§ 257, 260, 261, 272 b, 292, 293, 294, 300, 301, 302, 304 og 305.»</w:t>
      </w:r>
    </w:p>
    <w:p w14:paraId="47D15021"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66 L (2019–2020) og </w:t>
      </w:r>
      <w:proofErr w:type="spellStart"/>
      <w:r w:rsidRPr="00580C0D">
        <w:t>Innst</w:t>
      </w:r>
      <w:proofErr w:type="spellEnd"/>
      <w:r w:rsidRPr="00580C0D">
        <w:t>. 41 L (2020–2021).</w:t>
      </w:r>
    </w:p>
    <w:p w14:paraId="43FBD35C" w14:textId="77777777" w:rsidR="00F7113A" w:rsidRPr="00580C0D" w:rsidRDefault="00142E5B" w:rsidP="00580C0D">
      <w:r w:rsidRPr="00580C0D">
        <w:t>Vedtaket er under behandling.</w:t>
      </w:r>
    </w:p>
    <w:p w14:paraId="2EE8544D" w14:textId="77777777" w:rsidR="00F7113A" w:rsidRPr="00580C0D" w:rsidRDefault="00142E5B" w:rsidP="00580C0D">
      <w:pPr>
        <w:pStyle w:val="avsnitt-tittel"/>
      </w:pPr>
      <w:proofErr w:type="spellStart"/>
      <w:r w:rsidRPr="00580C0D">
        <w:t>Forelding</w:t>
      </w:r>
      <w:proofErr w:type="spellEnd"/>
      <w:r w:rsidRPr="00580C0D">
        <w:t xml:space="preserve"> av </w:t>
      </w:r>
      <w:proofErr w:type="spellStart"/>
      <w:r w:rsidRPr="00580C0D">
        <w:t>lovbrot</w:t>
      </w:r>
      <w:proofErr w:type="spellEnd"/>
      <w:r w:rsidRPr="00580C0D">
        <w:t xml:space="preserve"> mot mindreårige</w:t>
      </w:r>
    </w:p>
    <w:p w14:paraId="21F6ECAF" w14:textId="77777777" w:rsidR="00F7113A" w:rsidRPr="00580C0D" w:rsidRDefault="00142E5B" w:rsidP="00580C0D">
      <w:pPr>
        <w:pStyle w:val="avsnitt-undertittel"/>
      </w:pPr>
      <w:r w:rsidRPr="00580C0D">
        <w:t>Vedtak nr. 50, 3. november 2020</w:t>
      </w:r>
    </w:p>
    <w:p w14:paraId="18E2BFD5" w14:textId="77777777" w:rsidR="00F7113A" w:rsidRPr="00580C0D" w:rsidRDefault="00142E5B" w:rsidP="00580C0D">
      <w:pPr>
        <w:pStyle w:val="blokksit"/>
        <w:rPr>
          <w:rStyle w:val="kursiv"/>
        </w:rPr>
      </w:pPr>
      <w:r w:rsidRPr="00580C0D">
        <w:rPr>
          <w:rStyle w:val="kursiv"/>
        </w:rPr>
        <w:t>«Stortinget ber regjeringen foreta en helhetlig gjennomgang av foreldelsesreglene for seksuallovbrudd og voldsforbrytelser mot mindreårige, og komme tilbake til Stortinget med forslag til lovendringer som hever det generelle nivået på foreldelsesfrister for denne typen lovbrudd.»</w:t>
      </w:r>
    </w:p>
    <w:p w14:paraId="4DE60214"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66 L (2019–2020) og </w:t>
      </w:r>
      <w:proofErr w:type="spellStart"/>
      <w:r w:rsidRPr="00580C0D">
        <w:t>Innst</w:t>
      </w:r>
      <w:proofErr w:type="spellEnd"/>
      <w:r w:rsidRPr="00580C0D">
        <w:t>. 41 L (2020–2021).</w:t>
      </w:r>
    </w:p>
    <w:p w14:paraId="0BEA9FD9" w14:textId="77777777" w:rsidR="00F7113A" w:rsidRPr="00580C0D" w:rsidRDefault="00142E5B" w:rsidP="00580C0D">
      <w:r w:rsidRPr="00580C0D">
        <w:t xml:space="preserve">Vedtaket er under behandling. Departementet arbeider med </w:t>
      </w:r>
      <w:proofErr w:type="spellStart"/>
      <w:r w:rsidRPr="00580C0D">
        <w:t>eit</w:t>
      </w:r>
      <w:proofErr w:type="spellEnd"/>
      <w:r w:rsidRPr="00580C0D">
        <w:t xml:space="preserve"> </w:t>
      </w:r>
      <w:proofErr w:type="spellStart"/>
      <w:r w:rsidRPr="00580C0D">
        <w:t>høyringsnotat</w:t>
      </w:r>
      <w:proofErr w:type="spellEnd"/>
      <w:r w:rsidRPr="00580C0D">
        <w:t xml:space="preserve"> for å </w:t>
      </w:r>
      <w:proofErr w:type="spellStart"/>
      <w:r w:rsidRPr="00580C0D">
        <w:t>følgje</w:t>
      </w:r>
      <w:proofErr w:type="spellEnd"/>
      <w:r w:rsidRPr="00580C0D">
        <w:t xml:space="preserve"> opp vedtaket. Sjå òg vedtak nr. 1159, 7. juni 2021.</w:t>
      </w:r>
    </w:p>
    <w:p w14:paraId="4302EE7F" w14:textId="77777777" w:rsidR="00F7113A" w:rsidRPr="00580C0D" w:rsidRDefault="00142E5B" w:rsidP="00580C0D">
      <w:pPr>
        <w:pStyle w:val="avsnitt-tittel"/>
      </w:pPr>
      <w:proofErr w:type="spellStart"/>
      <w:r w:rsidRPr="00580C0D">
        <w:t>Tilgjengelege</w:t>
      </w:r>
      <w:proofErr w:type="spellEnd"/>
      <w:r w:rsidRPr="00580C0D">
        <w:t xml:space="preserve"> </w:t>
      </w:r>
      <w:proofErr w:type="spellStart"/>
      <w:r w:rsidRPr="00580C0D">
        <w:t>dopingopplysningar</w:t>
      </w:r>
      <w:proofErr w:type="spellEnd"/>
    </w:p>
    <w:p w14:paraId="62844D7C" w14:textId="77777777" w:rsidR="00F7113A" w:rsidRPr="00580C0D" w:rsidRDefault="00142E5B" w:rsidP="00580C0D">
      <w:pPr>
        <w:pStyle w:val="avsnitt-undertittel"/>
      </w:pPr>
      <w:r w:rsidRPr="00580C0D">
        <w:t>Vedtak nr. 64, 10. november 2020</w:t>
      </w:r>
    </w:p>
    <w:p w14:paraId="089D759A" w14:textId="77777777" w:rsidR="00F7113A" w:rsidRPr="00580C0D" w:rsidRDefault="00142E5B" w:rsidP="00580C0D">
      <w:pPr>
        <w:pStyle w:val="blokksit"/>
        <w:rPr>
          <w:rStyle w:val="kursiv"/>
        </w:rPr>
      </w:pPr>
      <w:r w:rsidRPr="00580C0D">
        <w:rPr>
          <w:rStyle w:val="kursiv"/>
        </w:rPr>
        <w:t xml:space="preserve">«Stortinget ber regjeringen vurdere hvordan opplysninger om idrettsutøvere og støtteapparat som straffes for </w:t>
      </w:r>
      <w:proofErr w:type="spellStart"/>
      <w:r w:rsidRPr="00580C0D">
        <w:rPr>
          <w:rStyle w:val="kursiv"/>
        </w:rPr>
        <w:t>dopingkriminalitet</w:t>
      </w:r>
      <w:proofErr w:type="spellEnd"/>
      <w:r w:rsidRPr="00580C0D">
        <w:rPr>
          <w:rStyle w:val="kursiv"/>
        </w:rPr>
        <w:t>, også kan gjøres tilgjengelig for antidopingorganisasjonene, herunder eventuelle behov for endring av lovgivning.»</w:t>
      </w:r>
    </w:p>
    <w:p w14:paraId="1BB54979" w14:textId="77777777" w:rsidR="00F7113A" w:rsidRPr="00580C0D" w:rsidRDefault="00142E5B" w:rsidP="00580C0D">
      <w:r w:rsidRPr="00580C0D">
        <w:t xml:space="preserve">Dokumenta som ligg til grunn for vedtaket, er Dokument 8:95 S (2018–2019) og </w:t>
      </w:r>
      <w:proofErr w:type="spellStart"/>
      <w:r w:rsidRPr="00580C0D">
        <w:t>Innst</w:t>
      </w:r>
      <w:proofErr w:type="spellEnd"/>
      <w:r w:rsidRPr="00580C0D">
        <w:t xml:space="preserve">. 48 S (2020–2021) </w:t>
      </w:r>
      <w:proofErr w:type="spellStart"/>
      <w:r w:rsidRPr="00580C0D">
        <w:t>frå</w:t>
      </w:r>
      <w:proofErr w:type="spellEnd"/>
      <w:r w:rsidRPr="00580C0D">
        <w:t xml:space="preserve"> justiskomiteen.</w:t>
      </w:r>
    </w:p>
    <w:p w14:paraId="14D06719" w14:textId="77777777" w:rsidR="00F7113A" w:rsidRPr="00580C0D" w:rsidRDefault="00142E5B" w:rsidP="00580C0D">
      <w:r w:rsidRPr="00580C0D">
        <w:t xml:space="preserve">Vedtaket er under behandling. Departementet vurderer behovet for </w:t>
      </w:r>
      <w:proofErr w:type="spellStart"/>
      <w:r w:rsidRPr="00580C0D">
        <w:t>regelendringar</w:t>
      </w:r>
      <w:proofErr w:type="spellEnd"/>
      <w:r w:rsidRPr="00580C0D">
        <w:t xml:space="preserve"> og eventuelle andre tiltak.</w:t>
      </w:r>
    </w:p>
    <w:p w14:paraId="1A0FF025" w14:textId="77777777" w:rsidR="00F7113A" w:rsidRPr="00580C0D" w:rsidRDefault="00142E5B" w:rsidP="00580C0D">
      <w:pPr>
        <w:pStyle w:val="avsnitt-tittel"/>
      </w:pPr>
      <w:r w:rsidRPr="00580C0D">
        <w:t xml:space="preserve">Straff for den som </w:t>
      </w:r>
      <w:proofErr w:type="spellStart"/>
      <w:r w:rsidRPr="00580C0D">
        <w:t>tener</w:t>
      </w:r>
      <w:proofErr w:type="spellEnd"/>
      <w:r w:rsidRPr="00580C0D">
        <w:t xml:space="preserve"> </w:t>
      </w:r>
      <w:proofErr w:type="spellStart"/>
      <w:r w:rsidRPr="00580C0D">
        <w:t>pengar</w:t>
      </w:r>
      <w:proofErr w:type="spellEnd"/>
      <w:r w:rsidRPr="00580C0D">
        <w:t xml:space="preserve"> på </w:t>
      </w:r>
      <w:proofErr w:type="spellStart"/>
      <w:r w:rsidRPr="00580C0D">
        <w:t>idrettsprestasjonar</w:t>
      </w:r>
      <w:proofErr w:type="spellEnd"/>
      <w:r w:rsidRPr="00580C0D">
        <w:t xml:space="preserve"> som </w:t>
      </w:r>
      <w:proofErr w:type="spellStart"/>
      <w:r w:rsidRPr="00580C0D">
        <w:t>følgje</w:t>
      </w:r>
      <w:proofErr w:type="spellEnd"/>
      <w:r w:rsidRPr="00580C0D">
        <w:t xml:space="preserve"> av doping</w:t>
      </w:r>
    </w:p>
    <w:p w14:paraId="707C688C" w14:textId="77777777" w:rsidR="00F7113A" w:rsidRPr="00580C0D" w:rsidRDefault="00142E5B" w:rsidP="00580C0D">
      <w:pPr>
        <w:pStyle w:val="avsnitt-undertittel"/>
      </w:pPr>
      <w:r w:rsidRPr="00580C0D">
        <w:t>Vedtak nr. 65, 10. november 2020</w:t>
      </w:r>
    </w:p>
    <w:p w14:paraId="6FC3AA08" w14:textId="77777777" w:rsidR="00F7113A" w:rsidRPr="00580C0D" w:rsidRDefault="00142E5B" w:rsidP="00580C0D">
      <w:pPr>
        <w:pStyle w:val="blokksit"/>
        <w:rPr>
          <w:rStyle w:val="kursiv"/>
        </w:rPr>
      </w:pPr>
      <w:r w:rsidRPr="00580C0D">
        <w:rPr>
          <w:rStyle w:val="kursiv"/>
        </w:rPr>
        <w:t>«Stortinget ber regjeringen vurdere muligheter for nye bestemmelser i straffeloven for å kunne straffeforfølge de som tjener penger på idrettsprestasjoner som følge av doping, og mulighet for inndragning.»</w:t>
      </w:r>
    </w:p>
    <w:p w14:paraId="405EF9C1" w14:textId="77777777" w:rsidR="00F7113A" w:rsidRPr="00580C0D" w:rsidRDefault="00142E5B" w:rsidP="00580C0D">
      <w:r w:rsidRPr="00580C0D">
        <w:t xml:space="preserve">Dokumenta som ligg til grunn for vedtaket, er Dokument 8:95 S (2018–2019) og </w:t>
      </w:r>
      <w:proofErr w:type="spellStart"/>
      <w:r w:rsidRPr="00580C0D">
        <w:t>Innst</w:t>
      </w:r>
      <w:proofErr w:type="spellEnd"/>
      <w:r w:rsidRPr="00580C0D">
        <w:t xml:space="preserve">. 48 S (2020–2021) </w:t>
      </w:r>
      <w:proofErr w:type="spellStart"/>
      <w:r w:rsidRPr="00580C0D">
        <w:t>frå</w:t>
      </w:r>
      <w:proofErr w:type="spellEnd"/>
      <w:r w:rsidRPr="00580C0D">
        <w:t xml:space="preserve"> justiskomiteen.</w:t>
      </w:r>
    </w:p>
    <w:p w14:paraId="16A03CE7" w14:textId="77777777" w:rsidR="00F7113A" w:rsidRPr="00580C0D" w:rsidRDefault="00142E5B" w:rsidP="00580C0D">
      <w:r w:rsidRPr="00580C0D">
        <w:t>Vedtaket er under behandling.</w:t>
      </w:r>
    </w:p>
    <w:p w14:paraId="1C4D30F4" w14:textId="77777777" w:rsidR="00F7113A" w:rsidRPr="00580C0D" w:rsidRDefault="00142E5B" w:rsidP="00580C0D">
      <w:pPr>
        <w:pStyle w:val="avsnitt-tittel"/>
      </w:pPr>
      <w:proofErr w:type="spellStart"/>
      <w:r w:rsidRPr="00580C0D">
        <w:t>Klarare</w:t>
      </w:r>
      <w:proofErr w:type="spellEnd"/>
      <w:r w:rsidRPr="00580C0D">
        <w:t xml:space="preserve"> </w:t>
      </w:r>
      <w:proofErr w:type="spellStart"/>
      <w:r w:rsidRPr="00580C0D">
        <w:t>skilje</w:t>
      </w:r>
      <w:proofErr w:type="spellEnd"/>
      <w:r w:rsidRPr="00580C0D">
        <w:t xml:space="preserve"> mellom </w:t>
      </w:r>
      <w:proofErr w:type="spellStart"/>
      <w:r w:rsidRPr="00580C0D">
        <w:t>konvensjonsstatus</w:t>
      </w:r>
      <w:proofErr w:type="spellEnd"/>
      <w:r w:rsidRPr="00580C0D">
        <w:t xml:space="preserve"> (asyl) og subsidiært vern</w:t>
      </w:r>
    </w:p>
    <w:p w14:paraId="585BBB9C" w14:textId="77777777" w:rsidR="00F7113A" w:rsidRPr="00580C0D" w:rsidRDefault="00142E5B" w:rsidP="00580C0D">
      <w:pPr>
        <w:pStyle w:val="avsnitt-undertittel"/>
      </w:pPr>
      <w:r w:rsidRPr="00580C0D">
        <w:t>Vedtak nr. 206, 7. desember 2020</w:t>
      </w:r>
    </w:p>
    <w:p w14:paraId="523927A3" w14:textId="77777777" w:rsidR="00F7113A" w:rsidRPr="00580C0D" w:rsidRDefault="00142E5B" w:rsidP="00580C0D">
      <w:pPr>
        <w:pStyle w:val="blokksit"/>
        <w:rPr>
          <w:rStyle w:val="kursiv"/>
        </w:rPr>
      </w:pPr>
      <w:r w:rsidRPr="00580C0D">
        <w:rPr>
          <w:rStyle w:val="kursiv"/>
        </w:rPr>
        <w:t xml:space="preserve">«Stortinget ber regjeringen komme tilbake med forslag til lovendringer som innenfor rammen av internasjonale forpliktelser gir et klarere skille mellom </w:t>
      </w:r>
      <w:proofErr w:type="spellStart"/>
      <w:r w:rsidRPr="00580C0D">
        <w:rPr>
          <w:rStyle w:val="kursiv"/>
        </w:rPr>
        <w:t>konvensjonstatus</w:t>
      </w:r>
      <w:proofErr w:type="spellEnd"/>
      <w:r w:rsidRPr="00580C0D">
        <w:rPr>
          <w:rStyle w:val="kursiv"/>
        </w:rPr>
        <w:t xml:space="preserve"> (asyl) og subsidiær beskyttelse, gjennom å begrense retten til familiegjenforening samt utvide bruken av midlertidige tillatelser ved subsidiær beskyttelse.»</w:t>
      </w:r>
    </w:p>
    <w:p w14:paraId="75B27B7E" w14:textId="77777777" w:rsidR="00F7113A" w:rsidRPr="00580C0D" w:rsidRDefault="00142E5B" w:rsidP="00580C0D">
      <w:r w:rsidRPr="00580C0D">
        <w:t>Dokumentet som ligg til grunn for vedtaket, er Dokument 8:71 L (2020–2021).</w:t>
      </w:r>
    </w:p>
    <w:p w14:paraId="5B388476" w14:textId="77777777" w:rsidR="00F7113A" w:rsidRPr="00580C0D" w:rsidRDefault="00142E5B" w:rsidP="00580C0D">
      <w:r w:rsidRPr="00580C0D">
        <w:t xml:space="preserve">Vedtaket er under behandling. Departementet vil bl.a. sjå </w:t>
      </w:r>
      <w:proofErr w:type="spellStart"/>
      <w:r w:rsidRPr="00580C0D">
        <w:t>nærmare</w:t>
      </w:r>
      <w:proofErr w:type="spellEnd"/>
      <w:r w:rsidRPr="00580C0D">
        <w:t xml:space="preserve"> på korleis andre land i Europa har regulert dette, og på kva for </w:t>
      </w:r>
      <w:proofErr w:type="spellStart"/>
      <w:r w:rsidRPr="00580C0D">
        <w:t>erfaringar</w:t>
      </w:r>
      <w:proofErr w:type="spellEnd"/>
      <w:r w:rsidRPr="00580C0D">
        <w:t xml:space="preserve"> </w:t>
      </w:r>
      <w:proofErr w:type="spellStart"/>
      <w:r w:rsidRPr="00580C0D">
        <w:t>dei</w:t>
      </w:r>
      <w:proofErr w:type="spellEnd"/>
      <w:r w:rsidRPr="00580C0D">
        <w:t xml:space="preserve"> har gjort.</w:t>
      </w:r>
    </w:p>
    <w:p w14:paraId="223E8E17" w14:textId="77777777" w:rsidR="00F7113A" w:rsidRPr="00580C0D" w:rsidRDefault="00142E5B" w:rsidP="00580C0D">
      <w:pPr>
        <w:pStyle w:val="avsnitt-tittel"/>
      </w:pPr>
      <w:r w:rsidRPr="00580C0D">
        <w:t>Plan for effektiv motarbeiding av irregulær migrasjon</w:t>
      </w:r>
    </w:p>
    <w:p w14:paraId="54DDDF6C" w14:textId="77777777" w:rsidR="00F7113A" w:rsidRPr="00580C0D" w:rsidRDefault="00142E5B" w:rsidP="00580C0D">
      <w:pPr>
        <w:pStyle w:val="avsnitt-undertittel"/>
      </w:pPr>
      <w:r w:rsidRPr="00580C0D">
        <w:t>Vedtak nr. 207, 7. desember 2020</w:t>
      </w:r>
    </w:p>
    <w:p w14:paraId="5ED10E9F" w14:textId="77777777" w:rsidR="00F7113A" w:rsidRPr="00580C0D" w:rsidRDefault="00142E5B" w:rsidP="00580C0D">
      <w:pPr>
        <w:pStyle w:val="blokksit"/>
        <w:rPr>
          <w:rStyle w:val="kursiv"/>
        </w:rPr>
      </w:pPr>
      <w:r w:rsidRPr="00580C0D">
        <w:rPr>
          <w:rStyle w:val="kursiv"/>
        </w:rPr>
        <w:t>«Stortinget ber regjeringen utarbeide en plan for hvordan Norge kan bidra til mer effektiv bekjempelse av irregulær migrasjon, herunder sørge for at dagens hjemmel for å henvise asylsøkere til trygge tredjeland utenfor EU brukes aktivt. Dette forutsetter samarbeidsavtaler med tredjeland som sikrer at asylsøkere behov for beskyttelse blir ivaretatt.»</w:t>
      </w:r>
    </w:p>
    <w:p w14:paraId="152AC22E" w14:textId="77777777" w:rsidR="00F7113A" w:rsidRPr="00580C0D" w:rsidRDefault="00142E5B" w:rsidP="00580C0D">
      <w:r w:rsidRPr="00580C0D">
        <w:t>Dokumenta som ligg til grunn for vedtaket, er Dokument 8:71 L (2020–2021) og Lovvedtak 25 (2020–2021).</w:t>
      </w:r>
    </w:p>
    <w:p w14:paraId="24681F14" w14:textId="77777777" w:rsidR="00F7113A" w:rsidRPr="00580C0D" w:rsidRDefault="00142E5B" w:rsidP="00580C0D">
      <w:r w:rsidRPr="00580C0D">
        <w:t xml:space="preserve">Vedtaket er </w:t>
      </w:r>
      <w:proofErr w:type="spellStart"/>
      <w:r w:rsidRPr="00580C0D">
        <w:t>følgt</w:t>
      </w:r>
      <w:proofErr w:type="spellEnd"/>
      <w:r w:rsidRPr="00580C0D">
        <w:t xml:space="preserve"> opp. Regjeringa har </w:t>
      </w:r>
      <w:proofErr w:type="spellStart"/>
      <w:r w:rsidRPr="00580C0D">
        <w:t>ein</w:t>
      </w:r>
      <w:proofErr w:type="spellEnd"/>
      <w:r w:rsidRPr="00580C0D">
        <w:t xml:space="preserve"> planmessig tilnærming til å kjempe mot irregulær migrasjon som </w:t>
      </w:r>
      <w:proofErr w:type="spellStart"/>
      <w:r w:rsidRPr="00580C0D">
        <w:t>omfattar</w:t>
      </w:r>
      <w:proofErr w:type="spellEnd"/>
      <w:r w:rsidRPr="00580C0D">
        <w:t xml:space="preserve"> </w:t>
      </w:r>
      <w:proofErr w:type="spellStart"/>
      <w:r w:rsidRPr="00580C0D">
        <w:t>eit</w:t>
      </w:r>
      <w:proofErr w:type="spellEnd"/>
      <w:r w:rsidRPr="00580C0D">
        <w:t xml:space="preserve"> </w:t>
      </w:r>
      <w:proofErr w:type="spellStart"/>
      <w:r w:rsidRPr="00580C0D">
        <w:t>mangfald</w:t>
      </w:r>
      <w:proofErr w:type="spellEnd"/>
      <w:r w:rsidRPr="00580C0D">
        <w:t xml:space="preserve"> av </w:t>
      </w:r>
      <w:proofErr w:type="spellStart"/>
      <w:r w:rsidRPr="00580C0D">
        <w:t>verkemiddel</w:t>
      </w:r>
      <w:proofErr w:type="spellEnd"/>
      <w:r w:rsidRPr="00580C0D">
        <w:t xml:space="preserve"> på utlendingsfeltet. Nasjonalt er bekjemping av irregulær innvandring til riket </w:t>
      </w:r>
      <w:proofErr w:type="spellStart"/>
      <w:r w:rsidRPr="00580C0D">
        <w:t>eit</w:t>
      </w:r>
      <w:proofErr w:type="spellEnd"/>
      <w:r w:rsidRPr="00580C0D">
        <w:t xml:space="preserve"> overordna mål, jf. utlendingslovas føresegn om formål. Dette målet </w:t>
      </w:r>
      <w:proofErr w:type="spellStart"/>
      <w:r w:rsidRPr="00580C0D">
        <w:t>følgjast</w:t>
      </w:r>
      <w:proofErr w:type="spellEnd"/>
      <w:r w:rsidRPr="00580C0D">
        <w:t xml:space="preserve"> opp i heile migrasjonskjeda, slik som ved grensekontroll, satsing på ID-arbeid og </w:t>
      </w:r>
      <w:proofErr w:type="spellStart"/>
      <w:r w:rsidRPr="00580C0D">
        <w:t>ein</w:t>
      </w:r>
      <w:proofErr w:type="spellEnd"/>
      <w:r w:rsidRPr="00580C0D">
        <w:t xml:space="preserve"> effektiv returpolitikk. I europapolitikken legg </w:t>
      </w:r>
      <w:proofErr w:type="spellStart"/>
      <w:r w:rsidRPr="00580C0D">
        <w:t>Noreg</w:t>
      </w:r>
      <w:proofErr w:type="spellEnd"/>
      <w:r w:rsidRPr="00580C0D">
        <w:t xml:space="preserve"> vekt på å støtte tiltak som kan begrense irregulær migrasjon til Schengen-området, som støtte til </w:t>
      </w:r>
      <w:proofErr w:type="spellStart"/>
      <w:r w:rsidRPr="00580C0D">
        <w:t>ein</w:t>
      </w:r>
      <w:proofErr w:type="spellEnd"/>
      <w:r w:rsidRPr="00580C0D">
        <w:t xml:space="preserve"> </w:t>
      </w:r>
      <w:proofErr w:type="spellStart"/>
      <w:r w:rsidRPr="00580C0D">
        <w:t>meir</w:t>
      </w:r>
      <w:proofErr w:type="spellEnd"/>
      <w:r w:rsidRPr="00580C0D">
        <w:t xml:space="preserve"> lik asylpraksis i EU og </w:t>
      </w:r>
      <w:proofErr w:type="spellStart"/>
      <w:r w:rsidRPr="00580C0D">
        <w:t>ein</w:t>
      </w:r>
      <w:proofErr w:type="spellEnd"/>
      <w:r w:rsidRPr="00580C0D">
        <w:t xml:space="preserve"> effektiv returpolitikk. </w:t>
      </w:r>
      <w:proofErr w:type="spellStart"/>
      <w:r w:rsidRPr="00580C0D">
        <w:t>Noreg</w:t>
      </w:r>
      <w:proofErr w:type="spellEnd"/>
      <w:r w:rsidRPr="00580C0D">
        <w:t xml:space="preserve"> tar også del i styrkinga av Schengens yttergrense-kontroll gjennom EUs grense- og kystvaktbyrå </w:t>
      </w:r>
      <w:proofErr w:type="spellStart"/>
      <w:r w:rsidRPr="00580C0D">
        <w:t>Frontex</w:t>
      </w:r>
      <w:proofErr w:type="spellEnd"/>
      <w:r w:rsidRPr="00580C0D">
        <w:t xml:space="preserve">. </w:t>
      </w:r>
      <w:proofErr w:type="spellStart"/>
      <w:r w:rsidRPr="00580C0D">
        <w:t>Noreg</w:t>
      </w:r>
      <w:proofErr w:type="spellEnd"/>
      <w:r w:rsidRPr="00580C0D">
        <w:t xml:space="preserve"> </w:t>
      </w:r>
      <w:proofErr w:type="spellStart"/>
      <w:r w:rsidRPr="00580C0D">
        <w:t>bidreg</w:t>
      </w:r>
      <w:proofErr w:type="spellEnd"/>
      <w:r w:rsidRPr="00580C0D">
        <w:t xml:space="preserve"> også aktivt i det globale samarbeidet for å </w:t>
      </w:r>
      <w:proofErr w:type="spellStart"/>
      <w:r w:rsidRPr="00580C0D">
        <w:t>førebyggje</w:t>
      </w:r>
      <w:proofErr w:type="spellEnd"/>
      <w:r w:rsidRPr="00580C0D">
        <w:t xml:space="preserve"> irregulær migrasjon. Sentralt er ei </w:t>
      </w:r>
      <w:proofErr w:type="spellStart"/>
      <w:r w:rsidRPr="00580C0D">
        <w:t>omfattande</w:t>
      </w:r>
      <w:proofErr w:type="spellEnd"/>
      <w:r w:rsidRPr="00580C0D">
        <w:t xml:space="preserve"> støtte til utvikling og humanitær innsats som kan </w:t>
      </w:r>
      <w:proofErr w:type="spellStart"/>
      <w:r w:rsidRPr="00580C0D">
        <w:t>påverke</w:t>
      </w:r>
      <w:proofErr w:type="spellEnd"/>
      <w:r w:rsidRPr="00580C0D">
        <w:t xml:space="preserve"> irregulær migrasjon, direkte eller indirekte, samt regjeringas </w:t>
      </w:r>
      <w:proofErr w:type="spellStart"/>
      <w:r w:rsidRPr="00580C0D">
        <w:t>særskilde</w:t>
      </w:r>
      <w:proofErr w:type="spellEnd"/>
      <w:r w:rsidRPr="00580C0D">
        <w:t xml:space="preserve"> innsats for </w:t>
      </w:r>
      <w:proofErr w:type="spellStart"/>
      <w:r w:rsidRPr="00580C0D">
        <w:t>flyktningar</w:t>
      </w:r>
      <w:proofErr w:type="spellEnd"/>
      <w:r w:rsidRPr="00580C0D">
        <w:t xml:space="preserve">, fordrevne og </w:t>
      </w:r>
      <w:proofErr w:type="spellStart"/>
      <w:r w:rsidRPr="00580C0D">
        <w:t>vertssamfunn</w:t>
      </w:r>
      <w:proofErr w:type="spellEnd"/>
      <w:r w:rsidRPr="00580C0D">
        <w:t xml:space="preserve"> (Solidaritetspotten, jf. Hurdalsplattformen). Kva gjeld </w:t>
      </w:r>
      <w:proofErr w:type="spellStart"/>
      <w:r w:rsidRPr="00580C0D">
        <w:t>tilgjenge</w:t>
      </w:r>
      <w:proofErr w:type="spellEnd"/>
      <w:r w:rsidRPr="00580C0D">
        <w:t xml:space="preserve"> til å henvise </w:t>
      </w:r>
      <w:proofErr w:type="spellStart"/>
      <w:r w:rsidRPr="00580C0D">
        <w:t>asylsøkjarer</w:t>
      </w:r>
      <w:proofErr w:type="spellEnd"/>
      <w:r w:rsidRPr="00580C0D">
        <w:t xml:space="preserve"> til trygge tredjeland, har departementet bede Utlendingsdirektoratet i instruks (GI-02/2022) og tildelingsbrev om å nytte handlingsrommet i </w:t>
      </w:r>
      <w:proofErr w:type="spellStart"/>
      <w:r w:rsidRPr="00580C0D">
        <w:t>gjeldande</w:t>
      </w:r>
      <w:proofErr w:type="spellEnd"/>
      <w:r w:rsidRPr="00580C0D">
        <w:t xml:space="preserve"> lovverk til å vise </w:t>
      </w:r>
      <w:proofErr w:type="spellStart"/>
      <w:r w:rsidRPr="00580C0D">
        <w:t>asylsøkjarar</w:t>
      </w:r>
      <w:proofErr w:type="spellEnd"/>
      <w:r w:rsidRPr="00580C0D">
        <w:t xml:space="preserve"> til trygge land </w:t>
      </w:r>
      <w:proofErr w:type="spellStart"/>
      <w:r w:rsidRPr="00580C0D">
        <w:t>utanfor</w:t>
      </w:r>
      <w:proofErr w:type="spellEnd"/>
      <w:r w:rsidRPr="00580C0D">
        <w:t xml:space="preserve"> Europa. Det er </w:t>
      </w:r>
      <w:proofErr w:type="spellStart"/>
      <w:r w:rsidRPr="00580C0D">
        <w:t>ikkje</w:t>
      </w:r>
      <w:proofErr w:type="spellEnd"/>
      <w:r w:rsidRPr="00580C0D">
        <w:t xml:space="preserve"> </w:t>
      </w:r>
      <w:proofErr w:type="spellStart"/>
      <w:r w:rsidRPr="00580C0D">
        <w:t>eit</w:t>
      </w:r>
      <w:proofErr w:type="spellEnd"/>
      <w:r w:rsidRPr="00580C0D">
        <w:t xml:space="preserve"> vilkår etter utlendingslova at gjennomføring av slike vedtak </w:t>
      </w:r>
      <w:proofErr w:type="spellStart"/>
      <w:r w:rsidRPr="00580C0D">
        <w:t>føreset</w:t>
      </w:r>
      <w:proofErr w:type="spellEnd"/>
      <w:r w:rsidRPr="00580C0D">
        <w:t xml:space="preserve"> </w:t>
      </w:r>
      <w:proofErr w:type="spellStart"/>
      <w:r w:rsidRPr="00580C0D">
        <w:t>ein</w:t>
      </w:r>
      <w:proofErr w:type="spellEnd"/>
      <w:r w:rsidRPr="00580C0D">
        <w:t xml:space="preserve"> samarbeidsavtale, men </w:t>
      </w:r>
      <w:proofErr w:type="spellStart"/>
      <w:r w:rsidRPr="00580C0D">
        <w:t>ein</w:t>
      </w:r>
      <w:proofErr w:type="spellEnd"/>
      <w:r w:rsidRPr="00580C0D">
        <w:t xml:space="preserve"> avtale kan lette gjennomføringa av </w:t>
      </w:r>
      <w:proofErr w:type="spellStart"/>
      <w:r w:rsidRPr="00580C0D">
        <w:t>returar</w:t>
      </w:r>
      <w:proofErr w:type="spellEnd"/>
      <w:r w:rsidRPr="00580C0D">
        <w:t xml:space="preserve">. Sjå </w:t>
      </w:r>
      <w:proofErr w:type="spellStart"/>
      <w:r w:rsidRPr="00580C0D">
        <w:t>nærmare</w:t>
      </w:r>
      <w:proofErr w:type="spellEnd"/>
      <w:r w:rsidRPr="00580C0D">
        <w:t xml:space="preserve"> omtale av regjeringas arbeid for å kjempe mot irregulær migrasjon i </w:t>
      </w:r>
      <w:proofErr w:type="spellStart"/>
      <w:r w:rsidRPr="00580C0D">
        <w:t>Prop</w:t>
      </w:r>
      <w:proofErr w:type="spellEnd"/>
      <w:r w:rsidRPr="00580C0D">
        <w:t>. 118 S (2022–2023).</w:t>
      </w:r>
    </w:p>
    <w:p w14:paraId="497CF6DD" w14:textId="77777777" w:rsidR="00F7113A" w:rsidRPr="00580C0D" w:rsidRDefault="00142E5B" w:rsidP="00580C0D">
      <w:pPr>
        <w:pStyle w:val="avsnitt-tittel"/>
      </w:pPr>
      <w:r w:rsidRPr="00580C0D">
        <w:t>Klarlegging av identitet</w:t>
      </w:r>
    </w:p>
    <w:p w14:paraId="5A1769C1" w14:textId="77777777" w:rsidR="00F7113A" w:rsidRPr="00580C0D" w:rsidRDefault="00142E5B" w:rsidP="00580C0D">
      <w:pPr>
        <w:pStyle w:val="avsnitt-undertittel"/>
      </w:pPr>
      <w:r w:rsidRPr="00580C0D">
        <w:t>Vedtak nr. 208, 7. desember 2020</w:t>
      </w:r>
    </w:p>
    <w:p w14:paraId="4F40F96A" w14:textId="77777777" w:rsidR="00F7113A" w:rsidRPr="00580C0D" w:rsidRDefault="00142E5B" w:rsidP="00580C0D">
      <w:pPr>
        <w:pStyle w:val="blokksit"/>
        <w:rPr>
          <w:rStyle w:val="kursiv"/>
        </w:rPr>
      </w:pPr>
      <w:r w:rsidRPr="00580C0D">
        <w:rPr>
          <w:rStyle w:val="kursiv"/>
        </w:rPr>
        <w:t>«Stortinget ber regjeringen stille de samme krav til klarlegging av identitet for permanent oppholdstillatelse og familieetablering som for statsborgerskap.»</w:t>
      </w:r>
    </w:p>
    <w:p w14:paraId="0AAD2B5B" w14:textId="77777777" w:rsidR="00F7113A" w:rsidRPr="00580C0D" w:rsidRDefault="00142E5B" w:rsidP="00580C0D">
      <w:r w:rsidRPr="00580C0D">
        <w:t>Dokumentet som ligg til grunn for vedtaket, er Dokument 8:71 L (2020–2021).</w:t>
      </w:r>
    </w:p>
    <w:p w14:paraId="3064FF5A" w14:textId="77777777" w:rsidR="00F7113A" w:rsidRPr="00580C0D" w:rsidRDefault="00142E5B" w:rsidP="00580C0D">
      <w:r w:rsidRPr="00580C0D">
        <w:t xml:space="preserve">Vedtaket er under behandling. Departementet er i gang med å greie ut </w:t>
      </w:r>
      <w:proofErr w:type="spellStart"/>
      <w:r w:rsidRPr="00580C0D">
        <w:t>konsekvensane</w:t>
      </w:r>
      <w:proofErr w:type="spellEnd"/>
      <w:r w:rsidRPr="00580C0D">
        <w:t xml:space="preserve">, bl.a. om ei innstramming i regelverket i tråd med oppmodinga vil ha praktiske </w:t>
      </w:r>
      <w:proofErr w:type="spellStart"/>
      <w:r w:rsidRPr="00580C0D">
        <w:t>konsekvensar</w:t>
      </w:r>
      <w:proofErr w:type="spellEnd"/>
      <w:r w:rsidRPr="00580C0D">
        <w:t xml:space="preserve"> utover </w:t>
      </w:r>
      <w:proofErr w:type="spellStart"/>
      <w:r w:rsidRPr="00580C0D">
        <w:t>ein</w:t>
      </w:r>
      <w:proofErr w:type="spellEnd"/>
      <w:r w:rsidRPr="00580C0D">
        <w:t xml:space="preserve"> rein signaleffekt.</w:t>
      </w:r>
    </w:p>
    <w:p w14:paraId="2DA4E980" w14:textId="77777777" w:rsidR="00F7113A" w:rsidRPr="00580C0D" w:rsidRDefault="00142E5B" w:rsidP="00580C0D">
      <w:pPr>
        <w:pStyle w:val="avsnitt-tittel"/>
      </w:pPr>
      <w:proofErr w:type="spellStart"/>
      <w:r w:rsidRPr="00580C0D">
        <w:t>Høgare</w:t>
      </w:r>
      <w:proofErr w:type="spellEnd"/>
      <w:r w:rsidRPr="00580C0D">
        <w:t xml:space="preserve"> straff for barn som er involverte i gjenteken kriminalitet</w:t>
      </w:r>
    </w:p>
    <w:p w14:paraId="2A9EAA1E" w14:textId="77777777" w:rsidR="00F7113A" w:rsidRPr="00580C0D" w:rsidRDefault="00142E5B" w:rsidP="00580C0D">
      <w:pPr>
        <w:pStyle w:val="avsnitt-undertittel"/>
      </w:pPr>
      <w:r w:rsidRPr="00580C0D">
        <w:t>Vedtak nr. 443, 18. desember 2020</w:t>
      </w:r>
    </w:p>
    <w:p w14:paraId="23F119D7" w14:textId="77777777" w:rsidR="00F7113A" w:rsidRPr="00580C0D" w:rsidRDefault="00142E5B" w:rsidP="00580C0D">
      <w:pPr>
        <w:pStyle w:val="blokksit"/>
        <w:rPr>
          <w:rStyle w:val="kursiv"/>
        </w:rPr>
      </w:pPr>
      <w:r w:rsidRPr="00580C0D">
        <w:rPr>
          <w:rStyle w:val="kursiv"/>
        </w:rPr>
        <w:t>«Stortinget ber regjeringen utrede om man i særlige tilfeller kan åpne for forhøyet straff ved nytt lovbrudd av samme art også for kriminelle gjengangere under 18 år.»</w:t>
      </w:r>
    </w:p>
    <w:p w14:paraId="737917E2" w14:textId="77777777" w:rsidR="00F7113A" w:rsidRPr="00580C0D" w:rsidRDefault="00142E5B" w:rsidP="00580C0D">
      <w:r w:rsidRPr="00580C0D">
        <w:t xml:space="preserve">Dokumenta som ligg til grunn for vedtaket, er Dokument 8:115 S (2019–2020) og </w:t>
      </w:r>
      <w:proofErr w:type="spellStart"/>
      <w:r w:rsidRPr="00580C0D">
        <w:t>Innst</w:t>
      </w:r>
      <w:proofErr w:type="spellEnd"/>
      <w:r w:rsidRPr="00580C0D">
        <w:t xml:space="preserve">. 147 S (2020–2021) </w:t>
      </w:r>
      <w:proofErr w:type="spellStart"/>
      <w:r w:rsidRPr="00580C0D">
        <w:t>frå</w:t>
      </w:r>
      <w:proofErr w:type="spellEnd"/>
      <w:r w:rsidRPr="00580C0D">
        <w:t xml:space="preserve"> justiskomiteen.</w:t>
      </w:r>
    </w:p>
    <w:p w14:paraId="07961D96" w14:textId="77777777" w:rsidR="00F7113A" w:rsidRPr="00580C0D" w:rsidRDefault="00142E5B" w:rsidP="00580C0D">
      <w:r w:rsidRPr="00580C0D">
        <w:t>Vedtaket er under behandling.</w:t>
      </w:r>
    </w:p>
    <w:p w14:paraId="24F9A6EF" w14:textId="77777777" w:rsidR="00F7113A" w:rsidRPr="00580C0D" w:rsidRDefault="00142E5B" w:rsidP="00580C0D">
      <w:pPr>
        <w:pStyle w:val="avsnitt-tittel"/>
      </w:pPr>
      <w:r w:rsidRPr="00580C0D">
        <w:t xml:space="preserve">Tiltak for å </w:t>
      </w:r>
      <w:proofErr w:type="spellStart"/>
      <w:r w:rsidRPr="00580C0D">
        <w:t>auke</w:t>
      </w:r>
      <w:proofErr w:type="spellEnd"/>
      <w:r w:rsidRPr="00580C0D">
        <w:t xml:space="preserve"> </w:t>
      </w:r>
      <w:proofErr w:type="spellStart"/>
      <w:r w:rsidRPr="00580C0D">
        <w:t>talet</w:t>
      </w:r>
      <w:proofErr w:type="spellEnd"/>
      <w:r w:rsidRPr="00580C0D">
        <w:t xml:space="preserve"> på </w:t>
      </w:r>
      <w:proofErr w:type="spellStart"/>
      <w:r w:rsidRPr="00580C0D">
        <w:t>inndragingar</w:t>
      </w:r>
      <w:proofErr w:type="spellEnd"/>
    </w:p>
    <w:p w14:paraId="1885F572" w14:textId="77777777" w:rsidR="00F7113A" w:rsidRPr="00580C0D" w:rsidRDefault="00142E5B" w:rsidP="00580C0D">
      <w:pPr>
        <w:pStyle w:val="avsnitt-undertittel"/>
      </w:pPr>
      <w:r w:rsidRPr="00580C0D">
        <w:t>Vedtak nr. 446, 18. desember 2020</w:t>
      </w:r>
    </w:p>
    <w:p w14:paraId="6625C8FD" w14:textId="77777777" w:rsidR="00F7113A" w:rsidRPr="00580C0D" w:rsidRDefault="00142E5B" w:rsidP="00580C0D">
      <w:pPr>
        <w:pStyle w:val="blokksit"/>
        <w:rPr>
          <w:rStyle w:val="kursiv"/>
        </w:rPr>
      </w:pPr>
      <w:r w:rsidRPr="00580C0D">
        <w:rPr>
          <w:rStyle w:val="kursiv"/>
        </w:rPr>
        <w:t>«Stortinget ber regjeringen i inneværende stortingsperiode legge fram tiltak og forslag til lovendringer for å øke omfanget av antallet inndragninger og gjøre det enklere for politiet å inndra verdier som er tilegnet gjennom kriminelle handlinger, både gjennom sivilrettslig inndragning og i straffesaker.»</w:t>
      </w:r>
    </w:p>
    <w:p w14:paraId="529C830D" w14:textId="77777777" w:rsidR="00F7113A" w:rsidRPr="00580C0D" w:rsidRDefault="00142E5B" w:rsidP="00580C0D">
      <w:r w:rsidRPr="00580C0D">
        <w:t xml:space="preserve">Dokumenta som ligg til grunn for vedtaket, er Dokument 8:115 S (2019–2020) og </w:t>
      </w:r>
      <w:proofErr w:type="spellStart"/>
      <w:r w:rsidRPr="00580C0D">
        <w:t>Innst</w:t>
      </w:r>
      <w:proofErr w:type="spellEnd"/>
      <w:r w:rsidRPr="00580C0D">
        <w:t xml:space="preserve">. 147 S (2020–2021) </w:t>
      </w:r>
      <w:proofErr w:type="spellStart"/>
      <w:r w:rsidRPr="00580C0D">
        <w:t>frå</w:t>
      </w:r>
      <w:proofErr w:type="spellEnd"/>
      <w:r w:rsidRPr="00580C0D">
        <w:t xml:space="preserve"> justiskomiteen.</w:t>
      </w:r>
    </w:p>
    <w:p w14:paraId="595C6E33" w14:textId="77777777" w:rsidR="00F7113A" w:rsidRPr="00580C0D" w:rsidRDefault="00142E5B" w:rsidP="00580C0D">
      <w:r w:rsidRPr="00580C0D">
        <w:t xml:space="preserve">Vedtaket er under behandling. Regjeringa Solberg fremma 24. september 2021 ei </w:t>
      </w:r>
      <w:proofErr w:type="spellStart"/>
      <w:r w:rsidRPr="00580C0D">
        <w:t>rekkje</w:t>
      </w:r>
      <w:proofErr w:type="spellEnd"/>
      <w:r w:rsidRPr="00580C0D">
        <w:t xml:space="preserve"> forslag til </w:t>
      </w:r>
      <w:proofErr w:type="spellStart"/>
      <w:r w:rsidRPr="00580C0D">
        <w:t>endringar</w:t>
      </w:r>
      <w:proofErr w:type="spellEnd"/>
      <w:r w:rsidRPr="00580C0D">
        <w:t xml:space="preserve"> som bidrar til </w:t>
      </w:r>
      <w:proofErr w:type="spellStart"/>
      <w:r w:rsidRPr="00580C0D">
        <w:t>eit</w:t>
      </w:r>
      <w:proofErr w:type="spellEnd"/>
      <w:r w:rsidRPr="00580C0D">
        <w:t xml:space="preserve"> </w:t>
      </w:r>
      <w:proofErr w:type="spellStart"/>
      <w:r w:rsidRPr="00580C0D">
        <w:t>meir</w:t>
      </w:r>
      <w:proofErr w:type="spellEnd"/>
      <w:r w:rsidRPr="00580C0D">
        <w:t xml:space="preserve"> effektivt og pedagogisk regelverk om </w:t>
      </w:r>
      <w:proofErr w:type="spellStart"/>
      <w:r w:rsidRPr="00580C0D">
        <w:t>inndraging</w:t>
      </w:r>
      <w:proofErr w:type="spellEnd"/>
      <w:r w:rsidRPr="00580C0D">
        <w:t xml:space="preserve">, sjå </w:t>
      </w:r>
      <w:proofErr w:type="spellStart"/>
      <w:r w:rsidRPr="00580C0D">
        <w:t>Prop</w:t>
      </w:r>
      <w:proofErr w:type="spellEnd"/>
      <w:r w:rsidRPr="00580C0D">
        <w:t xml:space="preserve">. 241 L (2020–2021). Forslaga vart </w:t>
      </w:r>
      <w:proofErr w:type="spellStart"/>
      <w:r w:rsidRPr="00580C0D">
        <w:t>vedtekne</w:t>
      </w:r>
      <w:proofErr w:type="spellEnd"/>
      <w:r w:rsidRPr="00580C0D">
        <w:t xml:space="preserve"> av Stortinget i april 2022, jf. lov 8. april 2022 nr. 22, og tredde i kraft 1. juli 2022. Forslaga </w:t>
      </w:r>
      <w:proofErr w:type="spellStart"/>
      <w:r w:rsidRPr="00580C0D">
        <w:t>følgde</w:t>
      </w:r>
      <w:proofErr w:type="spellEnd"/>
      <w:r w:rsidRPr="00580C0D">
        <w:t xml:space="preserve"> opp </w:t>
      </w:r>
      <w:proofErr w:type="spellStart"/>
      <w:r w:rsidRPr="00580C0D">
        <w:t>delar</w:t>
      </w:r>
      <w:proofErr w:type="spellEnd"/>
      <w:r w:rsidRPr="00580C0D">
        <w:t xml:space="preserve"> av Straffelovrådet si utgreiing, NOU 2020: 10. Årsaka til at </w:t>
      </w:r>
      <w:proofErr w:type="spellStart"/>
      <w:r w:rsidRPr="00580C0D">
        <w:t>ikkje</w:t>
      </w:r>
      <w:proofErr w:type="spellEnd"/>
      <w:r w:rsidRPr="00580C0D">
        <w:t xml:space="preserve"> alle forslaga i NOU 2020: 10 vart </w:t>
      </w:r>
      <w:proofErr w:type="spellStart"/>
      <w:r w:rsidRPr="00580C0D">
        <w:t>følgde</w:t>
      </w:r>
      <w:proofErr w:type="spellEnd"/>
      <w:r w:rsidRPr="00580C0D">
        <w:t xml:space="preserve"> opp, var at </w:t>
      </w:r>
      <w:proofErr w:type="spellStart"/>
      <w:r w:rsidRPr="00580C0D">
        <w:t>fleire</w:t>
      </w:r>
      <w:proofErr w:type="spellEnd"/>
      <w:r w:rsidRPr="00580C0D">
        <w:t xml:space="preserve"> av forslaga har nær </w:t>
      </w:r>
      <w:proofErr w:type="spellStart"/>
      <w:r w:rsidRPr="00580C0D">
        <w:t>samanheng</w:t>
      </w:r>
      <w:proofErr w:type="spellEnd"/>
      <w:r w:rsidRPr="00580C0D">
        <w:t xml:space="preserve"> med ei tilleggsutgreiing som Straffelovrådet leverte 25. mai 2021, med </w:t>
      </w:r>
      <w:proofErr w:type="spellStart"/>
      <w:r w:rsidRPr="00580C0D">
        <w:t>høyringsfrist</w:t>
      </w:r>
      <w:proofErr w:type="spellEnd"/>
      <w:r w:rsidRPr="00580C0D">
        <w:t xml:space="preserve"> 25. oktober 2021. Regjeringa vil </w:t>
      </w:r>
      <w:proofErr w:type="spellStart"/>
      <w:r w:rsidRPr="00580C0D">
        <w:t>innan</w:t>
      </w:r>
      <w:proofErr w:type="spellEnd"/>
      <w:r w:rsidRPr="00580C0D">
        <w:t xml:space="preserve"> utgangen av 2023 </w:t>
      </w:r>
      <w:proofErr w:type="spellStart"/>
      <w:r w:rsidRPr="00580C0D">
        <w:t>leggje</w:t>
      </w:r>
      <w:proofErr w:type="spellEnd"/>
      <w:r w:rsidRPr="00580C0D">
        <w:t xml:space="preserve"> fram ei stortingsmelding om økonomisk kriminalitet. I arbeidet med stortingsmeldinga inngår ei vurdering av korleis </w:t>
      </w:r>
      <w:proofErr w:type="spellStart"/>
      <w:r w:rsidRPr="00580C0D">
        <w:t>ein</w:t>
      </w:r>
      <w:proofErr w:type="spellEnd"/>
      <w:r w:rsidRPr="00580C0D">
        <w:t xml:space="preserve"> kan sikre </w:t>
      </w:r>
      <w:proofErr w:type="spellStart"/>
      <w:r w:rsidRPr="00580C0D">
        <w:t>meir</w:t>
      </w:r>
      <w:proofErr w:type="spellEnd"/>
      <w:r w:rsidRPr="00580C0D">
        <w:t xml:space="preserve"> effektiv </w:t>
      </w:r>
      <w:proofErr w:type="spellStart"/>
      <w:r w:rsidRPr="00580C0D">
        <w:t>inndraging</w:t>
      </w:r>
      <w:proofErr w:type="spellEnd"/>
      <w:r w:rsidRPr="00580C0D">
        <w:t xml:space="preserve"> av </w:t>
      </w:r>
      <w:proofErr w:type="spellStart"/>
      <w:r w:rsidRPr="00580C0D">
        <w:t>verdiar</w:t>
      </w:r>
      <w:proofErr w:type="spellEnd"/>
      <w:r w:rsidRPr="00580C0D">
        <w:t xml:space="preserve"> </w:t>
      </w:r>
      <w:proofErr w:type="spellStart"/>
      <w:r w:rsidRPr="00580C0D">
        <w:t>frå</w:t>
      </w:r>
      <w:proofErr w:type="spellEnd"/>
      <w:r w:rsidRPr="00580C0D">
        <w:t xml:space="preserve"> kriminelle </w:t>
      </w:r>
      <w:proofErr w:type="spellStart"/>
      <w:r w:rsidRPr="00580C0D">
        <w:t>handlingar</w:t>
      </w:r>
      <w:proofErr w:type="spellEnd"/>
      <w:r w:rsidRPr="00580C0D">
        <w:t xml:space="preserve">, </w:t>
      </w:r>
      <w:proofErr w:type="spellStart"/>
      <w:r w:rsidRPr="00580C0D">
        <w:t>irekna</w:t>
      </w:r>
      <w:proofErr w:type="spellEnd"/>
      <w:r w:rsidRPr="00580C0D">
        <w:t xml:space="preserve"> behovet for </w:t>
      </w:r>
      <w:proofErr w:type="spellStart"/>
      <w:r w:rsidRPr="00580C0D">
        <w:t>endringar</w:t>
      </w:r>
      <w:proofErr w:type="spellEnd"/>
      <w:r w:rsidRPr="00580C0D">
        <w:t xml:space="preserve"> i lovverket.</w:t>
      </w:r>
    </w:p>
    <w:p w14:paraId="49FC8A9F" w14:textId="77777777" w:rsidR="00F7113A" w:rsidRPr="00580C0D" w:rsidRDefault="00142E5B" w:rsidP="00580C0D">
      <w:pPr>
        <w:pStyle w:val="avsnitt-tittel"/>
      </w:pPr>
      <w:r w:rsidRPr="00580C0D">
        <w:t xml:space="preserve">Besøks- og </w:t>
      </w:r>
      <w:proofErr w:type="spellStart"/>
      <w:r w:rsidRPr="00580C0D">
        <w:t>opphaldsforbod</w:t>
      </w:r>
      <w:proofErr w:type="spellEnd"/>
    </w:p>
    <w:p w14:paraId="785EC568" w14:textId="77777777" w:rsidR="00F7113A" w:rsidRPr="00580C0D" w:rsidRDefault="00142E5B" w:rsidP="00580C0D">
      <w:pPr>
        <w:pStyle w:val="avsnitt-undertittel"/>
      </w:pPr>
      <w:r w:rsidRPr="00580C0D">
        <w:t>Vedtak nr. 447, 18. desember 2020</w:t>
      </w:r>
    </w:p>
    <w:p w14:paraId="66C82A34" w14:textId="77777777" w:rsidR="00F7113A" w:rsidRPr="00580C0D" w:rsidRDefault="00142E5B" w:rsidP="00580C0D">
      <w:pPr>
        <w:pStyle w:val="blokksit"/>
        <w:rPr>
          <w:rStyle w:val="kursiv"/>
        </w:rPr>
      </w:pPr>
      <w:r w:rsidRPr="00580C0D">
        <w:rPr>
          <w:rStyle w:val="kursiv"/>
        </w:rPr>
        <w:t xml:space="preserve">«Stortinget ber regjeringen foreslå å endre straffeprosesslovens bestemmelser om besøks- og </w:t>
      </w:r>
      <w:proofErr w:type="spellStart"/>
      <w:r w:rsidRPr="00580C0D">
        <w:rPr>
          <w:rStyle w:val="kursiv"/>
        </w:rPr>
        <w:t>oppholdsforbud</w:t>
      </w:r>
      <w:proofErr w:type="spellEnd"/>
      <w:r w:rsidRPr="00580C0D">
        <w:rPr>
          <w:rStyle w:val="kursiv"/>
        </w:rPr>
        <w:t>, slik at de som begår kriminalitet i bestemte områder, kan nektes å oppholde seg i en større omkrets og i et betydelig tidsrom, samt vurdere bruk av elektronisk kontroll for å håndheve dette.»</w:t>
      </w:r>
    </w:p>
    <w:p w14:paraId="2807FDCF" w14:textId="77777777" w:rsidR="00F7113A" w:rsidRPr="00580C0D" w:rsidRDefault="00142E5B" w:rsidP="00580C0D">
      <w:r w:rsidRPr="00580C0D">
        <w:t xml:space="preserve">Dokumenta som ligg til grunn for vedtaket, er Dokument 8:115 S (2019–2020) og </w:t>
      </w:r>
      <w:proofErr w:type="spellStart"/>
      <w:r w:rsidRPr="00580C0D">
        <w:t>Innst</w:t>
      </w:r>
      <w:proofErr w:type="spellEnd"/>
      <w:r w:rsidRPr="00580C0D">
        <w:t xml:space="preserve">. 147 S (2020–2021) </w:t>
      </w:r>
      <w:proofErr w:type="spellStart"/>
      <w:r w:rsidRPr="00580C0D">
        <w:t>frå</w:t>
      </w:r>
      <w:proofErr w:type="spellEnd"/>
      <w:r w:rsidRPr="00580C0D">
        <w:t xml:space="preserve"> justiskomiteen.</w:t>
      </w:r>
    </w:p>
    <w:p w14:paraId="55A0BDC6" w14:textId="77777777" w:rsidR="00F7113A" w:rsidRPr="00580C0D" w:rsidRDefault="00142E5B" w:rsidP="00580C0D">
      <w:r w:rsidRPr="00580C0D">
        <w:t xml:space="preserve">Vedtaket er </w:t>
      </w:r>
      <w:proofErr w:type="spellStart"/>
      <w:r w:rsidRPr="00580C0D">
        <w:t>følgt</w:t>
      </w:r>
      <w:proofErr w:type="spellEnd"/>
      <w:r w:rsidRPr="00580C0D">
        <w:t xml:space="preserve"> opp i </w:t>
      </w:r>
      <w:proofErr w:type="spellStart"/>
      <w:r w:rsidRPr="00580C0D">
        <w:t>Prop</w:t>
      </w:r>
      <w:proofErr w:type="spellEnd"/>
      <w:r w:rsidRPr="00580C0D">
        <w:t xml:space="preserve">. 128 L (2022–2023). I proposisjonen </w:t>
      </w:r>
      <w:proofErr w:type="spellStart"/>
      <w:r w:rsidRPr="00580C0D">
        <w:t>drøftar</w:t>
      </w:r>
      <w:proofErr w:type="spellEnd"/>
      <w:r w:rsidRPr="00580C0D">
        <w:t xml:space="preserve"> departementet om </w:t>
      </w:r>
      <w:proofErr w:type="spellStart"/>
      <w:r w:rsidRPr="00580C0D">
        <w:t>reglane</w:t>
      </w:r>
      <w:proofErr w:type="spellEnd"/>
      <w:r w:rsidRPr="00580C0D">
        <w:t xml:space="preserve"> for </w:t>
      </w:r>
      <w:proofErr w:type="spellStart"/>
      <w:r w:rsidRPr="00580C0D">
        <w:t>besøksforbod</w:t>
      </w:r>
      <w:proofErr w:type="spellEnd"/>
      <w:r w:rsidRPr="00580C0D">
        <w:t xml:space="preserve"> bør </w:t>
      </w:r>
      <w:proofErr w:type="spellStart"/>
      <w:r w:rsidRPr="00580C0D">
        <w:t>endrast</w:t>
      </w:r>
      <w:proofErr w:type="spellEnd"/>
      <w:r w:rsidRPr="00580C0D">
        <w:t xml:space="preserve">, men det blir konkludert med at dagens </w:t>
      </w:r>
      <w:proofErr w:type="spellStart"/>
      <w:r w:rsidRPr="00580C0D">
        <w:t>reglar</w:t>
      </w:r>
      <w:proofErr w:type="spellEnd"/>
      <w:r w:rsidRPr="00580C0D">
        <w:t xml:space="preserve"> </w:t>
      </w:r>
      <w:proofErr w:type="spellStart"/>
      <w:r w:rsidRPr="00580C0D">
        <w:t>allereie</w:t>
      </w:r>
      <w:proofErr w:type="spellEnd"/>
      <w:r w:rsidRPr="00580C0D">
        <w:t xml:space="preserve"> </w:t>
      </w:r>
      <w:proofErr w:type="spellStart"/>
      <w:r w:rsidRPr="00580C0D">
        <w:t>opnar</w:t>
      </w:r>
      <w:proofErr w:type="spellEnd"/>
      <w:r w:rsidRPr="00580C0D">
        <w:t xml:space="preserve"> for </w:t>
      </w:r>
      <w:proofErr w:type="spellStart"/>
      <w:r w:rsidRPr="00580C0D">
        <w:t>besøksforbod</w:t>
      </w:r>
      <w:proofErr w:type="spellEnd"/>
      <w:r w:rsidRPr="00580C0D">
        <w:t xml:space="preserve"> over </w:t>
      </w:r>
      <w:proofErr w:type="spellStart"/>
      <w:r w:rsidRPr="00580C0D">
        <w:t>omfattande</w:t>
      </w:r>
      <w:proofErr w:type="spellEnd"/>
      <w:r w:rsidRPr="00580C0D">
        <w:t xml:space="preserve"> areal og over </w:t>
      </w:r>
      <w:proofErr w:type="spellStart"/>
      <w:r w:rsidRPr="00580C0D">
        <w:t>betydelege</w:t>
      </w:r>
      <w:proofErr w:type="spellEnd"/>
      <w:r w:rsidRPr="00580C0D">
        <w:t xml:space="preserve"> tidsrom. Samstundes foreslår departementet </w:t>
      </w:r>
      <w:proofErr w:type="spellStart"/>
      <w:r w:rsidRPr="00580C0D">
        <w:t>endringar</w:t>
      </w:r>
      <w:proofErr w:type="spellEnd"/>
      <w:r w:rsidRPr="00580C0D">
        <w:t xml:space="preserve"> i straffeprosesslova m.m. for å innføre ei ordning med elektronisk kontroll for å handheve slike </w:t>
      </w:r>
      <w:proofErr w:type="spellStart"/>
      <w:r w:rsidRPr="00580C0D">
        <w:t>besøksforbod</w:t>
      </w:r>
      <w:proofErr w:type="spellEnd"/>
      <w:r w:rsidRPr="00580C0D">
        <w:t>. Sjå òg omtale av vedtak nr. 630 og 631, 25. april 2017, vedtak nr. 1043, 20. juni 2017, i tillegg til vedtak nr. 583, 30. mai 2022.</w:t>
      </w:r>
    </w:p>
    <w:p w14:paraId="129D2B07" w14:textId="77777777" w:rsidR="00F7113A" w:rsidRPr="00580C0D" w:rsidRDefault="00142E5B" w:rsidP="00580C0D">
      <w:pPr>
        <w:pStyle w:val="avsnitt-tittel"/>
      </w:pPr>
      <w:r w:rsidRPr="00580C0D">
        <w:t>Fornyingsordning for barneomsorgsattest</w:t>
      </w:r>
    </w:p>
    <w:p w14:paraId="328853B5" w14:textId="77777777" w:rsidR="00F7113A" w:rsidRPr="00580C0D" w:rsidRDefault="00142E5B" w:rsidP="00580C0D">
      <w:pPr>
        <w:pStyle w:val="avsnitt-undertittel"/>
      </w:pPr>
      <w:r w:rsidRPr="00580C0D">
        <w:t>Vedtak nr. 627, 18. februar 2021</w:t>
      </w:r>
    </w:p>
    <w:p w14:paraId="33000804" w14:textId="77777777" w:rsidR="00F7113A" w:rsidRPr="00580C0D" w:rsidRDefault="00142E5B" w:rsidP="00580C0D">
      <w:pPr>
        <w:pStyle w:val="blokksit"/>
        <w:rPr>
          <w:rStyle w:val="kursiv"/>
        </w:rPr>
      </w:pPr>
      <w:r w:rsidRPr="00580C0D">
        <w:rPr>
          <w:rStyle w:val="kursiv"/>
        </w:rPr>
        <w:t>«Stortinget ber regjeringen komme tilbake til Stortinget med en sak om å gjeninnføre en fornyelsesordning for barneomsorgsattest.»</w:t>
      </w:r>
    </w:p>
    <w:p w14:paraId="23406350" w14:textId="77777777" w:rsidR="00F7113A" w:rsidRPr="00580C0D" w:rsidRDefault="00142E5B" w:rsidP="00580C0D">
      <w:r w:rsidRPr="00580C0D">
        <w:t xml:space="preserve">Dokumenta som ligg til grunn for vedtaket, er Dokument 8:136 (2019–2020) og </w:t>
      </w:r>
      <w:proofErr w:type="spellStart"/>
      <w:r w:rsidRPr="00580C0D">
        <w:t>Innst</w:t>
      </w:r>
      <w:proofErr w:type="spellEnd"/>
      <w:r w:rsidRPr="00580C0D">
        <w:t xml:space="preserve">. 210 S (2020–2021) </w:t>
      </w:r>
      <w:proofErr w:type="spellStart"/>
      <w:r w:rsidRPr="00580C0D">
        <w:t>frå</w:t>
      </w:r>
      <w:proofErr w:type="spellEnd"/>
      <w:r w:rsidRPr="00580C0D">
        <w:t xml:space="preserve"> justiskomiteen.</w:t>
      </w:r>
    </w:p>
    <w:p w14:paraId="782EB014" w14:textId="77777777" w:rsidR="00F7113A" w:rsidRPr="00580C0D" w:rsidRDefault="00142E5B" w:rsidP="00580C0D">
      <w:r w:rsidRPr="00580C0D">
        <w:t xml:space="preserve">Vedtaket er under behandling. Politidirektoratet har fått i oppdrag å greie ut </w:t>
      </w:r>
      <w:proofErr w:type="spellStart"/>
      <w:r w:rsidRPr="00580C0D">
        <w:t>dei</w:t>
      </w:r>
      <w:proofErr w:type="spellEnd"/>
      <w:r w:rsidRPr="00580C0D">
        <w:t xml:space="preserve"> økonomiske og administrative </w:t>
      </w:r>
      <w:proofErr w:type="spellStart"/>
      <w:r w:rsidRPr="00580C0D">
        <w:t>konsekvensane</w:t>
      </w:r>
      <w:proofErr w:type="spellEnd"/>
      <w:r w:rsidRPr="00580C0D">
        <w:t xml:space="preserve"> ved å innføre ei fornyingsordning for </w:t>
      </w:r>
      <w:proofErr w:type="spellStart"/>
      <w:r w:rsidRPr="00580C0D">
        <w:t>politiattestar</w:t>
      </w:r>
      <w:proofErr w:type="spellEnd"/>
      <w:r w:rsidRPr="00580C0D">
        <w:t xml:space="preserve"> generelt og for </w:t>
      </w:r>
      <w:proofErr w:type="spellStart"/>
      <w:r w:rsidRPr="00580C0D">
        <w:t>barneomsorgsattestar</w:t>
      </w:r>
      <w:proofErr w:type="spellEnd"/>
      <w:r w:rsidRPr="00580C0D">
        <w:t xml:space="preserve"> spesielt. Departementet vurderer behovet for </w:t>
      </w:r>
      <w:proofErr w:type="spellStart"/>
      <w:r w:rsidRPr="00580C0D">
        <w:t>regelendringar</w:t>
      </w:r>
      <w:proofErr w:type="spellEnd"/>
      <w:r w:rsidRPr="00580C0D">
        <w:t xml:space="preserve"> og eventuelle andre tiltak. Sjå òg omtale under vedtak nr. 628, 18. februar 2021.</w:t>
      </w:r>
    </w:p>
    <w:p w14:paraId="3225DC10" w14:textId="77777777" w:rsidR="00F7113A" w:rsidRPr="00580C0D" w:rsidRDefault="00142E5B" w:rsidP="00580C0D">
      <w:pPr>
        <w:pStyle w:val="avsnitt-tittel"/>
      </w:pPr>
      <w:r w:rsidRPr="00580C0D">
        <w:t>Gjennomgang av barneomsorgsattestordninga</w:t>
      </w:r>
    </w:p>
    <w:p w14:paraId="717821C2" w14:textId="77777777" w:rsidR="00F7113A" w:rsidRPr="00580C0D" w:rsidRDefault="00142E5B" w:rsidP="00580C0D">
      <w:pPr>
        <w:pStyle w:val="avsnitt-undertittel"/>
      </w:pPr>
      <w:r w:rsidRPr="00580C0D">
        <w:t>Vedtak nr. 628, 18. februar 2021</w:t>
      </w:r>
    </w:p>
    <w:p w14:paraId="28B4086A" w14:textId="77777777" w:rsidR="00F7113A" w:rsidRPr="00580C0D" w:rsidRDefault="00142E5B" w:rsidP="00580C0D">
      <w:pPr>
        <w:pStyle w:val="blokksit"/>
        <w:rPr>
          <w:rStyle w:val="kursiv"/>
        </w:rPr>
      </w:pPr>
      <w:r w:rsidRPr="00580C0D">
        <w:rPr>
          <w:rStyle w:val="kursiv"/>
        </w:rPr>
        <w:t>«Stortinget ber regjeringen foreta en gjennomgang av barneomsorgsattestordningen, som også innbefatter en utredning av digitale forenklingsmuligheter, en vurdering av muligheten for informasjonsdeling av gjeldende lovbrudd i andre land og en vurdering av om straffeloven § 272 og § 273 skal være en del av politiattesten.»</w:t>
      </w:r>
    </w:p>
    <w:p w14:paraId="1DB38494" w14:textId="77777777" w:rsidR="00F7113A" w:rsidRPr="00580C0D" w:rsidRDefault="00142E5B" w:rsidP="00580C0D">
      <w:r w:rsidRPr="00580C0D">
        <w:t xml:space="preserve">Dokumenta som ligg til grunn for vedtaket, er Dokument 8:136 (2019–2020) og </w:t>
      </w:r>
      <w:proofErr w:type="spellStart"/>
      <w:r w:rsidRPr="00580C0D">
        <w:t>Innst</w:t>
      </w:r>
      <w:proofErr w:type="spellEnd"/>
      <w:r w:rsidRPr="00580C0D">
        <w:t xml:space="preserve">. 210 S (2020–2021) </w:t>
      </w:r>
      <w:proofErr w:type="spellStart"/>
      <w:r w:rsidRPr="00580C0D">
        <w:t>frå</w:t>
      </w:r>
      <w:proofErr w:type="spellEnd"/>
      <w:r w:rsidRPr="00580C0D">
        <w:t xml:space="preserve"> justiskomiteen.</w:t>
      </w:r>
    </w:p>
    <w:p w14:paraId="0AF1F2D7" w14:textId="77777777" w:rsidR="00F7113A" w:rsidRPr="00580C0D" w:rsidRDefault="00142E5B" w:rsidP="00580C0D">
      <w:r w:rsidRPr="00580C0D">
        <w:t xml:space="preserve">Vedtaket er under behandling. Departementet arbeider med </w:t>
      </w:r>
      <w:proofErr w:type="spellStart"/>
      <w:r w:rsidRPr="00580C0D">
        <w:t>ein</w:t>
      </w:r>
      <w:proofErr w:type="spellEnd"/>
      <w:r w:rsidRPr="00580C0D">
        <w:t xml:space="preserve"> gjennomgang av barneomsorgsattestordninga. Politidirektoratet har fått i oppdrag å greie ut om digitale </w:t>
      </w:r>
      <w:proofErr w:type="spellStart"/>
      <w:r w:rsidRPr="00580C0D">
        <w:t>forenklingsmoglegheiter</w:t>
      </w:r>
      <w:proofErr w:type="spellEnd"/>
      <w:r w:rsidRPr="00580C0D">
        <w:t xml:space="preserve">. Departementet vurderer, i samråd med andre involverte departement, behovet for å utvide barneomsorgsattesten til å gi merknader om </w:t>
      </w:r>
      <w:proofErr w:type="spellStart"/>
      <w:r w:rsidRPr="00580C0D">
        <w:t>fleire</w:t>
      </w:r>
      <w:proofErr w:type="spellEnd"/>
      <w:r w:rsidRPr="00580C0D">
        <w:t xml:space="preserve"> </w:t>
      </w:r>
      <w:proofErr w:type="spellStart"/>
      <w:r w:rsidRPr="00580C0D">
        <w:t>straffebod</w:t>
      </w:r>
      <w:proofErr w:type="spellEnd"/>
      <w:r w:rsidRPr="00580C0D">
        <w:t>. Sjå òg omtale under vedtak nr. 627, 18. februar 2021.</w:t>
      </w:r>
    </w:p>
    <w:p w14:paraId="7EFDEA1C" w14:textId="77777777" w:rsidR="00F7113A" w:rsidRPr="00580C0D" w:rsidRDefault="00142E5B" w:rsidP="00580C0D">
      <w:pPr>
        <w:pStyle w:val="avsnitt-tittel"/>
      </w:pPr>
      <w:r w:rsidRPr="00580C0D">
        <w:t>Nasjonalt våpenregister</w:t>
      </w:r>
    </w:p>
    <w:p w14:paraId="6E0B235D" w14:textId="77777777" w:rsidR="00F7113A" w:rsidRPr="00580C0D" w:rsidRDefault="00142E5B" w:rsidP="00580C0D">
      <w:pPr>
        <w:pStyle w:val="avsnitt-undertittel"/>
      </w:pPr>
      <w:r w:rsidRPr="00580C0D">
        <w:t>Vedtak nr. 681, 25. februar 2021</w:t>
      </w:r>
    </w:p>
    <w:p w14:paraId="3C5895E8" w14:textId="77777777" w:rsidR="00F7113A" w:rsidRPr="00580C0D" w:rsidRDefault="00142E5B" w:rsidP="00580C0D">
      <w:pPr>
        <w:pStyle w:val="blokksit"/>
        <w:rPr>
          <w:rStyle w:val="kursiv"/>
        </w:rPr>
      </w:pPr>
      <w:r w:rsidRPr="00580C0D">
        <w:rPr>
          <w:rStyle w:val="kursiv"/>
        </w:rPr>
        <w:t>«Stortinget ber regjeringen opprette et nasjonalt våpenregister som legges til Brønnøysundregistrene og til Nordland politidistrikt med forvaltning i Mosjøen.»</w:t>
      </w:r>
    </w:p>
    <w:p w14:paraId="2D7BA725" w14:textId="77777777" w:rsidR="00F7113A" w:rsidRPr="00580C0D" w:rsidRDefault="00142E5B" w:rsidP="00580C0D">
      <w:r w:rsidRPr="00580C0D">
        <w:t xml:space="preserve">Dokumenta som ligg til grunn for vedtaket, er Meld. St. 29. (2019–2020) og </w:t>
      </w:r>
      <w:proofErr w:type="spellStart"/>
      <w:r w:rsidRPr="00580C0D">
        <w:t>Innst</w:t>
      </w:r>
      <w:proofErr w:type="spellEnd"/>
      <w:r w:rsidRPr="00580C0D">
        <w:t xml:space="preserve">. 248 S (2020–2021) </w:t>
      </w:r>
      <w:proofErr w:type="spellStart"/>
      <w:r w:rsidRPr="00580C0D">
        <w:t>frå</w:t>
      </w:r>
      <w:proofErr w:type="spellEnd"/>
      <w:r w:rsidRPr="00580C0D">
        <w:t xml:space="preserve"> justiskomiteen.</w:t>
      </w:r>
    </w:p>
    <w:p w14:paraId="7BC80351" w14:textId="77777777" w:rsidR="00F7113A" w:rsidRPr="00580C0D" w:rsidRDefault="00142E5B" w:rsidP="00580C0D">
      <w:r w:rsidRPr="00580C0D">
        <w:t xml:space="preserve">Vedtaket er under behandling. Politidirektoratet har fått i oppdrag å </w:t>
      </w:r>
      <w:proofErr w:type="spellStart"/>
      <w:r w:rsidRPr="00580C0D">
        <w:t>setje</w:t>
      </w:r>
      <w:proofErr w:type="spellEnd"/>
      <w:r w:rsidRPr="00580C0D">
        <w:t xml:space="preserve"> i gang </w:t>
      </w:r>
      <w:proofErr w:type="spellStart"/>
      <w:r w:rsidRPr="00580C0D">
        <w:t>eit</w:t>
      </w:r>
      <w:proofErr w:type="spellEnd"/>
      <w:r w:rsidRPr="00580C0D">
        <w:t xml:space="preserve"> prosjekt for ny digital våpenforvaltning der dette oppmodingsvedtaket blir </w:t>
      </w:r>
      <w:proofErr w:type="spellStart"/>
      <w:r w:rsidRPr="00580C0D">
        <w:t>teke</w:t>
      </w:r>
      <w:proofErr w:type="spellEnd"/>
      <w:r w:rsidRPr="00580C0D">
        <w:t xml:space="preserve"> omsyn til. Det er inngått avtale mellom Politidirektoratet og </w:t>
      </w:r>
      <w:proofErr w:type="spellStart"/>
      <w:r w:rsidRPr="00580C0D">
        <w:t>Brønnøysundregistera</w:t>
      </w:r>
      <w:proofErr w:type="spellEnd"/>
      <w:r w:rsidRPr="00580C0D">
        <w:t xml:space="preserve"> for å utvikle ei digital løysing. I september 2021 vart ei løysing for digital innsending av jaktvåpensøknader teken i bruk, og i mai 2023 vart ei ny løysing for automatisk behandling av jaktvåpensøknader teken i bruk i Nordland og Agder. Løysinga skal etter planen </w:t>
      </w:r>
      <w:proofErr w:type="spellStart"/>
      <w:r w:rsidRPr="00580C0D">
        <w:t>rullast</w:t>
      </w:r>
      <w:proofErr w:type="spellEnd"/>
      <w:r w:rsidRPr="00580C0D">
        <w:t xml:space="preserve"> ut til heile landet i løpet av 2023. Arbeidet med nytt nasjonalt våpenregister pågår, og Politidirektoratet har starta arbeidet med å etablere nytt nasjonalt våpenkontor i Mosjøen.</w:t>
      </w:r>
    </w:p>
    <w:p w14:paraId="43342234" w14:textId="77777777" w:rsidR="00F7113A" w:rsidRPr="00580C0D" w:rsidRDefault="00142E5B" w:rsidP="00580C0D">
      <w:r w:rsidRPr="00580C0D">
        <w:t>Jf. oppmodingsvedtak nr. 778, 23. mars 2021.</w:t>
      </w:r>
    </w:p>
    <w:p w14:paraId="4210EE65" w14:textId="77777777" w:rsidR="00F7113A" w:rsidRPr="00580C0D" w:rsidRDefault="00142E5B" w:rsidP="00580C0D">
      <w:pPr>
        <w:pStyle w:val="avsnitt-tittel"/>
      </w:pPr>
      <w:r w:rsidRPr="00580C0D">
        <w:t xml:space="preserve">Identitetsskjerming for </w:t>
      </w:r>
      <w:proofErr w:type="spellStart"/>
      <w:r w:rsidRPr="00580C0D">
        <w:t>polititilsette</w:t>
      </w:r>
      <w:proofErr w:type="spellEnd"/>
    </w:p>
    <w:p w14:paraId="1E9679CD" w14:textId="77777777" w:rsidR="00F7113A" w:rsidRPr="00580C0D" w:rsidRDefault="00142E5B" w:rsidP="00580C0D">
      <w:pPr>
        <w:pStyle w:val="avsnitt-undertittel"/>
      </w:pPr>
      <w:r w:rsidRPr="00580C0D">
        <w:t>Vedtak nr. 682, 25. februar 2021</w:t>
      </w:r>
    </w:p>
    <w:p w14:paraId="0DCB7089" w14:textId="77777777" w:rsidR="00F7113A" w:rsidRPr="00580C0D" w:rsidRDefault="00142E5B" w:rsidP="00580C0D">
      <w:pPr>
        <w:pStyle w:val="blokksit"/>
        <w:rPr>
          <w:rStyle w:val="kursiv"/>
        </w:rPr>
      </w:pPr>
      <w:r w:rsidRPr="00580C0D">
        <w:rPr>
          <w:rStyle w:val="kursiv"/>
        </w:rPr>
        <w:t>«Stortinget ber regjeringen i forbindelse med forslag til ny straffeprosesslov sikre full identitetsskjerming for politiansatte.»</w:t>
      </w:r>
    </w:p>
    <w:p w14:paraId="50A9010C" w14:textId="77777777" w:rsidR="00F7113A" w:rsidRPr="00580C0D" w:rsidRDefault="00142E5B" w:rsidP="00580C0D">
      <w:r w:rsidRPr="00580C0D">
        <w:t xml:space="preserve">Dokumenta som ligg til grunn for vedtaket, er Meld. St. 29. (2019–2020) og </w:t>
      </w:r>
      <w:proofErr w:type="spellStart"/>
      <w:r w:rsidRPr="00580C0D">
        <w:t>Innst</w:t>
      </w:r>
      <w:proofErr w:type="spellEnd"/>
      <w:r w:rsidRPr="00580C0D">
        <w:t xml:space="preserve">. 248 S (2020–2021) </w:t>
      </w:r>
      <w:proofErr w:type="spellStart"/>
      <w:r w:rsidRPr="00580C0D">
        <w:t>frå</w:t>
      </w:r>
      <w:proofErr w:type="spellEnd"/>
      <w:r w:rsidRPr="00580C0D">
        <w:t xml:space="preserve"> justiskomiteen.</w:t>
      </w:r>
    </w:p>
    <w:p w14:paraId="7E9A1BEC" w14:textId="77777777" w:rsidR="00F7113A" w:rsidRPr="00580C0D" w:rsidRDefault="00142E5B" w:rsidP="00580C0D">
      <w:r w:rsidRPr="00580C0D">
        <w:t xml:space="preserve">Vedtaket er under behandling. Regjeringa har sett ned </w:t>
      </w:r>
      <w:proofErr w:type="spellStart"/>
      <w:r w:rsidRPr="00580C0D">
        <w:t>eit</w:t>
      </w:r>
      <w:proofErr w:type="spellEnd"/>
      <w:r w:rsidRPr="00580C0D">
        <w:t xml:space="preserve"> </w:t>
      </w:r>
      <w:proofErr w:type="spellStart"/>
      <w:r w:rsidRPr="00580C0D">
        <w:t>utval</w:t>
      </w:r>
      <w:proofErr w:type="spellEnd"/>
      <w:r w:rsidRPr="00580C0D">
        <w:t xml:space="preserve"> som skal sjå på om identiteten til </w:t>
      </w:r>
      <w:proofErr w:type="gramStart"/>
      <w:r w:rsidRPr="00580C0D">
        <w:t>tilsette</w:t>
      </w:r>
      <w:proofErr w:type="gramEnd"/>
      <w:r w:rsidRPr="00580C0D">
        <w:t xml:space="preserve"> i politiet og kriminalomsorga i større grad skal kunne </w:t>
      </w:r>
      <w:proofErr w:type="spellStart"/>
      <w:r w:rsidRPr="00580C0D">
        <w:t>skjermast</w:t>
      </w:r>
      <w:proofErr w:type="spellEnd"/>
      <w:r w:rsidRPr="00580C0D">
        <w:t xml:space="preserve">. Utgreiinga skal etter planen </w:t>
      </w:r>
      <w:proofErr w:type="spellStart"/>
      <w:r w:rsidRPr="00580C0D">
        <w:t>vere</w:t>
      </w:r>
      <w:proofErr w:type="spellEnd"/>
      <w:r w:rsidRPr="00580C0D">
        <w:t xml:space="preserve"> ferdig ved utgangen av januar 2024.</w:t>
      </w:r>
    </w:p>
    <w:p w14:paraId="792E2285" w14:textId="77777777" w:rsidR="00F7113A" w:rsidRPr="00580C0D" w:rsidRDefault="00142E5B" w:rsidP="00580C0D">
      <w:pPr>
        <w:pStyle w:val="avsnitt-tittel"/>
      </w:pPr>
      <w:r w:rsidRPr="00580C0D">
        <w:t>Straff for å tvinge barn til utlandet</w:t>
      </w:r>
    </w:p>
    <w:p w14:paraId="79EF36D5" w14:textId="77777777" w:rsidR="00F7113A" w:rsidRPr="00580C0D" w:rsidRDefault="00142E5B" w:rsidP="00580C0D">
      <w:pPr>
        <w:pStyle w:val="avsnitt-undertittel"/>
      </w:pPr>
      <w:r w:rsidRPr="00580C0D">
        <w:t>Vedtak nr. 712, 9. mars 2021</w:t>
      </w:r>
    </w:p>
    <w:p w14:paraId="69178695" w14:textId="77777777" w:rsidR="00F7113A" w:rsidRPr="00580C0D" w:rsidRDefault="00142E5B" w:rsidP="00580C0D">
      <w:pPr>
        <w:pStyle w:val="blokksit"/>
        <w:rPr>
          <w:rStyle w:val="kursiv"/>
        </w:rPr>
      </w:pPr>
      <w:r w:rsidRPr="00580C0D">
        <w:rPr>
          <w:rStyle w:val="kursiv"/>
        </w:rPr>
        <w:t xml:space="preserve">«Stortinget ber regjeringen utrede straffeforbudet mot </w:t>
      </w:r>
      <w:r w:rsidRPr="00580C0D">
        <w:t>frihetsberøvelse i situasjoner hvor barn vil bli, eller allerede er, sendt til utlandet mot sin vilje, og fremme forslag til lovendringer som sikrer at påtvungne utenlandsopphold kan straffes.»</w:t>
      </w:r>
    </w:p>
    <w:p w14:paraId="4692F00C" w14:textId="77777777" w:rsidR="00F7113A" w:rsidRPr="00580C0D" w:rsidRDefault="00142E5B" w:rsidP="00580C0D">
      <w:r w:rsidRPr="00580C0D">
        <w:t xml:space="preserve">Dokumenta som ligg til grunn for vedtaket, er Dokument 8:137 S (2019–2020) og </w:t>
      </w:r>
      <w:proofErr w:type="spellStart"/>
      <w:r w:rsidRPr="00580C0D">
        <w:t>Innst</w:t>
      </w:r>
      <w:proofErr w:type="spellEnd"/>
      <w:r w:rsidRPr="00580C0D">
        <w:t xml:space="preserve">. 269 S (2020–2021) </w:t>
      </w:r>
      <w:proofErr w:type="spellStart"/>
      <w:r w:rsidRPr="00580C0D">
        <w:t>frå</w:t>
      </w:r>
      <w:proofErr w:type="spellEnd"/>
      <w:r w:rsidRPr="00580C0D">
        <w:t xml:space="preserve"> familie- og kulturkomiteen.</w:t>
      </w:r>
    </w:p>
    <w:p w14:paraId="0E0FE81C" w14:textId="77777777" w:rsidR="00F7113A" w:rsidRPr="00580C0D" w:rsidRDefault="00142E5B" w:rsidP="00580C0D">
      <w:r w:rsidRPr="00580C0D">
        <w:t>Vedtaket er under behandling. Sjå òg omtale under vedtak nr. 788, 29. mai 2018.</w:t>
      </w:r>
    </w:p>
    <w:p w14:paraId="1348354B" w14:textId="77777777" w:rsidR="00F7113A" w:rsidRPr="00580C0D" w:rsidRDefault="00142E5B" w:rsidP="00580C0D">
      <w:pPr>
        <w:pStyle w:val="avsnitt-tittel"/>
      </w:pPr>
      <w:r w:rsidRPr="00580C0D">
        <w:t>Nasjonal langtidsplan for beredskap</w:t>
      </w:r>
    </w:p>
    <w:p w14:paraId="54313DC9" w14:textId="77777777" w:rsidR="00F7113A" w:rsidRPr="00580C0D" w:rsidRDefault="00142E5B" w:rsidP="00580C0D">
      <w:pPr>
        <w:pStyle w:val="avsnitt-undertittel"/>
      </w:pPr>
      <w:r w:rsidRPr="00580C0D">
        <w:t>Vedtak nr. 729, 11. mars 2021</w:t>
      </w:r>
    </w:p>
    <w:p w14:paraId="001C2310" w14:textId="77777777" w:rsidR="00F7113A" w:rsidRPr="00580C0D" w:rsidRDefault="00142E5B" w:rsidP="00580C0D">
      <w:pPr>
        <w:pStyle w:val="blokksit"/>
        <w:rPr>
          <w:rStyle w:val="kursiv"/>
        </w:rPr>
      </w:pPr>
      <w:r w:rsidRPr="00580C0D">
        <w:rPr>
          <w:rStyle w:val="kursiv"/>
        </w:rPr>
        <w:t>«Stortinget ber regjeringen innføre en nasjonal langtidsplan for beredskap, som ser beredskapsressursene nasjonalt og regionalt i en sammenheng og legger grunnlaget for konkrete planer for utbedringer.»</w:t>
      </w:r>
    </w:p>
    <w:p w14:paraId="5279C486" w14:textId="77777777" w:rsidR="00F7113A" w:rsidRPr="00580C0D" w:rsidRDefault="00142E5B" w:rsidP="00580C0D">
      <w:r w:rsidRPr="00580C0D">
        <w:t xml:space="preserve">Dokumenta som ligg til grunn for vedtaket, er Meld. St. 5 (2020–2021) og </w:t>
      </w:r>
      <w:proofErr w:type="spellStart"/>
      <w:r w:rsidRPr="00580C0D">
        <w:t>Innst</w:t>
      </w:r>
      <w:proofErr w:type="spellEnd"/>
      <w:r w:rsidRPr="00580C0D">
        <w:t xml:space="preserve">. 275 S (2020–2021) </w:t>
      </w:r>
      <w:proofErr w:type="spellStart"/>
      <w:r w:rsidRPr="00580C0D">
        <w:t>frå</w:t>
      </w:r>
      <w:proofErr w:type="spellEnd"/>
      <w:r w:rsidRPr="00580C0D">
        <w:t xml:space="preserve"> justiskomiteen.</w:t>
      </w:r>
    </w:p>
    <w:p w14:paraId="24752CDD" w14:textId="77777777" w:rsidR="00F7113A" w:rsidRPr="00580C0D" w:rsidRDefault="00142E5B" w:rsidP="00580C0D">
      <w:r w:rsidRPr="00580C0D">
        <w:t xml:space="preserve">Vedtaket er under behandling. Oppfølging av vedtaket vil bli vurdert i lys av arbeidet til totalberedskapskommisjonen. Kommisjonen vart nemnd opp i januar 2022 og leverte arbeidet sitt våren 2023. Rapporten er sendt på </w:t>
      </w:r>
      <w:proofErr w:type="spellStart"/>
      <w:r w:rsidRPr="00580C0D">
        <w:t>høyring</w:t>
      </w:r>
      <w:proofErr w:type="spellEnd"/>
      <w:r w:rsidRPr="00580C0D">
        <w:t xml:space="preserve">, og </w:t>
      </w:r>
      <w:proofErr w:type="spellStart"/>
      <w:r w:rsidRPr="00580C0D">
        <w:t>høyringsfristen</w:t>
      </w:r>
      <w:proofErr w:type="spellEnd"/>
      <w:r w:rsidRPr="00580C0D">
        <w:t xml:space="preserve"> er 15. oktober 2023.</w:t>
      </w:r>
    </w:p>
    <w:p w14:paraId="3E46D687" w14:textId="77777777" w:rsidR="00F7113A" w:rsidRPr="00580C0D" w:rsidRDefault="00142E5B" w:rsidP="00580C0D">
      <w:pPr>
        <w:pStyle w:val="avsnitt-tittel"/>
      </w:pPr>
      <w:proofErr w:type="spellStart"/>
      <w:r w:rsidRPr="00580C0D">
        <w:t>Totalberedskapsutval</w:t>
      </w:r>
      <w:proofErr w:type="spellEnd"/>
    </w:p>
    <w:p w14:paraId="3EA0D462" w14:textId="77777777" w:rsidR="00F7113A" w:rsidRPr="00580C0D" w:rsidRDefault="00142E5B" w:rsidP="00580C0D">
      <w:pPr>
        <w:pStyle w:val="avsnitt-undertittel"/>
      </w:pPr>
      <w:r w:rsidRPr="00580C0D">
        <w:t>Vedtak nr. 730, 11. mars 2021</w:t>
      </w:r>
    </w:p>
    <w:p w14:paraId="3B007730" w14:textId="77777777" w:rsidR="00F7113A" w:rsidRPr="00580C0D" w:rsidRDefault="00142E5B" w:rsidP="00580C0D">
      <w:pPr>
        <w:pStyle w:val="blokksit"/>
        <w:rPr>
          <w:rStyle w:val="kursiv"/>
        </w:rPr>
      </w:pPr>
      <w:r w:rsidRPr="00580C0D">
        <w:rPr>
          <w:rStyle w:val="kursiv"/>
        </w:rPr>
        <w:t>«Stortinget ber regjeringen etablere et fast totalberedskapsutvalg som rapporterer til regjeringen hvert år, slik at man sikrer koordinert ledelse overordnet og på tvers. Og helhetlige og koordinerte trusselvurderinger. Både beredskapsmyndigheter, samfunnets organisasjoner og næringsliv skal være representert i utvalget.»</w:t>
      </w:r>
    </w:p>
    <w:p w14:paraId="1BE94023" w14:textId="77777777" w:rsidR="00F7113A" w:rsidRPr="00580C0D" w:rsidRDefault="00142E5B" w:rsidP="00580C0D">
      <w:r w:rsidRPr="00580C0D">
        <w:t xml:space="preserve">Dokumenta som ligg til grunn for vedtaket, er Meld. St. 5 (2020–2021) og </w:t>
      </w:r>
      <w:proofErr w:type="spellStart"/>
      <w:r w:rsidRPr="00580C0D">
        <w:t>Innst</w:t>
      </w:r>
      <w:proofErr w:type="spellEnd"/>
      <w:r w:rsidRPr="00580C0D">
        <w:t xml:space="preserve">. 275 S (2020–2021) </w:t>
      </w:r>
      <w:proofErr w:type="spellStart"/>
      <w:r w:rsidRPr="00580C0D">
        <w:t>frå</w:t>
      </w:r>
      <w:proofErr w:type="spellEnd"/>
      <w:r w:rsidRPr="00580C0D">
        <w:t xml:space="preserve"> justiskomiteen.</w:t>
      </w:r>
    </w:p>
    <w:p w14:paraId="5E4E2E11" w14:textId="77777777" w:rsidR="00F7113A" w:rsidRPr="00580C0D" w:rsidRDefault="00142E5B" w:rsidP="00580C0D">
      <w:r w:rsidRPr="00580C0D">
        <w:t xml:space="preserve">Vedtaket er under behandling. Oppfølging av vedtaket vil bli vurdert i lys av arbeidet til totalberedskapskommisjonen. Kommisjonen vart nemnd opp i januar 2022 og leverte arbeidet sitt våren 2023. Rapporten er sendt på </w:t>
      </w:r>
      <w:proofErr w:type="spellStart"/>
      <w:r w:rsidRPr="00580C0D">
        <w:t>høyring</w:t>
      </w:r>
      <w:proofErr w:type="spellEnd"/>
      <w:r w:rsidRPr="00580C0D">
        <w:t xml:space="preserve">, og </w:t>
      </w:r>
      <w:proofErr w:type="spellStart"/>
      <w:r w:rsidRPr="00580C0D">
        <w:t>høyringsfristen</w:t>
      </w:r>
      <w:proofErr w:type="spellEnd"/>
      <w:r w:rsidRPr="00580C0D">
        <w:t xml:space="preserve"> er 15. oktober 2023.</w:t>
      </w:r>
    </w:p>
    <w:p w14:paraId="784A3A95" w14:textId="77777777" w:rsidR="00F7113A" w:rsidRPr="00580C0D" w:rsidRDefault="00142E5B" w:rsidP="00580C0D">
      <w:pPr>
        <w:pStyle w:val="avsnitt-tittel"/>
      </w:pPr>
      <w:r w:rsidRPr="00580C0D">
        <w:t xml:space="preserve">Nordisk samarbeid </w:t>
      </w:r>
      <w:proofErr w:type="spellStart"/>
      <w:r w:rsidRPr="00580C0D">
        <w:t>innan</w:t>
      </w:r>
      <w:proofErr w:type="spellEnd"/>
      <w:r w:rsidRPr="00580C0D">
        <w:t xml:space="preserve"> samfunnstryggleik</w:t>
      </w:r>
    </w:p>
    <w:p w14:paraId="52B6625C" w14:textId="77777777" w:rsidR="00F7113A" w:rsidRPr="00580C0D" w:rsidRDefault="00142E5B" w:rsidP="00580C0D">
      <w:pPr>
        <w:pStyle w:val="avsnitt-undertittel"/>
      </w:pPr>
      <w:r w:rsidRPr="00580C0D">
        <w:t>Vedtak nr. 739, 11. mars 2021</w:t>
      </w:r>
    </w:p>
    <w:p w14:paraId="39E8438E" w14:textId="77777777" w:rsidR="00F7113A" w:rsidRPr="00580C0D" w:rsidRDefault="00142E5B" w:rsidP="00580C0D">
      <w:pPr>
        <w:pStyle w:val="blokksit"/>
        <w:rPr>
          <w:rStyle w:val="kursiv"/>
        </w:rPr>
      </w:pPr>
      <w:r w:rsidRPr="00580C0D">
        <w:rPr>
          <w:rStyle w:val="kursiv"/>
        </w:rPr>
        <w:t>«Stortinget ber regjeringen komme tilbake til Stortinget med en vurdering av muligheten for tettere samarbeid med nordiske naboland knyttet til samfunnssikkerhet og beredskap, herunder felles sikkerhetsklarering, planverk på tvers av landegrensene og øvelser på tvers av landegrensene.»</w:t>
      </w:r>
    </w:p>
    <w:p w14:paraId="1E747A27" w14:textId="77777777" w:rsidR="00F7113A" w:rsidRPr="00580C0D" w:rsidRDefault="00142E5B" w:rsidP="00580C0D">
      <w:r w:rsidRPr="00580C0D">
        <w:t xml:space="preserve">Dokumenta som ligg til grunn for vedtaket, er Meld. St. 5 (2020–2021) og </w:t>
      </w:r>
      <w:proofErr w:type="spellStart"/>
      <w:r w:rsidRPr="00580C0D">
        <w:t>Innst</w:t>
      </w:r>
      <w:proofErr w:type="spellEnd"/>
      <w:r w:rsidRPr="00580C0D">
        <w:t xml:space="preserve">. 275 S (2020–2021) </w:t>
      </w:r>
      <w:proofErr w:type="spellStart"/>
      <w:r w:rsidRPr="00580C0D">
        <w:t>frå</w:t>
      </w:r>
      <w:proofErr w:type="spellEnd"/>
      <w:r w:rsidRPr="00580C0D">
        <w:t xml:space="preserve"> justiskomiteen.</w:t>
      </w:r>
    </w:p>
    <w:p w14:paraId="757EDC4B" w14:textId="77777777" w:rsidR="00F7113A" w:rsidRPr="00580C0D" w:rsidRDefault="00142E5B" w:rsidP="00580C0D">
      <w:r w:rsidRPr="00580C0D">
        <w:t xml:space="preserve">Vedtaket er under behandling. Oppfølginga av dette arbeidet bør </w:t>
      </w:r>
      <w:proofErr w:type="spellStart"/>
      <w:r w:rsidRPr="00580C0D">
        <w:t>sjåast</w:t>
      </w:r>
      <w:proofErr w:type="spellEnd"/>
      <w:r w:rsidRPr="00580C0D">
        <w:t xml:space="preserve"> i </w:t>
      </w:r>
      <w:proofErr w:type="spellStart"/>
      <w:r w:rsidRPr="00580C0D">
        <w:t>samanheng</w:t>
      </w:r>
      <w:proofErr w:type="spellEnd"/>
      <w:r w:rsidRPr="00580C0D">
        <w:t xml:space="preserve"> med det nordiske Haga-samarbeidet som er i gang </w:t>
      </w:r>
      <w:proofErr w:type="spellStart"/>
      <w:r w:rsidRPr="00580C0D">
        <w:t>innan</w:t>
      </w:r>
      <w:proofErr w:type="spellEnd"/>
      <w:r w:rsidRPr="00580C0D">
        <w:t xml:space="preserve"> samfunnstryggleik. Det blir òg vist til samarbeid mellom situasjonssentra i </w:t>
      </w:r>
      <w:proofErr w:type="spellStart"/>
      <w:r w:rsidRPr="00580C0D">
        <w:t>dei</w:t>
      </w:r>
      <w:proofErr w:type="spellEnd"/>
      <w:r w:rsidRPr="00580C0D">
        <w:t xml:space="preserve"> nordiske landa. I Haga-samarbeidet blir det bl.a. gjennomført fellesnordiske </w:t>
      </w:r>
      <w:proofErr w:type="spellStart"/>
      <w:r w:rsidRPr="00580C0D">
        <w:t>øvingar</w:t>
      </w:r>
      <w:proofErr w:type="spellEnd"/>
      <w:r w:rsidRPr="00580C0D">
        <w:t>, sivilt-militært samarbeid gjennom Haga-NORDEFCO samarbeidet, samarbeid om skog-/</w:t>
      </w:r>
      <w:proofErr w:type="spellStart"/>
      <w:r w:rsidRPr="00580C0D">
        <w:t>naturnaturbrannar</w:t>
      </w:r>
      <w:proofErr w:type="spellEnd"/>
      <w:r w:rsidRPr="00580C0D">
        <w:t xml:space="preserve">, CBRNE og Nødkommunikasjon. Knytt til Haga-utviklingsmål 2022–2024 er det i tillegg sett i verk </w:t>
      </w:r>
      <w:proofErr w:type="spellStart"/>
      <w:r w:rsidRPr="00580C0D">
        <w:t>førebuande</w:t>
      </w:r>
      <w:proofErr w:type="spellEnd"/>
      <w:r w:rsidRPr="00580C0D">
        <w:t xml:space="preserve"> samarbeid </w:t>
      </w:r>
      <w:proofErr w:type="spellStart"/>
      <w:r w:rsidRPr="00580C0D">
        <w:t>innan</w:t>
      </w:r>
      <w:proofErr w:type="spellEnd"/>
      <w:r w:rsidRPr="00580C0D">
        <w:t xml:space="preserve"> </w:t>
      </w:r>
      <w:proofErr w:type="spellStart"/>
      <w:r w:rsidRPr="00580C0D">
        <w:t>klimaendringar</w:t>
      </w:r>
      <w:proofErr w:type="spellEnd"/>
      <w:r w:rsidRPr="00580C0D">
        <w:t xml:space="preserve">, tiltak etter læring </w:t>
      </w:r>
      <w:proofErr w:type="spellStart"/>
      <w:r w:rsidRPr="00580C0D">
        <w:t>frå</w:t>
      </w:r>
      <w:proofErr w:type="spellEnd"/>
      <w:r w:rsidRPr="00580C0D">
        <w:t xml:space="preserve"> covid-19 og Host </w:t>
      </w:r>
      <w:proofErr w:type="spellStart"/>
      <w:r w:rsidRPr="00580C0D">
        <w:t>Nation</w:t>
      </w:r>
      <w:proofErr w:type="spellEnd"/>
      <w:r w:rsidRPr="00580C0D">
        <w:t xml:space="preserve"> Support, i tillegg til </w:t>
      </w:r>
      <w:proofErr w:type="spellStart"/>
      <w:r w:rsidRPr="00580C0D">
        <w:t>vidare</w:t>
      </w:r>
      <w:proofErr w:type="spellEnd"/>
      <w:r w:rsidRPr="00580C0D">
        <w:t xml:space="preserve"> utvikling av det sivil-militære samarbeidet (Haga-NORDEFCO) som er i gang. I lys av utviklinga i </w:t>
      </w:r>
      <w:proofErr w:type="spellStart"/>
      <w:r w:rsidRPr="00580C0D">
        <w:t>risikobiletet</w:t>
      </w:r>
      <w:proofErr w:type="spellEnd"/>
      <w:r w:rsidRPr="00580C0D">
        <w:t xml:space="preserve"> og </w:t>
      </w:r>
      <w:proofErr w:type="spellStart"/>
      <w:r w:rsidRPr="00580C0D">
        <w:t>erfaringane</w:t>
      </w:r>
      <w:proofErr w:type="spellEnd"/>
      <w:r w:rsidRPr="00580C0D">
        <w:t xml:space="preserve"> </w:t>
      </w:r>
      <w:proofErr w:type="spellStart"/>
      <w:r w:rsidRPr="00580C0D">
        <w:t>frå</w:t>
      </w:r>
      <w:proofErr w:type="spellEnd"/>
      <w:r w:rsidRPr="00580C0D">
        <w:t xml:space="preserve"> koronapandemien er </w:t>
      </w:r>
      <w:proofErr w:type="spellStart"/>
      <w:r w:rsidRPr="00580C0D">
        <w:t>dei</w:t>
      </w:r>
      <w:proofErr w:type="spellEnd"/>
      <w:r w:rsidRPr="00580C0D">
        <w:t xml:space="preserve"> nordiske </w:t>
      </w:r>
      <w:proofErr w:type="spellStart"/>
      <w:r w:rsidRPr="00580C0D">
        <w:t>beredskapsmyndigheitene</w:t>
      </w:r>
      <w:proofErr w:type="spellEnd"/>
      <w:r w:rsidRPr="00580C0D">
        <w:t xml:space="preserve"> </w:t>
      </w:r>
      <w:proofErr w:type="spellStart"/>
      <w:r w:rsidRPr="00580C0D">
        <w:t>oppmoda</w:t>
      </w:r>
      <w:proofErr w:type="spellEnd"/>
      <w:r w:rsidRPr="00580C0D">
        <w:t xml:space="preserve"> om å gjennomgå felles </w:t>
      </w:r>
      <w:proofErr w:type="spellStart"/>
      <w:r w:rsidRPr="00580C0D">
        <w:t>avtalar</w:t>
      </w:r>
      <w:proofErr w:type="spellEnd"/>
      <w:r w:rsidRPr="00580C0D">
        <w:t xml:space="preserve">, </w:t>
      </w:r>
      <w:proofErr w:type="spellStart"/>
      <w:r w:rsidRPr="00580C0D">
        <w:t>prosedyrar</w:t>
      </w:r>
      <w:proofErr w:type="spellEnd"/>
      <w:r w:rsidRPr="00580C0D">
        <w:t xml:space="preserve"> m.m., for å sikre at operativ støtte på tvers av grensene kan </w:t>
      </w:r>
      <w:proofErr w:type="spellStart"/>
      <w:r w:rsidRPr="00580C0D">
        <w:t>gjennomførast</w:t>
      </w:r>
      <w:proofErr w:type="spellEnd"/>
      <w:r w:rsidRPr="00580C0D">
        <w:t xml:space="preserve"> effektivt.</w:t>
      </w:r>
    </w:p>
    <w:p w14:paraId="1ED616F2" w14:textId="77777777" w:rsidR="00F7113A" w:rsidRPr="00580C0D" w:rsidRDefault="00142E5B" w:rsidP="00580C0D">
      <w:r w:rsidRPr="00580C0D">
        <w:t xml:space="preserve">Når </w:t>
      </w:r>
      <w:proofErr w:type="gramStart"/>
      <w:r w:rsidRPr="00580C0D">
        <w:t xml:space="preserve">det </w:t>
      </w:r>
      <w:proofErr w:type="spellStart"/>
      <w:r w:rsidRPr="00580C0D">
        <w:t>gjeld</w:t>
      </w:r>
      <w:proofErr w:type="spellEnd"/>
      <w:r w:rsidRPr="00580C0D">
        <w:t xml:space="preserve"> spørsmålet</w:t>
      </w:r>
      <w:proofErr w:type="gramEnd"/>
      <w:r w:rsidRPr="00580C0D">
        <w:t xml:space="preserve"> om tryggingsklarering, </w:t>
      </w:r>
      <w:proofErr w:type="spellStart"/>
      <w:r w:rsidRPr="00580C0D">
        <w:t>finst</w:t>
      </w:r>
      <w:proofErr w:type="spellEnd"/>
      <w:r w:rsidRPr="00580C0D">
        <w:t xml:space="preserve"> det i dag </w:t>
      </w:r>
      <w:proofErr w:type="spellStart"/>
      <w:r w:rsidRPr="00580C0D">
        <w:t>tryggingsavtalar</w:t>
      </w:r>
      <w:proofErr w:type="spellEnd"/>
      <w:r w:rsidRPr="00580C0D">
        <w:t xml:space="preserve"> mellom </w:t>
      </w:r>
      <w:proofErr w:type="spellStart"/>
      <w:r w:rsidRPr="00580C0D">
        <w:t>Noreg</w:t>
      </w:r>
      <w:proofErr w:type="spellEnd"/>
      <w:r w:rsidRPr="00580C0D">
        <w:t xml:space="preserve"> og </w:t>
      </w:r>
      <w:proofErr w:type="spellStart"/>
      <w:r w:rsidRPr="00580C0D">
        <w:t>dei</w:t>
      </w:r>
      <w:proofErr w:type="spellEnd"/>
      <w:r w:rsidRPr="00580C0D">
        <w:t xml:space="preserve"> nordiske nabolanda som </w:t>
      </w:r>
      <w:proofErr w:type="spellStart"/>
      <w:r w:rsidRPr="00580C0D">
        <w:t>gjer</w:t>
      </w:r>
      <w:proofErr w:type="spellEnd"/>
      <w:r w:rsidRPr="00580C0D">
        <w:t xml:space="preserve"> det </w:t>
      </w:r>
      <w:proofErr w:type="spellStart"/>
      <w:r w:rsidRPr="00580C0D">
        <w:t>mogleg</w:t>
      </w:r>
      <w:proofErr w:type="spellEnd"/>
      <w:r w:rsidRPr="00580C0D">
        <w:t xml:space="preserve"> å utveksle gradert informasjon mellom landa, </w:t>
      </w:r>
      <w:proofErr w:type="spellStart"/>
      <w:r w:rsidRPr="00580C0D">
        <w:t>irekna</w:t>
      </w:r>
      <w:proofErr w:type="spellEnd"/>
      <w:r w:rsidRPr="00580C0D">
        <w:t xml:space="preserve"> å anerkjenne </w:t>
      </w:r>
      <w:proofErr w:type="spellStart"/>
      <w:r w:rsidRPr="00580C0D">
        <w:t>kvarandre</w:t>
      </w:r>
      <w:proofErr w:type="spellEnd"/>
      <w:r w:rsidRPr="00580C0D">
        <w:t xml:space="preserve"> sine </w:t>
      </w:r>
      <w:proofErr w:type="spellStart"/>
      <w:r w:rsidRPr="00580C0D">
        <w:t>tryggingsklareringar</w:t>
      </w:r>
      <w:proofErr w:type="spellEnd"/>
      <w:r w:rsidRPr="00580C0D">
        <w:t xml:space="preserve"> etter </w:t>
      </w:r>
      <w:proofErr w:type="spellStart"/>
      <w:r w:rsidRPr="00580C0D">
        <w:t>nærmare</w:t>
      </w:r>
      <w:proofErr w:type="spellEnd"/>
      <w:r w:rsidRPr="00580C0D">
        <w:t xml:space="preserve"> kriterium.</w:t>
      </w:r>
    </w:p>
    <w:p w14:paraId="163AF265" w14:textId="77777777" w:rsidR="00F7113A" w:rsidRPr="00580C0D" w:rsidRDefault="00142E5B" w:rsidP="00580C0D">
      <w:pPr>
        <w:pStyle w:val="avsnitt-tittel"/>
      </w:pPr>
      <w:r w:rsidRPr="00580C0D">
        <w:t>Brann til sjøs</w:t>
      </w:r>
    </w:p>
    <w:p w14:paraId="6E71D42C" w14:textId="77777777" w:rsidR="00F7113A" w:rsidRPr="00580C0D" w:rsidRDefault="00142E5B" w:rsidP="00580C0D">
      <w:pPr>
        <w:pStyle w:val="avsnitt-undertittel"/>
      </w:pPr>
      <w:r w:rsidRPr="00580C0D">
        <w:t>Vedtak nr. 742, 11. mars 2021</w:t>
      </w:r>
    </w:p>
    <w:p w14:paraId="1FE580C4" w14:textId="77777777" w:rsidR="00F7113A" w:rsidRPr="00580C0D" w:rsidRDefault="00142E5B" w:rsidP="00580C0D">
      <w:pPr>
        <w:pStyle w:val="blokksit"/>
        <w:rPr>
          <w:rStyle w:val="kursiv"/>
        </w:rPr>
      </w:pPr>
      <w:r w:rsidRPr="00580C0D">
        <w:rPr>
          <w:rStyle w:val="kursiv"/>
        </w:rPr>
        <w:t>«Stortinget ber regjeringen styrke Redningsselskapet og gjennomgå hvordan de kan bistå brann- og redningsetaten ved brann til sjøs.»</w:t>
      </w:r>
    </w:p>
    <w:p w14:paraId="42899E85" w14:textId="77777777" w:rsidR="00F7113A" w:rsidRPr="00580C0D" w:rsidRDefault="00142E5B" w:rsidP="00580C0D">
      <w:r w:rsidRPr="00580C0D">
        <w:t xml:space="preserve">Dokumenta som ligg til grunn for vedtaket, er Meld. St. 5 (2020–2021) og </w:t>
      </w:r>
      <w:proofErr w:type="spellStart"/>
      <w:r w:rsidRPr="00580C0D">
        <w:t>Innst</w:t>
      </w:r>
      <w:proofErr w:type="spellEnd"/>
      <w:r w:rsidRPr="00580C0D">
        <w:t xml:space="preserve">. 275 S (2020–2021) </w:t>
      </w:r>
      <w:proofErr w:type="spellStart"/>
      <w:r w:rsidRPr="00580C0D">
        <w:t>frå</w:t>
      </w:r>
      <w:proofErr w:type="spellEnd"/>
      <w:r w:rsidRPr="00580C0D">
        <w:t xml:space="preserve"> justiskomiteen.</w:t>
      </w:r>
    </w:p>
    <w:p w14:paraId="34931A73" w14:textId="77777777" w:rsidR="00F7113A" w:rsidRPr="00580C0D" w:rsidRDefault="00142E5B" w:rsidP="00580C0D">
      <w:r w:rsidRPr="00580C0D">
        <w:t xml:space="preserve">Vedtaket er under behandling. </w:t>
      </w:r>
      <w:proofErr w:type="spellStart"/>
      <w:r w:rsidRPr="00580C0D">
        <w:t>Tilskotet</w:t>
      </w:r>
      <w:proofErr w:type="spellEnd"/>
      <w:r w:rsidRPr="00580C0D">
        <w:t xml:space="preserve"> til Redningsselskapet (RS) har hatt </w:t>
      </w:r>
      <w:proofErr w:type="spellStart"/>
      <w:r w:rsidRPr="00580C0D">
        <w:t>ein</w:t>
      </w:r>
      <w:proofErr w:type="spellEnd"/>
      <w:r w:rsidRPr="00580C0D">
        <w:t xml:space="preserve"> jamn og kraftig </w:t>
      </w:r>
      <w:proofErr w:type="spellStart"/>
      <w:r w:rsidRPr="00580C0D">
        <w:t>auke</w:t>
      </w:r>
      <w:proofErr w:type="spellEnd"/>
      <w:r w:rsidRPr="00580C0D">
        <w:t xml:space="preserve"> </w:t>
      </w:r>
      <w:proofErr w:type="spellStart"/>
      <w:r w:rsidRPr="00580C0D">
        <w:t>dei</w:t>
      </w:r>
      <w:proofErr w:type="spellEnd"/>
      <w:r w:rsidRPr="00580C0D">
        <w:t xml:space="preserve"> </w:t>
      </w:r>
      <w:proofErr w:type="spellStart"/>
      <w:r w:rsidRPr="00580C0D">
        <w:t>seinare</w:t>
      </w:r>
      <w:proofErr w:type="spellEnd"/>
      <w:r w:rsidRPr="00580C0D">
        <w:t xml:space="preserve"> åra, </w:t>
      </w:r>
      <w:proofErr w:type="spellStart"/>
      <w:r w:rsidRPr="00580C0D">
        <w:t>frå</w:t>
      </w:r>
      <w:proofErr w:type="spellEnd"/>
      <w:r w:rsidRPr="00580C0D">
        <w:t xml:space="preserve"> om lag 56 mill. kroner i 2013 til om lag 131 mill. kroner i 2023. </w:t>
      </w:r>
      <w:proofErr w:type="spellStart"/>
      <w:r w:rsidRPr="00580C0D">
        <w:t>Budsjettforhandlingane</w:t>
      </w:r>
      <w:proofErr w:type="spellEnd"/>
      <w:r w:rsidRPr="00580C0D">
        <w:t xml:space="preserve"> på Stortinget om 2022-budsjettet resulterte i at løyvinga på posten til RS </w:t>
      </w:r>
      <w:proofErr w:type="spellStart"/>
      <w:r w:rsidRPr="00580C0D">
        <w:t>auka</w:t>
      </w:r>
      <w:proofErr w:type="spellEnd"/>
      <w:r w:rsidRPr="00580C0D">
        <w:t xml:space="preserve"> med 5 mill. kroner. I tillegg er det gitt 3 mill. kroner i tilleggsløyving i samband med revidert nasjonalbudsjett for 2021, som </w:t>
      </w:r>
      <w:proofErr w:type="spellStart"/>
      <w:r w:rsidRPr="00580C0D">
        <w:t>følgje</w:t>
      </w:r>
      <w:proofErr w:type="spellEnd"/>
      <w:r w:rsidRPr="00580C0D">
        <w:t xml:space="preserve"> av </w:t>
      </w:r>
      <w:proofErr w:type="spellStart"/>
      <w:r w:rsidRPr="00580C0D">
        <w:t>eit</w:t>
      </w:r>
      <w:proofErr w:type="spellEnd"/>
      <w:r w:rsidRPr="00580C0D">
        <w:t xml:space="preserve"> skjerpa behov for nærvær langs kysten. </w:t>
      </w:r>
      <w:proofErr w:type="spellStart"/>
      <w:r w:rsidRPr="00580C0D">
        <w:t>Ytterlegare</w:t>
      </w:r>
      <w:proofErr w:type="spellEnd"/>
      <w:r w:rsidRPr="00580C0D">
        <w:t xml:space="preserve"> oppfølging av vedtaket blir vurdert.</w:t>
      </w:r>
    </w:p>
    <w:p w14:paraId="0A6A8838" w14:textId="77777777" w:rsidR="00F7113A" w:rsidRPr="00580C0D" w:rsidRDefault="00142E5B" w:rsidP="00580C0D">
      <w:pPr>
        <w:pStyle w:val="avsnitt-tittel"/>
      </w:pPr>
      <w:r w:rsidRPr="00580C0D">
        <w:t>Tilfluktsrom</w:t>
      </w:r>
    </w:p>
    <w:p w14:paraId="33F88909" w14:textId="77777777" w:rsidR="00F7113A" w:rsidRPr="00580C0D" w:rsidRDefault="00142E5B" w:rsidP="00580C0D">
      <w:pPr>
        <w:pStyle w:val="avsnitt-undertittel"/>
      </w:pPr>
      <w:r w:rsidRPr="00580C0D">
        <w:t>Vedtak nr. 743, 11. mars 2021</w:t>
      </w:r>
    </w:p>
    <w:p w14:paraId="60ADFD0D" w14:textId="77777777" w:rsidR="00F7113A" w:rsidRPr="00580C0D" w:rsidRDefault="00142E5B" w:rsidP="00580C0D">
      <w:pPr>
        <w:pStyle w:val="blokksit"/>
        <w:rPr>
          <w:rStyle w:val="kursiv"/>
        </w:rPr>
      </w:pPr>
      <w:r w:rsidRPr="00580C0D">
        <w:rPr>
          <w:rStyle w:val="kursiv"/>
        </w:rPr>
        <w:t>«Stortinget ber regjeringen komme tilbake til Stortinget med en vurdering av hvordan eksisterende tilfluktsrom i større grad kan benyttes slik at de holdes i stand samt inngår som en del av den nasjonale beredskapen i forbindelse med for eksempel migrasjon, pandemi eller forsyningskrise</w:t>
      </w:r>
      <w:r w:rsidRPr="00580C0D">
        <w:t>.»</w:t>
      </w:r>
    </w:p>
    <w:p w14:paraId="0DD1D350" w14:textId="77777777" w:rsidR="00F7113A" w:rsidRPr="00580C0D" w:rsidRDefault="00142E5B" w:rsidP="00580C0D">
      <w:r w:rsidRPr="00580C0D">
        <w:t xml:space="preserve">Dokumenta som ligg til grunn for vedtaket, er Meld. St. 5 (2020–2021) og </w:t>
      </w:r>
      <w:proofErr w:type="spellStart"/>
      <w:r w:rsidRPr="00580C0D">
        <w:t>Innst</w:t>
      </w:r>
      <w:proofErr w:type="spellEnd"/>
      <w:r w:rsidRPr="00580C0D">
        <w:t xml:space="preserve">. 275 S (2020–2021) </w:t>
      </w:r>
      <w:proofErr w:type="spellStart"/>
      <w:r w:rsidRPr="00580C0D">
        <w:t>frå</w:t>
      </w:r>
      <w:proofErr w:type="spellEnd"/>
      <w:r w:rsidRPr="00580C0D">
        <w:t xml:space="preserve"> justiskomiteen.</w:t>
      </w:r>
    </w:p>
    <w:p w14:paraId="45A453A4" w14:textId="77777777" w:rsidR="00F7113A" w:rsidRPr="00580C0D" w:rsidRDefault="00142E5B" w:rsidP="00580C0D">
      <w:r w:rsidRPr="00580C0D">
        <w:t xml:space="preserve">Vedtaket er under behandling. DSB gjennomførte </w:t>
      </w:r>
      <w:proofErr w:type="spellStart"/>
      <w:r w:rsidRPr="00580C0D">
        <w:t>eit</w:t>
      </w:r>
      <w:proofErr w:type="spellEnd"/>
      <w:r w:rsidRPr="00580C0D">
        <w:t xml:space="preserve"> forprosjekt i 2022, og har i tildelingsbrevet for 2023 fått oppdrag om å føre </w:t>
      </w:r>
      <w:proofErr w:type="spellStart"/>
      <w:r w:rsidRPr="00580C0D">
        <w:t>vidare</w:t>
      </w:r>
      <w:proofErr w:type="spellEnd"/>
      <w:r w:rsidRPr="00580C0D">
        <w:t xml:space="preserve"> arbeidet med sivile tryggingstiltak.</w:t>
      </w:r>
    </w:p>
    <w:p w14:paraId="4C29A187" w14:textId="77777777" w:rsidR="00F7113A" w:rsidRPr="00580C0D" w:rsidRDefault="00142E5B" w:rsidP="00580C0D">
      <w:pPr>
        <w:pStyle w:val="avsnitt-tittel"/>
      </w:pPr>
      <w:r w:rsidRPr="00580C0D">
        <w:t>ADR-kontroll</w:t>
      </w:r>
    </w:p>
    <w:p w14:paraId="7426A7E8" w14:textId="77777777" w:rsidR="00F7113A" w:rsidRPr="00580C0D" w:rsidRDefault="00142E5B" w:rsidP="00580C0D">
      <w:pPr>
        <w:pStyle w:val="avsnitt-undertittel"/>
      </w:pPr>
      <w:r w:rsidRPr="00580C0D">
        <w:t>Vedtak nr. 799, 13. april 2021</w:t>
      </w:r>
    </w:p>
    <w:p w14:paraId="0A0476C1" w14:textId="77777777" w:rsidR="00F7113A" w:rsidRPr="00580C0D" w:rsidRDefault="00142E5B" w:rsidP="00580C0D">
      <w:pPr>
        <w:pStyle w:val="blokksit"/>
        <w:rPr>
          <w:rStyle w:val="kursiv"/>
        </w:rPr>
      </w:pPr>
      <w:r w:rsidRPr="00580C0D">
        <w:rPr>
          <w:rStyle w:val="kursiv"/>
        </w:rPr>
        <w:t>«Stortinget ber regjeringen utrede muligheten for å overføre myndighet til å gjennomføre ADR-kontroll til godkjente tungbilverksteder.»</w:t>
      </w:r>
    </w:p>
    <w:p w14:paraId="684C8D2C" w14:textId="77777777" w:rsidR="00F7113A" w:rsidRPr="00580C0D" w:rsidRDefault="00142E5B" w:rsidP="00580C0D">
      <w:r w:rsidRPr="00580C0D">
        <w:t xml:space="preserve">Dokumenta som ligg til grunn for vedtaket, er Dokument 8:106 S (2020–2021) og </w:t>
      </w:r>
      <w:proofErr w:type="spellStart"/>
      <w:r w:rsidRPr="00580C0D">
        <w:t>Innst</w:t>
      </w:r>
      <w:proofErr w:type="spellEnd"/>
      <w:r w:rsidRPr="00580C0D">
        <w:t>. 311 S (2020–</w:t>
      </w:r>
      <w:proofErr w:type="gramStart"/>
      <w:r w:rsidRPr="00580C0D">
        <w:t>2021 )</w:t>
      </w:r>
      <w:proofErr w:type="gramEnd"/>
      <w:r w:rsidRPr="00580C0D">
        <w:t xml:space="preserve"> </w:t>
      </w:r>
      <w:proofErr w:type="spellStart"/>
      <w:r w:rsidRPr="00580C0D">
        <w:t>frå</w:t>
      </w:r>
      <w:proofErr w:type="spellEnd"/>
      <w:r w:rsidRPr="00580C0D">
        <w:t xml:space="preserve"> transport- og kommunikasjonskomiteen.</w:t>
      </w:r>
    </w:p>
    <w:p w14:paraId="5BD0C0A0" w14:textId="77777777" w:rsidR="00F7113A" w:rsidRPr="00580C0D" w:rsidRDefault="00142E5B" w:rsidP="00580C0D">
      <w:r w:rsidRPr="00580C0D">
        <w:t>Vedtaket er under behandling.</w:t>
      </w:r>
    </w:p>
    <w:p w14:paraId="727AACB0" w14:textId="77777777" w:rsidR="00F7113A" w:rsidRPr="00580C0D" w:rsidRDefault="00142E5B" w:rsidP="00580C0D">
      <w:pPr>
        <w:pStyle w:val="avsnitt-tittel"/>
      </w:pPr>
      <w:r w:rsidRPr="00580C0D">
        <w:t xml:space="preserve">Nasjonalt </w:t>
      </w:r>
      <w:proofErr w:type="spellStart"/>
      <w:r w:rsidRPr="00580C0D">
        <w:t>eigarskap</w:t>
      </w:r>
      <w:proofErr w:type="spellEnd"/>
      <w:r w:rsidRPr="00580C0D">
        <w:t xml:space="preserve"> og kontroll</w:t>
      </w:r>
    </w:p>
    <w:p w14:paraId="673FD1B9" w14:textId="77777777" w:rsidR="00F7113A" w:rsidRPr="00580C0D" w:rsidRDefault="00142E5B" w:rsidP="00580C0D">
      <w:pPr>
        <w:pStyle w:val="avsnitt-undertittel"/>
      </w:pPr>
      <w:r w:rsidRPr="00580C0D">
        <w:t>Vedtak nr. 814, 20. april 2021</w:t>
      </w:r>
    </w:p>
    <w:p w14:paraId="165D94BB" w14:textId="77777777" w:rsidR="00F7113A" w:rsidRPr="00580C0D" w:rsidRDefault="00142E5B" w:rsidP="00580C0D">
      <w:pPr>
        <w:pStyle w:val="blokksit"/>
        <w:rPr>
          <w:rStyle w:val="kursiv"/>
        </w:rPr>
      </w:pPr>
      <w:r w:rsidRPr="00580C0D">
        <w:rPr>
          <w:rStyle w:val="kursiv"/>
        </w:rPr>
        <w:t xml:space="preserve">«Stortinget ber regjeringa sikre norsk </w:t>
      </w:r>
      <w:proofErr w:type="spellStart"/>
      <w:r w:rsidRPr="00580C0D">
        <w:rPr>
          <w:rStyle w:val="kursiv"/>
        </w:rPr>
        <w:t>eigarskap</w:t>
      </w:r>
      <w:proofErr w:type="spellEnd"/>
      <w:r w:rsidRPr="00580C0D">
        <w:rPr>
          <w:rStyle w:val="kursiv"/>
        </w:rPr>
        <w:t xml:space="preserve"> av kritisk infrastruktur og </w:t>
      </w:r>
      <w:proofErr w:type="spellStart"/>
      <w:r w:rsidRPr="00580C0D">
        <w:rPr>
          <w:rStyle w:val="kursiv"/>
        </w:rPr>
        <w:t>eigedom</w:t>
      </w:r>
      <w:proofErr w:type="spellEnd"/>
      <w:r w:rsidRPr="00580C0D">
        <w:rPr>
          <w:rStyle w:val="kursiv"/>
        </w:rPr>
        <w:t xml:space="preserve"> samt nasjonal kontroll over </w:t>
      </w:r>
      <w:proofErr w:type="spellStart"/>
      <w:r w:rsidRPr="00580C0D">
        <w:rPr>
          <w:rStyle w:val="kursiv"/>
        </w:rPr>
        <w:t>naturressursar</w:t>
      </w:r>
      <w:proofErr w:type="spellEnd"/>
      <w:r w:rsidRPr="00580C0D">
        <w:rPr>
          <w:rStyle w:val="kursiv"/>
        </w:rPr>
        <w:t xml:space="preserve"> i nordområda.»</w:t>
      </w:r>
    </w:p>
    <w:p w14:paraId="1F1F7A57" w14:textId="77777777" w:rsidR="00F7113A" w:rsidRPr="00580C0D" w:rsidRDefault="00142E5B" w:rsidP="00580C0D">
      <w:r w:rsidRPr="00580C0D">
        <w:t xml:space="preserve">Dokumenta som ligg til grunn for vedtaket, er Meld. St. 9 (2020–2021) og </w:t>
      </w:r>
      <w:proofErr w:type="spellStart"/>
      <w:r w:rsidRPr="00580C0D">
        <w:t>Innst</w:t>
      </w:r>
      <w:proofErr w:type="spellEnd"/>
      <w:r w:rsidRPr="00580C0D">
        <w:t xml:space="preserve">. 289 S (2020–2021) </w:t>
      </w:r>
      <w:proofErr w:type="spellStart"/>
      <w:r w:rsidRPr="00580C0D">
        <w:t>frå</w:t>
      </w:r>
      <w:proofErr w:type="spellEnd"/>
      <w:r w:rsidRPr="00580C0D">
        <w:t xml:space="preserve"> </w:t>
      </w:r>
      <w:proofErr w:type="spellStart"/>
      <w:r w:rsidRPr="00580C0D">
        <w:t>utanriks</w:t>
      </w:r>
      <w:proofErr w:type="spellEnd"/>
      <w:r w:rsidRPr="00580C0D">
        <w:t>- og forsvarskomiteen.</w:t>
      </w:r>
    </w:p>
    <w:p w14:paraId="15A51C1F" w14:textId="77777777" w:rsidR="00F7113A" w:rsidRPr="00580C0D" w:rsidRDefault="00142E5B" w:rsidP="00580C0D">
      <w:r w:rsidRPr="00580C0D">
        <w:t xml:space="preserve">Vedtaket er under behandling. Meld. St. 9 (2022–2023) </w:t>
      </w:r>
      <w:r w:rsidRPr="00580C0D">
        <w:rPr>
          <w:rStyle w:val="kursiv"/>
        </w:rPr>
        <w:t>Nasjonal kontroll og digital motstandskraft for å ivareta nasjonal sikkerhet</w:t>
      </w:r>
      <w:r w:rsidRPr="00580C0D">
        <w:t xml:space="preserve">, jf. </w:t>
      </w:r>
      <w:proofErr w:type="spellStart"/>
      <w:r w:rsidRPr="00580C0D">
        <w:t>Innst</w:t>
      </w:r>
      <w:proofErr w:type="spellEnd"/>
      <w:r w:rsidRPr="00580C0D">
        <w:t xml:space="preserve">. 247 S (2022–2023) vart behandla i Stortinget 30. mars 2023. Ei rekke tiltak i meldinga </w:t>
      </w:r>
      <w:proofErr w:type="spellStart"/>
      <w:r w:rsidRPr="00580C0D">
        <w:t>peiker</w:t>
      </w:r>
      <w:proofErr w:type="spellEnd"/>
      <w:r w:rsidRPr="00580C0D">
        <w:t xml:space="preserve"> på korleis regjeringa skal bidra til å sikre nasjonal kontroll og </w:t>
      </w:r>
      <w:proofErr w:type="spellStart"/>
      <w:r w:rsidRPr="00580C0D">
        <w:t>eigarskap</w:t>
      </w:r>
      <w:proofErr w:type="spellEnd"/>
      <w:r w:rsidRPr="00580C0D">
        <w:t xml:space="preserve"> over strategisk viktig infrastruktur, </w:t>
      </w:r>
      <w:proofErr w:type="spellStart"/>
      <w:r w:rsidRPr="00580C0D">
        <w:t>eigedom</w:t>
      </w:r>
      <w:proofErr w:type="spellEnd"/>
      <w:r w:rsidRPr="00580C0D">
        <w:t xml:space="preserve"> og </w:t>
      </w:r>
      <w:proofErr w:type="spellStart"/>
      <w:r w:rsidRPr="00580C0D">
        <w:t>naturressursar</w:t>
      </w:r>
      <w:proofErr w:type="spellEnd"/>
      <w:r w:rsidRPr="00580C0D">
        <w:t xml:space="preserve">. Regjeringa har intensivert arbeidet med å </w:t>
      </w:r>
      <w:proofErr w:type="spellStart"/>
      <w:r w:rsidRPr="00580C0D">
        <w:t>kartleggje</w:t>
      </w:r>
      <w:proofErr w:type="spellEnd"/>
      <w:r w:rsidRPr="00580C0D">
        <w:t xml:space="preserve"> </w:t>
      </w:r>
      <w:proofErr w:type="spellStart"/>
      <w:r w:rsidRPr="00580C0D">
        <w:t>verdiar</w:t>
      </w:r>
      <w:proofErr w:type="spellEnd"/>
      <w:r w:rsidRPr="00580C0D">
        <w:t xml:space="preserve"> med heimel i tryggingslova (Lov om nasjonal sikkerhet). Regjeringa vurderer òg korleis </w:t>
      </w:r>
      <w:proofErr w:type="spellStart"/>
      <w:r w:rsidRPr="00580C0D">
        <w:t>ein</w:t>
      </w:r>
      <w:proofErr w:type="spellEnd"/>
      <w:r w:rsidRPr="00580C0D">
        <w:t xml:space="preserve"> kan få betre oversikt over </w:t>
      </w:r>
      <w:proofErr w:type="spellStart"/>
      <w:r w:rsidRPr="00580C0D">
        <w:t>verksemder</w:t>
      </w:r>
      <w:proofErr w:type="spellEnd"/>
      <w:r w:rsidRPr="00580C0D">
        <w:t xml:space="preserve"> og </w:t>
      </w:r>
      <w:proofErr w:type="spellStart"/>
      <w:r w:rsidRPr="00580C0D">
        <w:t>verdiar</w:t>
      </w:r>
      <w:proofErr w:type="spellEnd"/>
      <w:r w:rsidRPr="00580C0D">
        <w:t xml:space="preserve"> som </w:t>
      </w:r>
      <w:proofErr w:type="spellStart"/>
      <w:r w:rsidRPr="00580C0D">
        <w:t>ikkje</w:t>
      </w:r>
      <w:proofErr w:type="spellEnd"/>
      <w:r w:rsidRPr="00580C0D">
        <w:t xml:space="preserve"> </w:t>
      </w:r>
      <w:proofErr w:type="spellStart"/>
      <w:r w:rsidRPr="00580C0D">
        <w:t>dekkast</w:t>
      </w:r>
      <w:proofErr w:type="spellEnd"/>
      <w:r w:rsidRPr="00580C0D">
        <w:t xml:space="preserve"> av tryggingslova, men som likevel kan ha </w:t>
      </w:r>
      <w:proofErr w:type="spellStart"/>
      <w:r w:rsidRPr="00580C0D">
        <w:t>betyding</w:t>
      </w:r>
      <w:proofErr w:type="spellEnd"/>
      <w:r w:rsidRPr="00580C0D">
        <w:t xml:space="preserve"> for nasjonal tryggleik. I tillegg vil regjeringa vurdere korleis </w:t>
      </w:r>
      <w:proofErr w:type="spellStart"/>
      <w:r w:rsidRPr="00580C0D">
        <w:t>ein</w:t>
      </w:r>
      <w:proofErr w:type="spellEnd"/>
      <w:r w:rsidRPr="00580C0D">
        <w:t xml:space="preserve"> kan få betre oversikt over kven som er reelle </w:t>
      </w:r>
      <w:proofErr w:type="spellStart"/>
      <w:r w:rsidRPr="00580C0D">
        <w:t>eigarar</w:t>
      </w:r>
      <w:proofErr w:type="spellEnd"/>
      <w:r w:rsidRPr="00580C0D">
        <w:t xml:space="preserve"> av </w:t>
      </w:r>
      <w:proofErr w:type="spellStart"/>
      <w:r w:rsidRPr="00580C0D">
        <w:t>verdiar</w:t>
      </w:r>
      <w:proofErr w:type="spellEnd"/>
      <w:r w:rsidRPr="00580C0D">
        <w:t xml:space="preserve"> av </w:t>
      </w:r>
      <w:proofErr w:type="spellStart"/>
      <w:r w:rsidRPr="00580C0D">
        <w:t>betyding</w:t>
      </w:r>
      <w:proofErr w:type="spellEnd"/>
      <w:r w:rsidRPr="00580C0D">
        <w:t xml:space="preserve"> for nasjonal tryggleik. Verdikartlegging og innsikt i reelt </w:t>
      </w:r>
      <w:proofErr w:type="spellStart"/>
      <w:r w:rsidRPr="00580C0D">
        <w:t>eigarskap</w:t>
      </w:r>
      <w:proofErr w:type="spellEnd"/>
      <w:r w:rsidRPr="00580C0D">
        <w:t xml:space="preserve"> vil </w:t>
      </w:r>
      <w:proofErr w:type="spellStart"/>
      <w:r w:rsidRPr="00580C0D">
        <w:t>vere</w:t>
      </w:r>
      <w:proofErr w:type="spellEnd"/>
      <w:r w:rsidRPr="00580C0D">
        <w:t xml:space="preserve"> grunnlag for å vurdere relevante </w:t>
      </w:r>
      <w:proofErr w:type="spellStart"/>
      <w:r w:rsidRPr="00580C0D">
        <w:t>verkemiddel</w:t>
      </w:r>
      <w:proofErr w:type="spellEnd"/>
      <w:r w:rsidRPr="00580C0D">
        <w:t xml:space="preserve"> for å ta i vare nasjonal tryggleik, blant anna gjennom </w:t>
      </w:r>
      <w:proofErr w:type="spellStart"/>
      <w:r w:rsidRPr="00580C0D">
        <w:t>førebyggjande</w:t>
      </w:r>
      <w:proofErr w:type="spellEnd"/>
      <w:r w:rsidRPr="00580C0D">
        <w:t xml:space="preserve"> tryggingstiltak med heimel i tryggingslova, bruk av anna relevant regelverk og nasjonalt </w:t>
      </w:r>
      <w:proofErr w:type="spellStart"/>
      <w:r w:rsidRPr="00580C0D">
        <w:t>eigarskap</w:t>
      </w:r>
      <w:proofErr w:type="spellEnd"/>
      <w:r w:rsidRPr="00580C0D">
        <w:t xml:space="preserve">. For å kunne ta i vare nasjonal kontroll vil regjeringa òg gå gjennom relevant </w:t>
      </w:r>
      <w:proofErr w:type="spellStart"/>
      <w:r w:rsidRPr="00580C0D">
        <w:t>eksisterande</w:t>
      </w:r>
      <w:proofErr w:type="spellEnd"/>
      <w:r w:rsidRPr="00580C0D">
        <w:t xml:space="preserve"> lovverk, inkludert </w:t>
      </w:r>
      <w:proofErr w:type="spellStart"/>
      <w:r w:rsidRPr="00580C0D">
        <w:t>konsesjonslovgiving</w:t>
      </w:r>
      <w:proofErr w:type="spellEnd"/>
      <w:r w:rsidRPr="00580C0D">
        <w:t xml:space="preserve">, for å sørge for at omsyn til nasjonal tryggleik inngår som vurderingskriterium der det er aktuelt. Òg </w:t>
      </w:r>
      <w:proofErr w:type="spellStart"/>
      <w:r w:rsidRPr="00580C0D">
        <w:t>Prop</w:t>
      </w:r>
      <w:proofErr w:type="spellEnd"/>
      <w:r w:rsidRPr="00580C0D">
        <w:t xml:space="preserve">. 95 L (2022–2023) «Endringer i sikkerhetsloven (eierskapskontroll og lovens virkeområde)» </w:t>
      </w:r>
      <w:proofErr w:type="spellStart"/>
      <w:r w:rsidRPr="00580C0D">
        <w:t>inneheld</w:t>
      </w:r>
      <w:proofErr w:type="spellEnd"/>
      <w:r w:rsidRPr="00580C0D">
        <w:t xml:space="preserve"> konkrete tiltak for å sikre nasjonal kontroll. </w:t>
      </w:r>
      <w:proofErr w:type="spellStart"/>
      <w:r w:rsidRPr="00580C0D">
        <w:t>Endringane</w:t>
      </w:r>
      <w:proofErr w:type="spellEnd"/>
      <w:r w:rsidRPr="00580C0D">
        <w:t xml:space="preserve"> blir gjort for å hindre </w:t>
      </w:r>
      <w:proofErr w:type="spellStart"/>
      <w:r w:rsidRPr="00580C0D">
        <w:t>eigarskap</w:t>
      </w:r>
      <w:proofErr w:type="spellEnd"/>
      <w:r w:rsidRPr="00580C0D">
        <w:t xml:space="preserve"> som kan medføre </w:t>
      </w:r>
      <w:proofErr w:type="spellStart"/>
      <w:r w:rsidRPr="00580C0D">
        <w:t>verksemd</w:t>
      </w:r>
      <w:proofErr w:type="spellEnd"/>
      <w:r w:rsidRPr="00580C0D">
        <w:t xml:space="preserve"> som </w:t>
      </w:r>
      <w:proofErr w:type="spellStart"/>
      <w:r w:rsidRPr="00580C0D">
        <w:t>truar</w:t>
      </w:r>
      <w:proofErr w:type="spellEnd"/>
      <w:r w:rsidRPr="00580C0D">
        <w:t xml:space="preserve"> tryggleiken.</w:t>
      </w:r>
    </w:p>
    <w:p w14:paraId="7A3493CB" w14:textId="77777777" w:rsidR="00F7113A" w:rsidRPr="00580C0D" w:rsidRDefault="00142E5B" w:rsidP="00580C0D">
      <w:pPr>
        <w:pStyle w:val="avsnitt-tittel"/>
      </w:pPr>
      <w:proofErr w:type="spellStart"/>
      <w:r w:rsidRPr="00580C0D">
        <w:t>Heilskapleg</w:t>
      </w:r>
      <w:proofErr w:type="spellEnd"/>
      <w:r w:rsidRPr="00580C0D">
        <w:t xml:space="preserve"> gjennomgang av </w:t>
      </w:r>
      <w:proofErr w:type="spellStart"/>
      <w:r w:rsidRPr="00580C0D">
        <w:t>verjemålsordninga</w:t>
      </w:r>
      <w:proofErr w:type="spellEnd"/>
    </w:p>
    <w:p w14:paraId="4E16DE56" w14:textId="77777777" w:rsidR="00F7113A" w:rsidRPr="00580C0D" w:rsidRDefault="00142E5B" w:rsidP="00580C0D">
      <w:pPr>
        <w:pStyle w:val="avsnitt-undertittel"/>
      </w:pPr>
      <w:r w:rsidRPr="00580C0D">
        <w:t>Vedtak nr. 848, 27. april 2021</w:t>
      </w:r>
    </w:p>
    <w:p w14:paraId="5E5C725D" w14:textId="77777777" w:rsidR="00F7113A" w:rsidRPr="00580C0D" w:rsidRDefault="00142E5B" w:rsidP="00580C0D">
      <w:pPr>
        <w:pStyle w:val="blokksit"/>
        <w:rPr>
          <w:rStyle w:val="kursiv"/>
        </w:rPr>
      </w:pPr>
      <w:r w:rsidRPr="00580C0D">
        <w:rPr>
          <w:rStyle w:val="kursiv"/>
        </w:rPr>
        <w:t>«Stortinget ber regjeringen foreta en helhetlig gjennomgang av vergemålsordningen og legge frem forslag til lovendringer som styrker og forbedrer den.»</w:t>
      </w:r>
    </w:p>
    <w:p w14:paraId="1B9C53EC" w14:textId="77777777" w:rsidR="00F7113A" w:rsidRPr="00580C0D" w:rsidRDefault="00142E5B" w:rsidP="00580C0D">
      <w:r w:rsidRPr="00580C0D">
        <w:t xml:space="preserve">Dokumenta som ligg til grunn for vedtaket, er Dokument 8:77 (2020–2021) og </w:t>
      </w:r>
      <w:proofErr w:type="spellStart"/>
      <w:r w:rsidRPr="00580C0D">
        <w:t>Innst</w:t>
      </w:r>
      <w:proofErr w:type="spellEnd"/>
      <w:r w:rsidRPr="00580C0D">
        <w:t xml:space="preserve">. 285 S (2020–2021) </w:t>
      </w:r>
      <w:proofErr w:type="spellStart"/>
      <w:r w:rsidRPr="00580C0D">
        <w:t>frå</w:t>
      </w:r>
      <w:proofErr w:type="spellEnd"/>
      <w:r w:rsidRPr="00580C0D">
        <w:t xml:space="preserve"> justiskomiteen. Sjå elles omtalen av oppmodingsvedtak nr. 899 (2017–2018) </w:t>
      </w:r>
      <w:proofErr w:type="spellStart"/>
      <w:r w:rsidRPr="00580C0D">
        <w:t>nedanfor</w:t>
      </w:r>
      <w:proofErr w:type="spellEnd"/>
      <w:r w:rsidRPr="00580C0D">
        <w:t>.</w:t>
      </w:r>
    </w:p>
    <w:p w14:paraId="574C3B0E" w14:textId="77777777" w:rsidR="00F7113A" w:rsidRPr="00580C0D" w:rsidRDefault="00142E5B" w:rsidP="00580C0D">
      <w:r w:rsidRPr="00580C0D">
        <w:t xml:space="preserve">Vedtaket er under behandling. Stortinget vedtok i mars 2023 </w:t>
      </w:r>
      <w:proofErr w:type="spellStart"/>
      <w:r w:rsidRPr="00580C0D">
        <w:t>endringar</w:t>
      </w:r>
      <w:proofErr w:type="spellEnd"/>
      <w:r w:rsidRPr="00580C0D">
        <w:t xml:space="preserve"> i </w:t>
      </w:r>
      <w:proofErr w:type="spellStart"/>
      <w:r w:rsidRPr="00580C0D">
        <w:t>verjemålslova</w:t>
      </w:r>
      <w:proofErr w:type="spellEnd"/>
      <w:r w:rsidRPr="00580C0D">
        <w:t xml:space="preserve">, som tredde i kraft 1. april 2023 (endringslov 31. mars 2023 nr. 5). Dei aktuelle </w:t>
      </w:r>
      <w:proofErr w:type="spellStart"/>
      <w:r w:rsidRPr="00580C0D">
        <w:t>endringane</w:t>
      </w:r>
      <w:proofErr w:type="spellEnd"/>
      <w:r w:rsidRPr="00580C0D">
        <w:t xml:space="preserve"> </w:t>
      </w:r>
      <w:proofErr w:type="spellStart"/>
      <w:r w:rsidRPr="00580C0D">
        <w:t>vart</w:t>
      </w:r>
      <w:proofErr w:type="spellEnd"/>
      <w:r w:rsidRPr="00580C0D">
        <w:t xml:space="preserve"> foreslått i </w:t>
      </w:r>
      <w:proofErr w:type="spellStart"/>
      <w:r w:rsidRPr="00580C0D">
        <w:t>Prop</w:t>
      </w:r>
      <w:proofErr w:type="spellEnd"/>
      <w:r w:rsidRPr="00580C0D">
        <w:t xml:space="preserve">. 141 L (2021–2022) </w:t>
      </w:r>
      <w:proofErr w:type="spellStart"/>
      <w:r w:rsidRPr="00580C0D">
        <w:t>hausten</w:t>
      </w:r>
      <w:proofErr w:type="spellEnd"/>
      <w:r w:rsidRPr="00580C0D">
        <w:t xml:space="preserve"> 2022, som første steg i oppfølginga av dette oppmodingsvedtaket. Etter </w:t>
      </w:r>
      <w:proofErr w:type="spellStart"/>
      <w:r w:rsidRPr="00580C0D">
        <w:t>endringane</w:t>
      </w:r>
      <w:proofErr w:type="spellEnd"/>
      <w:r w:rsidRPr="00580C0D">
        <w:t xml:space="preserve"> er bl.a. prinsippet om </w:t>
      </w:r>
      <w:proofErr w:type="spellStart"/>
      <w:r w:rsidRPr="00580C0D">
        <w:t>sjølvråderett</w:t>
      </w:r>
      <w:proofErr w:type="spellEnd"/>
      <w:r w:rsidRPr="00580C0D">
        <w:t xml:space="preserve"> </w:t>
      </w:r>
      <w:proofErr w:type="spellStart"/>
      <w:r w:rsidRPr="00580C0D">
        <w:t>tydeleggjort</w:t>
      </w:r>
      <w:proofErr w:type="spellEnd"/>
      <w:r w:rsidRPr="00580C0D">
        <w:t xml:space="preserve"> i </w:t>
      </w:r>
      <w:proofErr w:type="spellStart"/>
      <w:r w:rsidRPr="00580C0D">
        <w:t>fleire</w:t>
      </w:r>
      <w:proofErr w:type="spellEnd"/>
      <w:r w:rsidRPr="00580C0D">
        <w:t xml:space="preserve"> føresegner i </w:t>
      </w:r>
      <w:proofErr w:type="spellStart"/>
      <w:r w:rsidRPr="00580C0D">
        <w:t>verjemålslova</w:t>
      </w:r>
      <w:proofErr w:type="spellEnd"/>
      <w:r w:rsidRPr="00580C0D">
        <w:t xml:space="preserve">. I </w:t>
      </w:r>
      <w:proofErr w:type="spellStart"/>
      <w:r w:rsidRPr="00580C0D">
        <w:t>Prop</w:t>
      </w:r>
      <w:proofErr w:type="spellEnd"/>
      <w:r w:rsidRPr="00580C0D">
        <w:t xml:space="preserve">. 141 L (2021–2022) punkt 2.4 gjorde departementet greie for </w:t>
      </w:r>
      <w:proofErr w:type="spellStart"/>
      <w:r w:rsidRPr="00580C0D">
        <w:t>nokre</w:t>
      </w:r>
      <w:proofErr w:type="spellEnd"/>
      <w:r w:rsidRPr="00580C0D">
        <w:t xml:space="preserve"> </w:t>
      </w:r>
      <w:proofErr w:type="spellStart"/>
      <w:r w:rsidRPr="00580C0D">
        <w:t>prioriteringar</w:t>
      </w:r>
      <w:proofErr w:type="spellEnd"/>
      <w:r w:rsidRPr="00580C0D">
        <w:t xml:space="preserve"> for den </w:t>
      </w:r>
      <w:proofErr w:type="spellStart"/>
      <w:r w:rsidRPr="00580C0D">
        <w:t>vidare</w:t>
      </w:r>
      <w:proofErr w:type="spellEnd"/>
      <w:r w:rsidRPr="00580C0D">
        <w:t xml:space="preserve"> oppfølginga av oppmodingsvedtaket, bl.a. at terminologien i lova skal </w:t>
      </w:r>
      <w:proofErr w:type="spellStart"/>
      <w:r w:rsidRPr="00580C0D">
        <w:t>vurderast</w:t>
      </w:r>
      <w:proofErr w:type="spellEnd"/>
      <w:r w:rsidRPr="00580C0D">
        <w:t xml:space="preserve"> </w:t>
      </w:r>
      <w:proofErr w:type="spellStart"/>
      <w:r w:rsidRPr="00580C0D">
        <w:t>nærmare</w:t>
      </w:r>
      <w:proofErr w:type="spellEnd"/>
      <w:r w:rsidRPr="00580C0D">
        <w:t xml:space="preserve">. Arbeidet med </w:t>
      </w:r>
      <w:proofErr w:type="spellStart"/>
      <w:r w:rsidRPr="00580C0D">
        <w:t>vidare</w:t>
      </w:r>
      <w:proofErr w:type="spellEnd"/>
      <w:r w:rsidRPr="00580C0D">
        <w:t xml:space="preserve"> revisjon av lova blir gjennomført i dialog med sivilt samfunn og andre relevante </w:t>
      </w:r>
      <w:proofErr w:type="spellStart"/>
      <w:r w:rsidRPr="00580C0D">
        <w:t>aktørar</w:t>
      </w:r>
      <w:proofErr w:type="spellEnd"/>
      <w:r w:rsidRPr="00580C0D">
        <w:t>.</w:t>
      </w:r>
    </w:p>
    <w:p w14:paraId="22827C60" w14:textId="77777777" w:rsidR="00F7113A" w:rsidRPr="00580C0D" w:rsidRDefault="00142E5B" w:rsidP="00580C0D">
      <w:pPr>
        <w:pStyle w:val="avsnitt-tittel"/>
      </w:pPr>
      <w:proofErr w:type="spellStart"/>
      <w:r w:rsidRPr="00580C0D">
        <w:t>Lovendringar</w:t>
      </w:r>
      <w:proofErr w:type="spellEnd"/>
      <w:r w:rsidRPr="00580C0D">
        <w:t xml:space="preserve"> som </w:t>
      </w:r>
      <w:proofErr w:type="spellStart"/>
      <w:r w:rsidRPr="00580C0D">
        <w:t>følgje</w:t>
      </w:r>
      <w:proofErr w:type="spellEnd"/>
      <w:r w:rsidRPr="00580C0D">
        <w:t xml:space="preserve"> av ny </w:t>
      </w:r>
      <w:proofErr w:type="spellStart"/>
      <w:r w:rsidRPr="00580C0D">
        <w:t>sivilombodslov</w:t>
      </w:r>
      <w:proofErr w:type="spellEnd"/>
    </w:p>
    <w:p w14:paraId="02EA451F" w14:textId="77777777" w:rsidR="00F7113A" w:rsidRPr="00580C0D" w:rsidRDefault="00142E5B" w:rsidP="00580C0D">
      <w:pPr>
        <w:pStyle w:val="avsnitt-undertittel"/>
      </w:pPr>
      <w:r w:rsidRPr="00580C0D">
        <w:t>Vedtak nr. 928, 11. mai 2021</w:t>
      </w:r>
    </w:p>
    <w:p w14:paraId="706A6C5B" w14:textId="77777777" w:rsidR="00F7113A" w:rsidRPr="00580C0D" w:rsidRDefault="00142E5B" w:rsidP="00580C0D">
      <w:pPr>
        <w:pStyle w:val="blokksit"/>
        <w:rPr>
          <w:rStyle w:val="kursiv"/>
        </w:rPr>
      </w:pPr>
      <w:r w:rsidRPr="00580C0D">
        <w:rPr>
          <w:rStyle w:val="kursiv"/>
        </w:rPr>
        <w:t xml:space="preserve">«Stortinget ber regjeringen fremme forslag om nødvendige endringer i annen lovgivning som følge av ny </w:t>
      </w:r>
      <w:proofErr w:type="spellStart"/>
      <w:r w:rsidRPr="00580C0D">
        <w:rPr>
          <w:rStyle w:val="kursiv"/>
        </w:rPr>
        <w:t>sivilombudslov</w:t>
      </w:r>
      <w:proofErr w:type="spellEnd"/>
      <w:r w:rsidRPr="00580C0D">
        <w:rPr>
          <w:rStyle w:val="kursiv"/>
        </w:rPr>
        <w:t>.»</w:t>
      </w:r>
    </w:p>
    <w:p w14:paraId="3DCBE4CF" w14:textId="77777777" w:rsidR="00F7113A" w:rsidRPr="00580C0D" w:rsidRDefault="00142E5B" w:rsidP="00580C0D">
      <w:r w:rsidRPr="00580C0D">
        <w:t xml:space="preserve">Dokumenta som ligg til grunn for vedtaket, er Dokument 21 (2020–2021), kap. 10, og </w:t>
      </w:r>
      <w:proofErr w:type="spellStart"/>
      <w:r w:rsidRPr="00580C0D">
        <w:t>Innst</w:t>
      </w:r>
      <w:proofErr w:type="spellEnd"/>
      <w:r w:rsidRPr="00580C0D">
        <w:t>. 409 L (2020–2021).</w:t>
      </w:r>
    </w:p>
    <w:p w14:paraId="5215AC72" w14:textId="77777777" w:rsidR="00F7113A" w:rsidRPr="00580C0D" w:rsidRDefault="00142E5B" w:rsidP="00580C0D">
      <w:r w:rsidRPr="00580C0D">
        <w:t xml:space="preserve">Vedtaket er </w:t>
      </w:r>
      <w:proofErr w:type="spellStart"/>
      <w:r w:rsidRPr="00580C0D">
        <w:t>følgt</w:t>
      </w:r>
      <w:proofErr w:type="spellEnd"/>
      <w:r w:rsidRPr="00580C0D">
        <w:t xml:space="preserve"> opp gjennom </w:t>
      </w:r>
      <w:proofErr w:type="spellStart"/>
      <w:r w:rsidRPr="00580C0D">
        <w:t>Prop</w:t>
      </w:r>
      <w:proofErr w:type="spellEnd"/>
      <w:r w:rsidRPr="00580C0D">
        <w:t xml:space="preserve">. 121 L (2021–2022), der det vart </w:t>
      </w:r>
      <w:proofErr w:type="spellStart"/>
      <w:r w:rsidRPr="00580C0D">
        <w:t>fremja</w:t>
      </w:r>
      <w:proofErr w:type="spellEnd"/>
      <w:r w:rsidRPr="00580C0D">
        <w:t xml:space="preserve"> forslag om å endre «</w:t>
      </w:r>
      <w:proofErr w:type="spellStart"/>
      <w:r w:rsidRPr="00580C0D">
        <w:t>Sivilombodsmannen</w:t>
      </w:r>
      <w:proofErr w:type="spellEnd"/>
      <w:r w:rsidRPr="00580C0D">
        <w:t>», «</w:t>
      </w:r>
      <w:proofErr w:type="spellStart"/>
      <w:r w:rsidRPr="00580C0D">
        <w:t>ombodsmannen</w:t>
      </w:r>
      <w:proofErr w:type="spellEnd"/>
      <w:r w:rsidRPr="00580C0D">
        <w:t xml:space="preserve">» og </w:t>
      </w:r>
      <w:proofErr w:type="spellStart"/>
      <w:r w:rsidRPr="00580C0D">
        <w:t>variantar</w:t>
      </w:r>
      <w:proofErr w:type="spellEnd"/>
      <w:r w:rsidRPr="00580C0D">
        <w:t xml:space="preserve"> av dette, både på nynorsk og bokmål, til </w:t>
      </w:r>
      <w:proofErr w:type="spellStart"/>
      <w:r w:rsidRPr="00580C0D">
        <w:t>dei</w:t>
      </w:r>
      <w:proofErr w:type="spellEnd"/>
      <w:r w:rsidRPr="00580C0D">
        <w:t xml:space="preserve"> kjønnsnøytrale </w:t>
      </w:r>
      <w:proofErr w:type="spellStart"/>
      <w:r w:rsidRPr="00580C0D">
        <w:t>variantane</w:t>
      </w:r>
      <w:proofErr w:type="spellEnd"/>
      <w:r w:rsidRPr="00580C0D">
        <w:t xml:space="preserve"> «</w:t>
      </w:r>
      <w:proofErr w:type="spellStart"/>
      <w:r w:rsidRPr="00580C0D">
        <w:t>Sivilombodet</w:t>
      </w:r>
      <w:proofErr w:type="spellEnd"/>
      <w:r w:rsidRPr="00580C0D">
        <w:t>», «</w:t>
      </w:r>
      <w:proofErr w:type="spellStart"/>
      <w:r w:rsidRPr="00580C0D">
        <w:t>ombodet</w:t>
      </w:r>
      <w:proofErr w:type="spellEnd"/>
      <w:r w:rsidRPr="00580C0D">
        <w:t xml:space="preserve">» osv. i andre lover. Framlegget vart </w:t>
      </w:r>
      <w:proofErr w:type="spellStart"/>
      <w:r w:rsidRPr="00580C0D">
        <w:t>vidare</w:t>
      </w:r>
      <w:proofErr w:type="spellEnd"/>
      <w:r w:rsidRPr="00580C0D">
        <w:t xml:space="preserve"> </w:t>
      </w:r>
      <w:proofErr w:type="spellStart"/>
      <w:r w:rsidRPr="00580C0D">
        <w:t>følgt</w:t>
      </w:r>
      <w:proofErr w:type="spellEnd"/>
      <w:r w:rsidRPr="00580C0D">
        <w:t xml:space="preserve"> opp gjennom lovvedtak 14 (2022–2023).</w:t>
      </w:r>
    </w:p>
    <w:p w14:paraId="248563B0" w14:textId="77777777" w:rsidR="00F7113A" w:rsidRPr="00580C0D" w:rsidRDefault="00142E5B" w:rsidP="00580C0D">
      <w:pPr>
        <w:pStyle w:val="avsnitt-tittel"/>
      </w:pPr>
      <w:r w:rsidRPr="00580C0D">
        <w:t xml:space="preserve">Etablering av ny redningshelikopterbase i Tromsø og felles operasjon med </w:t>
      </w:r>
      <w:proofErr w:type="spellStart"/>
      <w:r w:rsidRPr="00580C0D">
        <w:t>helikoptertenesta</w:t>
      </w:r>
      <w:proofErr w:type="spellEnd"/>
      <w:r w:rsidRPr="00580C0D">
        <w:t xml:space="preserve"> til </w:t>
      </w:r>
      <w:proofErr w:type="spellStart"/>
      <w:r w:rsidRPr="00580C0D">
        <w:t>Sysselmeisteren</w:t>
      </w:r>
      <w:proofErr w:type="spellEnd"/>
    </w:p>
    <w:p w14:paraId="2C4E1B59" w14:textId="77777777" w:rsidR="00F7113A" w:rsidRPr="00580C0D" w:rsidRDefault="00142E5B" w:rsidP="00580C0D">
      <w:pPr>
        <w:pStyle w:val="avsnitt-undertittel"/>
      </w:pPr>
      <w:r w:rsidRPr="00580C0D">
        <w:t>Vedtak nr. 983, 25. mai 2021</w:t>
      </w:r>
    </w:p>
    <w:p w14:paraId="4B7BF8F4" w14:textId="77777777" w:rsidR="00F7113A" w:rsidRPr="00580C0D" w:rsidRDefault="00142E5B" w:rsidP="00580C0D">
      <w:pPr>
        <w:pStyle w:val="blokksit"/>
        <w:rPr>
          <w:rStyle w:val="kursiv"/>
        </w:rPr>
      </w:pPr>
      <w:r w:rsidRPr="00580C0D">
        <w:rPr>
          <w:rStyle w:val="kursiv"/>
        </w:rPr>
        <w:t>«Stortinget ber regjeringen starte nødvendige forberedelser som sikrer at Forsvaret overtar som operatør av redningshelikopterbasen i Tromsø når kontrakten med sivil operatør går ut.»</w:t>
      </w:r>
    </w:p>
    <w:p w14:paraId="6E0A7763"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85 S (2020–2021) og </w:t>
      </w:r>
      <w:proofErr w:type="spellStart"/>
      <w:r w:rsidRPr="00580C0D">
        <w:t>Innst</w:t>
      </w:r>
      <w:proofErr w:type="spellEnd"/>
      <w:r w:rsidRPr="00580C0D">
        <w:t xml:space="preserve">. 393 S (2020–2021) </w:t>
      </w:r>
      <w:proofErr w:type="spellStart"/>
      <w:r w:rsidRPr="00580C0D">
        <w:t>frå</w:t>
      </w:r>
      <w:proofErr w:type="spellEnd"/>
      <w:r w:rsidRPr="00580C0D">
        <w:t xml:space="preserve"> justiskomiteen.</w:t>
      </w:r>
    </w:p>
    <w:p w14:paraId="22930D7F" w14:textId="77777777" w:rsidR="00F7113A" w:rsidRPr="00580C0D" w:rsidRDefault="00142E5B" w:rsidP="00580C0D">
      <w:r w:rsidRPr="00580C0D">
        <w:t>Vedtaket er under behandling.</w:t>
      </w:r>
    </w:p>
    <w:p w14:paraId="7E7996C7" w14:textId="77777777" w:rsidR="00F7113A" w:rsidRPr="00580C0D" w:rsidRDefault="00142E5B" w:rsidP="00580C0D">
      <w:pPr>
        <w:pStyle w:val="avsnitt-tittel"/>
      </w:pPr>
      <w:r w:rsidRPr="00580C0D">
        <w:t xml:space="preserve">Kartlegging av </w:t>
      </w:r>
      <w:proofErr w:type="spellStart"/>
      <w:r w:rsidRPr="00580C0D">
        <w:t>tryggleikskompetanse</w:t>
      </w:r>
      <w:proofErr w:type="spellEnd"/>
      <w:r w:rsidRPr="00580C0D">
        <w:t xml:space="preserve">, gjennomgang av bruken av tryggingslova og evaluering av </w:t>
      </w:r>
      <w:proofErr w:type="spellStart"/>
      <w:r w:rsidRPr="00580C0D">
        <w:t>tryggleiksforståing</w:t>
      </w:r>
      <w:proofErr w:type="spellEnd"/>
    </w:p>
    <w:p w14:paraId="199A41BD" w14:textId="77777777" w:rsidR="00F7113A" w:rsidRPr="00580C0D" w:rsidRDefault="00142E5B" w:rsidP="00580C0D">
      <w:pPr>
        <w:pStyle w:val="avsnitt-undertittel"/>
      </w:pPr>
      <w:r w:rsidRPr="00580C0D">
        <w:t>Vedtak nr. 1038, 28. mai 2021</w:t>
      </w:r>
    </w:p>
    <w:p w14:paraId="4DD8A36F" w14:textId="77777777" w:rsidR="00F7113A" w:rsidRPr="00580C0D" w:rsidRDefault="00142E5B" w:rsidP="00580C0D">
      <w:pPr>
        <w:pStyle w:val="blokksit"/>
        <w:rPr>
          <w:rStyle w:val="kursiv"/>
        </w:rPr>
      </w:pPr>
      <w:r w:rsidRPr="00580C0D">
        <w:rPr>
          <w:rStyle w:val="kursiv"/>
        </w:rPr>
        <w:t>«Stortinget ber regjeringen gjennomføre og legge frem for Stortinget på egnet måte:</w:t>
      </w:r>
    </w:p>
    <w:p w14:paraId="0B02C6DF" w14:textId="77777777" w:rsidR="00F7113A" w:rsidRPr="00580C0D" w:rsidRDefault="00142E5B" w:rsidP="00580C0D">
      <w:pPr>
        <w:pStyle w:val="blokksit"/>
        <w:rPr>
          <w:rStyle w:val="kursiv"/>
        </w:rPr>
      </w:pPr>
      <w:r w:rsidRPr="00580C0D">
        <w:rPr>
          <w:rStyle w:val="kursiv"/>
        </w:rPr>
        <w:t>en kartlegging av sikkerhetskompetansen i alle departementer</w:t>
      </w:r>
    </w:p>
    <w:p w14:paraId="049421EC" w14:textId="77777777" w:rsidR="00F7113A" w:rsidRPr="00580C0D" w:rsidRDefault="00142E5B" w:rsidP="00580C0D">
      <w:pPr>
        <w:pStyle w:val="blokksit"/>
        <w:rPr>
          <w:rStyle w:val="kursiv"/>
        </w:rPr>
      </w:pPr>
      <w:r w:rsidRPr="00580C0D">
        <w:rPr>
          <w:rStyle w:val="kursiv"/>
        </w:rPr>
        <w:t xml:space="preserve">en gjennomgang utført av et offentlig utnevnt ekspertutvalg av sikkerhetslovens </w:t>
      </w:r>
      <w:proofErr w:type="gramStart"/>
      <w:r w:rsidRPr="00580C0D">
        <w:rPr>
          <w:rStyle w:val="kursiv"/>
        </w:rPr>
        <w:t>anvendelse</w:t>
      </w:r>
      <w:proofErr w:type="gramEnd"/>
      <w:r w:rsidRPr="00580C0D">
        <w:rPr>
          <w:rStyle w:val="kursiv"/>
        </w:rPr>
        <w:t>, herunder mulige sårbarheter, ansvarsfordeling, status for departementenes listeføring av virksomheter som helt eller delvis skal omfattes av sikkerhetsloven</w:t>
      </w:r>
    </w:p>
    <w:p w14:paraId="41E60418" w14:textId="77777777" w:rsidR="00F7113A" w:rsidRPr="00580C0D" w:rsidRDefault="00142E5B" w:rsidP="00580C0D">
      <w:pPr>
        <w:pStyle w:val="blokksit"/>
        <w:rPr>
          <w:rStyle w:val="kursiv"/>
        </w:rPr>
      </w:pPr>
      <w:r w:rsidRPr="00580C0D">
        <w:rPr>
          <w:rStyle w:val="kursiv"/>
        </w:rPr>
        <w:t xml:space="preserve">en evaluering av hvordan sikkerhetsforståelse i departementene </w:t>
      </w:r>
      <w:proofErr w:type="gramStart"/>
      <w:r w:rsidRPr="00580C0D">
        <w:rPr>
          <w:rStyle w:val="kursiv"/>
        </w:rPr>
        <w:t>etableres</w:t>
      </w:r>
      <w:proofErr w:type="gramEnd"/>
      <w:r w:rsidRPr="00580C0D">
        <w:rPr>
          <w:rStyle w:val="kursiv"/>
        </w:rPr>
        <w:t xml:space="preserve"> og samarbeid mellom departementene blir sikret.»</w:t>
      </w:r>
    </w:p>
    <w:p w14:paraId="3037F0C0" w14:textId="77777777" w:rsidR="00F7113A" w:rsidRPr="00580C0D" w:rsidRDefault="00142E5B" w:rsidP="00580C0D">
      <w:r w:rsidRPr="00580C0D">
        <w:t xml:space="preserve">Dokumentet som ligg til grunn for vedtaket, er behandlinga av innstillinga </w:t>
      </w:r>
      <w:proofErr w:type="spellStart"/>
      <w:r w:rsidRPr="00580C0D">
        <w:t>frå</w:t>
      </w:r>
      <w:proofErr w:type="spellEnd"/>
      <w:r w:rsidRPr="00580C0D">
        <w:t xml:space="preserve"> </w:t>
      </w:r>
      <w:proofErr w:type="spellStart"/>
      <w:r w:rsidRPr="00580C0D">
        <w:t>utanriks</w:t>
      </w:r>
      <w:proofErr w:type="spellEnd"/>
      <w:r w:rsidRPr="00580C0D">
        <w:t xml:space="preserve">- og forsvarskomiteen om </w:t>
      </w:r>
      <w:r w:rsidRPr="00580C0D">
        <w:rPr>
          <w:rStyle w:val="kursiv"/>
        </w:rPr>
        <w:t>Redegjørelse av justis- og beredskapsministeren om planlagt salg av Bergen Engines AS,</w:t>
      </w:r>
      <w:r w:rsidRPr="00580C0D">
        <w:t xml:space="preserve"> jf. </w:t>
      </w:r>
      <w:proofErr w:type="spellStart"/>
      <w:r w:rsidRPr="00580C0D">
        <w:t>Innst</w:t>
      </w:r>
      <w:proofErr w:type="spellEnd"/>
      <w:r w:rsidRPr="00580C0D">
        <w:t>. 503 S (2020–2021).</w:t>
      </w:r>
    </w:p>
    <w:p w14:paraId="6D1BBC08" w14:textId="77777777" w:rsidR="00F7113A" w:rsidRPr="00580C0D" w:rsidRDefault="00142E5B" w:rsidP="00580C0D">
      <w:r w:rsidRPr="00580C0D">
        <w:t xml:space="preserve">Vedtaket er </w:t>
      </w:r>
      <w:proofErr w:type="spellStart"/>
      <w:r w:rsidRPr="00580C0D">
        <w:t>følgt</w:t>
      </w:r>
      <w:proofErr w:type="spellEnd"/>
      <w:r w:rsidRPr="00580C0D">
        <w:t xml:space="preserve"> opp. Kartlegginga av </w:t>
      </w:r>
      <w:proofErr w:type="spellStart"/>
      <w:r w:rsidRPr="00580C0D">
        <w:t>tryggleikskompetanse</w:t>
      </w:r>
      <w:proofErr w:type="spellEnd"/>
      <w:r w:rsidRPr="00580C0D">
        <w:t xml:space="preserve"> i departementa </w:t>
      </w:r>
      <w:proofErr w:type="spellStart"/>
      <w:r w:rsidRPr="00580C0D">
        <w:t>vart</w:t>
      </w:r>
      <w:proofErr w:type="spellEnd"/>
      <w:r w:rsidRPr="00580C0D">
        <w:t xml:space="preserve"> gjennomført i 2022. I kartlegginga kjem det fram at alle departement jobbar med tryggleik tilknytt sine ansvarsområde, og det er generelt god kompetanse og </w:t>
      </w:r>
      <w:proofErr w:type="spellStart"/>
      <w:r w:rsidRPr="00580C0D">
        <w:t>tryggleiksforståing</w:t>
      </w:r>
      <w:proofErr w:type="spellEnd"/>
      <w:r w:rsidRPr="00580C0D">
        <w:t xml:space="preserve"> i leiinga i departementa.</w:t>
      </w:r>
    </w:p>
    <w:p w14:paraId="5C096748" w14:textId="77777777" w:rsidR="00F7113A" w:rsidRPr="00580C0D" w:rsidRDefault="00142E5B" w:rsidP="00580C0D">
      <w:r w:rsidRPr="00580C0D">
        <w:t xml:space="preserve">NSM held oppdatert oversikt over departementa sine </w:t>
      </w:r>
      <w:proofErr w:type="spellStart"/>
      <w:r w:rsidRPr="00580C0D">
        <w:t>grunnleggjande</w:t>
      </w:r>
      <w:proofErr w:type="spellEnd"/>
      <w:r w:rsidRPr="00580C0D">
        <w:t xml:space="preserve"> nasjonale </w:t>
      </w:r>
      <w:proofErr w:type="spellStart"/>
      <w:r w:rsidRPr="00580C0D">
        <w:t>funksjonar</w:t>
      </w:r>
      <w:proofErr w:type="spellEnd"/>
      <w:r w:rsidRPr="00580C0D">
        <w:t xml:space="preserve"> (GNF) og </w:t>
      </w:r>
      <w:proofErr w:type="spellStart"/>
      <w:r w:rsidRPr="00580C0D">
        <w:t>verksemder</w:t>
      </w:r>
      <w:proofErr w:type="spellEnd"/>
      <w:r w:rsidRPr="00580C0D">
        <w:t xml:space="preserve"> som er vurderte å </w:t>
      </w:r>
      <w:proofErr w:type="spellStart"/>
      <w:r w:rsidRPr="00580C0D">
        <w:t>vere</w:t>
      </w:r>
      <w:proofErr w:type="spellEnd"/>
      <w:r w:rsidRPr="00580C0D">
        <w:t xml:space="preserve"> viktige for GNF, inkludert </w:t>
      </w:r>
      <w:proofErr w:type="spellStart"/>
      <w:r w:rsidRPr="00580C0D">
        <w:t>verksemder</w:t>
      </w:r>
      <w:proofErr w:type="spellEnd"/>
      <w:r w:rsidRPr="00580C0D">
        <w:t xml:space="preserve"> som er heilt eller delvis </w:t>
      </w:r>
      <w:proofErr w:type="spellStart"/>
      <w:r w:rsidRPr="00580C0D">
        <w:t>underlagde</w:t>
      </w:r>
      <w:proofErr w:type="spellEnd"/>
      <w:r w:rsidRPr="00580C0D">
        <w:t xml:space="preserve"> tryggingslova. Departementet har på bakgrunn av den </w:t>
      </w:r>
      <w:proofErr w:type="spellStart"/>
      <w:r w:rsidRPr="00580C0D">
        <w:t>sikkerheitspolitiske</w:t>
      </w:r>
      <w:proofErr w:type="spellEnd"/>
      <w:r w:rsidRPr="00580C0D">
        <w:t xml:space="preserve"> situasjonen og </w:t>
      </w:r>
      <w:proofErr w:type="spellStart"/>
      <w:r w:rsidRPr="00580C0D">
        <w:t>innspel</w:t>
      </w:r>
      <w:proofErr w:type="spellEnd"/>
      <w:r w:rsidRPr="00580C0D">
        <w:t xml:space="preserve"> </w:t>
      </w:r>
      <w:proofErr w:type="spellStart"/>
      <w:r w:rsidRPr="00580C0D">
        <w:t>frå</w:t>
      </w:r>
      <w:proofErr w:type="spellEnd"/>
      <w:r w:rsidRPr="00580C0D">
        <w:t xml:space="preserve"> </w:t>
      </w:r>
      <w:proofErr w:type="spellStart"/>
      <w:r w:rsidRPr="00580C0D">
        <w:t>verksemder</w:t>
      </w:r>
      <w:proofErr w:type="spellEnd"/>
      <w:r w:rsidRPr="00580C0D">
        <w:t xml:space="preserve"> underlagt tryggingslova gjennomgått lova og fremma </w:t>
      </w:r>
      <w:proofErr w:type="spellStart"/>
      <w:r w:rsidRPr="00580C0D">
        <w:t>naudsynte</w:t>
      </w:r>
      <w:proofErr w:type="spellEnd"/>
      <w:r w:rsidRPr="00580C0D">
        <w:t xml:space="preserve"> forslag til </w:t>
      </w:r>
      <w:proofErr w:type="spellStart"/>
      <w:r w:rsidRPr="00580C0D">
        <w:t>endringar</w:t>
      </w:r>
      <w:proofErr w:type="spellEnd"/>
      <w:r w:rsidRPr="00580C0D">
        <w:t xml:space="preserve">, jf. </w:t>
      </w:r>
      <w:proofErr w:type="spellStart"/>
      <w:r w:rsidRPr="00580C0D">
        <w:t>Prop</w:t>
      </w:r>
      <w:proofErr w:type="spellEnd"/>
      <w:r w:rsidRPr="00580C0D">
        <w:t xml:space="preserve">. 95 L (2022-2023) om endringer i sikkerhetsloven (eierskapskontroll og lovens virkeområde). Departementet jobbar </w:t>
      </w:r>
      <w:proofErr w:type="spellStart"/>
      <w:r w:rsidRPr="00580C0D">
        <w:t>no</w:t>
      </w:r>
      <w:proofErr w:type="spellEnd"/>
      <w:r w:rsidRPr="00580C0D">
        <w:t xml:space="preserve"> </w:t>
      </w:r>
      <w:proofErr w:type="spellStart"/>
      <w:r w:rsidRPr="00580C0D">
        <w:t>vidare</w:t>
      </w:r>
      <w:proofErr w:type="spellEnd"/>
      <w:r w:rsidRPr="00580C0D">
        <w:t xml:space="preserve"> med andre område og ser på øvrige endringsbehov i tryggingslova.</w:t>
      </w:r>
    </w:p>
    <w:p w14:paraId="6FCC100B" w14:textId="77777777" w:rsidR="00F7113A" w:rsidRPr="00580C0D" w:rsidRDefault="00142E5B" w:rsidP="00580C0D">
      <w:r w:rsidRPr="00580C0D">
        <w:t xml:space="preserve">Ei felles </w:t>
      </w:r>
      <w:proofErr w:type="spellStart"/>
      <w:r w:rsidRPr="00580C0D">
        <w:t>tryggleiksforståing</w:t>
      </w:r>
      <w:proofErr w:type="spellEnd"/>
      <w:r w:rsidRPr="00580C0D">
        <w:t xml:space="preserve"> og </w:t>
      </w:r>
      <w:proofErr w:type="spellStart"/>
      <w:r w:rsidRPr="00580C0D">
        <w:t>ein</w:t>
      </w:r>
      <w:proofErr w:type="spellEnd"/>
      <w:r w:rsidRPr="00580C0D">
        <w:t xml:space="preserve"> felles </w:t>
      </w:r>
      <w:proofErr w:type="spellStart"/>
      <w:r w:rsidRPr="00580C0D">
        <w:t>tryggleikskultur</w:t>
      </w:r>
      <w:proofErr w:type="spellEnd"/>
      <w:r w:rsidRPr="00580C0D">
        <w:t xml:space="preserve"> mellom departementa må </w:t>
      </w:r>
      <w:proofErr w:type="spellStart"/>
      <w:r w:rsidRPr="00580C0D">
        <w:t>byggjast</w:t>
      </w:r>
      <w:proofErr w:type="spellEnd"/>
      <w:r w:rsidRPr="00580C0D">
        <w:t xml:space="preserve"> over tid. Departementa er derfor </w:t>
      </w:r>
      <w:proofErr w:type="spellStart"/>
      <w:r w:rsidRPr="00580C0D">
        <w:t>oppmoda</w:t>
      </w:r>
      <w:proofErr w:type="spellEnd"/>
      <w:r w:rsidRPr="00580C0D">
        <w:t xml:space="preserve"> om å ta relevante kurs hjå Nasjonalt tryggingsorgan (NSM) </w:t>
      </w:r>
      <w:proofErr w:type="spellStart"/>
      <w:r w:rsidRPr="00580C0D">
        <w:t>innan</w:t>
      </w:r>
      <w:proofErr w:type="spellEnd"/>
      <w:r w:rsidRPr="00580C0D">
        <w:t xml:space="preserve"> </w:t>
      </w:r>
      <w:proofErr w:type="spellStart"/>
      <w:r w:rsidRPr="00580C0D">
        <w:t>sikkerheitsstyring</w:t>
      </w:r>
      <w:proofErr w:type="spellEnd"/>
      <w:r w:rsidRPr="00580C0D">
        <w:t xml:space="preserve"> for </w:t>
      </w:r>
      <w:proofErr w:type="spellStart"/>
      <w:r w:rsidRPr="00580C0D">
        <w:t>leiarar</w:t>
      </w:r>
      <w:proofErr w:type="spellEnd"/>
      <w:r w:rsidRPr="00580C0D">
        <w:t xml:space="preserve">. Dei er i tillegg </w:t>
      </w:r>
      <w:proofErr w:type="spellStart"/>
      <w:r w:rsidRPr="00580C0D">
        <w:t>oppmoda</w:t>
      </w:r>
      <w:proofErr w:type="spellEnd"/>
      <w:r w:rsidRPr="00580C0D">
        <w:t xml:space="preserve"> om </w:t>
      </w:r>
      <w:proofErr w:type="gramStart"/>
      <w:r w:rsidRPr="00580C0D">
        <w:t>ta</w:t>
      </w:r>
      <w:proofErr w:type="gramEnd"/>
      <w:r w:rsidRPr="00580C0D">
        <w:t xml:space="preserve"> kurs i «Nasjonal sikkerhet og beredskap» på det tverrdepartementale Departementsakademiet. Departementsakademiet vart </w:t>
      </w:r>
      <w:proofErr w:type="spellStart"/>
      <w:r w:rsidRPr="00580C0D">
        <w:t>opna</w:t>
      </w:r>
      <w:proofErr w:type="spellEnd"/>
      <w:r w:rsidRPr="00580C0D">
        <w:t xml:space="preserve"> 1. september 2023 og er </w:t>
      </w:r>
      <w:proofErr w:type="spellStart"/>
      <w:r w:rsidRPr="00580C0D">
        <w:t>eit</w:t>
      </w:r>
      <w:proofErr w:type="spellEnd"/>
      <w:r w:rsidRPr="00580C0D">
        <w:t xml:space="preserve"> kompetansetiltak i strategien for departementsfellesskapet 2021–2025 «Gode hver for oss. Best sammen». Akademiet skal utvikla og tilby relevante </w:t>
      </w:r>
      <w:proofErr w:type="spellStart"/>
      <w:r w:rsidRPr="00580C0D">
        <w:t>kompetansetilbod</w:t>
      </w:r>
      <w:proofErr w:type="spellEnd"/>
      <w:r w:rsidRPr="00580C0D">
        <w:t xml:space="preserve"> for alle </w:t>
      </w:r>
      <w:proofErr w:type="spellStart"/>
      <w:r w:rsidRPr="00580C0D">
        <w:t>departementstilsette</w:t>
      </w:r>
      <w:proofErr w:type="spellEnd"/>
      <w:r w:rsidRPr="00580C0D">
        <w:t xml:space="preserve">, og </w:t>
      </w:r>
      <w:proofErr w:type="spellStart"/>
      <w:r w:rsidRPr="00580C0D">
        <w:t>styrkje</w:t>
      </w:r>
      <w:proofErr w:type="spellEnd"/>
      <w:r w:rsidRPr="00580C0D">
        <w:t xml:space="preserve"> departementsfellesskapets samla kompetanse og evne til å utføra sine </w:t>
      </w:r>
      <w:proofErr w:type="spellStart"/>
      <w:r w:rsidRPr="00580C0D">
        <w:t>oppgåver</w:t>
      </w:r>
      <w:proofErr w:type="spellEnd"/>
      <w:r w:rsidRPr="00580C0D">
        <w:t xml:space="preserve">. Vedtaket er også </w:t>
      </w:r>
      <w:proofErr w:type="spellStart"/>
      <w:r w:rsidRPr="00580C0D">
        <w:t>følgt</w:t>
      </w:r>
      <w:proofErr w:type="spellEnd"/>
      <w:r w:rsidRPr="00580C0D">
        <w:t xml:space="preserve"> opp i Meld. St. 9 (2022–2023) «Nasjonal kontroll og digital motstandskraft for å ivareta nasjonal sikkerhet», som vart behandla i Stortinget 30. mars 2023.</w:t>
      </w:r>
    </w:p>
    <w:p w14:paraId="02905C81" w14:textId="77777777" w:rsidR="00F7113A" w:rsidRPr="00580C0D" w:rsidRDefault="00142E5B" w:rsidP="00580C0D">
      <w:pPr>
        <w:pStyle w:val="avsnitt-tittel"/>
      </w:pPr>
      <w:r w:rsidRPr="00580C0D">
        <w:t xml:space="preserve">Stortingsmelding om nasjonalt </w:t>
      </w:r>
      <w:proofErr w:type="spellStart"/>
      <w:r w:rsidRPr="00580C0D">
        <w:t>eigarskap</w:t>
      </w:r>
      <w:proofErr w:type="spellEnd"/>
      <w:r w:rsidRPr="00580C0D">
        <w:t xml:space="preserve"> og kontroll over strategisk viktige </w:t>
      </w:r>
      <w:proofErr w:type="spellStart"/>
      <w:r w:rsidRPr="00580C0D">
        <w:t>naturressursar</w:t>
      </w:r>
      <w:proofErr w:type="spellEnd"/>
      <w:r w:rsidRPr="00580C0D">
        <w:t xml:space="preserve">, bedrifter, </w:t>
      </w:r>
      <w:proofErr w:type="spellStart"/>
      <w:r w:rsidRPr="00580C0D">
        <w:t>infrastrukturar</w:t>
      </w:r>
      <w:proofErr w:type="spellEnd"/>
      <w:r w:rsidRPr="00580C0D">
        <w:t xml:space="preserve"> og </w:t>
      </w:r>
      <w:proofErr w:type="spellStart"/>
      <w:r w:rsidRPr="00580C0D">
        <w:t>teknologiar</w:t>
      </w:r>
      <w:proofErr w:type="spellEnd"/>
    </w:p>
    <w:p w14:paraId="7739608E" w14:textId="77777777" w:rsidR="00F7113A" w:rsidRPr="00580C0D" w:rsidRDefault="00142E5B" w:rsidP="00580C0D">
      <w:pPr>
        <w:pStyle w:val="avsnitt-undertittel"/>
      </w:pPr>
      <w:r w:rsidRPr="00580C0D">
        <w:t>Vedtak nr. 1040, 28. mai 2021</w:t>
      </w:r>
    </w:p>
    <w:p w14:paraId="6F3A216B" w14:textId="77777777" w:rsidR="00F7113A" w:rsidRPr="00580C0D" w:rsidRDefault="00142E5B" w:rsidP="00580C0D">
      <w:pPr>
        <w:pStyle w:val="blokksit"/>
        <w:rPr>
          <w:rStyle w:val="kursiv"/>
        </w:rPr>
      </w:pPr>
      <w:r w:rsidRPr="00580C0D">
        <w:rPr>
          <w:rStyle w:val="kursiv"/>
        </w:rPr>
        <w:t>«Stortinget ber regjeringen legge fram en stortingsmelding om hvordan Norge kan sikre nasjonalt eierskap og kontroll over strategisk viktige bedrifter, naturressurser, infrastrukturer og teknologier.»</w:t>
      </w:r>
    </w:p>
    <w:p w14:paraId="24210421" w14:textId="77777777" w:rsidR="00F7113A" w:rsidRPr="00580C0D" w:rsidRDefault="00142E5B" w:rsidP="00580C0D">
      <w:r w:rsidRPr="00580C0D">
        <w:t xml:space="preserve">Dokumenta som ligg til grunn for vedtaket, er Dokument 8:153 S (2020–2021) og </w:t>
      </w:r>
      <w:proofErr w:type="spellStart"/>
      <w:r w:rsidRPr="00580C0D">
        <w:t>Innst</w:t>
      </w:r>
      <w:proofErr w:type="spellEnd"/>
      <w:r w:rsidRPr="00580C0D">
        <w:t xml:space="preserve">. 504 S (2020–2021) </w:t>
      </w:r>
      <w:proofErr w:type="spellStart"/>
      <w:r w:rsidRPr="00580C0D">
        <w:t>frå</w:t>
      </w:r>
      <w:proofErr w:type="spellEnd"/>
      <w:r w:rsidRPr="00580C0D">
        <w:t xml:space="preserve"> </w:t>
      </w:r>
      <w:proofErr w:type="spellStart"/>
      <w:r w:rsidRPr="00580C0D">
        <w:t>utanriks</w:t>
      </w:r>
      <w:proofErr w:type="spellEnd"/>
      <w:r w:rsidRPr="00580C0D">
        <w:t>- og forsvarskomiteen.</w:t>
      </w:r>
    </w:p>
    <w:p w14:paraId="21A81C04" w14:textId="77777777" w:rsidR="00F7113A" w:rsidRPr="00580C0D" w:rsidRDefault="00142E5B" w:rsidP="00580C0D">
      <w:r w:rsidRPr="00580C0D">
        <w:t xml:space="preserve">Vedtaket er </w:t>
      </w:r>
      <w:proofErr w:type="spellStart"/>
      <w:r w:rsidRPr="00580C0D">
        <w:t>følgt</w:t>
      </w:r>
      <w:proofErr w:type="spellEnd"/>
      <w:r w:rsidRPr="00580C0D">
        <w:t xml:space="preserve"> opp ved forslag av Meld. St. 9 (2022–2023) </w:t>
      </w:r>
      <w:r w:rsidRPr="00580C0D">
        <w:rPr>
          <w:rStyle w:val="kursiv"/>
        </w:rPr>
        <w:t>Nasjonal kontroll og digital motstandskraft for å ivareta nasjonal sikkerhet</w:t>
      </w:r>
      <w:r w:rsidRPr="00580C0D">
        <w:t xml:space="preserve">, jf. </w:t>
      </w:r>
      <w:proofErr w:type="spellStart"/>
      <w:r w:rsidRPr="00580C0D">
        <w:t>Innst</w:t>
      </w:r>
      <w:proofErr w:type="spellEnd"/>
      <w:r w:rsidRPr="00580C0D">
        <w:t>. 247 S (2022–2023), som vart behandla i Stortinget 30. mars 2023.</w:t>
      </w:r>
    </w:p>
    <w:p w14:paraId="49477781" w14:textId="77777777" w:rsidR="00F7113A" w:rsidRPr="00580C0D" w:rsidRDefault="00142E5B" w:rsidP="00580C0D">
      <w:r w:rsidRPr="00580C0D">
        <w:t>Sjå òg vedtak 814.</w:t>
      </w:r>
    </w:p>
    <w:p w14:paraId="55C07697" w14:textId="77777777" w:rsidR="00F7113A" w:rsidRPr="00580C0D" w:rsidRDefault="00142E5B" w:rsidP="00580C0D">
      <w:pPr>
        <w:pStyle w:val="avsnitt-tittel"/>
      </w:pPr>
      <w:r w:rsidRPr="00580C0D">
        <w:t>Nytt Oslo fengsel</w:t>
      </w:r>
    </w:p>
    <w:p w14:paraId="539259D1" w14:textId="77777777" w:rsidR="00F7113A" w:rsidRPr="00580C0D" w:rsidRDefault="00142E5B" w:rsidP="00580C0D">
      <w:pPr>
        <w:pStyle w:val="avsnitt-undertittel"/>
      </w:pPr>
      <w:r w:rsidRPr="00580C0D">
        <w:t>Vedtak nr. 1041, 28. mai 2021</w:t>
      </w:r>
    </w:p>
    <w:p w14:paraId="308C9466" w14:textId="77777777" w:rsidR="00F7113A" w:rsidRPr="00580C0D" w:rsidRDefault="00142E5B" w:rsidP="00580C0D">
      <w:pPr>
        <w:pStyle w:val="blokksit"/>
        <w:rPr>
          <w:rStyle w:val="kursiv"/>
        </w:rPr>
      </w:pPr>
      <w:r w:rsidRPr="00580C0D">
        <w:rPr>
          <w:rStyle w:val="kursiv"/>
        </w:rPr>
        <w:t xml:space="preserve">«Stortinget ber regjeringen på egnet måte komme tilbake til Stortinget med forslag </w:t>
      </w:r>
      <w:proofErr w:type="gramStart"/>
      <w:r w:rsidRPr="00580C0D">
        <w:rPr>
          <w:rStyle w:val="kursiv"/>
        </w:rPr>
        <w:t>vedrørende</w:t>
      </w:r>
      <w:proofErr w:type="gramEnd"/>
      <w:r w:rsidRPr="00580C0D">
        <w:rPr>
          <w:rStyle w:val="kursiv"/>
        </w:rPr>
        <w:t xml:space="preserve"> nytt Oslo fengsel.»</w:t>
      </w:r>
    </w:p>
    <w:p w14:paraId="1C25CEFE" w14:textId="77777777" w:rsidR="00F7113A" w:rsidRPr="00580C0D" w:rsidRDefault="00142E5B" w:rsidP="00580C0D">
      <w:r w:rsidRPr="00580C0D">
        <w:t xml:space="preserve">Dokumenta som ligg til grunn for vedtaket, er Dokument 8:142 S (2020–2021) og </w:t>
      </w:r>
      <w:proofErr w:type="spellStart"/>
      <w:r w:rsidRPr="00580C0D">
        <w:t>Innst</w:t>
      </w:r>
      <w:proofErr w:type="spellEnd"/>
      <w:r w:rsidRPr="00580C0D">
        <w:t>. 470 S (2020–2021).</w:t>
      </w:r>
    </w:p>
    <w:p w14:paraId="7182BA1E" w14:textId="77777777" w:rsidR="00F7113A" w:rsidRPr="00580C0D" w:rsidRDefault="00142E5B" w:rsidP="00580C0D">
      <w:r w:rsidRPr="00580C0D">
        <w:t xml:space="preserve">Vedtaket er </w:t>
      </w:r>
      <w:proofErr w:type="spellStart"/>
      <w:r w:rsidRPr="00580C0D">
        <w:t>følgt</w:t>
      </w:r>
      <w:proofErr w:type="spellEnd"/>
      <w:r w:rsidRPr="00580C0D">
        <w:t xml:space="preserve"> opp. Det blir vist til omtale under programkategori 06.30, kap. 430. Som erstatning for </w:t>
      </w:r>
      <w:proofErr w:type="spellStart"/>
      <w:r w:rsidRPr="00580C0D">
        <w:t>nokre</w:t>
      </w:r>
      <w:proofErr w:type="spellEnd"/>
      <w:r w:rsidRPr="00580C0D">
        <w:t xml:space="preserve"> av </w:t>
      </w:r>
      <w:proofErr w:type="spellStart"/>
      <w:r w:rsidRPr="00580C0D">
        <w:t>dei</w:t>
      </w:r>
      <w:proofErr w:type="spellEnd"/>
      <w:r w:rsidRPr="00580C0D">
        <w:t xml:space="preserve"> </w:t>
      </w:r>
      <w:proofErr w:type="spellStart"/>
      <w:r w:rsidRPr="00580C0D">
        <w:t>eksisterande</w:t>
      </w:r>
      <w:proofErr w:type="spellEnd"/>
      <w:r w:rsidRPr="00580C0D">
        <w:t xml:space="preserve"> </w:t>
      </w:r>
      <w:proofErr w:type="spellStart"/>
      <w:r w:rsidRPr="00580C0D">
        <w:t>fengselsplassane</w:t>
      </w:r>
      <w:proofErr w:type="spellEnd"/>
      <w:r w:rsidRPr="00580C0D">
        <w:t xml:space="preserve"> ved Oslo fengsel er det gitt startløyving til å utvide Romerike fengsel, Ullersmo avdeling, med netto 76 </w:t>
      </w:r>
      <w:proofErr w:type="spellStart"/>
      <w:r w:rsidRPr="00580C0D">
        <w:t>plassar</w:t>
      </w:r>
      <w:proofErr w:type="spellEnd"/>
      <w:r w:rsidRPr="00580C0D">
        <w:t xml:space="preserve">. </w:t>
      </w:r>
      <w:proofErr w:type="spellStart"/>
      <w:r w:rsidRPr="00580C0D">
        <w:t>Vidare</w:t>
      </w:r>
      <w:proofErr w:type="spellEnd"/>
      <w:r w:rsidRPr="00580C0D">
        <w:t xml:space="preserve"> planlegg regjeringa for ei utviding av Ilseng fengsel med minst 96 </w:t>
      </w:r>
      <w:proofErr w:type="spellStart"/>
      <w:r w:rsidRPr="00580C0D">
        <w:t>plassar</w:t>
      </w:r>
      <w:proofErr w:type="spellEnd"/>
      <w:r w:rsidRPr="00580C0D">
        <w:t xml:space="preserve"> og bygging av om lag 140 </w:t>
      </w:r>
      <w:proofErr w:type="spellStart"/>
      <w:r w:rsidRPr="00580C0D">
        <w:t>fengselsplassar</w:t>
      </w:r>
      <w:proofErr w:type="spellEnd"/>
      <w:r w:rsidRPr="00580C0D">
        <w:t xml:space="preserve"> på Grønland for å erstatte </w:t>
      </w:r>
      <w:proofErr w:type="spellStart"/>
      <w:r w:rsidRPr="00580C0D">
        <w:t>dei</w:t>
      </w:r>
      <w:proofErr w:type="spellEnd"/>
      <w:r w:rsidRPr="00580C0D">
        <w:t xml:space="preserve"> </w:t>
      </w:r>
      <w:proofErr w:type="spellStart"/>
      <w:r w:rsidRPr="00580C0D">
        <w:t>resterande</w:t>
      </w:r>
      <w:proofErr w:type="spellEnd"/>
      <w:r w:rsidRPr="00580C0D">
        <w:t xml:space="preserve"> </w:t>
      </w:r>
      <w:proofErr w:type="spellStart"/>
      <w:r w:rsidRPr="00580C0D">
        <w:t>plassane</w:t>
      </w:r>
      <w:proofErr w:type="spellEnd"/>
      <w:r w:rsidRPr="00580C0D">
        <w:t xml:space="preserve">. I samband med utvidinga på Ilseng har Justis- og beredskapsdepartementet gitt Statsbygg og Kriminalomsorgsdirektoratet i oppdrag å greie ut 130 nye </w:t>
      </w:r>
      <w:proofErr w:type="spellStart"/>
      <w:r w:rsidRPr="00580C0D">
        <w:t>plassar</w:t>
      </w:r>
      <w:proofErr w:type="spellEnd"/>
      <w:r w:rsidRPr="00580C0D">
        <w:t xml:space="preserve"> på Ilseng, kor </w:t>
      </w:r>
      <w:proofErr w:type="spellStart"/>
      <w:r w:rsidRPr="00580C0D">
        <w:t>dei</w:t>
      </w:r>
      <w:proofErr w:type="spellEnd"/>
      <w:r w:rsidRPr="00580C0D">
        <w:t xml:space="preserve"> siste 30 </w:t>
      </w:r>
      <w:proofErr w:type="spellStart"/>
      <w:r w:rsidRPr="00580C0D">
        <w:t>plassane</w:t>
      </w:r>
      <w:proofErr w:type="spellEnd"/>
      <w:r w:rsidRPr="00580C0D">
        <w:t xml:space="preserve"> er tenkt å kunne erstatte dagens fengsel på Hamar.</w:t>
      </w:r>
    </w:p>
    <w:p w14:paraId="3F2AF48E" w14:textId="77777777" w:rsidR="00F7113A" w:rsidRPr="00580C0D" w:rsidRDefault="00142E5B" w:rsidP="00580C0D">
      <w:pPr>
        <w:pStyle w:val="avsnitt-tittel"/>
      </w:pPr>
      <w:r w:rsidRPr="00580C0D">
        <w:t xml:space="preserve">Sperring av </w:t>
      </w:r>
      <w:proofErr w:type="spellStart"/>
      <w:r w:rsidRPr="00580C0D">
        <w:t>opplysningar</w:t>
      </w:r>
      <w:proofErr w:type="spellEnd"/>
      <w:r w:rsidRPr="00580C0D">
        <w:t xml:space="preserve"> i reaksjonsregisteret</w:t>
      </w:r>
    </w:p>
    <w:p w14:paraId="6DF4B58A" w14:textId="77777777" w:rsidR="00F7113A" w:rsidRPr="00580C0D" w:rsidRDefault="00142E5B" w:rsidP="00580C0D">
      <w:pPr>
        <w:pStyle w:val="avsnitt-undertittel"/>
      </w:pPr>
      <w:r w:rsidRPr="00580C0D">
        <w:t>Vedtak nr. 1116, 3. juni 2021</w:t>
      </w:r>
    </w:p>
    <w:p w14:paraId="5FE553AF" w14:textId="77777777" w:rsidR="00F7113A" w:rsidRPr="00580C0D" w:rsidRDefault="00142E5B" w:rsidP="00580C0D">
      <w:pPr>
        <w:pStyle w:val="blokksit"/>
        <w:rPr>
          <w:rStyle w:val="kursiv"/>
        </w:rPr>
      </w:pPr>
      <w:r w:rsidRPr="00580C0D">
        <w:rPr>
          <w:rStyle w:val="kursiv"/>
        </w:rPr>
        <w:t>«Stortinget ber regjeringen sørge for at opplysninger i reaksjonsregisteret om personer som er ilagt strafferettslige reaksjoner for bruk og besittelse av narkotika til eget bruk, sperres etter tre år. Sperring forutsetter at det ikke er registrert flere straffbare forhold i den aktuelle perioden.»</w:t>
      </w:r>
    </w:p>
    <w:p w14:paraId="7BC857C8"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92 L (2020–2021), </w:t>
      </w:r>
      <w:proofErr w:type="spellStart"/>
      <w:r w:rsidRPr="00580C0D">
        <w:t>Innst</w:t>
      </w:r>
      <w:proofErr w:type="spellEnd"/>
      <w:r w:rsidRPr="00580C0D">
        <w:t>. 612 L (2020–2021) og Lovvedtak 148 (2020–2021).</w:t>
      </w:r>
    </w:p>
    <w:p w14:paraId="4FDC937C" w14:textId="77777777" w:rsidR="00F7113A" w:rsidRPr="00580C0D" w:rsidRDefault="00142E5B" w:rsidP="00580C0D">
      <w:r w:rsidRPr="00580C0D">
        <w:t xml:space="preserve">Vedtaket er under behandling. Departementet vurderer </w:t>
      </w:r>
      <w:proofErr w:type="spellStart"/>
      <w:r w:rsidRPr="00580C0D">
        <w:t>moglege</w:t>
      </w:r>
      <w:proofErr w:type="spellEnd"/>
      <w:r w:rsidRPr="00580C0D">
        <w:t xml:space="preserve"> </w:t>
      </w:r>
      <w:proofErr w:type="spellStart"/>
      <w:r w:rsidRPr="00580C0D">
        <w:t>endringar</w:t>
      </w:r>
      <w:proofErr w:type="spellEnd"/>
      <w:r w:rsidRPr="00580C0D">
        <w:t xml:space="preserve"> i politiregisterforskrifta.</w:t>
      </w:r>
    </w:p>
    <w:p w14:paraId="5C12D164" w14:textId="77777777" w:rsidR="00F7113A" w:rsidRPr="00580C0D" w:rsidRDefault="00142E5B" w:rsidP="00580C0D">
      <w:pPr>
        <w:pStyle w:val="avsnitt-tittel"/>
      </w:pPr>
      <w:r w:rsidRPr="00580C0D">
        <w:t xml:space="preserve">Gjennomgang av praksis for tilbakekall av </w:t>
      </w:r>
      <w:proofErr w:type="spellStart"/>
      <w:r w:rsidRPr="00580C0D">
        <w:t>førarrett</w:t>
      </w:r>
      <w:proofErr w:type="spellEnd"/>
    </w:p>
    <w:p w14:paraId="58F7BEE5" w14:textId="77777777" w:rsidR="00F7113A" w:rsidRPr="00580C0D" w:rsidRDefault="00142E5B" w:rsidP="00580C0D">
      <w:pPr>
        <w:pStyle w:val="avsnitt-undertittel"/>
      </w:pPr>
      <w:r w:rsidRPr="00580C0D">
        <w:t>Vedtak nr. 1117, 3. juni 2021</w:t>
      </w:r>
    </w:p>
    <w:p w14:paraId="336341AA" w14:textId="77777777" w:rsidR="00F7113A" w:rsidRPr="00580C0D" w:rsidRDefault="00142E5B" w:rsidP="00580C0D">
      <w:pPr>
        <w:pStyle w:val="blokksit"/>
        <w:rPr>
          <w:rStyle w:val="kursiv"/>
        </w:rPr>
      </w:pPr>
      <w:r w:rsidRPr="00580C0D">
        <w:rPr>
          <w:rStyle w:val="kursiv"/>
        </w:rPr>
        <w:t>«Stortinget ber regjeringen sørge for at samfunnets reaksjoner i forbindelse med problematisk bruk av rusmidler er forholdsmessige, og kan knyttes til rusbruken. Stortinget ber regjeringen særlig gjennomgå praksis med tap av førerrett i tilfeller der man ikke ser noen sammenheng mellom personens bruk av rusmidler og føring av motorvogn.»</w:t>
      </w:r>
    </w:p>
    <w:p w14:paraId="01DAF4DF"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92 L (2020–2021), </w:t>
      </w:r>
      <w:proofErr w:type="spellStart"/>
      <w:r w:rsidRPr="00580C0D">
        <w:t>Innst</w:t>
      </w:r>
      <w:proofErr w:type="spellEnd"/>
      <w:r w:rsidRPr="00580C0D">
        <w:t>. 612 L (2020–2021) og Lovvedtak 148 (2020–2021).</w:t>
      </w:r>
    </w:p>
    <w:p w14:paraId="47F0C7E2" w14:textId="77777777" w:rsidR="00F7113A" w:rsidRPr="00580C0D" w:rsidRDefault="00142E5B" w:rsidP="00580C0D">
      <w:r w:rsidRPr="00580C0D">
        <w:t xml:space="preserve">Vedtaket er under behandling. Justis- og beredskapsdepartementet har innhenta informasjon </w:t>
      </w:r>
      <w:proofErr w:type="spellStart"/>
      <w:r w:rsidRPr="00580C0D">
        <w:t>frå</w:t>
      </w:r>
      <w:proofErr w:type="spellEnd"/>
      <w:r w:rsidRPr="00580C0D">
        <w:t xml:space="preserve"> Politidirektoratet for praksis ved tap av </w:t>
      </w:r>
      <w:proofErr w:type="spellStart"/>
      <w:r w:rsidRPr="00580C0D">
        <w:t>førarrett</w:t>
      </w:r>
      <w:proofErr w:type="spellEnd"/>
      <w:r w:rsidRPr="00580C0D">
        <w:t xml:space="preserve"> og følgjer opp saka </w:t>
      </w:r>
      <w:proofErr w:type="spellStart"/>
      <w:r w:rsidRPr="00580C0D">
        <w:t>vidare</w:t>
      </w:r>
      <w:proofErr w:type="spellEnd"/>
      <w:r w:rsidRPr="00580C0D">
        <w:t>.</w:t>
      </w:r>
    </w:p>
    <w:p w14:paraId="7B30FDC5" w14:textId="77777777" w:rsidR="00F7113A" w:rsidRPr="00580C0D" w:rsidRDefault="00142E5B" w:rsidP="00580C0D">
      <w:pPr>
        <w:pStyle w:val="avsnitt-tittel"/>
      </w:pPr>
      <w:r w:rsidRPr="00580C0D">
        <w:t xml:space="preserve">Unntak </w:t>
      </w:r>
      <w:proofErr w:type="spellStart"/>
      <w:r w:rsidRPr="00580C0D">
        <w:t>frå</w:t>
      </w:r>
      <w:proofErr w:type="spellEnd"/>
      <w:r w:rsidRPr="00580C0D">
        <w:t xml:space="preserve"> </w:t>
      </w:r>
      <w:proofErr w:type="spellStart"/>
      <w:r w:rsidRPr="00580C0D">
        <w:t>forelding</w:t>
      </w:r>
      <w:proofErr w:type="spellEnd"/>
      <w:r w:rsidRPr="00580C0D">
        <w:t xml:space="preserve"> for </w:t>
      </w:r>
      <w:proofErr w:type="spellStart"/>
      <w:r w:rsidRPr="00580C0D">
        <w:t>seksuallovbrot</w:t>
      </w:r>
      <w:proofErr w:type="spellEnd"/>
      <w:r w:rsidRPr="00580C0D">
        <w:t xml:space="preserve"> mot barn</w:t>
      </w:r>
    </w:p>
    <w:p w14:paraId="21846927" w14:textId="77777777" w:rsidR="00F7113A" w:rsidRPr="00580C0D" w:rsidRDefault="00142E5B" w:rsidP="00580C0D">
      <w:pPr>
        <w:pStyle w:val="avsnitt-undertittel"/>
      </w:pPr>
      <w:r w:rsidRPr="00580C0D">
        <w:t>Vedtak nr. 1159, 7. juni 2021</w:t>
      </w:r>
    </w:p>
    <w:p w14:paraId="6FC2B6EF" w14:textId="77777777" w:rsidR="00F7113A" w:rsidRPr="00580C0D" w:rsidRDefault="00142E5B" w:rsidP="00580C0D">
      <w:pPr>
        <w:pStyle w:val="blokksit"/>
        <w:rPr>
          <w:rStyle w:val="kursiv"/>
        </w:rPr>
      </w:pPr>
      <w:r w:rsidRPr="00580C0D">
        <w:rPr>
          <w:rStyle w:val="kursiv"/>
        </w:rPr>
        <w:t>«Stortinget ber regjeringen legge frem forslag til lovendringer som fjerner foreldelsesfristen for alle typer seksualforbrytelser mot barn.»</w:t>
      </w:r>
    </w:p>
    <w:p w14:paraId="1BF0F0C1" w14:textId="77777777" w:rsidR="00F7113A" w:rsidRPr="00580C0D" w:rsidRDefault="00142E5B" w:rsidP="00580C0D">
      <w:r w:rsidRPr="00580C0D">
        <w:t xml:space="preserve">Dokumenta som ligg til grunn for vedtaket, er Dokument 8:273 S (2020–2021) og </w:t>
      </w:r>
      <w:proofErr w:type="spellStart"/>
      <w:r w:rsidRPr="00580C0D">
        <w:t>Innst</w:t>
      </w:r>
      <w:proofErr w:type="spellEnd"/>
      <w:r w:rsidRPr="00580C0D">
        <w:t>. 634 S (2020–2021).</w:t>
      </w:r>
    </w:p>
    <w:p w14:paraId="0550CE65" w14:textId="77777777" w:rsidR="00F7113A" w:rsidRPr="00580C0D" w:rsidRDefault="00142E5B" w:rsidP="00580C0D">
      <w:r w:rsidRPr="00580C0D">
        <w:t>Vedtaket er under behandling. Sjå òg vedtak nr. 50, 3. november 2020.</w:t>
      </w:r>
    </w:p>
    <w:p w14:paraId="080AA79A" w14:textId="77777777" w:rsidR="00F7113A" w:rsidRPr="00580C0D" w:rsidRDefault="00142E5B" w:rsidP="00580C0D">
      <w:pPr>
        <w:pStyle w:val="avsnitt-tittel"/>
      </w:pPr>
      <w:r w:rsidRPr="00580C0D">
        <w:t xml:space="preserve">Internasjonale kriminelle </w:t>
      </w:r>
      <w:proofErr w:type="spellStart"/>
      <w:r w:rsidRPr="00580C0D">
        <w:t>organisasjonar</w:t>
      </w:r>
      <w:proofErr w:type="spellEnd"/>
    </w:p>
    <w:p w14:paraId="1BCC672F" w14:textId="77777777" w:rsidR="00F7113A" w:rsidRPr="00580C0D" w:rsidRDefault="00142E5B" w:rsidP="00580C0D">
      <w:pPr>
        <w:pStyle w:val="avsnitt-undertittel"/>
      </w:pPr>
      <w:r w:rsidRPr="00580C0D">
        <w:t>Vedtak nr. 1161, 11. juni 2021</w:t>
      </w:r>
    </w:p>
    <w:p w14:paraId="0B9F3E4F" w14:textId="77777777" w:rsidR="00F7113A" w:rsidRPr="00580C0D" w:rsidRDefault="00142E5B" w:rsidP="00580C0D">
      <w:pPr>
        <w:pStyle w:val="blokksit"/>
        <w:rPr>
          <w:rStyle w:val="kursiv"/>
        </w:rPr>
      </w:pPr>
      <w:r w:rsidRPr="00580C0D">
        <w:rPr>
          <w:rStyle w:val="kursiv"/>
        </w:rPr>
        <w:t>«Stortinget ber regjeringen komme tilbake til Stortinget med strengere regler dersom det nye regelverket ikke i tilstrekkelig grad hindrer etableringer av internasjonale kriminelle gjenger og mafiaorganisasjoner.»</w:t>
      </w:r>
    </w:p>
    <w:p w14:paraId="77261411"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190 L (2020–2021) og </w:t>
      </w:r>
      <w:proofErr w:type="spellStart"/>
      <w:r w:rsidRPr="00580C0D">
        <w:t>Innst</w:t>
      </w:r>
      <w:proofErr w:type="spellEnd"/>
      <w:r w:rsidRPr="00580C0D">
        <w:t>. 629 L (2020–2021).</w:t>
      </w:r>
    </w:p>
    <w:p w14:paraId="0ADCD94C" w14:textId="77777777" w:rsidR="00F7113A" w:rsidRPr="00580C0D" w:rsidRDefault="00142E5B" w:rsidP="00580C0D">
      <w:r w:rsidRPr="00580C0D">
        <w:t xml:space="preserve">Vedtaket er under behandling. Departementet vil vurdere om det er behov for </w:t>
      </w:r>
      <w:proofErr w:type="spellStart"/>
      <w:r w:rsidRPr="00580C0D">
        <w:t>strengare</w:t>
      </w:r>
      <w:proofErr w:type="spellEnd"/>
      <w:r w:rsidRPr="00580C0D">
        <w:t xml:space="preserve"> </w:t>
      </w:r>
      <w:proofErr w:type="spellStart"/>
      <w:r w:rsidRPr="00580C0D">
        <w:t>reglar</w:t>
      </w:r>
      <w:proofErr w:type="spellEnd"/>
      <w:r w:rsidRPr="00580C0D">
        <w:t xml:space="preserve"> når </w:t>
      </w:r>
      <w:proofErr w:type="spellStart"/>
      <w:r w:rsidRPr="00580C0D">
        <w:t>dei</w:t>
      </w:r>
      <w:proofErr w:type="spellEnd"/>
      <w:r w:rsidRPr="00580C0D">
        <w:t xml:space="preserve"> nye </w:t>
      </w:r>
      <w:proofErr w:type="spellStart"/>
      <w:r w:rsidRPr="00580C0D">
        <w:t>bestemmingane</w:t>
      </w:r>
      <w:proofErr w:type="spellEnd"/>
      <w:r w:rsidRPr="00580C0D">
        <w:t xml:space="preserve"> har fått verke i </w:t>
      </w:r>
      <w:proofErr w:type="spellStart"/>
      <w:r w:rsidRPr="00580C0D">
        <w:t>noko</w:t>
      </w:r>
      <w:proofErr w:type="spellEnd"/>
      <w:r w:rsidRPr="00580C0D">
        <w:t xml:space="preserve"> tid.</w:t>
      </w:r>
    </w:p>
    <w:p w14:paraId="5588FBAB" w14:textId="77777777" w:rsidR="00F7113A" w:rsidRPr="00580C0D" w:rsidRDefault="00142E5B" w:rsidP="00580C0D">
      <w:pPr>
        <w:pStyle w:val="avsnitt-tittel"/>
      </w:pPr>
      <w:r w:rsidRPr="00580C0D">
        <w:t>Tilgang på straffeprosessuelle tvangsmiddel</w:t>
      </w:r>
    </w:p>
    <w:p w14:paraId="032BBEC5" w14:textId="77777777" w:rsidR="00F7113A" w:rsidRPr="00580C0D" w:rsidRDefault="00142E5B" w:rsidP="00580C0D">
      <w:pPr>
        <w:pStyle w:val="avsnitt-undertittel"/>
      </w:pPr>
      <w:r w:rsidRPr="00580C0D">
        <w:t>Vedtak nr. 1162, 11. juni 2021</w:t>
      </w:r>
    </w:p>
    <w:p w14:paraId="40423168" w14:textId="77777777" w:rsidR="00F7113A" w:rsidRPr="00580C0D" w:rsidRDefault="00142E5B" w:rsidP="00580C0D">
      <w:pPr>
        <w:pStyle w:val="blokksit"/>
        <w:rPr>
          <w:rStyle w:val="kursiv"/>
        </w:rPr>
      </w:pPr>
      <w:r w:rsidRPr="00580C0D">
        <w:rPr>
          <w:rStyle w:val="kursiv"/>
        </w:rPr>
        <w:t>«Stortinget ber regjeringen utrede særskilt om politiet bør gis tilgang på straffeprosessuelle tvangsmidler ut over det den foreslåtte strafferammen på tre års fengsel for deltagelse, rekruttering eller videreføring av en kriminell sammenslutning, tilsier.»</w:t>
      </w:r>
    </w:p>
    <w:p w14:paraId="466E3235"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190 L (2020–2021) og </w:t>
      </w:r>
      <w:proofErr w:type="spellStart"/>
      <w:r w:rsidRPr="00580C0D">
        <w:t>Innst</w:t>
      </w:r>
      <w:proofErr w:type="spellEnd"/>
      <w:r w:rsidRPr="00580C0D">
        <w:t>. 629 L (2020–2021).</w:t>
      </w:r>
    </w:p>
    <w:p w14:paraId="0C88FA6B" w14:textId="77777777" w:rsidR="00F7113A" w:rsidRPr="00580C0D" w:rsidRDefault="00142E5B" w:rsidP="00580C0D">
      <w:r w:rsidRPr="00580C0D">
        <w:t xml:space="preserve">Vedtaket er under behandling. Departementet vil vurdere behovet for </w:t>
      </w:r>
      <w:proofErr w:type="spellStart"/>
      <w:r w:rsidRPr="00580C0D">
        <w:t>fleire</w:t>
      </w:r>
      <w:proofErr w:type="spellEnd"/>
      <w:r w:rsidRPr="00580C0D">
        <w:t xml:space="preserve"> straffeprosessuelle tvangsmiddel når </w:t>
      </w:r>
      <w:proofErr w:type="spellStart"/>
      <w:r w:rsidRPr="00580C0D">
        <w:t>dei</w:t>
      </w:r>
      <w:proofErr w:type="spellEnd"/>
      <w:r w:rsidRPr="00580C0D">
        <w:t xml:space="preserve"> </w:t>
      </w:r>
      <w:proofErr w:type="spellStart"/>
      <w:r w:rsidRPr="00580C0D">
        <w:t>gjeldande</w:t>
      </w:r>
      <w:proofErr w:type="spellEnd"/>
      <w:r w:rsidRPr="00580C0D">
        <w:t xml:space="preserve"> </w:t>
      </w:r>
      <w:proofErr w:type="spellStart"/>
      <w:r w:rsidRPr="00580C0D">
        <w:t>bestemmingane</w:t>
      </w:r>
      <w:proofErr w:type="spellEnd"/>
      <w:r w:rsidRPr="00580C0D">
        <w:t xml:space="preserve"> har fått verke i </w:t>
      </w:r>
      <w:proofErr w:type="spellStart"/>
      <w:r w:rsidRPr="00580C0D">
        <w:t>noko</w:t>
      </w:r>
      <w:proofErr w:type="spellEnd"/>
      <w:r w:rsidRPr="00580C0D">
        <w:t xml:space="preserve"> tid.</w:t>
      </w:r>
    </w:p>
    <w:p w14:paraId="7DFB8234" w14:textId="77777777" w:rsidR="00F7113A" w:rsidRPr="00580C0D" w:rsidRDefault="00142E5B" w:rsidP="00580C0D">
      <w:pPr>
        <w:pStyle w:val="avsnitt-tittel"/>
      </w:pPr>
      <w:r w:rsidRPr="00580C0D">
        <w:t xml:space="preserve">Kompensasjonsordning for tapt </w:t>
      </w:r>
      <w:proofErr w:type="spellStart"/>
      <w:r w:rsidRPr="00580C0D">
        <w:t>arbeidsforteneste</w:t>
      </w:r>
      <w:proofErr w:type="spellEnd"/>
      <w:r w:rsidRPr="00580C0D">
        <w:t xml:space="preserve"> for frivillige i </w:t>
      </w:r>
      <w:proofErr w:type="spellStart"/>
      <w:r w:rsidRPr="00580C0D">
        <w:t>redningstenesta</w:t>
      </w:r>
      <w:proofErr w:type="spellEnd"/>
    </w:p>
    <w:p w14:paraId="34BF12F5" w14:textId="77777777" w:rsidR="00F7113A" w:rsidRPr="00580C0D" w:rsidRDefault="00142E5B" w:rsidP="00580C0D">
      <w:pPr>
        <w:pStyle w:val="avsnitt-undertittel"/>
      </w:pPr>
      <w:r w:rsidRPr="00580C0D">
        <w:t>Vedtak nr. 1343, 18. juni 2021</w:t>
      </w:r>
    </w:p>
    <w:p w14:paraId="21470378" w14:textId="77777777" w:rsidR="00F7113A" w:rsidRPr="00580C0D" w:rsidRDefault="00142E5B" w:rsidP="00580C0D">
      <w:pPr>
        <w:pStyle w:val="blokksit"/>
        <w:rPr>
          <w:rStyle w:val="kursiv"/>
        </w:rPr>
      </w:pPr>
      <w:r w:rsidRPr="00580C0D">
        <w:rPr>
          <w:rStyle w:val="kursiv"/>
        </w:rPr>
        <w:t>«Stortinget ber regjeringen i forbindelse med statsbudsjettet for 2022 legge frem en vurdering av om det bør innføres en kompensasjonsordning for tapt arbeidsfortjestene for frivillige som blir anmodet av nødetatene om å bistå i redningsoppdrag.»</w:t>
      </w:r>
    </w:p>
    <w:p w14:paraId="3C5CCA7E"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195 S (2020–2021) og </w:t>
      </w:r>
      <w:proofErr w:type="spellStart"/>
      <w:r w:rsidRPr="00580C0D">
        <w:t>Innst</w:t>
      </w:r>
      <w:proofErr w:type="spellEnd"/>
      <w:r w:rsidRPr="00580C0D">
        <w:t>. 600 S (2020–2021).</w:t>
      </w:r>
    </w:p>
    <w:p w14:paraId="4ED10A95" w14:textId="77777777" w:rsidR="00F7113A" w:rsidRPr="00580C0D" w:rsidRDefault="00142E5B" w:rsidP="00580C0D">
      <w:r w:rsidRPr="00580C0D">
        <w:t xml:space="preserve">Vedtaket er under behandling. Det vil </w:t>
      </w:r>
      <w:proofErr w:type="spellStart"/>
      <w:r w:rsidRPr="00580C0D">
        <w:t>krevje</w:t>
      </w:r>
      <w:proofErr w:type="spellEnd"/>
      <w:r w:rsidRPr="00580C0D">
        <w:t xml:space="preserve"> ei utgreiing før </w:t>
      </w:r>
      <w:proofErr w:type="spellStart"/>
      <w:r w:rsidRPr="00580C0D">
        <w:t>ein</w:t>
      </w:r>
      <w:proofErr w:type="spellEnd"/>
      <w:r w:rsidRPr="00580C0D">
        <w:t xml:space="preserve"> får oversikt over og kunnskap om kva </w:t>
      </w:r>
      <w:proofErr w:type="spellStart"/>
      <w:r w:rsidRPr="00580C0D">
        <w:t>eit</w:t>
      </w:r>
      <w:proofErr w:type="spellEnd"/>
      <w:r w:rsidRPr="00580C0D">
        <w:t xml:space="preserve"> slikt tiltak vil bety for </w:t>
      </w:r>
      <w:proofErr w:type="spellStart"/>
      <w:r w:rsidRPr="00580C0D">
        <w:t>redningstenesta</w:t>
      </w:r>
      <w:proofErr w:type="spellEnd"/>
      <w:r w:rsidRPr="00580C0D">
        <w:t xml:space="preserve">, og kva utgiftene vil </w:t>
      </w:r>
      <w:proofErr w:type="spellStart"/>
      <w:r w:rsidRPr="00580C0D">
        <w:t>vere</w:t>
      </w:r>
      <w:proofErr w:type="spellEnd"/>
      <w:r w:rsidRPr="00580C0D">
        <w:t xml:space="preserve"> for staten. Departementet har førebels </w:t>
      </w:r>
      <w:proofErr w:type="spellStart"/>
      <w:r w:rsidRPr="00580C0D">
        <w:t>ikkje</w:t>
      </w:r>
      <w:proofErr w:type="spellEnd"/>
      <w:r w:rsidRPr="00580C0D">
        <w:t xml:space="preserve"> </w:t>
      </w:r>
      <w:proofErr w:type="spellStart"/>
      <w:r w:rsidRPr="00580C0D">
        <w:t>teke</w:t>
      </w:r>
      <w:proofErr w:type="spellEnd"/>
      <w:r w:rsidRPr="00580C0D">
        <w:t xml:space="preserve"> stilling til om ei slik utgreiing skal </w:t>
      </w:r>
      <w:proofErr w:type="spellStart"/>
      <w:r w:rsidRPr="00580C0D">
        <w:t>setjast</w:t>
      </w:r>
      <w:proofErr w:type="spellEnd"/>
      <w:r w:rsidRPr="00580C0D">
        <w:t xml:space="preserve"> i verk. Det er både </w:t>
      </w:r>
      <w:proofErr w:type="spellStart"/>
      <w:r w:rsidRPr="00580C0D">
        <w:t>fordelar</w:t>
      </w:r>
      <w:proofErr w:type="spellEnd"/>
      <w:r w:rsidRPr="00580C0D">
        <w:t xml:space="preserve"> og ulemper med å innføre ei kompensasjonsordning for tapt </w:t>
      </w:r>
      <w:proofErr w:type="spellStart"/>
      <w:r w:rsidRPr="00580C0D">
        <w:t>arbeidsforteneste</w:t>
      </w:r>
      <w:proofErr w:type="spellEnd"/>
      <w:r w:rsidRPr="00580C0D">
        <w:t xml:space="preserve"> for frivillige. Regjeringa </w:t>
      </w:r>
      <w:proofErr w:type="spellStart"/>
      <w:r w:rsidRPr="00580C0D">
        <w:t>ønskjer</w:t>
      </w:r>
      <w:proofErr w:type="spellEnd"/>
      <w:r w:rsidRPr="00580C0D">
        <w:t xml:space="preserve"> å </w:t>
      </w:r>
      <w:proofErr w:type="spellStart"/>
      <w:r w:rsidRPr="00580C0D">
        <w:t>leggje</w:t>
      </w:r>
      <w:proofErr w:type="spellEnd"/>
      <w:r w:rsidRPr="00580C0D">
        <w:t xml:space="preserve"> til rette for at </w:t>
      </w:r>
      <w:proofErr w:type="spellStart"/>
      <w:r w:rsidRPr="00580C0D">
        <w:t>dei</w:t>
      </w:r>
      <w:proofErr w:type="spellEnd"/>
      <w:r w:rsidRPr="00580C0D">
        <w:t xml:space="preserve"> frivillige </w:t>
      </w:r>
      <w:proofErr w:type="spellStart"/>
      <w:r w:rsidRPr="00580C0D">
        <w:t>organisasjonane</w:t>
      </w:r>
      <w:proofErr w:type="spellEnd"/>
      <w:r w:rsidRPr="00580C0D">
        <w:t xml:space="preserve"> held oppe og styrker posisjonen sin </w:t>
      </w:r>
      <w:proofErr w:type="spellStart"/>
      <w:r w:rsidRPr="00580C0D">
        <w:t>innanfor</w:t>
      </w:r>
      <w:proofErr w:type="spellEnd"/>
      <w:r w:rsidRPr="00580C0D">
        <w:t xml:space="preserve"> norsk redningsberedskap (sjå òg Meld. St. 10 (2016–2017)). Samstundes bør det </w:t>
      </w:r>
      <w:proofErr w:type="spellStart"/>
      <w:r w:rsidRPr="00580C0D">
        <w:t>vere</w:t>
      </w:r>
      <w:proofErr w:type="spellEnd"/>
      <w:r w:rsidRPr="00580C0D">
        <w:t xml:space="preserve"> </w:t>
      </w:r>
      <w:proofErr w:type="spellStart"/>
      <w:r w:rsidRPr="00580C0D">
        <w:t>eit</w:t>
      </w:r>
      <w:proofErr w:type="spellEnd"/>
      <w:r w:rsidRPr="00580C0D">
        <w:t xml:space="preserve"> </w:t>
      </w:r>
      <w:proofErr w:type="spellStart"/>
      <w:r w:rsidRPr="00580C0D">
        <w:t>tydeleg</w:t>
      </w:r>
      <w:proofErr w:type="spellEnd"/>
      <w:r w:rsidRPr="00580C0D">
        <w:t xml:space="preserve"> </w:t>
      </w:r>
      <w:proofErr w:type="spellStart"/>
      <w:r w:rsidRPr="00580C0D">
        <w:t>skilje</w:t>
      </w:r>
      <w:proofErr w:type="spellEnd"/>
      <w:r w:rsidRPr="00580C0D">
        <w:t xml:space="preserve"> mellom </w:t>
      </w:r>
      <w:proofErr w:type="spellStart"/>
      <w:r w:rsidRPr="00580C0D">
        <w:t>offentlege</w:t>
      </w:r>
      <w:proofErr w:type="spellEnd"/>
      <w:r w:rsidRPr="00580C0D">
        <w:t xml:space="preserve"> og frivillige </w:t>
      </w:r>
      <w:proofErr w:type="spellStart"/>
      <w:r w:rsidRPr="00580C0D">
        <w:t>ressursar</w:t>
      </w:r>
      <w:proofErr w:type="spellEnd"/>
      <w:r w:rsidRPr="00580C0D">
        <w:t>.</w:t>
      </w:r>
    </w:p>
    <w:p w14:paraId="448FC28E" w14:textId="77777777" w:rsidR="00F7113A" w:rsidRPr="00580C0D" w:rsidRDefault="00142E5B" w:rsidP="00580C0D">
      <w:pPr>
        <w:pStyle w:val="Overskrift2"/>
      </w:pPr>
      <w:r w:rsidRPr="00580C0D">
        <w:t>Stortingssesjon 2019–2020</w:t>
      </w:r>
    </w:p>
    <w:p w14:paraId="5A27A5EA" w14:textId="77777777" w:rsidR="00F7113A" w:rsidRPr="00580C0D" w:rsidRDefault="00142E5B" w:rsidP="00580C0D">
      <w:pPr>
        <w:pStyle w:val="avsnitt-tittel"/>
      </w:pPr>
      <w:r w:rsidRPr="00580C0D">
        <w:t>Elektroniske fraktbrev</w:t>
      </w:r>
    </w:p>
    <w:p w14:paraId="3E14E42A" w14:textId="77777777" w:rsidR="00F7113A" w:rsidRPr="00580C0D" w:rsidRDefault="00142E5B" w:rsidP="00580C0D">
      <w:pPr>
        <w:pStyle w:val="avsnitt-undertittel"/>
      </w:pPr>
      <w:r w:rsidRPr="00580C0D">
        <w:t>Vedtak nr. 436, 31. mars 2020</w:t>
      </w:r>
    </w:p>
    <w:p w14:paraId="4281F726" w14:textId="77777777" w:rsidR="00F7113A" w:rsidRPr="00580C0D" w:rsidRDefault="00142E5B" w:rsidP="00580C0D">
      <w:pPr>
        <w:pStyle w:val="blokksit"/>
        <w:rPr>
          <w:rStyle w:val="kursiv"/>
        </w:rPr>
      </w:pPr>
      <w:r w:rsidRPr="00580C0D">
        <w:rPr>
          <w:rStyle w:val="kursiv"/>
        </w:rPr>
        <w:t>«Stortinget ber regjeringen sikre at nye elektroniske fraktbrev som er planlagt i CRM-direktivet, gjøres obligatoriske.»</w:t>
      </w:r>
    </w:p>
    <w:p w14:paraId="0EF3491F"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 LS (2019–2020) og </w:t>
      </w:r>
      <w:proofErr w:type="spellStart"/>
      <w:r w:rsidRPr="00580C0D">
        <w:t>Innst</w:t>
      </w:r>
      <w:proofErr w:type="spellEnd"/>
      <w:r w:rsidRPr="00580C0D">
        <w:t>. 214 S (2019–2020).</w:t>
      </w:r>
    </w:p>
    <w:p w14:paraId="2648D559" w14:textId="77777777" w:rsidR="00F7113A" w:rsidRPr="00580C0D" w:rsidRDefault="00142E5B" w:rsidP="00580C0D">
      <w:r w:rsidRPr="00580C0D">
        <w:t>Vedtaket er under behandling.</w:t>
      </w:r>
    </w:p>
    <w:p w14:paraId="532D7BD1" w14:textId="77777777" w:rsidR="00F7113A" w:rsidRPr="00580C0D" w:rsidRDefault="00142E5B" w:rsidP="00580C0D">
      <w:pPr>
        <w:pStyle w:val="avsnitt-tittel"/>
      </w:pPr>
      <w:r w:rsidRPr="00580C0D">
        <w:t xml:space="preserve">Reklamasjonsfrist </w:t>
      </w:r>
      <w:proofErr w:type="spellStart"/>
      <w:r w:rsidRPr="00580C0D">
        <w:t>bustader</w:t>
      </w:r>
      <w:proofErr w:type="spellEnd"/>
    </w:p>
    <w:p w14:paraId="12F3DB84" w14:textId="77777777" w:rsidR="00F7113A" w:rsidRPr="00580C0D" w:rsidRDefault="00142E5B" w:rsidP="00580C0D">
      <w:pPr>
        <w:pStyle w:val="avsnitt-undertittel"/>
      </w:pPr>
      <w:r w:rsidRPr="00580C0D">
        <w:t>Vedtak nr. 515, 21. april 2020</w:t>
      </w:r>
    </w:p>
    <w:p w14:paraId="30392195" w14:textId="77777777" w:rsidR="00F7113A" w:rsidRPr="00580C0D" w:rsidRDefault="00142E5B" w:rsidP="00580C0D">
      <w:pPr>
        <w:pStyle w:val="blokksit"/>
        <w:rPr>
          <w:rStyle w:val="kursiv"/>
        </w:rPr>
      </w:pPr>
      <w:r w:rsidRPr="00580C0D">
        <w:rPr>
          <w:rStyle w:val="kursiv"/>
        </w:rPr>
        <w:t>«Stortinget ber regjeringen utrede om reklamasjonsfristen på nyoppførte boliger skal økes fra fem til ti år, samt konsekvensene av en eventuell utvidelse.»</w:t>
      </w:r>
    </w:p>
    <w:p w14:paraId="1ACA27AC" w14:textId="77777777" w:rsidR="00F7113A" w:rsidRPr="00580C0D" w:rsidRDefault="00142E5B" w:rsidP="00580C0D">
      <w:r w:rsidRPr="00580C0D">
        <w:t xml:space="preserve">Dokumenta som ligg til grunn for vedtaket, er Meld. St. 25 (2018–2019) og </w:t>
      </w:r>
      <w:proofErr w:type="spellStart"/>
      <w:r w:rsidRPr="00580C0D">
        <w:t>Innst</w:t>
      </w:r>
      <w:proofErr w:type="spellEnd"/>
      <w:r w:rsidRPr="00580C0D">
        <w:t>. 171 S (2019–2020).</w:t>
      </w:r>
    </w:p>
    <w:p w14:paraId="5860C374" w14:textId="77777777" w:rsidR="00F7113A" w:rsidRPr="00580C0D" w:rsidRDefault="00142E5B" w:rsidP="00580C0D">
      <w:r w:rsidRPr="00580C0D">
        <w:t>Vedtaket er under behandling.</w:t>
      </w:r>
    </w:p>
    <w:p w14:paraId="13372E68" w14:textId="77777777" w:rsidR="00F7113A" w:rsidRPr="00580C0D" w:rsidRDefault="00142E5B" w:rsidP="00580C0D">
      <w:pPr>
        <w:pStyle w:val="avsnitt-tittel"/>
      </w:pPr>
      <w:r w:rsidRPr="00580C0D">
        <w:t>Lovforslag for å sikre deling av registerinformasjon</w:t>
      </w:r>
    </w:p>
    <w:p w14:paraId="46FC0986" w14:textId="77777777" w:rsidR="00F7113A" w:rsidRPr="00580C0D" w:rsidRDefault="00142E5B" w:rsidP="00580C0D">
      <w:pPr>
        <w:pStyle w:val="avsnitt-undertittel"/>
      </w:pPr>
      <w:r w:rsidRPr="00580C0D">
        <w:t>Vedtak nr. 669, 10. juni 2020</w:t>
      </w:r>
    </w:p>
    <w:p w14:paraId="4E0626EE" w14:textId="77777777" w:rsidR="00F7113A" w:rsidRPr="00580C0D" w:rsidRDefault="00142E5B" w:rsidP="00580C0D">
      <w:pPr>
        <w:pStyle w:val="blokksit"/>
        <w:rPr>
          <w:rStyle w:val="kursiv"/>
        </w:rPr>
      </w:pPr>
      <w:r w:rsidRPr="00580C0D">
        <w:rPr>
          <w:rStyle w:val="kursiv"/>
        </w:rPr>
        <w:t>«Stortinget ber regjeringen fremme nødvendige lovforslag for å sikre at relevant registerinformasjon deles mellom offentlige forvaltningsorgan for å avdekke og forhindre kriminalitet.»</w:t>
      </w:r>
    </w:p>
    <w:p w14:paraId="5D105CB7" w14:textId="77777777" w:rsidR="00F7113A" w:rsidRPr="00580C0D" w:rsidRDefault="00142E5B" w:rsidP="00580C0D">
      <w:r w:rsidRPr="00580C0D">
        <w:t xml:space="preserve">Dokumenta som ligg til grunn for vedtaket, er Dokument 8:88 S (2019–2020) og </w:t>
      </w:r>
      <w:proofErr w:type="spellStart"/>
      <w:r w:rsidRPr="00580C0D">
        <w:t>Innst</w:t>
      </w:r>
      <w:proofErr w:type="spellEnd"/>
      <w:r w:rsidRPr="00580C0D">
        <w:t>. 342 S (2019–2020).</w:t>
      </w:r>
    </w:p>
    <w:p w14:paraId="57C1B3AB" w14:textId="77777777" w:rsidR="00F7113A" w:rsidRPr="00580C0D" w:rsidRDefault="00142E5B" w:rsidP="00580C0D">
      <w:r w:rsidRPr="00580C0D">
        <w:t xml:space="preserve">Vedtaket er </w:t>
      </w:r>
      <w:proofErr w:type="spellStart"/>
      <w:r w:rsidRPr="00580C0D">
        <w:t>følgt</w:t>
      </w:r>
      <w:proofErr w:type="spellEnd"/>
      <w:r w:rsidRPr="00580C0D">
        <w:t xml:space="preserve"> opp gjennom </w:t>
      </w:r>
      <w:proofErr w:type="spellStart"/>
      <w:r w:rsidRPr="00580C0D">
        <w:t>høyringsforslaget</w:t>
      </w:r>
      <w:proofErr w:type="spellEnd"/>
      <w:r w:rsidRPr="00580C0D">
        <w:t xml:space="preserve"> </w:t>
      </w:r>
      <w:proofErr w:type="spellStart"/>
      <w:r w:rsidRPr="00580C0D">
        <w:t>frå</w:t>
      </w:r>
      <w:proofErr w:type="spellEnd"/>
      <w:r w:rsidRPr="00580C0D">
        <w:t xml:space="preserve"> september 2020 om </w:t>
      </w:r>
      <w:proofErr w:type="spellStart"/>
      <w:r w:rsidRPr="00580C0D">
        <w:t>endringar</w:t>
      </w:r>
      <w:proofErr w:type="spellEnd"/>
      <w:r w:rsidRPr="00580C0D">
        <w:t xml:space="preserve"> i forvaltningslova m.m. Forslaget gjekk ut på å innføre nye og større grunnlag for deling mellom forvaltningsorgan av </w:t>
      </w:r>
      <w:proofErr w:type="spellStart"/>
      <w:r w:rsidRPr="00580C0D">
        <w:t>opplysningar</w:t>
      </w:r>
      <w:proofErr w:type="spellEnd"/>
      <w:r w:rsidRPr="00580C0D">
        <w:t xml:space="preserve"> som er omfatta av teieplikt. Forslaget vart </w:t>
      </w:r>
      <w:proofErr w:type="spellStart"/>
      <w:r w:rsidRPr="00580C0D">
        <w:t>følgt</w:t>
      </w:r>
      <w:proofErr w:type="spellEnd"/>
      <w:r w:rsidRPr="00580C0D">
        <w:t xml:space="preserve"> opp i </w:t>
      </w:r>
      <w:proofErr w:type="spellStart"/>
      <w:r w:rsidRPr="00580C0D">
        <w:t>Prop</w:t>
      </w:r>
      <w:proofErr w:type="spellEnd"/>
      <w:r w:rsidRPr="00580C0D">
        <w:t xml:space="preserve">. 166 L (2020–2021) om </w:t>
      </w:r>
      <w:proofErr w:type="spellStart"/>
      <w:r w:rsidRPr="00580C0D">
        <w:t>endringar</w:t>
      </w:r>
      <w:proofErr w:type="spellEnd"/>
      <w:r w:rsidRPr="00580C0D">
        <w:t xml:space="preserve"> i forvaltningslova m.m., og den </w:t>
      </w:r>
      <w:proofErr w:type="spellStart"/>
      <w:r w:rsidRPr="00580C0D">
        <w:t>oppfølgjande</w:t>
      </w:r>
      <w:proofErr w:type="spellEnd"/>
      <w:r w:rsidRPr="00580C0D">
        <w:t xml:space="preserve"> endringslova 18. juni 2021 nr. 127. </w:t>
      </w:r>
      <w:proofErr w:type="spellStart"/>
      <w:r w:rsidRPr="00580C0D">
        <w:t>Førebygging</w:t>
      </w:r>
      <w:proofErr w:type="spellEnd"/>
      <w:r w:rsidRPr="00580C0D">
        <w:t xml:space="preserve"> og avdekking av kriminalitet var sentrale omsyn som </w:t>
      </w:r>
      <w:proofErr w:type="spellStart"/>
      <w:r w:rsidRPr="00580C0D">
        <w:t>låg</w:t>
      </w:r>
      <w:proofErr w:type="spellEnd"/>
      <w:r w:rsidRPr="00580C0D">
        <w:t xml:space="preserve"> til grunn for forslaget og lovendringa. Ny § 13 g i forvaltningslova gir heimel til å gi forskrift om at teieplikt etter forvaltningslova § 13 </w:t>
      </w:r>
      <w:proofErr w:type="spellStart"/>
      <w:r w:rsidRPr="00580C0D">
        <w:t>ikkje</w:t>
      </w:r>
      <w:proofErr w:type="spellEnd"/>
      <w:r w:rsidRPr="00580C0D">
        <w:t xml:space="preserve"> skal </w:t>
      </w:r>
      <w:proofErr w:type="spellStart"/>
      <w:r w:rsidRPr="00580C0D">
        <w:t>vere</w:t>
      </w:r>
      <w:proofErr w:type="spellEnd"/>
      <w:r w:rsidRPr="00580C0D">
        <w:t xml:space="preserve"> til hinder for at bestemte organ kan dele </w:t>
      </w:r>
      <w:proofErr w:type="spellStart"/>
      <w:r w:rsidRPr="00580C0D">
        <w:t>opplysningar</w:t>
      </w:r>
      <w:proofErr w:type="spellEnd"/>
      <w:r w:rsidRPr="00580C0D">
        <w:t xml:space="preserve"> for å utføre </w:t>
      </w:r>
      <w:proofErr w:type="spellStart"/>
      <w:r w:rsidRPr="00580C0D">
        <w:t>oppgåver</w:t>
      </w:r>
      <w:proofErr w:type="spellEnd"/>
      <w:r w:rsidRPr="00580C0D">
        <w:t xml:space="preserve"> som er lagde til </w:t>
      </w:r>
      <w:proofErr w:type="spellStart"/>
      <w:r w:rsidRPr="00580C0D">
        <w:t>givar</w:t>
      </w:r>
      <w:proofErr w:type="spellEnd"/>
      <w:r w:rsidRPr="00580C0D">
        <w:t xml:space="preserve">- eller </w:t>
      </w:r>
      <w:proofErr w:type="spellStart"/>
      <w:r w:rsidRPr="00580C0D">
        <w:t>mottakarorganet</w:t>
      </w:r>
      <w:proofErr w:type="spellEnd"/>
      <w:r w:rsidRPr="00580C0D">
        <w:t xml:space="preserve">, og </w:t>
      </w:r>
      <w:proofErr w:type="spellStart"/>
      <w:r w:rsidRPr="00580C0D">
        <w:t>opnar</w:t>
      </w:r>
      <w:proofErr w:type="spellEnd"/>
      <w:r w:rsidRPr="00580C0D">
        <w:t xml:space="preserve"> dermed for å gi forskrifter om informasjonsdeling knytt til </w:t>
      </w:r>
      <w:proofErr w:type="spellStart"/>
      <w:r w:rsidRPr="00580C0D">
        <w:t>dei</w:t>
      </w:r>
      <w:proofErr w:type="spellEnd"/>
      <w:r w:rsidRPr="00580C0D">
        <w:t xml:space="preserve"> emna som er </w:t>
      </w:r>
      <w:proofErr w:type="spellStart"/>
      <w:r w:rsidRPr="00580C0D">
        <w:t>nemnde</w:t>
      </w:r>
      <w:proofErr w:type="spellEnd"/>
      <w:r w:rsidRPr="00580C0D">
        <w:t xml:space="preserve"> i vedtaket.</w:t>
      </w:r>
    </w:p>
    <w:p w14:paraId="3D168322" w14:textId="77777777" w:rsidR="00F7113A" w:rsidRPr="00580C0D" w:rsidRDefault="00142E5B" w:rsidP="00580C0D">
      <w:pPr>
        <w:pStyle w:val="Overskrift2"/>
      </w:pPr>
      <w:r w:rsidRPr="00580C0D">
        <w:t>Stortingssesjon 2018–2019</w:t>
      </w:r>
    </w:p>
    <w:p w14:paraId="23B18B4A" w14:textId="77777777" w:rsidR="00F7113A" w:rsidRPr="00580C0D" w:rsidRDefault="00142E5B" w:rsidP="00580C0D">
      <w:pPr>
        <w:pStyle w:val="avsnitt-tittel"/>
      </w:pPr>
      <w:r w:rsidRPr="00580C0D">
        <w:t>Rettshjelpsordninga</w:t>
      </w:r>
    </w:p>
    <w:p w14:paraId="6D396AD9" w14:textId="77777777" w:rsidR="00F7113A" w:rsidRPr="00580C0D" w:rsidRDefault="00142E5B" w:rsidP="00580C0D">
      <w:pPr>
        <w:pStyle w:val="avsnitt-undertittel"/>
      </w:pPr>
      <w:r w:rsidRPr="00580C0D">
        <w:t>Vedtak nr. 98, 4. desember 2018</w:t>
      </w:r>
    </w:p>
    <w:p w14:paraId="4EC50649" w14:textId="77777777" w:rsidR="00F7113A" w:rsidRPr="00580C0D" w:rsidRDefault="00142E5B" w:rsidP="00580C0D">
      <w:pPr>
        <w:pStyle w:val="blokksit"/>
        <w:rPr>
          <w:rStyle w:val="kursiv"/>
        </w:rPr>
      </w:pPr>
      <w:r w:rsidRPr="00580C0D">
        <w:rPr>
          <w:rStyle w:val="kursiv"/>
        </w:rPr>
        <w:t>«Stortinget ber regjeringen i forbindelse med den pågående utredningen av rettshjelpsordningen komme tilbake til Stortinget med tiltak i oppfølgingen av denne for å gjøre ordningen betre, mer effektiv og treffsikker.»</w:t>
      </w:r>
    </w:p>
    <w:p w14:paraId="778EF74E" w14:textId="77777777" w:rsidR="00F7113A" w:rsidRPr="00580C0D" w:rsidRDefault="00142E5B" w:rsidP="00580C0D">
      <w:r w:rsidRPr="00580C0D">
        <w:t xml:space="preserve">Dokumenta som ligg til grunn for vedtaket, er Dokument 8:152 S (2017–2018) og </w:t>
      </w:r>
      <w:proofErr w:type="spellStart"/>
      <w:r w:rsidRPr="00580C0D">
        <w:t>Innst</w:t>
      </w:r>
      <w:proofErr w:type="spellEnd"/>
      <w:r w:rsidRPr="00580C0D">
        <w:t>. 71 S (2018–2019).</w:t>
      </w:r>
    </w:p>
    <w:p w14:paraId="42B274E8" w14:textId="77777777" w:rsidR="00F7113A" w:rsidRPr="00580C0D" w:rsidRDefault="00142E5B" w:rsidP="00580C0D">
      <w:r w:rsidRPr="00580C0D">
        <w:t xml:space="preserve">Vedtaket er </w:t>
      </w:r>
      <w:proofErr w:type="spellStart"/>
      <w:r w:rsidRPr="00580C0D">
        <w:t>følgt</w:t>
      </w:r>
      <w:proofErr w:type="spellEnd"/>
      <w:r w:rsidRPr="00580C0D">
        <w:t xml:space="preserve"> opp, jf. </w:t>
      </w:r>
      <w:proofErr w:type="spellStart"/>
      <w:r w:rsidRPr="00580C0D">
        <w:t>Prop</w:t>
      </w:r>
      <w:proofErr w:type="spellEnd"/>
      <w:r w:rsidRPr="00580C0D">
        <w:t>. 124 L (2022–2023) som ligg til behandling i Stortinget. Sjå òg omtale av vedtak nr. 35.49, 2. desember 2021. Sjå omtale under programkategori 06.70.</w:t>
      </w:r>
    </w:p>
    <w:p w14:paraId="533BAEA3" w14:textId="77777777" w:rsidR="00F7113A" w:rsidRPr="00580C0D" w:rsidRDefault="00142E5B" w:rsidP="00580C0D">
      <w:pPr>
        <w:pStyle w:val="Overskrift2"/>
      </w:pPr>
      <w:r w:rsidRPr="00580C0D">
        <w:t>Stortingssesjon 2017–2018</w:t>
      </w:r>
    </w:p>
    <w:p w14:paraId="33A7928F" w14:textId="77777777" w:rsidR="00F7113A" w:rsidRPr="00580C0D" w:rsidRDefault="00142E5B" w:rsidP="00580C0D">
      <w:pPr>
        <w:pStyle w:val="avsnitt-tittel"/>
      </w:pPr>
      <w:proofErr w:type="spellStart"/>
      <w:r w:rsidRPr="00580C0D">
        <w:t>Utanlandsopphald</w:t>
      </w:r>
      <w:proofErr w:type="spellEnd"/>
    </w:p>
    <w:p w14:paraId="3EAE4EA4" w14:textId="77777777" w:rsidR="00F7113A" w:rsidRPr="00580C0D" w:rsidRDefault="00142E5B" w:rsidP="00580C0D">
      <w:pPr>
        <w:pStyle w:val="avsnitt-undertittel"/>
      </w:pPr>
      <w:r w:rsidRPr="00580C0D">
        <w:t>Vedtak nr. 788, 29. mai 2018</w:t>
      </w:r>
    </w:p>
    <w:p w14:paraId="400BC97D" w14:textId="77777777" w:rsidR="00F7113A" w:rsidRPr="00580C0D" w:rsidRDefault="00142E5B" w:rsidP="00580C0D">
      <w:pPr>
        <w:pStyle w:val="blokksit"/>
        <w:rPr>
          <w:rStyle w:val="kursiv"/>
        </w:rPr>
      </w:pPr>
      <w:r w:rsidRPr="00580C0D">
        <w:rPr>
          <w:rStyle w:val="kursiv"/>
        </w:rPr>
        <w:t>«Stortinget ber regjeringen foreslå tydeliggjøring av hjemler i straffeloven som holder foreldre ansvarlige dersom barn sendes på utenlandsopphold mot sin vilje.»</w:t>
      </w:r>
    </w:p>
    <w:p w14:paraId="1F3D8712" w14:textId="77777777" w:rsidR="00F7113A" w:rsidRPr="00580C0D" w:rsidRDefault="00142E5B" w:rsidP="00580C0D">
      <w:r w:rsidRPr="00580C0D">
        <w:t xml:space="preserve">Dokumenta som ligg til grunn for vedtaket, er Dokument 8:118 S (2017–2018) og </w:t>
      </w:r>
      <w:proofErr w:type="spellStart"/>
      <w:r w:rsidRPr="00580C0D">
        <w:t>Innst</w:t>
      </w:r>
      <w:proofErr w:type="spellEnd"/>
      <w:r w:rsidRPr="00580C0D">
        <w:t xml:space="preserve">. 260 S (2017–2018) </w:t>
      </w:r>
      <w:proofErr w:type="spellStart"/>
      <w:r w:rsidRPr="00580C0D">
        <w:t>frå</w:t>
      </w:r>
      <w:proofErr w:type="spellEnd"/>
      <w:r w:rsidRPr="00580C0D">
        <w:t xml:space="preserve"> justiskomiteen om tiltak mot sosial kontroll og </w:t>
      </w:r>
      <w:proofErr w:type="spellStart"/>
      <w:r w:rsidRPr="00580C0D">
        <w:t>æresvald</w:t>
      </w:r>
      <w:proofErr w:type="spellEnd"/>
      <w:r w:rsidRPr="00580C0D">
        <w:t>.</w:t>
      </w:r>
    </w:p>
    <w:p w14:paraId="16737C08" w14:textId="77777777" w:rsidR="00F7113A" w:rsidRPr="00580C0D" w:rsidRDefault="00142E5B" w:rsidP="00580C0D">
      <w:r w:rsidRPr="00580C0D">
        <w:t xml:space="preserve">Vedtaket er under behandling. </w:t>
      </w:r>
      <w:proofErr w:type="spellStart"/>
      <w:r w:rsidRPr="00580C0D">
        <w:t>Eit</w:t>
      </w:r>
      <w:proofErr w:type="spellEnd"/>
      <w:r w:rsidRPr="00580C0D">
        <w:t xml:space="preserve"> eksternt juridisk </w:t>
      </w:r>
      <w:proofErr w:type="spellStart"/>
      <w:r w:rsidRPr="00580C0D">
        <w:t>utval</w:t>
      </w:r>
      <w:proofErr w:type="spellEnd"/>
      <w:r w:rsidRPr="00580C0D">
        <w:t xml:space="preserve"> har fått i oppdrag å drøfte </w:t>
      </w:r>
      <w:proofErr w:type="spellStart"/>
      <w:r w:rsidRPr="00580C0D">
        <w:t>dei</w:t>
      </w:r>
      <w:proofErr w:type="spellEnd"/>
      <w:r w:rsidRPr="00580C0D">
        <w:t xml:space="preserve"> samla juridiske </w:t>
      </w:r>
      <w:proofErr w:type="spellStart"/>
      <w:r w:rsidRPr="00580C0D">
        <w:t>problemstillingane</w:t>
      </w:r>
      <w:proofErr w:type="spellEnd"/>
      <w:r w:rsidRPr="00580C0D">
        <w:t xml:space="preserve"> i saker om negativ sosial kontroll, </w:t>
      </w:r>
      <w:proofErr w:type="spellStart"/>
      <w:r w:rsidRPr="00580C0D">
        <w:t>æresrelatert</w:t>
      </w:r>
      <w:proofErr w:type="spellEnd"/>
      <w:r w:rsidRPr="00580C0D">
        <w:t xml:space="preserve"> vald, tvangsekteskap, kjønnslemlesting og psykisk vald, og </w:t>
      </w:r>
      <w:proofErr w:type="spellStart"/>
      <w:r w:rsidRPr="00580C0D">
        <w:t>dei</w:t>
      </w:r>
      <w:proofErr w:type="spellEnd"/>
      <w:r w:rsidRPr="00580C0D">
        <w:t xml:space="preserve"> skal vurdere om lovgivinga er god nok. </w:t>
      </w:r>
      <w:proofErr w:type="spellStart"/>
      <w:r w:rsidRPr="00580C0D">
        <w:t>Eit</w:t>
      </w:r>
      <w:proofErr w:type="spellEnd"/>
      <w:r w:rsidRPr="00580C0D">
        <w:t xml:space="preserve"> av spørsmåla </w:t>
      </w:r>
      <w:proofErr w:type="spellStart"/>
      <w:r w:rsidRPr="00580C0D">
        <w:t>utvalet</w:t>
      </w:r>
      <w:proofErr w:type="spellEnd"/>
      <w:r w:rsidRPr="00580C0D">
        <w:t xml:space="preserve"> skal sjå </w:t>
      </w:r>
      <w:proofErr w:type="spellStart"/>
      <w:r w:rsidRPr="00580C0D">
        <w:t>nærmare</w:t>
      </w:r>
      <w:proofErr w:type="spellEnd"/>
      <w:r w:rsidRPr="00580C0D">
        <w:t xml:space="preserve"> på, er korleis </w:t>
      </w:r>
      <w:proofErr w:type="spellStart"/>
      <w:r w:rsidRPr="00580C0D">
        <w:t>ein</w:t>
      </w:r>
      <w:proofErr w:type="spellEnd"/>
      <w:r w:rsidRPr="00580C0D">
        <w:t xml:space="preserve"> kan </w:t>
      </w:r>
      <w:proofErr w:type="spellStart"/>
      <w:r w:rsidRPr="00580C0D">
        <w:t>klargjere</w:t>
      </w:r>
      <w:proofErr w:type="spellEnd"/>
      <w:r w:rsidRPr="00580C0D">
        <w:t xml:space="preserve"> grensene for straffeansvaret i tilfelle der foreldre sender barn på </w:t>
      </w:r>
      <w:proofErr w:type="spellStart"/>
      <w:r w:rsidRPr="00580C0D">
        <w:t>utanlandsopphald</w:t>
      </w:r>
      <w:proofErr w:type="spellEnd"/>
      <w:r w:rsidRPr="00580C0D">
        <w:t xml:space="preserve"> mot barna sin vilje. </w:t>
      </w:r>
      <w:proofErr w:type="spellStart"/>
      <w:r w:rsidRPr="00580C0D">
        <w:t>Utvalet</w:t>
      </w:r>
      <w:proofErr w:type="spellEnd"/>
      <w:r w:rsidRPr="00580C0D">
        <w:t xml:space="preserve"> skal levere utgreiinga si 30. november 2023.</w:t>
      </w:r>
    </w:p>
    <w:p w14:paraId="676A051D" w14:textId="77777777" w:rsidR="00F7113A" w:rsidRPr="00580C0D" w:rsidRDefault="00142E5B" w:rsidP="00580C0D">
      <w:pPr>
        <w:pStyle w:val="avsnitt-tittel"/>
      </w:pPr>
      <w:r w:rsidRPr="00580C0D">
        <w:t>Eige lovverk for Statens barnehus</w:t>
      </w:r>
    </w:p>
    <w:p w14:paraId="69530AF1" w14:textId="77777777" w:rsidR="00F7113A" w:rsidRPr="00580C0D" w:rsidRDefault="00142E5B" w:rsidP="00580C0D">
      <w:pPr>
        <w:pStyle w:val="avsnitt-undertittel"/>
      </w:pPr>
      <w:r w:rsidRPr="00580C0D">
        <w:t>Vedtak nr. 795, 29. mai 2018</w:t>
      </w:r>
    </w:p>
    <w:p w14:paraId="31D79E7C" w14:textId="77777777" w:rsidR="00F7113A" w:rsidRPr="00580C0D" w:rsidRDefault="00142E5B" w:rsidP="00580C0D">
      <w:pPr>
        <w:pStyle w:val="blokksit"/>
        <w:rPr>
          <w:rStyle w:val="kursiv"/>
        </w:rPr>
      </w:pPr>
      <w:r w:rsidRPr="00580C0D">
        <w:rPr>
          <w:rStyle w:val="kursiv"/>
        </w:rPr>
        <w:t>«Stortinget ber regjeringen fremme forslag om et eget lovverk for Statens barnehus som sikrer ivaretakelse av hele mandatet til Statens barnehus.»</w:t>
      </w:r>
    </w:p>
    <w:p w14:paraId="37E7DA35" w14:textId="77777777" w:rsidR="00F7113A" w:rsidRPr="00580C0D" w:rsidRDefault="00142E5B" w:rsidP="00580C0D">
      <w:r w:rsidRPr="00580C0D">
        <w:t xml:space="preserve">Dokumenta som ligg til grunn for vedtaket, er Dokument 8:140 S (2017–2018) og </w:t>
      </w:r>
      <w:proofErr w:type="spellStart"/>
      <w:r w:rsidRPr="00580C0D">
        <w:t>Innst</w:t>
      </w:r>
      <w:proofErr w:type="spellEnd"/>
      <w:r w:rsidRPr="00580C0D">
        <w:t>. 316 S (2017–2018).</w:t>
      </w:r>
    </w:p>
    <w:p w14:paraId="54AAF0F4" w14:textId="77777777" w:rsidR="00F7113A" w:rsidRPr="00580C0D" w:rsidRDefault="00142E5B" w:rsidP="00580C0D">
      <w:r w:rsidRPr="00580C0D">
        <w:t>Vedtaket er under behandling. NOVA/</w:t>
      </w:r>
      <w:proofErr w:type="spellStart"/>
      <w:r w:rsidRPr="00580C0D">
        <w:t>OsloMet</w:t>
      </w:r>
      <w:proofErr w:type="spellEnd"/>
      <w:r w:rsidRPr="00580C0D">
        <w:t xml:space="preserve"> har på oppdrag </w:t>
      </w:r>
      <w:proofErr w:type="spellStart"/>
      <w:r w:rsidRPr="00580C0D">
        <w:t>frå</w:t>
      </w:r>
      <w:proofErr w:type="spellEnd"/>
      <w:r w:rsidRPr="00580C0D">
        <w:t xml:space="preserve"> Politidirektoratet evaluert ordninga med barnehusa. I evalueringsrapporten skriv NOVA at </w:t>
      </w:r>
      <w:proofErr w:type="spellStart"/>
      <w:r w:rsidRPr="00580C0D">
        <w:t>dei</w:t>
      </w:r>
      <w:proofErr w:type="spellEnd"/>
      <w:r w:rsidRPr="00580C0D">
        <w:t xml:space="preserve"> meiner at det er behov for ei </w:t>
      </w:r>
      <w:proofErr w:type="spellStart"/>
      <w:r w:rsidRPr="00580C0D">
        <w:t>tydelegare</w:t>
      </w:r>
      <w:proofErr w:type="spellEnd"/>
      <w:r w:rsidRPr="00580C0D">
        <w:t xml:space="preserve"> regulering av oppfølgingsarbeidet i barnehusa. Det blir tilrådd at departementet </w:t>
      </w:r>
      <w:proofErr w:type="spellStart"/>
      <w:r w:rsidRPr="00580C0D">
        <w:t>avventar</w:t>
      </w:r>
      <w:proofErr w:type="spellEnd"/>
      <w:r w:rsidRPr="00580C0D">
        <w:t xml:space="preserve"> spørsmålet om innføring av ei eiga </w:t>
      </w:r>
      <w:proofErr w:type="spellStart"/>
      <w:r w:rsidRPr="00580C0D">
        <w:t>barnehuslov</w:t>
      </w:r>
      <w:proofErr w:type="spellEnd"/>
      <w:r w:rsidRPr="00580C0D">
        <w:t xml:space="preserve"> inntil </w:t>
      </w:r>
      <w:proofErr w:type="spellStart"/>
      <w:r w:rsidRPr="00580C0D">
        <w:t>eit</w:t>
      </w:r>
      <w:proofErr w:type="spellEnd"/>
      <w:r w:rsidRPr="00580C0D">
        <w:t xml:space="preserve"> </w:t>
      </w:r>
      <w:proofErr w:type="spellStart"/>
      <w:r w:rsidRPr="00580C0D">
        <w:t>breiare</w:t>
      </w:r>
      <w:proofErr w:type="spellEnd"/>
      <w:r w:rsidRPr="00580C0D">
        <w:t xml:space="preserve"> kunnskapsgrunnlag er innhenta. Bl.a. vil det </w:t>
      </w:r>
      <w:proofErr w:type="spellStart"/>
      <w:r w:rsidRPr="00580C0D">
        <w:t>vere</w:t>
      </w:r>
      <w:proofErr w:type="spellEnd"/>
      <w:r w:rsidRPr="00580C0D">
        <w:t xml:space="preserve"> behov for å greie ut kva </w:t>
      </w:r>
      <w:proofErr w:type="spellStart"/>
      <w:r w:rsidRPr="00580C0D">
        <w:t>erfaringar</w:t>
      </w:r>
      <w:proofErr w:type="spellEnd"/>
      <w:r w:rsidRPr="00580C0D">
        <w:t xml:space="preserve"> andre land har med lovfesting, og det vil </w:t>
      </w:r>
      <w:proofErr w:type="spellStart"/>
      <w:r w:rsidRPr="00580C0D">
        <w:t>vere</w:t>
      </w:r>
      <w:proofErr w:type="spellEnd"/>
      <w:r w:rsidRPr="00580C0D">
        <w:t xml:space="preserve"> behov for å </w:t>
      </w:r>
      <w:proofErr w:type="spellStart"/>
      <w:r w:rsidRPr="00580C0D">
        <w:t>kartleggje</w:t>
      </w:r>
      <w:proofErr w:type="spellEnd"/>
      <w:r w:rsidRPr="00580C0D">
        <w:t xml:space="preserve"> </w:t>
      </w:r>
      <w:proofErr w:type="spellStart"/>
      <w:r w:rsidRPr="00580C0D">
        <w:t>dei</w:t>
      </w:r>
      <w:proofErr w:type="spellEnd"/>
      <w:r w:rsidRPr="00580C0D">
        <w:t xml:space="preserve"> </w:t>
      </w:r>
      <w:proofErr w:type="spellStart"/>
      <w:r w:rsidRPr="00580C0D">
        <w:t>viktigaste</w:t>
      </w:r>
      <w:proofErr w:type="spellEnd"/>
      <w:r w:rsidRPr="00580C0D">
        <w:t xml:space="preserve"> </w:t>
      </w:r>
      <w:proofErr w:type="spellStart"/>
      <w:r w:rsidRPr="00580C0D">
        <w:t>rettslege</w:t>
      </w:r>
      <w:proofErr w:type="spellEnd"/>
      <w:r w:rsidRPr="00580C0D">
        <w:t xml:space="preserve"> </w:t>
      </w:r>
      <w:proofErr w:type="spellStart"/>
      <w:r w:rsidRPr="00580C0D">
        <w:t>uklarleikane</w:t>
      </w:r>
      <w:proofErr w:type="spellEnd"/>
      <w:r w:rsidRPr="00580C0D">
        <w:t xml:space="preserve"> som oppstår i </w:t>
      </w:r>
      <w:proofErr w:type="spellStart"/>
      <w:r w:rsidRPr="00580C0D">
        <w:t>skjeringspunktet</w:t>
      </w:r>
      <w:proofErr w:type="spellEnd"/>
      <w:r w:rsidRPr="00580C0D">
        <w:t xml:space="preserve"> mellom </w:t>
      </w:r>
      <w:proofErr w:type="spellStart"/>
      <w:r w:rsidRPr="00580C0D">
        <w:t>dei</w:t>
      </w:r>
      <w:proofErr w:type="spellEnd"/>
      <w:r w:rsidRPr="00580C0D">
        <w:t xml:space="preserve"> ulike regelverka som gjeld barnehusa. Med utgangspunkt i NOVA si tilråding vil departementet </w:t>
      </w:r>
      <w:proofErr w:type="spellStart"/>
      <w:r w:rsidRPr="00580C0D">
        <w:t>setje</w:t>
      </w:r>
      <w:proofErr w:type="spellEnd"/>
      <w:r w:rsidRPr="00580C0D">
        <w:t xml:space="preserve"> i gang </w:t>
      </w:r>
      <w:proofErr w:type="spellStart"/>
      <w:r w:rsidRPr="00580C0D">
        <w:t>eit</w:t>
      </w:r>
      <w:proofErr w:type="spellEnd"/>
      <w:r w:rsidRPr="00580C0D">
        <w:t xml:space="preserve"> slikt utgreiingsarbeid i samarbeid med Politidirektoratet.</w:t>
      </w:r>
    </w:p>
    <w:p w14:paraId="3CEAA858" w14:textId="77777777" w:rsidR="00F7113A" w:rsidRPr="00580C0D" w:rsidRDefault="00142E5B" w:rsidP="00580C0D">
      <w:pPr>
        <w:pStyle w:val="avsnitt-tittel"/>
      </w:pPr>
      <w:r w:rsidRPr="00580C0D">
        <w:t>Regelverk for teieplikt, opplysningsplikt og opplysningsrett – vald og overgrep</w:t>
      </w:r>
    </w:p>
    <w:p w14:paraId="1148FA6F" w14:textId="77777777" w:rsidR="00F7113A" w:rsidRPr="00580C0D" w:rsidRDefault="00142E5B" w:rsidP="00580C0D">
      <w:pPr>
        <w:pStyle w:val="avsnitt-undertittel"/>
      </w:pPr>
      <w:r w:rsidRPr="00580C0D">
        <w:t>Vedtak nr. 798, 29. mai 2018</w:t>
      </w:r>
    </w:p>
    <w:p w14:paraId="37BC2C39" w14:textId="77777777" w:rsidR="00F7113A" w:rsidRPr="00580C0D" w:rsidRDefault="00142E5B" w:rsidP="00580C0D">
      <w:pPr>
        <w:pStyle w:val="blokksit"/>
        <w:rPr>
          <w:rStyle w:val="kursiv"/>
        </w:rPr>
      </w:pPr>
      <w:r w:rsidRPr="00580C0D">
        <w:rPr>
          <w:rStyle w:val="kursiv"/>
        </w:rP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14:paraId="48F94D84" w14:textId="77777777" w:rsidR="00F7113A" w:rsidRPr="00580C0D" w:rsidRDefault="00142E5B" w:rsidP="00580C0D">
      <w:r w:rsidRPr="00580C0D">
        <w:t xml:space="preserve">Dokumenta som ligg til grunn for vedtaket, er Dokument 8:140 S (2017–2018) og </w:t>
      </w:r>
      <w:proofErr w:type="spellStart"/>
      <w:r w:rsidRPr="00580C0D">
        <w:t>Innst</w:t>
      </w:r>
      <w:proofErr w:type="spellEnd"/>
      <w:r w:rsidRPr="00580C0D">
        <w:t>. 316 S (2017–2018).</w:t>
      </w:r>
    </w:p>
    <w:p w14:paraId="1F1F8D62" w14:textId="77777777" w:rsidR="00F7113A" w:rsidRPr="00580C0D" w:rsidRDefault="00142E5B" w:rsidP="00580C0D">
      <w:r w:rsidRPr="00580C0D">
        <w:t xml:space="preserve">Vedtaket er </w:t>
      </w:r>
      <w:proofErr w:type="spellStart"/>
      <w:r w:rsidRPr="00580C0D">
        <w:t>følgt</w:t>
      </w:r>
      <w:proofErr w:type="spellEnd"/>
      <w:r w:rsidRPr="00580C0D">
        <w:t xml:space="preserve"> opp. </w:t>
      </w:r>
      <w:proofErr w:type="spellStart"/>
      <w:r w:rsidRPr="00580C0D">
        <w:t>Eit</w:t>
      </w:r>
      <w:proofErr w:type="spellEnd"/>
      <w:r w:rsidRPr="00580C0D">
        <w:t xml:space="preserve"> </w:t>
      </w:r>
      <w:proofErr w:type="spellStart"/>
      <w:r w:rsidRPr="00580C0D">
        <w:t>høyringsforslag</w:t>
      </w:r>
      <w:proofErr w:type="spellEnd"/>
      <w:r w:rsidRPr="00580C0D">
        <w:t xml:space="preserve"> </w:t>
      </w:r>
      <w:proofErr w:type="spellStart"/>
      <w:r w:rsidRPr="00580C0D">
        <w:t>frå</w:t>
      </w:r>
      <w:proofErr w:type="spellEnd"/>
      <w:r w:rsidRPr="00580C0D">
        <w:t xml:space="preserve"> september 2020 om </w:t>
      </w:r>
      <w:proofErr w:type="spellStart"/>
      <w:r w:rsidRPr="00580C0D">
        <w:t>endringar</w:t>
      </w:r>
      <w:proofErr w:type="spellEnd"/>
      <w:r w:rsidRPr="00580C0D">
        <w:t xml:space="preserve"> i forvaltningslova m.m., som gjekk ut på å innføre nye og større grunnlag for deling mellom forvaltningsorgan av </w:t>
      </w:r>
      <w:proofErr w:type="spellStart"/>
      <w:r w:rsidRPr="00580C0D">
        <w:t>opplysningar</w:t>
      </w:r>
      <w:proofErr w:type="spellEnd"/>
      <w:r w:rsidRPr="00580C0D">
        <w:t xml:space="preserve"> som er omfatta av teieplikt, vart </w:t>
      </w:r>
      <w:proofErr w:type="spellStart"/>
      <w:r w:rsidRPr="00580C0D">
        <w:t>følgt</w:t>
      </w:r>
      <w:proofErr w:type="spellEnd"/>
      <w:r w:rsidRPr="00580C0D">
        <w:t xml:space="preserve"> opp i </w:t>
      </w:r>
      <w:proofErr w:type="spellStart"/>
      <w:r w:rsidRPr="00580C0D">
        <w:t>Prop</w:t>
      </w:r>
      <w:proofErr w:type="spellEnd"/>
      <w:r w:rsidRPr="00580C0D">
        <w:t xml:space="preserve">. 166 L (2020–2021) om </w:t>
      </w:r>
      <w:proofErr w:type="spellStart"/>
      <w:r w:rsidRPr="00580C0D">
        <w:t>endringar</w:t>
      </w:r>
      <w:proofErr w:type="spellEnd"/>
      <w:r w:rsidRPr="00580C0D">
        <w:t xml:space="preserve"> i forvaltningslova m.m. og endringslov 18. juni 2021 nr. 127. Ny § 13 g i forvaltningslova gir heimel til å gi forskrift om at teieplikt etter forvaltningslova § 13 </w:t>
      </w:r>
      <w:proofErr w:type="spellStart"/>
      <w:r w:rsidRPr="00580C0D">
        <w:t>ikkje</w:t>
      </w:r>
      <w:proofErr w:type="spellEnd"/>
      <w:r w:rsidRPr="00580C0D">
        <w:t xml:space="preserve"> skal </w:t>
      </w:r>
      <w:proofErr w:type="spellStart"/>
      <w:r w:rsidRPr="00580C0D">
        <w:t>vere</w:t>
      </w:r>
      <w:proofErr w:type="spellEnd"/>
      <w:r w:rsidRPr="00580C0D">
        <w:t xml:space="preserve"> til hinder for at bestemte organ kan dele </w:t>
      </w:r>
      <w:proofErr w:type="spellStart"/>
      <w:r w:rsidRPr="00580C0D">
        <w:t>opplysningar</w:t>
      </w:r>
      <w:proofErr w:type="spellEnd"/>
      <w:r w:rsidRPr="00580C0D">
        <w:t xml:space="preserve"> for å utføre </w:t>
      </w:r>
      <w:proofErr w:type="spellStart"/>
      <w:r w:rsidRPr="00580C0D">
        <w:t>oppgåver</w:t>
      </w:r>
      <w:proofErr w:type="spellEnd"/>
      <w:r w:rsidRPr="00580C0D">
        <w:t xml:space="preserve"> som er lagde til </w:t>
      </w:r>
      <w:proofErr w:type="spellStart"/>
      <w:r w:rsidRPr="00580C0D">
        <w:t>givar</w:t>
      </w:r>
      <w:proofErr w:type="spellEnd"/>
      <w:r w:rsidRPr="00580C0D">
        <w:t xml:space="preserve">- eller </w:t>
      </w:r>
      <w:proofErr w:type="spellStart"/>
      <w:r w:rsidRPr="00580C0D">
        <w:t>mottakarorganet</w:t>
      </w:r>
      <w:proofErr w:type="spellEnd"/>
      <w:r w:rsidRPr="00580C0D">
        <w:t xml:space="preserve">, og </w:t>
      </w:r>
      <w:proofErr w:type="spellStart"/>
      <w:r w:rsidRPr="00580C0D">
        <w:t>opnar</w:t>
      </w:r>
      <w:proofErr w:type="spellEnd"/>
      <w:r w:rsidRPr="00580C0D">
        <w:t xml:space="preserve"> dermed for å gi forskrifter om emna som er </w:t>
      </w:r>
      <w:proofErr w:type="spellStart"/>
      <w:r w:rsidRPr="00580C0D">
        <w:t>nemnde</w:t>
      </w:r>
      <w:proofErr w:type="spellEnd"/>
      <w:r w:rsidRPr="00580C0D">
        <w:t xml:space="preserve"> i vedtaket.</w:t>
      </w:r>
    </w:p>
    <w:p w14:paraId="187FA692" w14:textId="77777777" w:rsidR="00F7113A" w:rsidRPr="00580C0D" w:rsidRDefault="00142E5B" w:rsidP="00580C0D">
      <w:r w:rsidRPr="00580C0D">
        <w:t xml:space="preserve">Straffelova § 196 er endra og </w:t>
      </w:r>
      <w:proofErr w:type="spellStart"/>
      <w:r w:rsidRPr="00580C0D">
        <w:t>avverjingsplikta</w:t>
      </w:r>
      <w:proofErr w:type="spellEnd"/>
      <w:r w:rsidRPr="00580C0D">
        <w:t xml:space="preserve"> </w:t>
      </w:r>
      <w:proofErr w:type="spellStart"/>
      <w:r w:rsidRPr="00580C0D">
        <w:t>omfattar</w:t>
      </w:r>
      <w:proofErr w:type="spellEnd"/>
      <w:r w:rsidRPr="00580C0D">
        <w:t xml:space="preserve"> </w:t>
      </w:r>
      <w:proofErr w:type="spellStart"/>
      <w:r w:rsidRPr="00580C0D">
        <w:t>no</w:t>
      </w:r>
      <w:proofErr w:type="spellEnd"/>
      <w:r w:rsidRPr="00580C0D">
        <w:t xml:space="preserve"> </w:t>
      </w:r>
      <w:proofErr w:type="spellStart"/>
      <w:r w:rsidRPr="00580C0D">
        <w:t>fleire</w:t>
      </w:r>
      <w:proofErr w:type="spellEnd"/>
      <w:r w:rsidRPr="00580C0D">
        <w:t xml:space="preserve"> </w:t>
      </w:r>
      <w:proofErr w:type="spellStart"/>
      <w:r w:rsidRPr="00580C0D">
        <w:t>lovbrot</w:t>
      </w:r>
      <w:proofErr w:type="spellEnd"/>
      <w:r w:rsidRPr="00580C0D">
        <w:t xml:space="preserve"> enn </w:t>
      </w:r>
      <w:proofErr w:type="spellStart"/>
      <w:r w:rsidRPr="00580C0D">
        <w:t>tidlegare</w:t>
      </w:r>
      <w:proofErr w:type="spellEnd"/>
      <w:r w:rsidRPr="00580C0D">
        <w:t xml:space="preserve">. </w:t>
      </w:r>
      <w:proofErr w:type="spellStart"/>
      <w:r w:rsidRPr="00580C0D">
        <w:t>Helsepersonellova</w:t>
      </w:r>
      <w:proofErr w:type="spellEnd"/>
      <w:r w:rsidRPr="00580C0D">
        <w:t xml:space="preserve"> </w:t>
      </w:r>
      <w:proofErr w:type="spellStart"/>
      <w:r w:rsidRPr="00580C0D">
        <w:t>opnar</w:t>
      </w:r>
      <w:proofErr w:type="spellEnd"/>
      <w:r w:rsidRPr="00580C0D">
        <w:t xml:space="preserve"> </w:t>
      </w:r>
      <w:proofErr w:type="spellStart"/>
      <w:r w:rsidRPr="00580C0D">
        <w:t>no</w:t>
      </w:r>
      <w:proofErr w:type="spellEnd"/>
      <w:r w:rsidRPr="00580C0D">
        <w:t xml:space="preserve"> for å dele </w:t>
      </w:r>
      <w:proofErr w:type="spellStart"/>
      <w:r w:rsidRPr="00580C0D">
        <w:t>helseopplysningar</w:t>
      </w:r>
      <w:proofErr w:type="spellEnd"/>
      <w:r w:rsidRPr="00580C0D">
        <w:t xml:space="preserve"> om </w:t>
      </w:r>
      <w:proofErr w:type="spellStart"/>
      <w:r w:rsidRPr="00580C0D">
        <w:t>pasientar</w:t>
      </w:r>
      <w:proofErr w:type="spellEnd"/>
      <w:r w:rsidRPr="00580C0D">
        <w:t xml:space="preserve"> i </w:t>
      </w:r>
      <w:proofErr w:type="spellStart"/>
      <w:r w:rsidRPr="00580C0D">
        <w:t>fleire</w:t>
      </w:r>
      <w:proofErr w:type="spellEnd"/>
      <w:r w:rsidRPr="00580C0D">
        <w:t xml:space="preserve"> konkrete tilfelle enn </w:t>
      </w:r>
      <w:proofErr w:type="spellStart"/>
      <w:r w:rsidRPr="00580C0D">
        <w:t>tidlegare</w:t>
      </w:r>
      <w:proofErr w:type="spellEnd"/>
      <w:r w:rsidRPr="00580C0D">
        <w:t>.</w:t>
      </w:r>
    </w:p>
    <w:p w14:paraId="7425EAD4" w14:textId="77777777" w:rsidR="00F7113A" w:rsidRPr="00580C0D" w:rsidRDefault="00142E5B" w:rsidP="00580C0D">
      <w:proofErr w:type="spellStart"/>
      <w:r w:rsidRPr="00580C0D">
        <w:t>Vidare</w:t>
      </w:r>
      <w:proofErr w:type="spellEnd"/>
      <w:r w:rsidRPr="00580C0D">
        <w:t xml:space="preserve"> var ei utgreiing som i </w:t>
      </w:r>
      <w:proofErr w:type="spellStart"/>
      <w:r w:rsidRPr="00580C0D">
        <w:t>eit</w:t>
      </w:r>
      <w:proofErr w:type="spellEnd"/>
      <w:r w:rsidRPr="00580C0D">
        <w:t xml:space="preserve"> </w:t>
      </w:r>
      <w:proofErr w:type="spellStart"/>
      <w:r w:rsidRPr="00580C0D">
        <w:t>heilskapleg</w:t>
      </w:r>
      <w:proofErr w:type="spellEnd"/>
      <w:r w:rsidRPr="00580C0D">
        <w:t xml:space="preserve"> perspektiv </w:t>
      </w:r>
      <w:proofErr w:type="spellStart"/>
      <w:r w:rsidRPr="00580C0D">
        <w:t>tek</w:t>
      </w:r>
      <w:proofErr w:type="spellEnd"/>
      <w:r w:rsidRPr="00580C0D">
        <w:t xml:space="preserve"> for seg emna teieplikt, opplysningsplikt og opplysningsrett </w:t>
      </w:r>
      <w:proofErr w:type="spellStart"/>
      <w:r w:rsidRPr="00580C0D">
        <w:t>innanfor</w:t>
      </w:r>
      <w:proofErr w:type="spellEnd"/>
      <w:r w:rsidRPr="00580C0D">
        <w:t xml:space="preserve"> det </w:t>
      </w:r>
      <w:proofErr w:type="spellStart"/>
      <w:r w:rsidRPr="00580C0D">
        <w:t>offentlege</w:t>
      </w:r>
      <w:proofErr w:type="spellEnd"/>
      <w:r w:rsidRPr="00580C0D">
        <w:t xml:space="preserve">, og som </w:t>
      </w:r>
      <w:proofErr w:type="spellStart"/>
      <w:r w:rsidRPr="00580C0D">
        <w:t>utgjer</w:t>
      </w:r>
      <w:proofErr w:type="spellEnd"/>
      <w:r w:rsidRPr="00580C0D">
        <w:t xml:space="preserve"> </w:t>
      </w:r>
      <w:proofErr w:type="spellStart"/>
      <w:r w:rsidRPr="00580C0D">
        <w:t>eit</w:t>
      </w:r>
      <w:proofErr w:type="spellEnd"/>
      <w:r w:rsidRPr="00580C0D">
        <w:t xml:space="preserve"> utkast til </w:t>
      </w:r>
      <w:proofErr w:type="spellStart"/>
      <w:r w:rsidRPr="00580C0D">
        <w:t>ein</w:t>
      </w:r>
      <w:proofErr w:type="spellEnd"/>
      <w:r w:rsidRPr="00580C0D">
        <w:t xml:space="preserve"> praktisk oppbygd og autoritativ </w:t>
      </w:r>
      <w:proofErr w:type="spellStart"/>
      <w:r w:rsidRPr="00580C0D">
        <w:t>rettleiar</w:t>
      </w:r>
      <w:proofErr w:type="spellEnd"/>
      <w:r w:rsidRPr="00580C0D">
        <w:t xml:space="preserve"> til bruk på tvers av ulike </w:t>
      </w:r>
      <w:proofErr w:type="spellStart"/>
      <w:r w:rsidRPr="00580C0D">
        <w:t>sektorar</w:t>
      </w:r>
      <w:proofErr w:type="spellEnd"/>
      <w:r w:rsidRPr="00580C0D">
        <w:t xml:space="preserve">, på </w:t>
      </w:r>
      <w:proofErr w:type="spellStart"/>
      <w:r w:rsidRPr="00580C0D">
        <w:t>høyring</w:t>
      </w:r>
      <w:proofErr w:type="spellEnd"/>
      <w:r w:rsidRPr="00580C0D">
        <w:t xml:space="preserve"> i 2021. </w:t>
      </w:r>
      <w:proofErr w:type="spellStart"/>
      <w:r w:rsidRPr="00580C0D">
        <w:t>Høyringa</w:t>
      </w:r>
      <w:proofErr w:type="spellEnd"/>
      <w:r w:rsidRPr="00580C0D">
        <w:t xml:space="preserve"> vart </w:t>
      </w:r>
      <w:proofErr w:type="spellStart"/>
      <w:r w:rsidRPr="00580C0D">
        <w:t>følgd</w:t>
      </w:r>
      <w:proofErr w:type="spellEnd"/>
      <w:r w:rsidRPr="00580C0D">
        <w:t xml:space="preserve"> opp, og den </w:t>
      </w:r>
      <w:proofErr w:type="spellStart"/>
      <w:r w:rsidRPr="00580C0D">
        <w:t>endelege</w:t>
      </w:r>
      <w:proofErr w:type="spellEnd"/>
      <w:r w:rsidRPr="00580C0D">
        <w:t xml:space="preserve"> </w:t>
      </w:r>
      <w:proofErr w:type="spellStart"/>
      <w:r w:rsidRPr="00580C0D">
        <w:t>rettleiaren</w:t>
      </w:r>
      <w:proofErr w:type="spellEnd"/>
      <w:r w:rsidRPr="00580C0D">
        <w:t xml:space="preserve"> </w:t>
      </w:r>
      <w:proofErr w:type="spellStart"/>
      <w:r w:rsidRPr="00580C0D">
        <w:t>vart</w:t>
      </w:r>
      <w:proofErr w:type="spellEnd"/>
      <w:r w:rsidRPr="00580C0D">
        <w:t xml:space="preserve"> publisert i februar 2023. Her blir det slått </w:t>
      </w:r>
      <w:proofErr w:type="spellStart"/>
      <w:r w:rsidRPr="00580C0D">
        <w:t>tydeleg</w:t>
      </w:r>
      <w:proofErr w:type="spellEnd"/>
      <w:r w:rsidRPr="00580C0D">
        <w:t xml:space="preserve"> fast korleis regelverket om teieplikt, opplysningsplikt og opplysningsrett skal </w:t>
      </w:r>
      <w:proofErr w:type="spellStart"/>
      <w:r w:rsidRPr="00580C0D">
        <w:t>forståast</w:t>
      </w:r>
      <w:proofErr w:type="spellEnd"/>
      <w:r w:rsidRPr="00580C0D">
        <w:t xml:space="preserve"> og </w:t>
      </w:r>
      <w:proofErr w:type="spellStart"/>
      <w:r w:rsidRPr="00580C0D">
        <w:t>praktiserast</w:t>
      </w:r>
      <w:proofErr w:type="spellEnd"/>
      <w:r w:rsidRPr="00580C0D">
        <w:t xml:space="preserve">, og </w:t>
      </w:r>
      <w:proofErr w:type="spellStart"/>
      <w:r w:rsidRPr="00580C0D">
        <w:t>ein</w:t>
      </w:r>
      <w:proofErr w:type="spellEnd"/>
      <w:r w:rsidRPr="00580C0D">
        <w:t xml:space="preserve"> heilt sentral faktor som </w:t>
      </w:r>
      <w:proofErr w:type="spellStart"/>
      <w:r w:rsidRPr="00580C0D">
        <w:t>låg</w:t>
      </w:r>
      <w:proofErr w:type="spellEnd"/>
      <w:r w:rsidRPr="00580C0D">
        <w:t xml:space="preserve"> til grunn for dette arbeidet, var arbeidet mot vald og andre overgrep som </w:t>
      </w:r>
      <w:proofErr w:type="spellStart"/>
      <w:r w:rsidRPr="00580C0D">
        <w:t>rammar</w:t>
      </w:r>
      <w:proofErr w:type="spellEnd"/>
      <w:r w:rsidRPr="00580C0D">
        <w:t xml:space="preserve"> barn og unge.</w:t>
      </w:r>
    </w:p>
    <w:p w14:paraId="6DAEC544" w14:textId="77777777" w:rsidR="00F7113A" w:rsidRPr="00580C0D" w:rsidRDefault="00142E5B" w:rsidP="00580C0D">
      <w:r w:rsidRPr="00580C0D">
        <w:t xml:space="preserve">Regelverket om teieplikt, opplysningsplikt og opplysningsrett er også blitt vurdert i samband med forslaget til ny forvaltningslov i NOU 2019: 5, og dette blir </w:t>
      </w:r>
      <w:proofErr w:type="spellStart"/>
      <w:r w:rsidRPr="00580C0D">
        <w:t>følgt</w:t>
      </w:r>
      <w:proofErr w:type="spellEnd"/>
      <w:r w:rsidRPr="00580C0D">
        <w:t xml:space="preserve"> </w:t>
      </w:r>
      <w:proofErr w:type="spellStart"/>
      <w:r w:rsidRPr="00580C0D">
        <w:t>vidare</w:t>
      </w:r>
      <w:proofErr w:type="spellEnd"/>
      <w:r w:rsidRPr="00580C0D">
        <w:t xml:space="preserve"> opp av departementet.</w:t>
      </w:r>
    </w:p>
    <w:p w14:paraId="64D2C473" w14:textId="77777777" w:rsidR="00F7113A" w:rsidRPr="00580C0D" w:rsidRDefault="00142E5B" w:rsidP="00580C0D">
      <w:pPr>
        <w:pStyle w:val="avsnitt-tittel"/>
      </w:pPr>
      <w:proofErr w:type="spellStart"/>
      <w:r w:rsidRPr="00580C0D">
        <w:t>Menneskerettane</w:t>
      </w:r>
      <w:proofErr w:type="spellEnd"/>
      <w:r w:rsidRPr="00580C0D">
        <w:t xml:space="preserve"> til utviklingshemma – </w:t>
      </w:r>
      <w:proofErr w:type="spellStart"/>
      <w:r w:rsidRPr="00580C0D">
        <w:t>verjemål</w:t>
      </w:r>
      <w:proofErr w:type="spellEnd"/>
    </w:p>
    <w:p w14:paraId="04C76EA3" w14:textId="77777777" w:rsidR="00F7113A" w:rsidRPr="00580C0D" w:rsidRDefault="00142E5B" w:rsidP="00580C0D">
      <w:pPr>
        <w:pStyle w:val="avsnitt-undertittel"/>
      </w:pPr>
      <w:r w:rsidRPr="00580C0D">
        <w:t>Vedtak nr. 899, 12. juni 2018</w:t>
      </w:r>
    </w:p>
    <w:p w14:paraId="71EC042E" w14:textId="77777777" w:rsidR="00F7113A" w:rsidRPr="00580C0D" w:rsidRDefault="00142E5B" w:rsidP="00580C0D">
      <w:pPr>
        <w:pStyle w:val="blokksit"/>
        <w:rPr>
          <w:rStyle w:val="kursiv"/>
        </w:rPr>
      </w:pPr>
      <w:r w:rsidRPr="00580C0D">
        <w:rPr>
          <w:rStyle w:val="kursiv"/>
        </w:rPr>
        <w:t xml:space="preserve">«Stortinget ber regjeringen legge frem en Stortingsmelding om sikring av utviklingshemmedes menneskerettigheter der erfaringene med vergemålsloven gjennomgås og foreslå nødvendige lovendringer som sikrer den enkelte </w:t>
      </w:r>
      <w:proofErr w:type="spellStart"/>
      <w:r w:rsidRPr="00580C0D">
        <w:rPr>
          <w:rStyle w:val="kursiv"/>
        </w:rPr>
        <w:t>vergetrengendes</w:t>
      </w:r>
      <w:proofErr w:type="spellEnd"/>
      <w:r w:rsidRPr="00580C0D">
        <w:rPr>
          <w:rStyle w:val="kursiv"/>
        </w:rPr>
        <w:t xml:space="preserve"> medbestemmelse og rettssikkerhet.»</w:t>
      </w:r>
    </w:p>
    <w:p w14:paraId="066955EC"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377 S (2017–2018).</w:t>
      </w:r>
    </w:p>
    <w:p w14:paraId="1211DFEE" w14:textId="77777777" w:rsidR="00F7113A" w:rsidRPr="00580C0D" w:rsidRDefault="00142E5B" w:rsidP="00580C0D">
      <w:r w:rsidRPr="00580C0D">
        <w:t xml:space="preserve">Vedtaket er </w:t>
      </w:r>
      <w:proofErr w:type="spellStart"/>
      <w:r w:rsidRPr="00580C0D">
        <w:t>følgt</w:t>
      </w:r>
      <w:proofErr w:type="spellEnd"/>
      <w:r w:rsidRPr="00580C0D">
        <w:t xml:space="preserve"> opp, jf.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Sjå òg omtalen av oppmodingsvedtak nr. 894 i </w:t>
      </w:r>
      <w:proofErr w:type="spellStart"/>
      <w:r w:rsidRPr="00580C0D">
        <w:t>Prop</w:t>
      </w:r>
      <w:proofErr w:type="spellEnd"/>
      <w:r w:rsidRPr="00580C0D">
        <w:t xml:space="preserve">. 1 S (2023–2024) for Kulturdepartementet. </w:t>
      </w:r>
      <w:proofErr w:type="spellStart"/>
      <w:r w:rsidRPr="00580C0D">
        <w:t>Verjemål</w:t>
      </w:r>
      <w:proofErr w:type="spellEnd"/>
      <w:r w:rsidRPr="00580C0D">
        <w:t xml:space="preserve"> blir behandla i meldinga i samsvar med ordlyden i oppmodingsvedtaket. Stortinget vedtok i mars 2023 </w:t>
      </w:r>
      <w:proofErr w:type="spellStart"/>
      <w:r w:rsidRPr="00580C0D">
        <w:t>endringar</w:t>
      </w:r>
      <w:proofErr w:type="spellEnd"/>
      <w:r w:rsidRPr="00580C0D">
        <w:t xml:space="preserve"> i </w:t>
      </w:r>
      <w:proofErr w:type="spellStart"/>
      <w:r w:rsidRPr="00580C0D">
        <w:t>verjemålslova</w:t>
      </w:r>
      <w:proofErr w:type="spellEnd"/>
      <w:r w:rsidRPr="00580C0D">
        <w:t xml:space="preserve">, som tredde i kraft 1. april 2023. Dei aktuelle </w:t>
      </w:r>
      <w:proofErr w:type="spellStart"/>
      <w:r w:rsidRPr="00580C0D">
        <w:t>endringane</w:t>
      </w:r>
      <w:proofErr w:type="spellEnd"/>
      <w:r w:rsidRPr="00580C0D">
        <w:t xml:space="preserve"> </w:t>
      </w:r>
      <w:proofErr w:type="spellStart"/>
      <w:r w:rsidRPr="00580C0D">
        <w:t>vart</w:t>
      </w:r>
      <w:proofErr w:type="spellEnd"/>
      <w:r w:rsidRPr="00580C0D">
        <w:t xml:space="preserve"> foreslått i </w:t>
      </w:r>
      <w:proofErr w:type="spellStart"/>
      <w:r w:rsidRPr="00580C0D">
        <w:t>Prop</w:t>
      </w:r>
      <w:proofErr w:type="spellEnd"/>
      <w:r w:rsidRPr="00580C0D">
        <w:t xml:space="preserve">. 141 L (2021–2022), som første steg i oppfølginga av oppmodingsvedtaket om </w:t>
      </w:r>
      <w:proofErr w:type="spellStart"/>
      <w:r w:rsidRPr="00580C0D">
        <w:t>ein</w:t>
      </w:r>
      <w:proofErr w:type="spellEnd"/>
      <w:r w:rsidRPr="00580C0D">
        <w:t xml:space="preserve"> </w:t>
      </w:r>
      <w:proofErr w:type="spellStart"/>
      <w:r w:rsidRPr="00580C0D">
        <w:t>heilskapleg</w:t>
      </w:r>
      <w:proofErr w:type="spellEnd"/>
      <w:r w:rsidRPr="00580C0D">
        <w:t xml:space="preserve"> gjennomgang av </w:t>
      </w:r>
      <w:proofErr w:type="spellStart"/>
      <w:r w:rsidRPr="00580C0D">
        <w:t>verjemålsordninga</w:t>
      </w:r>
      <w:proofErr w:type="spellEnd"/>
      <w:r w:rsidRPr="00580C0D">
        <w:t xml:space="preserve">, sjå omtalen av vedtak nr. 848, 27. april 2021. Etter </w:t>
      </w:r>
      <w:proofErr w:type="spellStart"/>
      <w:r w:rsidRPr="00580C0D">
        <w:t>endringane</w:t>
      </w:r>
      <w:proofErr w:type="spellEnd"/>
      <w:r w:rsidRPr="00580C0D">
        <w:t xml:space="preserve"> er bl.a. prinsippet om </w:t>
      </w:r>
      <w:proofErr w:type="spellStart"/>
      <w:r w:rsidRPr="00580C0D">
        <w:t>sjølvråderett</w:t>
      </w:r>
      <w:proofErr w:type="spellEnd"/>
      <w:r w:rsidRPr="00580C0D">
        <w:t xml:space="preserve"> </w:t>
      </w:r>
      <w:proofErr w:type="spellStart"/>
      <w:r w:rsidRPr="00580C0D">
        <w:t>tydeleggjort</w:t>
      </w:r>
      <w:proofErr w:type="spellEnd"/>
      <w:r w:rsidRPr="00580C0D">
        <w:t xml:space="preserve"> i </w:t>
      </w:r>
      <w:proofErr w:type="spellStart"/>
      <w:r w:rsidRPr="00580C0D">
        <w:t>fleire</w:t>
      </w:r>
      <w:proofErr w:type="spellEnd"/>
      <w:r w:rsidRPr="00580C0D">
        <w:t xml:space="preserve"> føresegner i </w:t>
      </w:r>
      <w:proofErr w:type="spellStart"/>
      <w:r w:rsidRPr="00580C0D">
        <w:t>verjemålslova</w:t>
      </w:r>
      <w:proofErr w:type="spellEnd"/>
      <w:r w:rsidRPr="00580C0D">
        <w:t>.</w:t>
      </w:r>
    </w:p>
    <w:p w14:paraId="52C872D8" w14:textId="77777777" w:rsidR="00F7113A" w:rsidRPr="00580C0D" w:rsidRDefault="00142E5B" w:rsidP="00580C0D">
      <w:pPr>
        <w:pStyle w:val="Overskrift2"/>
      </w:pPr>
      <w:r w:rsidRPr="00580C0D">
        <w:t>Stortingssesjon 2016–2017</w:t>
      </w:r>
    </w:p>
    <w:p w14:paraId="6EEAA9F3" w14:textId="77777777" w:rsidR="00F7113A" w:rsidRPr="00580C0D" w:rsidRDefault="00142E5B" w:rsidP="00580C0D">
      <w:pPr>
        <w:pStyle w:val="avsnitt-tittel"/>
      </w:pPr>
      <w:r w:rsidRPr="00580C0D">
        <w:t>Korrupsjonsføresegnene i straffelova</w:t>
      </w:r>
    </w:p>
    <w:p w14:paraId="3B86B52E" w14:textId="77777777" w:rsidR="00F7113A" w:rsidRPr="00580C0D" w:rsidRDefault="00142E5B" w:rsidP="00580C0D">
      <w:pPr>
        <w:pStyle w:val="avsnitt-undertittel"/>
      </w:pPr>
      <w:r w:rsidRPr="00580C0D">
        <w:t>Vedtak nr. 523, 23. mars 2017</w:t>
      </w:r>
    </w:p>
    <w:p w14:paraId="39E180C0" w14:textId="77777777" w:rsidR="00F7113A" w:rsidRPr="00580C0D" w:rsidRDefault="00142E5B" w:rsidP="00580C0D">
      <w:pPr>
        <w:pStyle w:val="blokksit"/>
        <w:rPr>
          <w:rStyle w:val="kursiv"/>
        </w:rPr>
      </w:pPr>
      <w:r w:rsidRPr="00580C0D">
        <w:rPr>
          <w:rStyle w:val="kursiv"/>
        </w:rP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14:paraId="1B1513D4"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xml:space="preserve">. 191 L (2016–2017) </w:t>
      </w:r>
      <w:proofErr w:type="spellStart"/>
      <w:r w:rsidRPr="00580C0D">
        <w:t>frå</w:t>
      </w:r>
      <w:proofErr w:type="spellEnd"/>
      <w:r w:rsidRPr="00580C0D">
        <w:t xml:space="preserve"> justiskomiteen om utvida ansvar selskap har for </w:t>
      </w:r>
      <w:proofErr w:type="spellStart"/>
      <w:r w:rsidRPr="00580C0D">
        <w:t>korrupsjonshandlingar</w:t>
      </w:r>
      <w:proofErr w:type="spellEnd"/>
      <w:r w:rsidRPr="00580C0D">
        <w:t>.</w:t>
      </w:r>
    </w:p>
    <w:p w14:paraId="12A669D6" w14:textId="77777777" w:rsidR="00F7113A" w:rsidRPr="00580C0D" w:rsidRDefault="00142E5B" w:rsidP="00580C0D">
      <w:r w:rsidRPr="00580C0D">
        <w:t xml:space="preserve">Vedtaket er under behandling. Justis- og beredskapsdepartementet har gitt </w:t>
      </w:r>
      <w:proofErr w:type="spellStart"/>
      <w:r w:rsidRPr="00580C0D">
        <w:t>ein</w:t>
      </w:r>
      <w:proofErr w:type="spellEnd"/>
      <w:r w:rsidRPr="00580C0D">
        <w:t xml:space="preserve"> fagperson i oppdrag å drøfte </w:t>
      </w:r>
      <w:proofErr w:type="spellStart"/>
      <w:r w:rsidRPr="00580C0D">
        <w:t>dei</w:t>
      </w:r>
      <w:proofErr w:type="spellEnd"/>
      <w:r w:rsidRPr="00580C0D">
        <w:t xml:space="preserve"> aktuelle spørsmåla og å komme med forslag til </w:t>
      </w:r>
      <w:proofErr w:type="spellStart"/>
      <w:r w:rsidRPr="00580C0D">
        <w:t>lovendringar</w:t>
      </w:r>
      <w:proofErr w:type="spellEnd"/>
      <w:r w:rsidRPr="00580C0D">
        <w:t xml:space="preserve">. Rapporten </w:t>
      </w:r>
      <w:proofErr w:type="spellStart"/>
      <w:r w:rsidRPr="00580C0D">
        <w:t>vart</w:t>
      </w:r>
      <w:proofErr w:type="spellEnd"/>
      <w:r w:rsidRPr="00580C0D">
        <w:t xml:space="preserve"> overlevert i mai 2021 og send på </w:t>
      </w:r>
      <w:proofErr w:type="spellStart"/>
      <w:r w:rsidRPr="00580C0D">
        <w:t>høyring</w:t>
      </w:r>
      <w:proofErr w:type="spellEnd"/>
      <w:r w:rsidRPr="00580C0D">
        <w:t xml:space="preserve"> 12. oktober 2021, med </w:t>
      </w:r>
      <w:proofErr w:type="spellStart"/>
      <w:r w:rsidRPr="00580C0D">
        <w:t>høyringsfrist</w:t>
      </w:r>
      <w:proofErr w:type="spellEnd"/>
      <w:r w:rsidRPr="00580C0D">
        <w:t xml:space="preserve"> 11. januar 2022. Rapporten er </w:t>
      </w:r>
      <w:proofErr w:type="spellStart"/>
      <w:r w:rsidRPr="00580C0D">
        <w:t>no</w:t>
      </w:r>
      <w:proofErr w:type="spellEnd"/>
      <w:r w:rsidRPr="00580C0D">
        <w:t xml:space="preserve"> til oppfølging i departementet.</w:t>
      </w:r>
    </w:p>
    <w:p w14:paraId="1536E49A" w14:textId="77777777" w:rsidR="00F7113A" w:rsidRPr="00580C0D" w:rsidRDefault="00142E5B" w:rsidP="00580C0D">
      <w:pPr>
        <w:pStyle w:val="avsnitt-tittel"/>
      </w:pPr>
      <w:r w:rsidRPr="00580C0D">
        <w:t xml:space="preserve">Omvend </w:t>
      </w:r>
      <w:proofErr w:type="spellStart"/>
      <w:r w:rsidRPr="00580C0D">
        <w:t>valdsalarm</w:t>
      </w:r>
      <w:proofErr w:type="spellEnd"/>
      <w:r w:rsidRPr="00580C0D">
        <w:t xml:space="preserve"> ved </w:t>
      </w:r>
      <w:proofErr w:type="spellStart"/>
      <w:r w:rsidRPr="00580C0D">
        <w:t>brot</w:t>
      </w:r>
      <w:proofErr w:type="spellEnd"/>
      <w:r w:rsidRPr="00580C0D">
        <w:t xml:space="preserve"> på </w:t>
      </w:r>
      <w:proofErr w:type="spellStart"/>
      <w:r w:rsidRPr="00580C0D">
        <w:t>besøksforbod</w:t>
      </w:r>
      <w:proofErr w:type="spellEnd"/>
    </w:p>
    <w:p w14:paraId="75ECA1B6" w14:textId="77777777" w:rsidR="00F7113A" w:rsidRPr="00580C0D" w:rsidRDefault="00142E5B" w:rsidP="00580C0D">
      <w:pPr>
        <w:pStyle w:val="avsnitt-undertittel"/>
      </w:pPr>
      <w:r w:rsidRPr="00580C0D">
        <w:t>Vedtak nr. 630, 25. april 2017</w:t>
      </w:r>
    </w:p>
    <w:p w14:paraId="1204C50C" w14:textId="77777777" w:rsidR="00F7113A" w:rsidRPr="00580C0D" w:rsidRDefault="00142E5B" w:rsidP="00580C0D">
      <w:pPr>
        <w:pStyle w:val="blokksit"/>
        <w:rPr>
          <w:rStyle w:val="kursiv"/>
        </w:rPr>
      </w:pPr>
      <w:r w:rsidRPr="00580C0D">
        <w:rPr>
          <w:rStyle w:val="kursiv"/>
        </w:rPr>
        <w:t>«Stortinget ber regjeringen komme tilbake til Stortinget med et forslag om å utvide muligheten til å ilegge omvendt voldsalarm til blant annet til tilfeller ved brudd på besøksforbud.»</w:t>
      </w:r>
    </w:p>
    <w:p w14:paraId="5C080FA3"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xml:space="preserve">. 247 S (2016–2017) </w:t>
      </w:r>
      <w:proofErr w:type="spellStart"/>
      <w:r w:rsidRPr="00580C0D">
        <w:t>frå</w:t>
      </w:r>
      <w:proofErr w:type="spellEnd"/>
      <w:r w:rsidRPr="00580C0D">
        <w:t xml:space="preserve"> justiskomiteen om opptrappingsplanen mot vald og overgrep (2017–2021).</w:t>
      </w:r>
    </w:p>
    <w:p w14:paraId="3C4CB57C" w14:textId="77777777" w:rsidR="00F7113A" w:rsidRPr="00580C0D" w:rsidRDefault="00142E5B" w:rsidP="00580C0D">
      <w:r w:rsidRPr="00580C0D">
        <w:t xml:space="preserve">Vedtaket er </w:t>
      </w:r>
      <w:proofErr w:type="spellStart"/>
      <w:r w:rsidRPr="00580C0D">
        <w:t>følgt</w:t>
      </w:r>
      <w:proofErr w:type="spellEnd"/>
      <w:r w:rsidRPr="00580C0D">
        <w:t xml:space="preserve"> opp i </w:t>
      </w:r>
      <w:proofErr w:type="spellStart"/>
      <w:r w:rsidRPr="00580C0D">
        <w:t>Prop</w:t>
      </w:r>
      <w:proofErr w:type="spellEnd"/>
      <w:r w:rsidRPr="00580C0D">
        <w:t xml:space="preserve">. 128 L (2022–2023). Det er fremma forslag til </w:t>
      </w:r>
      <w:proofErr w:type="spellStart"/>
      <w:r w:rsidRPr="00580C0D">
        <w:t>endringar</w:t>
      </w:r>
      <w:proofErr w:type="spellEnd"/>
      <w:r w:rsidRPr="00580C0D">
        <w:t xml:space="preserve"> i straffeprosesslova m.m. for å innføre ei ordning med elektronisk kontroll av </w:t>
      </w:r>
      <w:proofErr w:type="spellStart"/>
      <w:r w:rsidRPr="00580C0D">
        <w:t>besøksforbod</w:t>
      </w:r>
      <w:proofErr w:type="spellEnd"/>
      <w:r w:rsidRPr="00580C0D">
        <w:t xml:space="preserve">, òg kalla omvend </w:t>
      </w:r>
      <w:proofErr w:type="spellStart"/>
      <w:r w:rsidRPr="00580C0D">
        <w:t>valdsalarm</w:t>
      </w:r>
      <w:proofErr w:type="spellEnd"/>
      <w:r w:rsidRPr="00580C0D">
        <w:t>. Sjå òg omtale under vedtak nr. 631, 25. april 2017, vedtak nr. 1043, 20. juni 2017, vedtak nr. 447, 18. desember 2020, og vedtak nr. 583, 30. mai 2022.</w:t>
      </w:r>
    </w:p>
    <w:p w14:paraId="65DB24A5" w14:textId="77777777" w:rsidR="00F7113A" w:rsidRPr="00580C0D" w:rsidRDefault="00142E5B" w:rsidP="00580C0D">
      <w:pPr>
        <w:pStyle w:val="avsnitt-tittel"/>
      </w:pPr>
      <w:proofErr w:type="spellStart"/>
      <w:r w:rsidRPr="00580C0D">
        <w:t>Besøksforbod</w:t>
      </w:r>
      <w:proofErr w:type="spellEnd"/>
    </w:p>
    <w:p w14:paraId="2319BC8A" w14:textId="77777777" w:rsidR="00F7113A" w:rsidRPr="00580C0D" w:rsidRDefault="00142E5B" w:rsidP="00580C0D">
      <w:pPr>
        <w:pStyle w:val="avsnitt-undertittel"/>
      </w:pPr>
      <w:r w:rsidRPr="00580C0D">
        <w:t>Vedtak nr. 631, 25. april 2017</w:t>
      </w:r>
    </w:p>
    <w:p w14:paraId="2D62B182" w14:textId="77777777" w:rsidR="00F7113A" w:rsidRPr="00580C0D" w:rsidRDefault="00142E5B" w:rsidP="00580C0D">
      <w:pPr>
        <w:pStyle w:val="blokksit"/>
        <w:rPr>
          <w:rStyle w:val="kursiv"/>
        </w:rPr>
      </w:pPr>
      <w:r w:rsidRPr="00580C0D">
        <w:rPr>
          <w:rStyle w:val="kursiv"/>
        </w:rPr>
        <w:t>«Stortinget ber regjeringen komme tilbake med forslag om å utvide muligheten til å ilegge besøksforbud utover ett år, og utrede muligheten for å ilegge besøksforbud med begrensninger til å bevege seg i et større geografisk område.»</w:t>
      </w:r>
    </w:p>
    <w:p w14:paraId="3E40849F"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xml:space="preserve">. 247 S (2016–2017) </w:t>
      </w:r>
      <w:proofErr w:type="spellStart"/>
      <w:r w:rsidRPr="00580C0D">
        <w:t>frå</w:t>
      </w:r>
      <w:proofErr w:type="spellEnd"/>
      <w:r w:rsidRPr="00580C0D">
        <w:t xml:space="preserve"> justiskomiteen om opptrappingsplanen mot vald og overgrep (2017–2021).</w:t>
      </w:r>
    </w:p>
    <w:p w14:paraId="4C2C8AAC" w14:textId="77777777" w:rsidR="00F7113A" w:rsidRPr="00580C0D" w:rsidRDefault="00142E5B" w:rsidP="00580C0D">
      <w:r w:rsidRPr="00580C0D">
        <w:t xml:space="preserve">Vedtaket er </w:t>
      </w:r>
      <w:proofErr w:type="spellStart"/>
      <w:r w:rsidRPr="00580C0D">
        <w:t>følgt</w:t>
      </w:r>
      <w:proofErr w:type="spellEnd"/>
      <w:r w:rsidRPr="00580C0D">
        <w:t xml:space="preserve"> opp i </w:t>
      </w:r>
      <w:proofErr w:type="spellStart"/>
      <w:r w:rsidRPr="00580C0D">
        <w:t>Prop</w:t>
      </w:r>
      <w:proofErr w:type="spellEnd"/>
      <w:r w:rsidRPr="00580C0D">
        <w:t xml:space="preserve">. 128 L (2022–2023). I proposisjonen </w:t>
      </w:r>
      <w:proofErr w:type="spellStart"/>
      <w:r w:rsidRPr="00580C0D">
        <w:t>drøftar</w:t>
      </w:r>
      <w:proofErr w:type="spellEnd"/>
      <w:r w:rsidRPr="00580C0D">
        <w:t xml:space="preserve"> departementet om </w:t>
      </w:r>
      <w:proofErr w:type="spellStart"/>
      <w:r w:rsidRPr="00580C0D">
        <w:t>reglane</w:t>
      </w:r>
      <w:proofErr w:type="spellEnd"/>
      <w:r w:rsidRPr="00580C0D">
        <w:t xml:space="preserve"> for </w:t>
      </w:r>
      <w:proofErr w:type="spellStart"/>
      <w:r w:rsidRPr="00580C0D">
        <w:t>besøksforbod</w:t>
      </w:r>
      <w:proofErr w:type="spellEnd"/>
      <w:r w:rsidRPr="00580C0D">
        <w:t xml:space="preserve"> bør </w:t>
      </w:r>
      <w:proofErr w:type="spellStart"/>
      <w:r w:rsidRPr="00580C0D">
        <w:t>endrast</w:t>
      </w:r>
      <w:proofErr w:type="spellEnd"/>
      <w:r w:rsidRPr="00580C0D">
        <w:t xml:space="preserve">, men det blir konkludert med at dagens </w:t>
      </w:r>
      <w:proofErr w:type="spellStart"/>
      <w:r w:rsidRPr="00580C0D">
        <w:t>reglar</w:t>
      </w:r>
      <w:proofErr w:type="spellEnd"/>
      <w:r w:rsidRPr="00580C0D">
        <w:t xml:space="preserve"> </w:t>
      </w:r>
      <w:proofErr w:type="spellStart"/>
      <w:r w:rsidRPr="00580C0D">
        <w:t>allereie</w:t>
      </w:r>
      <w:proofErr w:type="spellEnd"/>
      <w:r w:rsidRPr="00580C0D">
        <w:t xml:space="preserve"> </w:t>
      </w:r>
      <w:proofErr w:type="spellStart"/>
      <w:r w:rsidRPr="00580C0D">
        <w:t>opnar</w:t>
      </w:r>
      <w:proofErr w:type="spellEnd"/>
      <w:r w:rsidRPr="00580C0D">
        <w:t xml:space="preserve"> for </w:t>
      </w:r>
      <w:proofErr w:type="spellStart"/>
      <w:r w:rsidRPr="00580C0D">
        <w:t>besøksforbod</w:t>
      </w:r>
      <w:proofErr w:type="spellEnd"/>
      <w:r w:rsidRPr="00580C0D">
        <w:t xml:space="preserve"> over </w:t>
      </w:r>
      <w:proofErr w:type="spellStart"/>
      <w:r w:rsidRPr="00580C0D">
        <w:t>betydelege</w:t>
      </w:r>
      <w:proofErr w:type="spellEnd"/>
      <w:r w:rsidRPr="00580C0D">
        <w:t xml:space="preserve"> tidsrom (når </w:t>
      </w:r>
      <w:proofErr w:type="spellStart"/>
      <w:r w:rsidRPr="00580C0D">
        <w:t>eit</w:t>
      </w:r>
      <w:proofErr w:type="spellEnd"/>
      <w:r w:rsidRPr="00580C0D">
        <w:t xml:space="preserve"> </w:t>
      </w:r>
      <w:proofErr w:type="spellStart"/>
      <w:r w:rsidRPr="00580C0D">
        <w:t>besøksforbod</w:t>
      </w:r>
      <w:proofErr w:type="spellEnd"/>
      <w:r w:rsidRPr="00580C0D">
        <w:t xml:space="preserve"> går ut, kan det </w:t>
      </w:r>
      <w:proofErr w:type="spellStart"/>
      <w:r w:rsidRPr="00580C0D">
        <w:t>forlengast</w:t>
      </w:r>
      <w:proofErr w:type="spellEnd"/>
      <w:r w:rsidRPr="00580C0D">
        <w:t xml:space="preserve"> med nytt </w:t>
      </w:r>
      <w:proofErr w:type="spellStart"/>
      <w:r w:rsidRPr="00580C0D">
        <w:t>besøksforbod</w:t>
      </w:r>
      <w:proofErr w:type="spellEnd"/>
      <w:r w:rsidRPr="00580C0D">
        <w:t xml:space="preserve">, så lenge vilkåra er oppfylte), og over </w:t>
      </w:r>
      <w:proofErr w:type="spellStart"/>
      <w:r w:rsidRPr="00580C0D">
        <w:t>omfattande</w:t>
      </w:r>
      <w:proofErr w:type="spellEnd"/>
      <w:r w:rsidRPr="00580C0D">
        <w:t xml:space="preserve"> geografiske område. Sjå òg omtale under vedtak nr. 630, 25. april 2017, vedtak nr. 1043, 20. juni 2017, vedtak nr. 447, 18. desember 2020, og vedtak nr. 583, 30. mai 2022.</w:t>
      </w:r>
    </w:p>
    <w:p w14:paraId="63D0CA30" w14:textId="77777777" w:rsidR="00F7113A" w:rsidRPr="00580C0D" w:rsidRDefault="00142E5B" w:rsidP="00580C0D">
      <w:pPr>
        <w:pStyle w:val="avsnitt-tittel"/>
      </w:pPr>
      <w:r w:rsidRPr="00580C0D">
        <w:t xml:space="preserve">Omvend </w:t>
      </w:r>
      <w:proofErr w:type="spellStart"/>
      <w:r w:rsidRPr="00580C0D">
        <w:t>valdsalarm</w:t>
      </w:r>
      <w:proofErr w:type="spellEnd"/>
    </w:p>
    <w:p w14:paraId="5BE98E3E" w14:textId="77777777" w:rsidR="00F7113A" w:rsidRPr="00580C0D" w:rsidRDefault="00142E5B" w:rsidP="00580C0D">
      <w:pPr>
        <w:pStyle w:val="avsnitt-undertittel"/>
      </w:pPr>
      <w:r w:rsidRPr="00580C0D">
        <w:t>Vedtak nr. 1043, 20. juni 2017</w:t>
      </w:r>
    </w:p>
    <w:p w14:paraId="2A02D590" w14:textId="77777777" w:rsidR="00F7113A" w:rsidRPr="00580C0D" w:rsidRDefault="00142E5B" w:rsidP="00580C0D">
      <w:pPr>
        <w:pStyle w:val="blokksit"/>
        <w:rPr>
          <w:rStyle w:val="kursiv"/>
        </w:rPr>
      </w:pPr>
      <w:r w:rsidRPr="00580C0D">
        <w:rPr>
          <w:rStyle w:val="kursiv"/>
        </w:rPr>
        <w:t xml:space="preserve">«Stortinget ber regjeringen utrede om omvendt voldsalarm bør kunne benyttes som et straffeprosessuelt virkemiddel, og rammene for slik bruk og komme tilbake til Stortinget på egnet måte med </w:t>
      </w:r>
      <w:r w:rsidRPr="00580C0D">
        <w:t>eventuelle forslag om dette.»</w:t>
      </w:r>
    </w:p>
    <w:p w14:paraId="49C7C483" w14:textId="77777777" w:rsidR="00F7113A" w:rsidRPr="00580C0D" w:rsidRDefault="00142E5B" w:rsidP="00580C0D">
      <w:r w:rsidRPr="00580C0D">
        <w:t xml:space="preserve">Dokumenta som ligg til grunn for vedtaket, er Dokument 8:108 S (2016–2017), om å styrke oppfølginga i reetableringsfasen for </w:t>
      </w:r>
      <w:proofErr w:type="spellStart"/>
      <w:r w:rsidRPr="00580C0D">
        <w:t>personar</w:t>
      </w:r>
      <w:proofErr w:type="spellEnd"/>
      <w:r w:rsidRPr="00580C0D">
        <w:t xml:space="preserve"> som er utsette for vald i nære </w:t>
      </w:r>
      <w:proofErr w:type="spellStart"/>
      <w:r w:rsidRPr="00580C0D">
        <w:t>relasjonar</w:t>
      </w:r>
      <w:proofErr w:type="spellEnd"/>
      <w:r w:rsidRPr="00580C0D">
        <w:t xml:space="preserve">, og </w:t>
      </w:r>
      <w:proofErr w:type="spellStart"/>
      <w:r w:rsidRPr="00580C0D">
        <w:t>Innst</w:t>
      </w:r>
      <w:proofErr w:type="spellEnd"/>
      <w:r w:rsidRPr="00580C0D">
        <w:t>. 475 S (2016–2017).</w:t>
      </w:r>
    </w:p>
    <w:p w14:paraId="0FCAAF35" w14:textId="77777777" w:rsidR="00F7113A" w:rsidRPr="00580C0D" w:rsidRDefault="00142E5B" w:rsidP="00580C0D">
      <w:r w:rsidRPr="00580C0D">
        <w:t xml:space="preserve">Vedtaket er </w:t>
      </w:r>
      <w:proofErr w:type="spellStart"/>
      <w:r w:rsidRPr="00580C0D">
        <w:t>følgt</w:t>
      </w:r>
      <w:proofErr w:type="spellEnd"/>
      <w:r w:rsidRPr="00580C0D">
        <w:t xml:space="preserve"> opp i </w:t>
      </w:r>
      <w:proofErr w:type="spellStart"/>
      <w:r w:rsidRPr="00580C0D">
        <w:t>Prop</w:t>
      </w:r>
      <w:proofErr w:type="spellEnd"/>
      <w:r w:rsidRPr="00580C0D">
        <w:t xml:space="preserve">. 128 L (2022–2023). Det er fremma forslag til </w:t>
      </w:r>
      <w:proofErr w:type="spellStart"/>
      <w:r w:rsidRPr="00580C0D">
        <w:t>endringar</w:t>
      </w:r>
      <w:proofErr w:type="spellEnd"/>
      <w:r w:rsidRPr="00580C0D">
        <w:t xml:space="preserve"> i straffeprosesslova m.m. for å innføre ei ordning med elektronisk kontroll av </w:t>
      </w:r>
      <w:proofErr w:type="spellStart"/>
      <w:r w:rsidRPr="00580C0D">
        <w:t>besøksforbod</w:t>
      </w:r>
      <w:proofErr w:type="spellEnd"/>
      <w:r w:rsidRPr="00580C0D">
        <w:t xml:space="preserve"> som </w:t>
      </w:r>
      <w:proofErr w:type="spellStart"/>
      <w:r w:rsidRPr="00580C0D">
        <w:t>eit</w:t>
      </w:r>
      <w:proofErr w:type="spellEnd"/>
      <w:r w:rsidRPr="00580C0D">
        <w:t xml:space="preserve"> straffeprosessuelt </w:t>
      </w:r>
      <w:proofErr w:type="spellStart"/>
      <w:r w:rsidRPr="00580C0D">
        <w:t>verkemiddel</w:t>
      </w:r>
      <w:proofErr w:type="spellEnd"/>
      <w:r w:rsidRPr="00580C0D">
        <w:t xml:space="preserve">, òg kalla omvend </w:t>
      </w:r>
      <w:proofErr w:type="spellStart"/>
      <w:r w:rsidRPr="00580C0D">
        <w:t>valdsalarm</w:t>
      </w:r>
      <w:proofErr w:type="spellEnd"/>
      <w:r w:rsidRPr="00580C0D">
        <w:t xml:space="preserve">. Sjå òg omtale av vedtak nr. 630 og 631, 25. april 2017, vedtak nr. 447, 18. desember 2020, og </w:t>
      </w:r>
      <w:proofErr w:type="spellStart"/>
      <w:r w:rsidRPr="00580C0D">
        <w:t>dessutan</w:t>
      </w:r>
      <w:proofErr w:type="spellEnd"/>
      <w:r w:rsidRPr="00580C0D">
        <w:t xml:space="preserve"> vedtak nr. 583, 30. mai 2022.</w:t>
      </w:r>
    </w:p>
    <w:p w14:paraId="6DB04105" w14:textId="77777777" w:rsidR="00F7113A" w:rsidRPr="00580C0D" w:rsidRDefault="00142E5B" w:rsidP="00580C0D">
      <w:pPr>
        <w:pStyle w:val="Overskrift1"/>
      </w:pPr>
      <w:r w:rsidRPr="00580C0D">
        <w:t>Klima- og miljødepartementet</w:t>
      </w:r>
    </w:p>
    <w:p w14:paraId="1DBB4292" w14:textId="53CDC084" w:rsidR="00F7113A" w:rsidRDefault="00142E5B" w:rsidP="00580C0D">
      <w:proofErr w:type="spellStart"/>
      <w:r w:rsidRPr="00580C0D">
        <w:t>Nedanfor</w:t>
      </w:r>
      <w:proofErr w:type="spellEnd"/>
      <w:r w:rsidRPr="00580C0D">
        <w:t xml:space="preserve"> er det gjort greie for oppfølginga av oppmodingsvedtak under Klima- og miljødepartementet. </w:t>
      </w:r>
      <w:proofErr w:type="spellStart"/>
      <w:r w:rsidRPr="00580C0D">
        <w:t>Oversikta</w:t>
      </w:r>
      <w:proofErr w:type="spellEnd"/>
      <w:r w:rsidRPr="00580C0D">
        <w:t xml:space="preserve"> inkluderer alle vedtak </w:t>
      </w:r>
      <w:proofErr w:type="spellStart"/>
      <w:r w:rsidRPr="00580C0D">
        <w:t>frå</w:t>
      </w:r>
      <w:proofErr w:type="spellEnd"/>
      <w:r w:rsidRPr="00580C0D">
        <w:t xml:space="preserve"> stortingssesjonen 2022–2023 og vedtak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stortingssesjonar</w:t>
      </w:r>
      <w:proofErr w:type="spellEnd"/>
      <w:r w:rsidRPr="00580C0D">
        <w:t xml:space="preserve"> som kontroll- og konstitusjonskomiteen i </w:t>
      </w:r>
      <w:proofErr w:type="spellStart"/>
      <w:r w:rsidRPr="00580C0D">
        <w:t>Innst</w:t>
      </w:r>
      <w:proofErr w:type="spellEnd"/>
      <w:r w:rsidRPr="00580C0D">
        <w:t xml:space="preserve">. S (2022–2023) meinte </w:t>
      </w:r>
      <w:proofErr w:type="spellStart"/>
      <w:r w:rsidRPr="00580C0D">
        <w:t>ikkje</w:t>
      </w:r>
      <w:proofErr w:type="spellEnd"/>
      <w:r w:rsidRPr="00580C0D">
        <w:t xml:space="preserve"> var kvitterte ut. I tabellen </w:t>
      </w:r>
      <w:proofErr w:type="spellStart"/>
      <w:r w:rsidRPr="00580C0D">
        <w:t>nedanfor</w:t>
      </w:r>
      <w:proofErr w:type="spellEnd"/>
      <w:r w:rsidRPr="00580C0D">
        <w:t xml:space="preserve"> blir det òg </w:t>
      </w:r>
      <w:proofErr w:type="spellStart"/>
      <w:r w:rsidRPr="00580C0D">
        <w:t>angjeve</w:t>
      </w:r>
      <w:proofErr w:type="spellEnd"/>
      <w:r w:rsidRPr="00580C0D">
        <w:t xml:space="preserve"> i kva grad departementet planlegg at rapporteringa knytt til oppmodingsvedtaket </w:t>
      </w:r>
      <w:proofErr w:type="spellStart"/>
      <w:r w:rsidRPr="00580C0D">
        <w:t>no</w:t>
      </w:r>
      <w:proofErr w:type="spellEnd"/>
      <w:r w:rsidRPr="00580C0D">
        <w:t xml:space="preserve"> blir avslutta, eller om departementet vil rapportere konkret på vedtaket i budsjettproposisjonen for neste år òg.</w:t>
      </w:r>
    </w:p>
    <w:p w14:paraId="175F5F53" w14:textId="40D89EB0" w:rsidR="001231A3" w:rsidRPr="00580C0D" w:rsidRDefault="001231A3" w:rsidP="001231A3">
      <w:pPr>
        <w:pStyle w:val="tabell-tittel"/>
      </w:pPr>
      <w:r w:rsidRPr="00580C0D">
        <w:t>Oversikt over oppmodingstiltak, ordna etter sesjon og nummer</w:t>
      </w:r>
    </w:p>
    <w:p w14:paraId="33F5A84B" w14:textId="77777777" w:rsidR="00F7113A" w:rsidRPr="00580C0D" w:rsidRDefault="00142E5B" w:rsidP="00580C0D">
      <w:pPr>
        <w:pStyle w:val="Tabellnavn"/>
      </w:pPr>
      <w:r w:rsidRPr="00580C0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600"/>
        <w:gridCol w:w="1400"/>
      </w:tblGrid>
      <w:tr w:rsidR="00F7113A" w:rsidRPr="00580C0D" w14:paraId="6C31CB95"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A7EA01" w14:textId="77777777" w:rsidR="00F7113A" w:rsidRPr="00580C0D" w:rsidRDefault="00142E5B" w:rsidP="001231A3">
            <w:r w:rsidRPr="00580C0D">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C90B46" w14:textId="77777777" w:rsidR="00F7113A" w:rsidRPr="00580C0D" w:rsidRDefault="00142E5B" w:rsidP="001231A3">
            <w:pPr>
              <w:jc w:val="center"/>
            </w:pPr>
            <w:r w:rsidRPr="00580C0D">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C23DEA" w14:textId="77777777" w:rsidR="00F7113A" w:rsidRPr="00580C0D" w:rsidRDefault="00142E5B" w:rsidP="001231A3">
            <w:r w:rsidRPr="00580C0D">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CE30C4" w14:textId="77777777" w:rsidR="00F7113A" w:rsidRPr="00580C0D" w:rsidRDefault="00142E5B" w:rsidP="001231A3">
            <w:pPr>
              <w:jc w:val="right"/>
            </w:pPr>
            <w:r w:rsidRPr="00580C0D">
              <w:t>Rapportering avslutta (ja/nei)</w:t>
            </w:r>
          </w:p>
        </w:tc>
      </w:tr>
      <w:tr w:rsidR="00F7113A" w:rsidRPr="00580C0D" w14:paraId="13665443" w14:textId="77777777">
        <w:trPr>
          <w:trHeight w:val="640"/>
        </w:trPr>
        <w:tc>
          <w:tcPr>
            <w:tcW w:w="1400" w:type="dxa"/>
            <w:tcBorders>
              <w:top w:val="single" w:sz="4" w:space="0" w:color="000000"/>
              <w:left w:val="nil"/>
              <w:bottom w:val="nil"/>
              <w:right w:val="nil"/>
            </w:tcBorders>
            <w:tcMar>
              <w:top w:w="128" w:type="dxa"/>
              <w:left w:w="43" w:type="dxa"/>
              <w:bottom w:w="43" w:type="dxa"/>
              <w:right w:w="43" w:type="dxa"/>
            </w:tcMar>
          </w:tcPr>
          <w:p w14:paraId="4D5C010C" w14:textId="77777777" w:rsidR="00F7113A" w:rsidRPr="00580C0D" w:rsidRDefault="00142E5B" w:rsidP="001231A3">
            <w:r w:rsidRPr="00580C0D">
              <w:t>2022–2023</w:t>
            </w:r>
          </w:p>
        </w:tc>
        <w:tc>
          <w:tcPr>
            <w:tcW w:w="1120" w:type="dxa"/>
            <w:tcBorders>
              <w:top w:val="single" w:sz="4" w:space="0" w:color="000000"/>
              <w:left w:val="nil"/>
              <w:bottom w:val="nil"/>
              <w:right w:val="nil"/>
            </w:tcBorders>
            <w:tcMar>
              <w:top w:w="128" w:type="dxa"/>
              <w:left w:w="43" w:type="dxa"/>
              <w:bottom w:w="43" w:type="dxa"/>
              <w:right w:w="43" w:type="dxa"/>
            </w:tcMar>
          </w:tcPr>
          <w:p w14:paraId="5DA1152E" w14:textId="77777777" w:rsidR="00F7113A" w:rsidRPr="00580C0D" w:rsidRDefault="00142E5B" w:rsidP="001231A3">
            <w:pPr>
              <w:ind w:right="284"/>
              <w:jc w:val="right"/>
            </w:pPr>
            <w:r w:rsidRPr="00580C0D">
              <w:t>21</w:t>
            </w:r>
          </w:p>
        </w:tc>
        <w:tc>
          <w:tcPr>
            <w:tcW w:w="5600" w:type="dxa"/>
            <w:tcBorders>
              <w:top w:val="single" w:sz="4" w:space="0" w:color="000000"/>
              <w:left w:val="nil"/>
              <w:bottom w:val="nil"/>
              <w:right w:val="nil"/>
            </w:tcBorders>
            <w:tcMar>
              <w:top w:w="128" w:type="dxa"/>
              <w:left w:w="43" w:type="dxa"/>
              <w:bottom w:w="43" w:type="dxa"/>
              <w:right w:w="43" w:type="dxa"/>
            </w:tcMar>
          </w:tcPr>
          <w:p w14:paraId="07B66E2A" w14:textId="5A5142B4" w:rsidR="00F7113A" w:rsidRPr="00580C0D" w:rsidRDefault="00142E5B" w:rsidP="001231A3">
            <w:proofErr w:type="spellStart"/>
            <w:r w:rsidRPr="00580C0D">
              <w:t>Gje</w:t>
            </w:r>
            <w:proofErr w:type="spellEnd"/>
            <w:r w:rsidRPr="00580C0D">
              <w:t xml:space="preserve"> </w:t>
            </w:r>
            <w:proofErr w:type="spellStart"/>
            <w:r w:rsidRPr="00580C0D">
              <w:t>Enova</w:t>
            </w:r>
            <w:proofErr w:type="spellEnd"/>
            <w:r w:rsidRPr="00580C0D">
              <w:t xml:space="preserve"> </w:t>
            </w:r>
            <w:proofErr w:type="spellStart"/>
            <w:r w:rsidRPr="00580C0D">
              <w:t>eit</w:t>
            </w:r>
            <w:proofErr w:type="spellEnd"/>
            <w:r w:rsidRPr="00580C0D">
              <w:t xml:space="preserve"> tilleggsmandat om å bidra til å </w:t>
            </w:r>
            <w:proofErr w:type="spellStart"/>
            <w:r w:rsidRPr="00580C0D">
              <w:t>styrkje</w:t>
            </w:r>
            <w:proofErr w:type="spellEnd"/>
            <w:r w:rsidRPr="00580C0D">
              <w:t xml:space="preserve"> </w:t>
            </w:r>
            <w:r w:rsidR="00C26F72">
              <w:br/>
            </w:r>
            <w:r w:rsidRPr="00580C0D">
              <w:t>forsyningstryggleiken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ACFCAC" w14:textId="77777777" w:rsidR="00F7113A" w:rsidRPr="00580C0D" w:rsidRDefault="00142E5B" w:rsidP="001231A3">
            <w:pPr>
              <w:jc w:val="right"/>
            </w:pPr>
            <w:r w:rsidRPr="00580C0D">
              <w:t>Ja</w:t>
            </w:r>
          </w:p>
        </w:tc>
      </w:tr>
      <w:tr w:rsidR="00F7113A" w:rsidRPr="00580C0D" w14:paraId="4BD33EFA" w14:textId="77777777">
        <w:trPr>
          <w:trHeight w:val="640"/>
        </w:trPr>
        <w:tc>
          <w:tcPr>
            <w:tcW w:w="1400" w:type="dxa"/>
            <w:tcBorders>
              <w:top w:val="nil"/>
              <w:left w:val="nil"/>
              <w:bottom w:val="nil"/>
              <w:right w:val="nil"/>
            </w:tcBorders>
            <w:tcMar>
              <w:top w:w="128" w:type="dxa"/>
              <w:left w:w="43" w:type="dxa"/>
              <w:bottom w:w="43" w:type="dxa"/>
              <w:right w:w="43" w:type="dxa"/>
            </w:tcMar>
          </w:tcPr>
          <w:p w14:paraId="57BB58E4"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94E18C4" w14:textId="77777777" w:rsidR="00F7113A" w:rsidRPr="00580C0D" w:rsidRDefault="00142E5B" w:rsidP="001231A3">
            <w:pPr>
              <w:ind w:right="284"/>
              <w:jc w:val="right"/>
            </w:pPr>
            <w:r w:rsidRPr="00580C0D">
              <w:t>22</w:t>
            </w:r>
          </w:p>
        </w:tc>
        <w:tc>
          <w:tcPr>
            <w:tcW w:w="5600" w:type="dxa"/>
            <w:tcBorders>
              <w:top w:val="nil"/>
              <w:left w:val="nil"/>
              <w:bottom w:val="nil"/>
              <w:right w:val="nil"/>
            </w:tcBorders>
            <w:tcMar>
              <w:top w:w="128" w:type="dxa"/>
              <w:left w:w="43" w:type="dxa"/>
              <w:bottom w:w="43" w:type="dxa"/>
              <w:right w:w="43" w:type="dxa"/>
            </w:tcMar>
          </w:tcPr>
          <w:p w14:paraId="5418ED4B" w14:textId="39C2CA27" w:rsidR="00F7113A" w:rsidRPr="00580C0D" w:rsidRDefault="00142E5B" w:rsidP="001231A3">
            <w:r w:rsidRPr="00580C0D">
              <w:t xml:space="preserve">Endre </w:t>
            </w:r>
            <w:proofErr w:type="spellStart"/>
            <w:r w:rsidRPr="00580C0D">
              <w:t>Enova-tilskot</w:t>
            </w:r>
            <w:proofErr w:type="spellEnd"/>
            <w:r w:rsidRPr="00580C0D">
              <w:t xml:space="preserve"> «helhetlig oppgradering av </w:t>
            </w:r>
            <w:r w:rsidR="00901405">
              <w:br/>
            </w:r>
            <w:r w:rsidRPr="00580C0D">
              <w:t>bygningskropp»</w:t>
            </w:r>
          </w:p>
        </w:tc>
        <w:tc>
          <w:tcPr>
            <w:tcW w:w="1400" w:type="dxa"/>
            <w:tcBorders>
              <w:top w:val="nil"/>
              <w:left w:val="nil"/>
              <w:bottom w:val="nil"/>
              <w:right w:val="nil"/>
            </w:tcBorders>
            <w:tcMar>
              <w:top w:w="128" w:type="dxa"/>
              <w:left w:w="43" w:type="dxa"/>
              <w:bottom w:w="43" w:type="dxa"/>
              <w:right w:w="43" w:type="dxa"/>
            </w:tcMar>
            <w:vAlign w:val="bottom"/>
          </w:tcPr>
          <w:p w14:paraId="5B544B22" w14:textId="77777777" w:rsidR="00F7113A" w:rsidRPr="00580C0D" w:rsidRDefault="00142E5B" w:rsidP="001231A3">
            <w:pPr>
              <w:jc w:val="right"/>
            </w:pPr>
            <w:r w:rsidRPr="00580C0D">
              <w:t>Ja</w:t>
            </w:r>
          </w:p>
        </w:tc>
      </w:tr>
      <w:tr w:rsidR="00F7113A" w:rsidRPr="00580C0D" w14:paraId="15410A74" w14:textId="77777777">
        <w:trPr>
          <w:trHeight w:val="380"/>
        </w:trPr>
        <w:tc>
          <w:tcPr>
            <w:tcW w:w="1400" w:type="dxa"/>
            <w:tcBorders>
              <w:top w:val="nil"/>
              <w:left w:val="nil"/>
              <w:bottom w:val="nil"/>
              <w:right w:val="nil"/>
            </w:tcBorders>
            <w:tcMar>
              <w:top w:w="128" w:type="dxa"/>
              <w:left w:w="43" w:type="dxa"/>
              <w:bottom w:w="43" w:type="dxa"/>
              <w:right w:w="43" w:type="dxa"/>
            </w:tcMar>
          </w:tcPr>
          <w:p w14:paraId="0223DEAE"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3522753B" w14:textId="77777777" w:rsidR="00F7113A" w:rsidRPr="00580C0D" w:rsidRDefault="00142E5B" w:rsidP="001231A3">
            <w:pPr>
              <w:ind w:right="284"/>
              <w:jc w:val="right"/>
            </w:pPr>
            <w:r w:rsidRPr="00580C0D">
              <w:t>23</w:t>
            </w:r>
          </w:p>
        </w:tc>
        <w:tc>
          <w:tcPr>
            <w:tcW w:w="5600" w:type="dxa"/>
            <w:tcBorders>
              <w:top w:val="nil"/>
              <w:left w:val="nil"/>
              <w:bottom w:val="nil"/>
              <w:right w:val="nil"/>
            </w:tcBorders>
            <w:tcMar>
              <w:top w:w="128" w:type="dxa"/>
              <w:left w:w="43" w:type="dxa"/>
              <w:bottom w:w="43" w:type="dxa"/>
              <w:right w:w="43" w:type="dxa"/>
            </w:tcMar>
          </w:tcPr>
          <w:p w14:paraId="05F81EDF" w14:textId="77777777" w:rsidR="00F7113A" w:rsidRPr="00580C0D" w:rsidRDefault="00142E5B" w:rsidP="001231A3">
            <w:r w:rsidRPr="00580C0D">
              <w:t xml:space="preserve">Endre </w:t>
            </w:r>
            <w:proofErr w:type="spellStart"/>
            <w:r w:rsidRPr="00580C0D">
              <w:t>Enovas</w:t>
            </w:r>
            <w:proofErr w:type="spellEnd"/>
            <w:r w:rsidRPr="00580C0D">
              <w:t xml:space="preserve"> løysing for utbetaling til </w:t>
            </w:r>
            <w:proofErr w:type="spellStart"/>
            <w:r w:rsidRPr="00580C0D">
              <w:t>forbrukarar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AC5119A" w14:textId="77777777" w:rsidR="00F7113A" w:rsidRPr="00580C0D" w:rsidRDefault="00142E5B" w:rsidP="001231A3">
            <w:pPr>
              <w:jc w:val="right"/>
            </w:pPr>
            <w:r w:rsidRPr="00580C0D">
              <w:t>Ja</w:t>
            </w:r>
          </w:p>
        </w:tc>
      </w:tr>
      <w:tr w:rsidR="00F7113A" w:rsidRPr="00580C0D" w14:paraId="5F1CCD5F" w14:textId="77777777">
        <w:trPr>
          <w:trHeight w:val="380"/>
        </w:trPr>
        <w:tc>
          <w:tcPr>
            <w:tcW w:w="1400" w:type="dxa"/>
            <w:tcBorders>
              <w:top w:val="nil"/>
              <w:left w:val="nil"/>
              <w:bottom w:val="nil"/>
              <w:right w:val="nil"/>
            </w:tcBorders>
            <w:tcMar>
              <w:top w:w="128" w:type="dxa"/>
              <w:left w:w="43" w:type="dxa"/>
              <w:bottom w:w="43" w:type="dxa"/>
              <w:right w:w="43" w:type="dxa"/>
            </w:tcMar>
          </w:tcPr>
          <w:p w14:paraId="7B3ABEE2"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17B9CD87" w14:textId="77777777" w:rsidR="00F7113A" w:rsidRPr="00580C0D" w:rsidRDefault="00142E5B" w:rsidP="001231A3">
            <w:pPr>
              <w:ind w:right="284"/>
              <w:jc w:val="right"/>
            </w:pPr>
            <w:r w:rsidRPr="00580C0D">
              <w:t>92</w:t>
            </w:r>
          </w:p>
        </w:tc>
        <w:tc>
          <w:tcPr>
            <w:tcW w:w="5600" w:type="dxa"/>
            <w:tcBorders>
              <w:top w:val="nil"/>
              <w:left w:val="nil"/>
              <w:bottom w:val="nil"/>
              <w:right w:val="nil"/>
            </w:tcBorders>
            <w:tcMar>
              <w:top w:w="128" w:type="dxa"/>
              <w:left w:w="43" w:type="dxa"/>
              <w:bottom w:w="43" w:type="dxa"/>
              <w:right w:w="43" w:type="dxa"/>
            </w:tcMar>
          </w:tcPr>
          <w:p w14:paraId="4E0E7D66" w14:textId="77777777" w:rsidR="00F7113A" w:rsidRPr="00580C0D" w:rsidRDefault="00142E5B" w:rsidP="001231A3">
            <w:proofErr w:type="spellStart"/>
            <w:r w:rsidRPr="00580C0D">
              <w:t>Fremje</w:t>
            </w:r>
            <w:proofErr w:type="spellEnd"/>
            <w:r w:rsidRPr="00580C0D">
              <w:t xml:space="preserve"> krav om </w:t>
            </w:r>
            <w:proofErr w:type="spellStart"/>
            <w:r w:rsidRPr="00580C0D">
              <w:t>lågutslepp</w:t>
            </w:r>
            <w:proofErr w:type="spellEnd"/>
            <w:r w:rsidRPr="00580C0D">
              <w:t xml:space="preserve"> til offshorefartøy </w:t>
            </w:r>
          </w:p>
        </w:tc>
        <w:tc>
          <w:tcPr>
            <w:tcW w:w="1400" w:type="dxa"/>
            <w:tcBorders>
              <w:top w:val="nil"/>
              <w:left w:val="nil"/>
              <w:bottom w:val="nil"/>
              <w:right w:val="nil"/>
            </w:tcBorders>
            <w:tcMar>
              <w:top w:w="128" w:type="dxa"/>
              <w:left w:w="43" w:type="dxa"/>
              <w:bottom w:w="43" w:type="dxa"/>
              <w:right w:w="43" w:type="dxa"/>
            </w:tcMar>
            <w:vAlign w:val="bottom"/>
          </w:tcPr>
          <w:p w14:paraId="1CED853A" w14:textId="77777777" w:rsidR="00F7113A" w:rsidRPr="00580C0D" w:rsidRDefault="00142E5B" w:rsidP="001231A3">
            <w:pPr>
              <w:jc w:val="right"/>
            </w:pPr>
            <w:r w:rsidRPr="00580C0D">
              <w:t>Nei</w:t>
            </w:r>
          </w:p>
        </w:tc>
      </w:tr>
      <w:tr w:rsidR="00F7113A" w:rsidRPr="00580C0D" w14:paraId="4EB85DC1" w14:textId="77777777">
        <w:trPr>
          <w:trHeight w:val="640"/>
        </w:trPr>
        <w:tc>
          <w:tcPr>
            <w:tcW w:w="1400" w:type="dxa"/>
            <w:tcBorders>
              <w:top w:val="nil"/>
              <w:left w:val="nil"/>
              <w:bottom w:val="nil"/>
              <w:right w:val="nil"/>
            </w:tcBorders>
            <w:tcMar>
              <w:top w:w="128" w:type="dxa"/>
              <w:left w:w="43" w:type="dxa"/>
              <w:bottom w:w="43" w:type="dxa"/>
              <w:right w:w="43" w:type="dxa"/>
            </w:tcMar>
          </w:tcPr>
          <w:p w14:paraId="6EFFA467"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052FD06" w14:textId="77777777" w:rsidR="00F7113A" w:rsidRPr="00580C0D" w:rsidRDefault="00142E5B" w:rsidP="001231A3">
            <w:pPr>
              <w:ind w:right="284"/>
              <w:jc w:val="right"/>
            </w:pPr>
            <w:r w:rsidRPr="00580C0D">
              <w:t>93</w:t>
            </w:r>
          </w:p>
        </w:tc>
        <w:tc>
          <w:tcPr>
            <w:tcW w:w="5600" w:type="dxa"/>
            <w:tcBorders>
              <w:top w:val="nil"/>
              <w:left w:val="nil"/>
              <w:bottom w:val="nil"/>
              <w:right w:val="nil"/>
            </w:tcBorders>
            <w:tcMar>
              <w:top w:w="128" w:type="dxa"/>
              <w:left w:w="43" w:type="dxa"/>
              <w:bottom w:w="43" w:type="dxa"/>
              <w:right w:w="43" w:type="dxa"/>
            </w:tcMar>
          </w:tcPr>
          <w:p w14:paraId="6AC1C7E3" w14:textId="77777777" w:rsidR="00F7113A" w:rsidRPr="00580C0D" w:rsidRDefault="00142E5B" w:rsidP="001231A3">
            <w:r w:rsidRPr="00580C0D">
              <w:t xml:space="preserve">Innføring av omsetningskrav for avansert biodrivstoff til </w:t>
            </w:r>
            <w:proofErr w:type="spellStart"/>
            <w:r w:rsidRPr="00580C0D">
              <w:t>innanriks</w:t>
            </w:r>
            <w:proofErr w:type="spellEnd"/>
            <w:r w:rsidRPr="00580C0D">
              <w:t xml:space="preserve"> sjøfart og fiske </w:t>
            </w:r>
          </w:p>
        </w:tc>
        <w:tc>
          <w:tcPr>
            <w:tcW w:w="1400" w:type="dxa"/>
            <w:tcBorders>
              <w:top w:val="nil"/>
              <w:left w:val="nil"/>
              <w:bottom w:val="nil"/>
              <w:right w:val="nil"/>
            </w:tcBorders>
            <w:tcMar>
              <w:top w:w="128" w:type="dxa"/>
              <w:left w:w="43" w:type="dxa"/>
              <w:bottom w:w="43" w:type="dxa"/>
              <w:right w:w="43" w:type="dxa"/>
            </w:tcMar>
            <w:vAlign w:val="bottom"/>
          </w:tcPr>
          <w:p w14:paraId="271E4135" w14:textId="77777777" w:rsidR="00F7113A" w:rsidRPr="00580C0D" w:rsidRDefault="00142E5B" w:rsidP="001231A3">
            <w:pPr>
              <w:jc w:val="right"/>
            </w:pPr>
            <w:r w:rsidRPr="00580C0D">
              <w:t>Ja</w:t>
            </w:r>
          </w:p>
        </w:tc>
      </w:tr>
      <w:tr w:rsidR="00F7113A" w:rsidRPr="00580C0D" w14:paraId="7BBBA1DF" w14:textId="77777777">
        <w:trPr>
          <w:trHeight w:val="380"/>
        </w:trPr>
        <w:tc>
          <w:tcPr>
            <w:tcW w:w="1400" w:type="dxa"/>
            <w:tcBorders>
              <w:top w:val="nil"/>
              <w:left w:val="nil"/>
              <w:bottom w:val="nil"/>
              <w:right w:val="nil"/>
            </w:tcBorders>
            <w:tcMar>
              <w:top w:w="128" w:type="dxa"/>
              <w:left w:w="43" w:type="dxa"/>
              <w:bottom w:w="43" w:type="dxa"/>
              <w:right w:w="43" w:type="dxa"/>
            </w:tcMar>
          </w:tcPr>
          <w:p w14:paraId="11F1843E"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796AEACE" w14:textId="77777777" w:rsidR="00F7113A" w:rsidRPr="00580C0D" w:rsidRDefault="00142E5B" w:rsidP="001231A3">
            <w:pPr>
              <w:ind w:right="284"/>
              <w:jc w:val="right"/>
            </w:pPr>
            <w:r w:rsidRPr="00580C0D">
              <w:t>95</w:t>
            </w:r>
          </w:p>
        </w:tc>
        <w:tc>
          <w:tcPr>
            <w:tcW w:w="5600" w:type="dxa"/>
            <w:tcBorders>
              <w:top w:val="nil"/>
              <w:left w:val="nil"/>
              <w:bottom w:val="nil"/>
              <w:right w:val="nil"/>
            </w:tcBorders>
            <w:tcMar>
              <w:top w:w="128" w:type="dxa"/>
              <w:left w:w="43" w:type="dxa"/>
              <w:bottom w:w="43" w:type="dxa"/>
              <w:right w:w="43" w:type="dxa"/>
            </w:tcMar>
          </w:tcPr>
          <w:p w14:paraId="15BEC817" w14:textId="77777777" w:rsidR="00F7113A" w:rsidRPr="00580C0D" w:rsidRDefault="00142E5B" w:rsidP="001231A3">
            <w:proofErr w:type="spellStart"/>
            <w:r w:rsidRPr="00580C0D">
              <w:t>Utval</w:t>
            </w:r>
            <w:proofErr w:type="spellEnd"/>
            <w:r w:rsidRPr="00580C0D">
              <w:t xml:space="preserve"> for å greie ut </w:t>
            </w:r>
            <w:proofErr w:type="spellStart"/>
            <w:r w:rsidRPr="00580C0D">
              <w:t>matkastelov</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30ED985" w14:textId="77777777" w:rsidR="00F7113A" w:rsidRPr="00580C0D" w:rsidRDefault="00142E5B" w:rsidP="001231A3">
            <w:pPr>
              <w:jc w:val="right"/>
            </w:pPr>
            <w:r w:rsidRPr="00580C0D">
              <w:t>Ja</w:t>
            </w:r>
          </w:p>
        </w:tc>
      </w:tr>
      <w:tr w:rsidR="00F7113A" w:rsidRPr="00580C0D" w14:paraId="7F1C9A57" w14:textId="77777777">
        <w:trPr>
          <w:trHeight w:val="380"/>
        </w:trPr>
        <w:tc>
          <w:tcPr>
            <w:tcW w:w="1400" w:type="dxa"/>
            <w:tcBorders>
              <w:top w:val="nil"/>
              <w:left w:val="nil"/>
              <w:bottom w:val="nil"/>
              <w:right w:val="nil"/>
            </w:tcBorders>
            <w:tcMar>
              <w:top w:w="128" w:type="dxa"/>
              <w:left w:w="43" w:type="dxa"/>
              <w:bottom w:w="43" w:type="dxa"/>
              <w:right w:w="43" w:type="dxa"/>
            </w:tcMar>
          </w:tcPr>
          <w:p w14:paraId="683DF10E"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B558878" w14:textId="77777777" w:rsidR="00F7113A" w:rsidRPr="00580C0D" w:rsidRDefault="00142E5B" w:rsidP="001231A3">
            <w:pPr>
              <w:ind w:right="284"/>
              <w:jc w:val="right"/>
            </w:pPr>
            <w:r w:rsidRPr="00580C0D">
              <w:t>98</w:t>
            </w:r>
          </w:p>
        </w:tc>
        <w:tc>
          <w:tcPr>
            <w:tcW w:w="5600" w:type="dxa"/>
            <w:tcBorders>
              <w:top w:val="nil"/>
              <w:left w:val="nil"/>
              <w:bottom w:val="nil"/>
              <w:right w:val="nil"/>
            </w:tcBorders>
            <w:tcMar>
              <w:top w:w="128" w:type="dxa"/>
              <w:left w:w="43" w:type="dxa"/>
              <w:bottom w:w="43" w:type="dxa"/>
              <w:right w:w="43" w:type="dxa"/>
            </w:tcMar>
          </w:tcPr>
          <w:p w14:paraId="0B612A08" w14:textId="77777777" w:rsidR="00F7113A" w:rsidRPr="00580C0D" w:rsidRDefault="00142E5B" w:rsidP="001231A3">
            <w:r w:rsidRPr="00580C0D">
              <w:t>Gå i dialog med industrien om CO</w:t>
            </w:r>
            <w:r w:rsidRPr="00580C0D">
              <w:rPr>
                <w:rStyle w:val="skrift-senket"/>
              </w:rPr>
              <w:t>2</w:t>
            </w:r>
            <w:r w:rsidRPr="00580C0D">
              <w:t>-kompensasjonsordninga</w:t>
            </w:r>
          </w:p>
        </w:tc>
        <w:tc>
          <w:tcPr>
            <w:tcW w:w="1400" w:type="dxa"/>
            <w:tcBorders>
              <w:top w:val="nil"/>
              <w:left w:val="nil"/>
              <w:bottom w:val="nil"/>
              <w:right w:val="nil"/>
            </w:tcBorders>
            <w:tcMar>
              <w:top w:w="128" w:type="dxa"/>
              <w:left w:w="43" w:type="dxa"/>
              <w:bottom w:w="43" w:type="dxa"/>
              <w:right w:w="43" w:type="dxa"/>
            </w:tcMar>
            <w:vAlign w:val="bottom"/>
          </w:tcPr>
          <w:p w14:paraId="29961E7E" w14:textId="77777777" w:rsidR="00F7113A" w:rsidRPr="00580C0D" w:rsidRDefault="00142E5B" w:rsidP="001231A3">
            <w:pPr>
              <w:jc w:val="right"/>
            </w:pPr>
            <w:r w:rsidRPr="00580C0D">
              <w:t>Nei</w:t>
            </w:r>
          </w:p>
        </w:tc>
      </w:tr>
      <w:tr w:rsidR="00F7113A" w:rsidRPr="00580C0D" w14:paraId="5BCFD5A1" w14:textId="77777777">
        <w:trPr>
          <w:trHeight w:val="640"/>
        </w:trPr>
        <w:tc>
          <w:tcPr>
            <w:tcW w:w="1400" w:type="dxa"/>
            <w:tcBorders>
              <w:top w:val="nil"/>
              <w:left w:val="nil"/>
              <w:bottom w:val="nil"/>
              <w:right w:val="nil"/>
            </w:tcBorders>
            <w:tcMar>
              <w:top w:w="128" w:type="dxa"/>
              <w:left w:w="43" w:type="dxa"/>
              <w:bottom w:w="43" w:type="dxa"/>
              <w:right w:w="43" w:type="dxa"/>
            </w:tcMar>
          </w:tcPr>
          <w:p w14:paraId="075A0241"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3153AD3" w14:textId="77777777" w:rsidR="00F7113A" w:rsidRPr="00580C0D" w:rsidRDefault="00142E5B" w:rsidP="001231A3">
            <w:pPr>
              <w:ind w:right="284"/>
              <w:jc w:val="right"/>
            </w:pPr>
            <w:r w:rsidRPr="00580C0D">
              <w:t>100</w:t>
            </w:r>
          </w:p>
        </w:tc>
        <w:tc>
          <w:tcPr>
            <w:tcW w:w="5600" w:type="dxa"/>
            <w:tcBorders>
              <w:top w:val="nil"/>
              <w:left w:val="nil"/>
              <w:bottom w:val="nil"/>
              <w:right w:val="nil"/>
            </w:tcBorders>
            <w:tcMar>
              <w:top w:w="128" w:type="dxa"/>
              <w:left w:w="43" w:type="dxa"/>
              <w:bottom w:w="43" w:type="dxa"/>
              <w:right w:w="43" w:type="dxa"/>
            </w:tcMar>
          </w:tcPr>
          <w:p w14:paraId="007E87E0" w14:textId="77777777" w:rsidR="00F7113A" w:rsidRPr="00580C0D" w:rsidRDefault="00142E5B" w:rsidP="001231A3">
            <w:proofErr w:type="spellStart"/>
            <w:r w:rsidRPr="00580C0D">
              <w:t>Framskunde</w:t>
            </w:r>
            <w:proofErr w:type="spellEnd"/>
            <w:r w:rsidRPr="00580C0D">
              <w:t xml:space="preserve"> innføringa av omsetningskravet på 10 pst. for </w:t>
            </w:r>
            <w:proofErr w:type="spellStart"/>
            <w:r w:rsidRPr="00580C0D">
              <w:t>ikkje-veggåande</w:t>
            </w:r>
            <w:proofErr w:type="spellEnd"/>
            <w:r w:rsidRPr="00580C0D">
              <w:t xml:space="preserve"> maskiner </w:t>
            </w:r>
          </w:p>
        </w:tc>
        <w:tc>
          <w:tcPr>
            <w:tcW w:w="1400" w:type="dxa"/>
            <w:tcBorders>
              <w:top w:val="nil"/>
              <w:left w:val="nil"/>
              <w:bottom w:val="nil"/>
              <w:right w:val="nil"/>
            </w:tcBorders>
            <w:tcMar>
              <w:top w:w="128" w:type="dxa"/>
              <w:left w:w="43" w:type="dxa"/>
              <w:bottom w:w="43" w:type="dxa"/>
              <w:right w:w="43" w:type="dxa"/>
            </w:tcMar>
            <w:vAlign w:val="bottom"/>
          </w:tcPr>
          <w:p w14:paraId="112F39FA" w14:textId="77777777" w:rsidR="00F7113A" w:rsidRPr="00580C0D" w:rsidRDefault="00142E5B" w:rsidP="001231A3">
            <w:pPr>
              <w:jc w:val="right"/>
            </w:pPr>
            <w:r w:rsidRPr="00580C0D">
              <w:t>Ja</w:t>
            </w:r>
          </w:p>
        </w:tc>
      </w:tr>
      <w:tr w:rsidR="00F7113A" w:rsidRPr="00580C0D" w14:paraId="560112AD" w14:textId="77777777">
        <w:trPr>
          <w:trHeight w:val="640"/>
        </w:trPr>
        <w:tc>
          <w:tcPr>
            <w:tcW w:w="1400" w:type="dxa"/>
            <w:tcBorders>
              <w:top w:val="nil"/>
              <w:left w:val="nil"/>
              <w:bottom w:val="nil"/>
              <w:right w:val="nil"/>
            </w:tcBorders>
            <w:tcMar>
              <w:top w:w="128" w:type="dxa"/>
              <w:left w:w="43" w:type="dxa"/>
              <w:bottom w:w="43" w:type="dxa"/>
              <w:right w:w="43" w:type="dxa"/>
            </w:tcMar>
          </w:tcPr>
          <w:p w14:paraId="4F437477"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9D7DBD5" w14:textId="77777777" w:rsidR="00F7113A" w:rsidRPr="00580C0D" w:rsidRDefault="00142E5B" w:rsidP="001231A3">
            <w:pPr>
              <w:ind w:right="284"/>
              <w:jc w:val="right"/>
            </w:pPr>
            <w:r w:rsidRPr="00580C0D">
              <w:t>101</w:t>
            </w:r>
          </w:p>
        </w:tc>
        <w:tc>
          <w:tcPr>
            <w:tcW w:w="5600" w:type="dxa"/>
            <w:tcBorders>
              <w:top w:val="nil"/>
              <w:left w:val="nil"/>
              <w:bottom w:val="nil"/>
              <w:right w:val="nil"/>
            </w:tcBorders>
            <w:tcMar>
              <w:top w:w="128" w:type="dxa"/>
              <w:left w:w="43" w:type="dxa"/>
              <w:bottom w:w="43" w:type="dxa"/>
              <w:right w:w="43" w:type="dxa"/>
            </w:tcMar>
          </w:tcPr>
          <w:p w14:paraId="19197C15" w14:textId="77777777" w:rsidR="00F7113A" w:rsidRPr="00580C0D" w:rsidRDefault="00142E5B" w:rsidP="001231A3">
            <w:proofErr w:type="spellStart"/>
            <w:r w:rsidRPr="00580C0D">
              <w:t>Forvaltningsplanane</w:t>
            </w:r>
            <w:proofErr w:type="spellEnd"/>
            <w:r w:rsidRPr="00580C0D">
              <w:t xml:space="preserve"> for norske havområde – vurdere varig petroleumsfrie område</w:t>
            </w:r>
          </w:p>
        </w:tc>
        <w:tc>
          <w:tcPr>
            <w:tcW w:w="1400" w:type="dxa"/>
            <w:tcBorders>
              <w:top w:val="nil"/>
              <w:left w:val="nil"/>
              <w:bottom w:val="nil"/>
              <w:right w:val="nil"/>
            </w:tcBorders>
            <w:tcMar>
              <w:top w:w="128" w:type="dxa"/>
              <w:left w:w="43" w:type="dxa"/>
              <w:bottom w:w="43" w:type="dxa"/>
              <w:right w:w="43" w:type="dxa"/>
            </w:tcMar>
            <w:vAlign w:val="bottom"/>
          </w:tcPr>
          <w:p w14:paraId="01B9F538" w14:textId="77777777" w:rsidR="00F7113A" w:rsidRPr="00580C0D" w:rsidRDefault="00142E5B" w:rsidP="001231A3">
            <w:pPr>
              <w:jc w:val="right"/>
            </w:pPr>
            <w:r w:rsidRPr="00580C0D">
              <w:t>Nei</w:t>
            </w:r>
          </w:p>
        </w:tc>
      </w:tr>
      <w:tr w:rsidR="00F7113A" w:rsidRPr="00580C0D" w14:paraId="428B5FA3" w14:textId="77777777">
        <w:trPr>
          <w:trHeight w:val="640"/>
        </w:trPr>
        <w:tc>
          <w:tcPr>
            <w:tcW w:w="1400" w:type="dxa"/>
            <w:tcBorders>
              <w:top w:val="nil"/>
              <w:left w:val="nil"/>
              <w:bottom w:val="nil"/>
              <w:right w:val="nil"/>
            </w:tcBorders>
            <w:tcMar>
              <w:top w:w="128" w:type="dxa"/>
              <w:left w:w="43" w:type="dxa"/>
              <w:bottom w:w="43" w:type="dxa"/>
              <w:right w:w="43" w:type="dxa"/>
            </w:tcMar>
          </w:tcPr>
          <w:p w14:paraId="02364C92"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78243FB9" w14:textId="77777777" w:rsidR="00F7113A" w:rsidRPr="00580C0D" w:rsidRDefault="00142E5B" w:rsidP="001231A3">
            <w:pPr>
              <w:ind w:right="284"/>
              <w:jc w:val="right"/>
            </w:pPr>
            <w:r w:rsidRPr="00580C0D">
              <w:t>108</w:t>
            </w:r>
          </w:p>
        </w:tc>
        <w:tc>
          <w:tcPr>
            <w:tcW w:w="5600" w:type="dxa"/>
            <w:tcBorders>
              <w:top w:val="nil"/>
              <w:left w:val="nil"/>
              <w:bottom w:val="nil"/>
              <w:right w:val="nil"/>
            </w:tcBorders>
            <w:tcMar>
              <w:top w:w="128" w:type="dxa"/>
              <w:left w:w="43" w:type="dxa"/>
              <w:bottom w:w="43" w:type="dxa"/>
              <w:right w:w="43" w:type="dxa"/>
            </w:tcMar>
          </w:tcPr>
          <w:p w14:paraId="21AD8F60" w14:textId="77777777" w:rsidR="00F7113A" w:rsidRPr="00580C0D" w:rsidRDefault="00142E5B" w:rsidP="001231A3">
            <w:proofErr w:type="spellStart"/>
            <w:r w:rsidRPr="00580C0D">
              <w:t>Fremje</w:t>
            </w:r>
            <w:proofErr w:type="spellEnd"/>
            <w:r w:rsidRPr="00580C0D">
              <w:t xml:space="preserve"> forslag om </w:t>
            </w:r>
            <w:proofErr w:type="spellStart"/>
            <w:r w:rsidRPr="00580C0D">
              <w:t>forbod</w:t>
            </w:r>
            <w:proofErr w:type="spellEnd"/>
            <w:r w:rsidRPr="00580C0D">
              <w:t xml:space="preserve"> mot nedbygging av myr til utbyggingsformål i 2023 </w:t>
            </w:r>
          </w:p>
        </w:tc>
        <w:tc>
          <w:tcPr>
            <w:tcW w:w="1400" w:type="dxa"/>
            <w:tcBorders>
              <w:top w:val="nil"/>
              <w:left w:val="nil"/>
              <w:bottom w:val="nil"/>
              <w:right w:val="nil"/>
            </w:tcBorders>
            <w:tcMar>
              <w:top w:w="128" w:type="dxa"/>
              <w:left w:w="43" w:type="dxa"/>
              <w:bottom w:w="43" w:type="dxa"/>
              <w:right w:w="43" w:type="dxa"/>
            </w:tcMar>
            <w:vAlign w:val="bottom"/>
          </w:tcPr>
          <w:p w14:paraId="1A622753" w14:textId="77777777" w:rsidR="00F7113A" w:rsidRPr="00580C0D" w:rsidRDefault="00142E5B" w:rsidP="001231A3">
            <w:pPr>
              <w:jc w:val="right"/>
            </w:pPr>
            <w:r w:rsidRPr="00580C0D">
              <w:t>Nei</w:t>
            </w:r>
          </w:p>
        </w:tc>
      </w:tr>
      <w:tr w:rsidR="00F7113A" w:rsidRPr="00580C0D" w14:paraId="4B2D4FD1" w14:textId="77777777">
        <w:trPr>
          <w:trHeight w:val="640"/>
        </w:trPr>
        <w:tc>
          <w:tcPr>
            <w:tcW w:w="1400" w:type="dxa"/>
            <w:tcBorders>
              <w:top w:val="nil"/>
              <w:left w:val="nil"/>
              <w:bottom w:val="nil"/>
              <w:right w:val="nil"/>
            </w:tcBorders>
            <w:tcMar>
              <w:top w:w="128" w:type="dxa"/>
              <w:left w:w="43" w:type="dxa"/>
              <w:bottom w:w="43" w:type="dxa"/>
              <w:right w:w="43" w:type="dxa"/>
            </w:tcMar>
          </w:tcPr>
          <w:p w14:paraId="77E0CACD"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5D10B78" w14:textId="77777777" w:rsidR="00F7113A" w:rsidRPr="00580C0D" w:rsidRDefault="00142E5B" w:rsidP="001231A3">
            <w:pPr>
              <w:ind w:right="284"/>
              <w:jc w:val="right"/>
            </w:pPr>
            <w:r w:rsidRPr="00580C0D">
              <w:t>112</w:t>
            </w:r>
          </w:p>
        </w:tc>
        <w:tc>
          <w:tcPr>
            <w:tcW w:w="5600" w:type="dxa"/>
            <w:tcBorders>
              <w:top w:val="nil"/>
              <w:left w:val="nil"/>
              <w:bottom w:val="nil"/>
              <w:right w:val="nil"/>
            </w:tcBorders>
            <w:tcMar>
              <w:top w:w="128" w:type="dxa"/>
              <w:left w:w="43" w:type="dxa"/>
              <w:bottom w:w="43" w:type="dxa"/>
              <w:right w:w="43" w:type="dxa"/>
            </w:tcMar>
          </w:tcPr>
          <w:p w14:paraId="3FB1AAC6" w14:textId="77777777" w:rsidR="00F7113A" w:rsidRPr="00580C0D" w:rsidRDefault="00142E5B" w:rsidP="001231A3">
            <w:r w:rsidRPr="00580C0D">
              <w:t xml:space="preserve">Varsle </w:t>
            </w:r>
            <w:proofErr w:type="spellStart"/>
            <w:r w:rsidRPr="00580C0D">
              <w:t>eit</w:t>
            </w:r>
            <w:proofErr w:type="spellEnd"/>
            <w:r w:rsidRPr="00580C0D">
              <w:t xml:space="preserve"> </w:t>
            </w:r>
            <w:proofErr w:type="spellStart"/>
            <w:r w:rsidRPr="00580C0D">
              <w:t>forbod</w:t>
            </w:r>
            <w:proofErr w:type="spellEnd"/>
            <w:r w:rsidRPr="00580C0D">
              <w:t xml:space="preserve"> mot bruk av fossile brensel til energiformål i industrien </w:t>
            </w:r>
            <w:proofErr w:type="spellStart"/>
            <w:r w:rsidRPr="00580C0D">
              <w:t>innan</w:t>
            </w:r>
            <w:proofErr w:type="spellEnd"/>
            <w:r w:rsidRPr="00580C0D">
              <w:t xml:space="preserve"> 2030</w:t>
            </w:r>
          </w:p>
        </w:tc>
        <w:tc>
          <w:tcPr>
            <w:tcW w:w="1400" w:type="dxa"/>
            <w:tcBorders>
              <w:top w:val="nil"/>
              <w:left w:val="nil"/>
              <w:bottom w:val="nil"/>
              <w:right w:val="nil"/>
            </w:tcBorders>
            <w:tcMar>
              <w:top w:w="128" w:type="dxa"/>
              <w:left w:w="43" w:type="dxa"/>
              <w:bottom w:w="43" w:type="dxa"/>
              <w:right w:w="43" w:type="dxa"/>
            </w:tcMar>
            <w:vAlign w:val="bottom"/>
          </w:tcPr>
          <w:p w14:paraId="1DF13FE7" w14:textId="77777777" w:rsidR="00F7113A" w:rsidRPr="00580C0D" w:rsidRDefault="00142E5B" w:rsidP="001231A3">
            <w:pPr>
              <w:jc w:val="right"/>
            </w:pPr>
            <w:r w:rsidRPr="00580C0D">
              <w:t>Ja</w:t>
            </w:r>
          </w:p>
        </w:tc>
      </w:tr>
      <w:tr w:rsidR="00F7113A" w:rsidRPr="00580C0D" w14:paraId="6C8F0A01" w14:textId="77777777">
        <w:trPr>
          <w:trHeight w:val="640"/>
        </w:trPr>
        <w:tc>
          <w:tcPr>
            <w:tcW w:w="1400" w:type="dxa"/>
            <w:tcBorders>
              <w:top w:val="nil"/>
              <w:left w:val="nil"/>
              <w:bottom w:val="nil"/>
              <w:right w:val="nil"/>
            </w:tcBorders>
            <w:tcMar>
              <w:top w:w="128" w:type="dxa"/>
              <w:left w:w="43" w:type="dxa"/>
              <w:bottom w:w="43" w:type="dxa"/>
              <w:right w:w="43" w:type="dxa"/>
            </w:tcMar>
          </w:tcPr>
          <w:p w14:paraId="245BE908"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7507A528" w14:textId="77777777" w:rsidR="00F7113A" w:rsidRPr="00580C0D" w:rsidRDefault="00142E5B" w:rsidP="001231A3">
            <w:pPr>
              <w:ind w:right="284"/>
              <w:jc w:val="right"/>
            </w:pPr>
            <w:r w:rsidRPr="00580C0D">
              <w:t>113</w:t>
            </w:r>
          </w:p>
        </w:tc>
        <w:tc>
          <w:tcPr>
            <w:tcW w:w="5600" w:type="dxa"/>
            <w:tcBorders>
              <w:top w:val="nil"/>
              <w:left w:val="nil"/>
              <w:bottom w:val="nil"/>
              <w:right w:val="nil"/>
            </w:tcBorders>
            <w:tcMar>
              <w:top w:w="128" w:type="dxa"/>
              <w:left w:w="43" w:type="dxa"/>
              <w:bottom w:w="43" w:type="dxa"/>
              <w:right w:w="43" w:type="dxa"/>
            </w:tcMar>
          </w:tcPr>
          <w:p w14:paraId="4157D3C9" w14:textId="77777777" w:rsidR="00F7113A" w:rsidRPr="00580C0D" w:rsidRDefault="00142E5B" w:rsidP="001231A3">
            <w:r w:rsidRPr="00580C0D">
              <w:t xml:space="preserve">Greie ut og </w:t>
            </w:r>
            <w:proofErr w:type="spellStart"/>
            <w:r w:rsidRPr="00580C0D">
              <w:t>fremje</w:t>
            </w:r>
            <w:proofErr w:type="spellEnd"/>
            <w:r w:rsidRPr="00580C0D">
              <w:t xml:space="preserve"> forslag om </w:t>
            </w:r>
            <w:proofErr w:type="spellStart"/>
            <w:r w:rsidRPr="00580C0D">
              <w:t>forbod</w:t>
            </w:r>
            <w:proofErr w:type="spellEnd"/>
            <w:r w:rsidRPr="00580C0D">
              <w:t xml:space="preserve"> mot bruk av fossil gass i </w:t>
            </w:r>
            <w:proofErr w:type="spellStart"/>
            <w:r w:rsidRPr="00580C0D">
              <w:t>byggvarme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164A15B" w14:textId="77777777" w:rsidR="00F7113A" w:rsidRPr="00580C0D" w:rsidRDefault="00142E5B" w:rsidP="001231A3">
            <w:pPr>
              <w:jc w:val="right"/>
            </w:pPr>
            <w:r w:rsidRPr="00580C0D">
              <w:t>Nei</w:t>
            </w:r>
          </w:p>
        </w:tc>
      </w:tr>
      <w:tr w:rsidR="00F7113A" w:rsidRPr="00580C0D" w14:paraId="6EC0B805" w14:textId="77777777">
        <w:trPr>
          <w:trHeight w:val="640"/>
        </w:trPr>
        <w:tc>
          <w:tcPr>
            <w:tcW w:w="1400" w:type="dxa"/>
            <w:tcBorders>
              <w:top w:val="nil"/>
              <w:left w:val="nil"/>
              <w:bottom w:val="nil"/>
              <w:right w:val="nil"/>
            </w:tcBorders>
            <w:tcMar>
              <w:top w:w="128" w:type="dxa"/>
              <w:left w:w="43" w:type="dxa"/>
              <w:bottom w:w="43" w:type="dxa"/>
              <w:right w:w="43" w:type="dxa"/>
            </w:tcMar>
          </w:tcPr>
          <w:p w14:paraId="467FC26C"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E527F07" w14:textId="77777777" w:rsidR="00F7113A" w:rsidRPr="00580C0D" w:rsidRDefault="00142E5B" w:rsidP="001231A3">
            <w:pPr>
              <w:ind w:right="284"/>
              <w:jc w:val="right"/>
            </w:pPr>
            <w:r w:rsidRPr="00580C0D">
              <w:t>114</w:t>
            </w:r>
          </w:p>
        </w:tc>
        <w:tc>
          <w:tcPr>
            <w:tcW w:w="5600" w:type="dxa"/>
            <w:tcBorders>
              <w:top w:val="nil"/>
              <w:left w:val="nil"/>
              <w:bottom w:val="nil"/>
              <w:right w:val="nil"/>
            </w:tcBorders>
            <w:tcMar>
              <w:top w:w="128" w:type="dxa"/>
              <w:left w:w="43" w:type="dxa"/>
              <w:bottom w:w="43" w:type="dxa"/>
              <w:right w:w="43" w:type="dxa"/>
            </w:tcMar>
          </w:tcPr>
          <w:p w14:paraId="2DE0088F" w14:textId="77777777" w:rsidR="00F7113A" w:rsidRPr="00580C0D" w:rsidRDefault="00142E5B" w:rsidP="001231A3">
            <w:r w:rsidRPr="00580C0D">
              <w:t xml:space="preserve">Opptrapping av omsetningskrav for avansert biodrivstoff </w:t>
            </w:r>
            <w:r w:rsidRPr="00580C0D">
              <w:br/>
              <w:t>i luftfart</w:t>
            </w:r>
          </w:p>
        </w:tc>
        <w:tc>
          <w:tcPr>
            <w:tcW w:w="1400" w:type="dxa"/>
            <w:tcBorders>
              <w:top w:val="nil"/>
              <w:left w:val="nil"/>
              <w:bottom w:val="nil"/>
              <w:right w:val="nil"/>
            </w:tcBorders>
            <w:tcMar>
              <w:top w:w="128" w:type="dxa"/>
              <w:left w:w="43" w:type="dxa"/>
              <w:bottom w:w="43" w:type="dxa"/>
              <w:right w:w="43" w:type="dxa"/>
            </w:tcMar>
            <w:vAlign w:val="bottom"/>
          </w:tcPr>
          <w:p w14:paraId="06B527B3" w14:textId="77777777" w:rsidR="00F7113A" w:rsidRPr="00580C0D" w:rsidRDefault="00142E5B" w:rsidP="001231A3">
            <w:pPr>
              <w:jc w:val="right"/>
            </w:pPr>
            <w:r w:rsidRPr="00580C0D">
              <w:t>Ja</w:t>
            </w:r>
          </w:p>
        </w:tc>
      </w:tr>
      <w:tr w:rsidR="00F7113A" w:rsidRPr="00580C0D" w14:paraId="5B1F5C42" w14:textId="77777777">
        <w:trPr>
          <w:trHeight w:val="380"/>
        </w:trPr>
        <w:tc>
          <w:tcPr>
            <w:tcW w:w="1400" w:type="dxa"/>
            <w:tcBorders>
              <w:top w:val="nil"/>
              <w:left w:val="nil"/>
              <w:bottom w:val="nil"/>
              <w:right w:val="nil"/>
            </w:tcBorders>
            <w:tcMar>
              <w:top w:w="128" w:type="dxa"/>
              <w:left w:w="43" w:type="dxa"/>
              <w:bottom w:w="43" w:type="dxa"/>
              <w:right w:w="43" w:type="dxa"/>
            </w:tcMar>
          </w:tcPr>
          <w:p w14:paraId="72608848"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7C5924B8" w14:textId="77777777" w:rsidR="00F7113A" w:rsidRPr="00580C0D" w:rsidRDefault="00142E5B" w:rsidP="001231A3">
            <w:pPr>
              <w:ind w:right="284"/>
              <w:jc w:val="right"/>
            </w:pPr>
            <w:r w:rsidRPr="00580C0D">
              <w:t>118</w:t>
            </w:r>
          </w:p>
        </w:tc>
        <w:tc>
          <w:tcPr>
            <w:tcW w:w="5600" w:type="dxa"/>
            <w:tcBorders>
              <w:top w:val="nil"/>
              <w:left w:val="nil"/>
              <w:bottom w:val="nil"/>
              <w:right w:val="nil"/>
            </w:tcBorders>
            <w:tcMar>
              <w:top w:w="128" w:type="dxa"/>
              <w:left w:w="43" w:type="dxa"/>
              <w:bottom w:w="43" w:type="dxa"/>
              <w:right w:w="43" w:type="dxa"/>
            </w:tcMar>
          </w:tcPr>
          <w:p w14:paraId="02E29CB6" w14:textId="77777777" w:rsidR="00F7113A" w:rsidRPr="00580C0D" w:rsidRDefault="00142E5B" w:rsidP="001231A3">
            <w:r w:rsidRPr="00580C0D">
              <w:t>Intensivere arbeidet mot pukkellaks</w:t>
            </w:r>
          </w:p>
        </w:tc>
        <w:tc>
          <w:tcPr>
            <w:tcW w:w="1400" w:type="dxa"/>
            <w:tcBorders>
              <w:top w:val="nil"/>
              <w:left w:val="nil"/>
              <w:bottom w:val="nil"/>
              <w:right w:val="nil"/>
            </w:tcBorders>
            <w:tcMar>
              <w:top w:w="128" w:type="dxa"/>
              <w:left w:w="43" w:type="dxa"/>
              <w:bottom w:w="43" w:type="dxa"/>
              <w:right w:w="43" w:type="dxa"/>
            </w:tcMar>
            <w:vAlign w:val="bottom"/>
          </w:tcPr>
          <w:p w14:paraId="4AA29AF4" w14:textId="77777777" w:rsidR="00F7113A" w:rsidRPr="00580C0D" w:rsidRDefault="00142E5B" w:rsidP="001231A3">
            <w:pPr>
              <w:jc w:val="right"/>
            </w:pPr>
            <w:r w:rsidRPr="00580C0D">
              <w:t>Ja</w:t>
            </w:r>
          </w:p>
        </w:tc>
      </w:tr>
      <w:tr w:rsidR="00F7113A" w:rsidRPr="00580C0D" w14:paraId="7198646F" w14:textId="77777777">
        <w:trPr>
          <w:trHeight w:val="640"/>
        </w:trPr>
        <w:tc>
          <w:tcPr>
            <w:tcW w:w="1400" w:type="dxa"/>
            <w:tcBorders>
              <w:top w:val="nil"/>
              <w:left w:val="nil"/>
              <w:bottom w:val="nil"/>
              <w:right w:val="nil"/>
            </w:tcBorders>
            <w:tcMar>
              <w:top w:w="128" w:type="dxa"/>
              <w:left w:w="43" w:type="dxa"/>
              <w:bottom w:w="43" w:type="dxa"/>
              <w:right w:w="43" w:type="dxa"/>
            </w:tcMar>
          </w:tcPr>
          <w:p w14:paraId="5D2323BF"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81F3313" w14:textId="77777777" w:rsidR="00F7113A" w:rsidRPr="00580C0D" w:rsidRDefault="00142E5B" w:rsidP="001231A3">
            <w:pPr>
              <w:ind w:right="284"/>
              <w:jc w:val="right"/>
            </w:pPr>
            <w:r w:rsidRPr="00580C0D">
              <w:t>450</w:t>
            </w:r>
          </w:p>
        </w:tc>
        <w:tc>
          <w:tcPr>
            <w:tcW w:w="5600" w:type="dxa"/>
            <w:tcBorders>
              <w:top w:val="nil"/>
              <w:left w:val="nil"/>
              <w:bottom w:val="nil"/>
              <w:right w:val="nil"/>
            </w:tcBorders>
            <w:tcMar>
              <w:top w:w="128" w:type="dxa"/>
              <w:left w:w="43" w:type="dxa"/>
              <w:bottom w:w="43" w:type="dxa"/>
              <w:right w:w="43" w:type="dxa"/>
            </w:tcMar>
          </w:tcPr>
          <w:p w14:paraId="4FF72DD4" w14:textId="77777777" w:rsidR="00F7113A" w:rsidRPr="00580C0D" w:rsidRDefault="00142E5B" w:rsidP="001231A3">
            <w:r w:rsidRPr="00580C0D">
              <w:t xml:space="preserve">Bidraget </w:t>
            </w:r>
            <w:proofErr w:type="spellStart"/>
            <w:r w:rsidRPr="00580C0D">
              <w:t>frå</w:t>
            </w:r>
            <w:proofErr w:type="spellEnd"/>
            <w:r w:rsidRPr="00580C0D">
              <w:t xml:space="preserve"> </w:t>
            </w:r>
            <w:proofErr w:type="spellStart"/>
            <w:r w:rsidRPr="00580C0D">
              <w:t>verkemiddelapparatet</w:t>
            </w:r>
            <w:proofErr w:type="spellEnd"/>
            <w:r w:rsidRPr="00580C0D">
              <w:t xml:space="preserve"> til </w:t>
            </w:r>
            <w:proofErr w:type="spellStart"/>
            <w:r w:rsidRPr="00580C0D">
              <w:t>ein</w:t>
            </w:r>
            <w:proofErr w:type="spellEnd"/>
            <w:r w:rsidRPr="00580C0D">
              <w:t xml:space="preserve"> </w:t>
            </w:r>
            <w:proofErr w:type="spellStart"/>
            <w:r w:rsidRPr="00580C0D">
              <w:t>meir</w:t>
            </w:r>
            <w:proofErr w:type="spellEnd"/>
            <w:r w:rsidRPr="00580C0D">
              <w:t xml:space="preserve"> sirkulær økonomi </w:t>
            </w:r>
          </w:p>
        </w:tc>
        <w:tc>
          <w:tcPr>
            <w:tcW w:w="1400" w:type="dxa"/>
            <w:tcBorders>
              <w:top w:val="nil"/>
              <w:left w:val="nil"/>
              <w:bottom w:val="nil"/>
              <w:right w:val="nil"/>
            </w:tcBorders>
            <w:tcMar>
              <w:top w:w="128" w:type="dxa"/>
              <w:left w:w="43" w:type="dxa"/>
              <w:bottom w:w="43" w:type="dxa"/>
              <w:right w:w="43" w:type="dxa"/>
            </w:tcMar>
            <w:vAlign w:val="bottom"/>
          </w:tcPr>
          <w:p w14:paraId="58A5F442" w14:textId="77777777" w:rsidR="00F7113A" w:rsidRPr="00580C0D" w:rsidRDefault="00142E5B" w:rsidP="001231A3">
            <w:pPr>
              <w:jc w:val="right"/>
            </w:pPr>
            <w:r w:rsidRPr="00580C0D">
              <w:t>Nei</w:t>
            </w:r>
          </w:p>
        </w:tc>
      </w:tr>
      <w:tr w:rsidR="00F7113A" w:rsidRPr="00580C0D" w14:paraId="53DFDF50" w14:textId="77777777">
        <w:trPr>
          <w:trHeight w:val="640"/>
        </w:trPr>
        <w:tc>
          <w:tcPr>
            <w:tcW w:w="1400" w:type="dxa"/>
            <w:tcBorders>
              <w:top w:val="nil"/>
              <w:left w:val="nil"/>
              <w:bottom w:val="nil"/>
              <w:right w:val="nil"/>
            </w:tcBorders>
            <w:tcMar>
              <w:top w:w="128" w:type="dxa"/>
              <w:left w:w="43" w:type="dxa"/>
              <w:bottom w:w="43" w:type="dxa"/>
              <w:right w:w="43" w:type="dxa"/>
            </w:tcMar>
          </w:tcPr>
          <w:p w14:paraId="7E51FC11"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A402139" w14:textId="77777777" w:rsidR="00F7113A" w:rsidRPr="00580C0D" w:rsidRDefault="00142E5B" w:rsidP="001231A3">
            <w:pPr>
              <w:ind w:right="284"/>
              <w:jc w:val="right"/>
            </w:pPr>
            <w:r w:rsidRPr="00580C0D">
              <w:t>451</w:t>
            </w:r>
          </w:p>
        </w:tc>
        <w:tc>
          <w:tcPr>
            <w:tcW w:w="5600" w:type="dxa"/>
            <w:tcBorders>
              <w:top w:val="nil"/>
              <w:left w:val="nil"/>
              <w:bottom w:val="nil"/>
              <w:right w:val="nil"/>
            </w:tcBorders>
            <w:tcMar>
              <w:top w:w="128" w:type="dxa"/>
              <w:left w:w="43" w:type="dxa"/>
              <w:bottom w:w="43" w:type="dxa"/>
              <w:right w:w="43" w:type="dxa"/>
            </w:tcMar>
          </w:tcPr>
          <w:p w14:paraId="794743B9" w14:textId="77777777" w:rsidR="00F7113A" w:rsidRPr="00580C0D" w:rsidRDefault="00142E5B" w:rsidP="001231A3">
            <w:r w:rsidRPr="00580C0D">
              <w:t xml:space="preserve">Kompetansebehovet knytt til nye sirkulære </w:t>
            </w:r>
            <w:proofErr w:type="spellStart"/>
            <w:r w:rsidRPr="00580C0D">
              <w:t>forretningsmodellar</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DFDFD01" w14:textId="77777777" w:rsidR="00F7113A" w:rsidRPr="00580C0D" w:rsidRDefault="00142E5B" w:rsidP="001231A3">
            <w:pPr>
              <w:jc w:val="right"/>
            </w:pPr>
            <w:r w:rsidRPr="00580C0D">
              <w:t>Nei</w:t>
            </w:r>
          </w:p>
        </w:tc>
      </w:tr>
      <w:tr w:rsidR="00F7113A" w:rsidRPr="00580C0D" w14:paraId="53868A7F" w14:textId="77777777">
        <w:trPr>
          <w:trHeight w:val="380"/>
        </w:trPr>
        <w:tc>
          <w:tcPr>
            <w:tcW w:w="1400" w:type="dxa"/>
            <w:tcBorders>
              <w:top w:val="nil"/>
              <w:left w:val="nil"/>
              <w:bottom w:val="nil"/>
              <w:right w:val="nil"/>
            </w:tcBorders>
            <w:tcMar>
              <w:top w:w="128" w:type="dxa"/>
              <w:left w:w="43" w:type="dxa"/>
              <w:bottom w:w="43" w:type="dxa"/>
              <w:right w:w="43" w:type="dxa"/>
            </w:tcMar>
          </w:tcPr>
          <w:p w14:paraId="4E86D2A2"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54B7123" w14:textId="77777777" w:rsidR="00F7113A" w:rsidRPr="00580C0D" w:rsidRDefault="00142E5B" w:rsidP="001231A3">
            <w:pPr>
              <w:ind w:right="284"/>
              <w:jc w:val="right"/>
            </w:pPr>
            <w:r w:rsidRPr="00580C0D">
              <w:t>507</w:t>
            </w:r>
          </w:p>
        </w:tc>
        <w:tc>
          <w:tcPr>
            <w:tcW w:w="5600" w:type="dxa"/>
            <w:tcBorders>
              <w:top w:val="nil"/>
              <w:left w:val="nil"/>
              <w:bottom w:val="nil"/>
              <w:right w:val="nil"/>
            </w:tcBorders>
            <w:tcMar>
              <w:top w:w="128" w:type="dxa"/>
              <w:left w:w="43" w:type="dxa"/>
              <w:bottom w:w="43" w:type="dxa"/>
              <w:right w:w="43" w:type="dxa"/>
            </w:tcMar>
          </w:tcPr>
          <w:p w14:paraId="5A400ED9" w14:textId="77777777" w:rsidR="00F7113A" w:rsidRPr="00580C0D" w:rsidRDefault="00142E5B" w:rsidP="001231A3">
            <w:r w:rsidRPr="00580C0D">
              <w:t xml:space="preserve">Endre </w:t>
            </w:r>
            <w:proofErr w:type="spellStart"/>
            <w:r w:rsidRPr="00580C0D">
              <w:t>Enovas</w:t>
            </w:r>
            <w:proofErr w:type="spellEnd"/>
            <w:r w:rsidRPr="00580C0D">
              <w:t xml:space="preserve"> mandat</w:t>
            </w:r>
          </w:p>
        </w:tc>
        <w:tc>
          <w:tcPr>
            <w:tcW w:w="1400" w:type="dxa"/>
            <w:tcBorders>
              <w:top w:val="nil"/>
              <w:left w:val="nil"/>
              <w:bottom w:val="nil"/>
              <w:right w:val="nil"/>
            </w:tcBorders>
            <w:tcMar>
              <w:top w:w="128" w:type="dxa"/>
              <w:left w:w="43" w:type="dxa"/>
              <w:bottom w:w="43" w:type="dxa"/>
              <w:right w:w="43" w:type="dxa"/>
            </w:tcMar>
            <w:vAlign w:val="bottom"/>
          </w:tcPr>
          <w:p w14:paraId="66869171" w14:textId="77777777" w:rsidR="00F7113A" w:rsidRPr="00580C0D" w:rsidRDefault="00142E5B" w:rsidP="001231A3">
            <w:pPr>
              <w:jc w:val="right"/>
            </w:pPr>
            <w:r w:rsidRPr="00580C0D">
              <w:t>Ja</w:t>
            </w:r>
          </w:p>
        </w:tc>
      </w:tr>
      <w:tr w:rsidR="00F7113A" w:rsidRPr="00580C0D" w14:paraId="3A3C685B" w14:textId="77777777">
        <w:trPr>
          <w:trHeight w:val="640"/>
        </w:trPr>
        <w:tc>
          <w:tcPr>
            <w:tcW w:w="1400" w:type="dxa"/>
            <w:tcBorders>
              <w:top w:val="nil"/>
              <w:left w:val="nil"/>
              <w:bottom w:val="nil"/>
              <w:right w:val="nil"/>
            </w:tcBorders>
            <w:tcMar>
              <w:top w:w="128" w:type="dxa"/>
              <w:left w:w="43" w:type="dxa"/>
              <w:bottom w:w="43" w:type="dxa"/>
              <w:right w:w="43" w:type="dxa"/>
            </w:tcMar>
          </w:tcPr>
          <w:p w14:paraId="6B7BF9EF"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E3030D3" w14:textId="77777777" w:rsidR="00F7113A" w:rsidRPr="00580C0D" w:rsidRDefault="00142E5B" w:rsidP="001231A3">
            <w:pPr>
              <w:ind w:right="284"/>
              <w:jc w:val="right"/>
            </w:pPr>
            <w:r w:rsidRPr="00580C0D">
              <w:t>508</w:t>
            </w:r>
          </w:p>
        </w:tc>
        <w:tc>
          <w:tcPr>
            <w:tcW w:w="5600" w:type="dxa"/>
            <w:tcBorders>
              <w:top w:val="nil"/>
              <w:left w:val="nil"/>
              <w:bottom w:val="nil"/>
              <w:right w:val="nil"/>
            </w:tcBorders>
            <w:tcMar>
              <w:top w:w="128" w:type="dxa"/>
              <w:left w:w="43" w:type="dxa"/>
              <w:bottom w:w="43" w:type="dxa"/>
              <w:right w:w="43" w:type="dxa"/>
            </w:tcMar>
          </w:tcPr>
          <w:p w14:paraId="69CDD0D0" w14:textId="77777777" w:rsidR="00F7113A" w:rsidRPr="00580C0D" w:rsidRDefault="00142E5B" w:rsidP="001231A3">
            <w:proofErr w:type="spellStart"/>
            <w:r w:rsidRPr="00580C0D">
              <w:t>Støtteordningar</w:t>
            </w:r>
            <w:proofErr w:type="spellEnd"/>
            <w:r w:rsidRPr="00580C0D">
              <w:t xml:space="preserve"> for energieffektivisering med moden teknologi</w:t>
            </w:r>
          </w:p>
        </w:tc>
        <w:tc>
          <w:tcPr>
            <w:tcW w:w="1400" w:type="dxa"/>
            <w:tcBorders>
              <w:top w:val="nil"/>
              <w:left w:val="nil"/>
              <w:bottom w:val="nil"/>
              <w:right w:val="nil"/>
            </w:tcBorders>
            <w:tcMar>
              <w:top w:w="128" w:type="dxa"/>
              <w:left w:w="43" w:type="dxa"/>
              <w:bottom w:w="43" w:type="dxa"/>
              <w:right w:w="43" w:type="dxa"/>
            </w:tcMar>
            <w:vAlign w:val="bottom"/>
          </w:tcPr>
          <w:p w14:paraId="17D0A451" w14:textId="77777777" w:rsidR="00F7113A" w:rsidRPr="00580C0D" w:rsidRDefault="00142E5B" w:rsidP="001231A3">
            <w:pPr>
              <w:jc w:val="right"/>
            </w:pPr>
            <w:r w:rsidRPr="00580C0D">
              <w:t>Ja</w:t>
            </w:r>
          </w:p>
        </w:tc>
      </w:tr>
      <w:tr w:rsidR="00F7113A" w:rsidRPr="00580C0D" w14:paraId="5839AE0A" w14:textId="77777777">
        <w:trPr>
          <w:trHeight w:val="640"/>
        </w:trPr>
        <w:tc>
          <w:tcPr>
            <w:tcW w:w="1400" w:type="dxa"/>
            <w:tcBorders>
              <w:top w:val="nil"/>
              <w:left w:val="nil"/>
              <w:bottom w:val="nil"/>
              <w:right w:val="nil"/>
            </w:tcBorders>
            <w:tcMar>
              <w:top w:w="128" w:type="dxa"/>
              <w:left w:w="43" w:type="dxa"/>
              <w:bottom w:w="43" w:type="dxa"/>
              <w:right w:w="43" w:type="dxa"/>
            </w:tcMar>
          </w:tcPr>
          <w:p w14:paraId="3A7C35FD"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A2FF6F6" w14:textId="77777777" w:rsidR="00F7113A" w:rsidRPr="00580C0D" w:rsidRDefault="00142E5B" w:rsidP="001231A3">
            <w:pPr>
              <w:ind w:right="284"/>
              <w:jc w:val="right"/>
            </w:pPr>
            <w:r w:rsidRPr="00580C0D">
              <w:t>509</w:t>
            </w:r>
          </w:p>
        </w:tc>
        <w:tc>
          <w:tcPr>
            <w:tcW w:w="5600" w:type="dxa"/>
            <w:tcBorders>
              <w:top w:val="nil"/>
              <w:left w:val="nil"/>
              <w:bottom w:val="nil"/>
              <w:right w:val="nil"/>
            </w:tcBorders>
            <w:tcMar>
              <w:top w:w="128" w:type="dxa"/>
              <w:left w:w="43" w:type="dxa"/>
              <w:bottom w:w="43" w:type="dxa"/>
              <w:right w:w="43" w:type="dxa"/>
            </w:tcMar>
          </w:tcPr>
          <w:p w14:paraId="2D222338" w14:textId="77777777" w:rsidR="00F7113A" w:rsidRPr="00580C0D" w:rsidRDefault="00142E5B" w:rsidP="001231A3">
            <w:r w:rsidRPr="00580C0D">
              <w:t xml:space="preserve">Støtte til energieffektivisering og lokal energiproduksjon hos </w:t>
            </w:r>
            <w:proofErr w:type="spellStart"/>
            <w:r w:rsidRPr="00580C0D">
              <w:t>hushalda</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1ADEBBF" w14:textId="77777777" w:rsidR="00F7113A" w:rsidRPr="00580C0D" w:rsidRDefault="00142E5B" w:rsidP="001231A3">
            <w:pPr>
              <w:jc w:val="right"/>
            </w:pPr>
            <w:r w:rsidRPr="00580C0D">
              <w:t>Ja</w:t>
            </w:r>
          </w:p>
        </w:tc>
      </w:tr>
      <w:tr w:rsidR="00F7113A" w:rsidRPr="00580C0D" w14:paraId="7E3A965F" w14:textId="77777777">
        <w:trPr>
          <w:trHeight w:val="640"/>
        </w:trPr>
        <w:tc>
          <w:tcPr>
            <w:tcW w:w="1400" w:type="dxa"/>
            <w:tcBorders>
              <w:top w:val="nil"/>
              <w:left w:val="nil"/>
              <w:bottom w:val="nil"/>
              <w:right w:val="nil"/>
            </w:tcBorders>
            <w:tcMar>
              <w:top w:w="128" w:type="dxa"/>
              <w:left w:w="43" w:type="dxa"/>
              <w:bottom w:w="43" w:type="dxa"/>
              <w:right w:w="43" w:type="dxa"/>
            </w:tcMar>
          </w:tcPr>
          <w:p w14:paraId="37D6A38E"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04D43F8" w14:textId="77777777" w:rsidR="00F7113A" w:rsidRPr="00580C0D" w:rsidRDefault="00142E5B" w:rsidP="001231A3">
            <w:pPr>
              <w:ind w:right="284"/>
              <w:jc w:val="right"/>
            </w:pPr>
            <w:r w:rsidRPr="00580C0D">
              <w:t>608</w:t>
            </w:r>
          </w:p>
        </w:tc>
        <w:tc>
          <w:tcPr>
            <w:tcW w:w="5600" w:type="dxa"/>
            <w:tcBorders>
              <w:top w:val="nil"/>
              <w:left w:val="nil"/>
              <w:bottom w:val="nil"/>
              <w:right w:val="nil"/>
            </w:tcBorders>
            <w:tcMar>
              <w:top w:w="128" w:type="dxa"/>
              <w:left w:w="43" w:type="dxa"/>
              <w:bottom w:w="43" w:type="dxa"/>
              <w:right w:w="43" w:type="dxa"/>
            </w:tcMar>
          </w:tcPr>
          <w:p w14:paraId="6F356293" w14:textId="77777777" w:rsidR="00F7113A" w:rsidRPr="00580C0D" w:rsidRDefault="00142E5B" w:rsidP="001231A3">
            <w:r w:rsidRPr="00580C0D">
              <w:t xml:space="preserve">Gamle </w:t>
            </w:r>
            <w:proofErr w:type="spellStart"/>
            <w:r w:rsidRPr="00580C0D">
              <w:t>nedlagde</w:t>
            </w:r>
            <w:proofErr w:type="spellEnd"/>
            <w:r w:rsidRPr="00580C0D">
              <w:t xml:space="preserve"> gruver i </w:t>
            </w:r>
            <w:proofErr w:type="spellStart"/>
            <w:r w:rsidRPr="00580C0D">
              <w:t>Noreg</w:t>
            </w:r>
            <w:proofErr w:type="spellEnd"/>
            <w:r w:rsidRPr="00580C0D">
              <w:t xml:space="preserve"> og </w:t>
            </w:r>
            <w:proofErr w:type="spellStart"/>
            <w:r w:rsidRPr="00580C0D">
              <w:t>forureiningsfaren</w:t>
            </w:r>
            <w:proofErr w:type="spellEnd"/>
            <w:r w:rsidRPr="00580C0D">
              <w:t xml:space="preserve"> </w:t>
            </w:r>
            <w:proofErr w:type="spellStart"/>
            <w:r w:rsidRPr="00580C0D">
              <w:t>dei</w:t>
            </w:r>
            <w:proofErr w:type="spellEnd"/>
            <w:r w:rsidRPr="00580C0D">
              <w:t xml:space="preserve"> </w:t>
            </w:r>
            <w:proofErr w:type="spellStart"/>
            <w:r w:rsidRPr="00580C0D">
              <w:t>utgjer</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E13874D" w14:textId="77777777" w:rsidR="00F7113A" w:rsidRPr="00580C0D" w:rsidRDefault="00142E5B" w:rsidP="001231A3">
            <w:pPr>
              <w:jc w:val="right"/>
            </w:pPr>
            <w:r w:rsidRPr="00580C0D">
              <w:t>Nei</w:t>
            </w:r>
          </w:p>
        </w:tc>
      </w:tr>
      <w:tr w:rsidR="00F7113A" w:rsidRPr="00580C0D" w14:paraId="210C71BE" w14:textId="77777777">
        <w:trPr>
          <w:trHeight w:val="640"/>
        </w:trPr>
        <w:tc>
          <w:tcPr>
            <w:tcW w:w="1400" w:type="dxa"/>
            <w:tcBorders>
              <w:top w:val="nil"/>
              <w:left w:val="nil"/>
              <w:bottom w:val="nil"/>
              <w:right w:val="nil"/>
            </w:tcBorders>
            <w:tcMar>
              <w:top w:w="128" w:type="dxa"/>
              <w:left w:w="43" w:type="dxa"/>
              <w:bottom w:w="43" w:type="dxa"/>
              <w:right w:w="43" w:type="dxa"/>
            </w:tcMar>
          </w:tcPr>
          <w:p w14:paraId="28A7AF07"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3F26467" w14:textId="77777777" w:rsidR="00F7113A" w:rsidRPr="00580C0D" w:rsidRDefault="00142E5B" w:rsidP="001231A3">
            <w:pPr>
              <w:ind w:right="284"/>
              <w:jc w:val="right"/>
            </w:pPr>
            <w:r w:rsidRPr="00580C0D">
              <w:t>632</w:t>
            </w:r>
          </w:p>
        </w:tc>
        <w:tc>
          <w:tcPr>
            <w:tcW w:w="5600" w:type="dxa"/>
            <w:tcBorders>
              <w:top w:val="nil"/>
              <w:left w:val="nil"/>
              <w:bottom w:val="nil"/>
              <w:right w:val="nil"/>
            </w:tcBorders>
            <w:tcMar>
              <w:top w:w="128" w:type="dxa"/>
              <w:left w:w="43" w:type="dxa"/>
              <w:bottom w:w="43" w:type="dxa"/>
              <w:right w:w="43" w:type="dxa"/>
            </w:tcMar>
          </w:tcPr>
          <w:p w14:paraId="45029A7C" w14:textId="77777777" w:rsidR="00F7113A" w:rsidRPr="00580C0D" w:rsidRDefault="00142E5B" w:rsidP="001231A3">
            <w:proofErr w:type="spellStart"/>
            <w:r w:rsidRPr="00580C0D">
              <w:t>Ein</w:t>
            </w:r>
            <w:proofErr w:type="spellEnd"/>
            <w:r w:rsidRPr="00580C0D">
              <w:t xml:space="preserve"> plan for korleis </w:t>
            </w:r>
            <w:proofErr w:type="spellStart"/>
            <w:r w:rsidRPr="00580C0D">
              <w:t>Noreg</w:t>
            </w:r>
            <w:proofErr w:type="spellEnd"/>
            <w:r w:rsidRPr="00580C0D">
              <w:t xml:space="preserve"> kan få </w:t>
            </w:r>
            <w:proofErr w:type="spellStart"/>
            <w:r w:rsidRPr="00580C0D">
              <w:t>ein</w:t>
            </w:r>
            <w:proofErr w:type="spellEnd"/>
            <w:r w:rsidRPr="00580C0D">
              <w:t xml:space="preserve"> </w:t>
            </w:r>
            <w:proofErr w:type="spellStart"/>
            <w:r w:rsidRPr="00580C0D">
              <w:t>leiande</w:t>
            </w:r>
            <w:proofErr w:type="spellEnd"/>
            <w:r w:rsidRPr="00580C0D">
              <w:t xml:space="preserve"> posisjon </w:t>
            </w:r>
            <w:r w:rsidRPr="00580C0D">
              <w:br/>
              <w:t xml:space="preserve">i produksjon av </w:t>
            </w:r>
            <w:proofErr w:type="spellStart"/>
            <w:r w:rsidRPr="00580C0D">
              <w:t>berekraftig</w:t>
            </w:r>
            <w:proofErr w:type="spellEnd"/>
            <w:r w:rsidRPr="00580C0D">
              <w:t xml:space="preserve"> drivstoff </w:t>
            </w:r>
          </w:p>
        </w:tc>
        <w:tc>
          <w:tcPr>
            <w:tcW w:w="1400" w:type="dxa"/>
            <w:tcBorders>
              <w:top w:val="nil"/>
              <w:left w:val="nil"/>
              <w:bottom w:val="nil"/>
              <w:right w:val="nil"/>
            </w:tcBorders>
            <w:tcMar>
              <w:top w:w="128" w:type="dxa"/>
              <w:left w:w="43" w:type="dxa"/>
              <w:bottom w:w="43" w:type="dxa"/>
              <w:right w:w="43" w:type="dxa"/>
            </w:tcMar>
            <w:vAlign w:val="bottom"/>
          </w:tcPr>
          <w:p w14:paraId="0FED6370" w14:textId="77777777" w:rsidR="00F7113A" w:rsidRPr="00580C0D" w:rsidRDefault="00142E5B" w:rsidP="001231A3">
            <w:pPr>
              <w:jc w:val="right"/>
            </w:pPr>
            <w:r w:rsidRPr="00580C0D">
              <w:t>Nei</w:t>
            </w:r>
          </w:p>
        </w:tc>
      </w:tr>
      <w:tr w:rsidR="00F7113A" w:rsidRPr="00580C0D" w14:paraId="07F74773" w14:textId="77777777">
        <w:trPr>
          <w:trHeight w:val="640"/>
        </w:trPr>
        <w:tc>
          <w:tcPr>
            <w:tcW w:w="1400" w:type="dxa"/>
            <w:tcBorders>
              <w:top w:val="nil"/>
              <w:left w:val="nil"/>
              <w:bottom w:val="nil"/>
              <w:right w:val="nil"/>
            </w:tcBorders>
            <w:tcMar>
              <w:top w:w="128" w:type="dxa"/>
              <w:left w:w="43" w:type="dxa"/>
              <w:bottom w:w="43" w:type="dxa"/>
              <w:right w:w="43" w:type="dxa"/>
            </w:tcMar>
          </w:tcPr>
          <w:p w14:paraId="75744662"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8BD1EEE" w14:textId="77777777" w:rsidR="00F7113A" w:rsidRPr="00580C0D" w:rsidRDefault="00142E5B" w:rsidP="001231A3">
            <w:pPr>
              <w:ind w:right="284"/>
              <w:jc w:val="right"/>
            </w:pPr>
            <w:r w:rsidRPr="00580C0D">
              <w:t>633</w:t>
            </w:r>
          </w:p>
        </w:tc>
        <w:tc>
          <w:tcPr>
            <w:tcW w:w="5600" w:type="dxa"/>
            <w:tcBorders>
              <w:top w:val="nil"/>
              <w:left w:val="nil"/>
              <w:bottom w:val="nil"/>
              <w:right w:val="nil"/>
            </w:tcBorders>
            <w:tcMar>
              <w:top w:w="128" w:type="dxa"/>
              <w:left w:w="43" w:type="dxa"/>
              <w:bottom w:w="43" w:type="dxa"/>
              <w:right w:w="43" w:type="dxa"/>
            </w:tcMar>
          </w:tcPr>
          <w:p w14:paraId="5A5857B7" w14:textId="77777777" w:rsidR="00F7113A" w:rsidRPr="00580C0D" w:rsidRDefault="00142E5B" w:rsidP="001231A3">
            <w:proofErr w:type="spellStart"/>
            <w:r w:rsidRPr="00580C0D">
              <w:t>Ein</w:t>
            </w:r>
            <w:proofErr w:type="spellEnd"/>
            <w:r w:rsidRPr="00580C0D">
              <w:t xml:space="preserve"> plan for å </w:t>
            </w:r>
            <w:proofErr w:type="spellStart"/>
            <w:r w:rsidRPr="00580C0D">
              <w:t>auke</w:t>
            </w:r>
            <w:proofErr w:type="spellEnd"/>
            <w:r w:rsidRPr="00580C0D">
              <w:t xml:space="preserve"> produksjonen av avansert biodrivstoff </w:t>
            </w:r>
            <w:r w:rsidRPr="00580C0D">
              <w:br/>
              <w:t xml:space="preserve">i </w:t>
            </w:r>
            <w:proofErr w:type="spellStart"/>
            <w:r w:rsidRPr="00580C0D">
              <w:t>Noreg</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A29FDB9" w14:textId="77777777" w:rsidR="00F7113A" w:rsidRPr="00580C0D" w:rsidRDefault="00142E5B" w:rsidP="001231A3">
            <w:pPr>
              <w:jc w:val="right"/>
            </w:pPr>
            <w:r w:rsidRPr="00580C0D">
              <w:t>Nei</w:t>
            </w:r>
          </w:p>
        </w:tc>
      </w:tr>
      <w:tr w:rsidR="00F7113A" w:rsidRPr="00580C0D" w14:paraId="504F23CB" w14:textId="77777777">
        <w:trPr>
          <w:trHeight w:val="640"/>
        </w:trPr>
        <w:tc>
          <w:tcPr>
            <w:tcW w:w="1400" w:type="dxa"/>
            <w:tcBorders>
              <w:top w:val="nil"/>
              <w:left w:val="nil"/>
              <w:bottom w:val="nil"/>
              <w:right w:val="nil"/>
            </w:tcBorders>
            <w:tcMar>
              <w:top w:w="128" w:type="dxa"/>
              <w:left w:w="43" w:type="dxa"/>
              <w:bottom w:w="43" w:type="dxa"/>
              <w:right w:w="43" w:type="dxa"/>
            </w:tcMar>
          </w:tcPr>
          <w:p w14:paraId="347CC4D2"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31976F0D" w14:textId="77777777" w:rsidR="00F7113A" w:rsidRPr="00580C0D" w:rsidRDefault="00142E5B" w:rsidP="001231A3">
            <w:pPr>
              <w:ind w:right="284"/>
              <w:jc w:val="right"/>
            </w:pPr>
            <w:r w:rsidRPr="00580C0D">
              <w:t>674</w:t>
            </w:r>
          </w:p>
        </w:tc>
        <w:tc>
          <w:tcPr>
            <w:tcW w:w="5600" w:type="dxa"/>
            <w:tcBorders>
              <w:top w:val="nil"/>
              <w:left w:val="nil"/>
              <w:bottom w:val="nil"/>
              <w:right w:val="nil"/>
            </w:tcBorders>
            <w:tcMar>
              <w:top w:w="128" w:type="dxa"/>
              <w:left w:w="43" w:type="dxa"/>
              <w:bottom w:w="43" w:type="dxa"/>
              <w:right w:w="43" w:type="dxa"/>
            </w:tcMar>
          </w:tcPr>
          <w:p w14:paraId="198C197F" w14:textId="77777777" w:rsidR="00F7113A" w:rsidRPr="00580C0D" w:rsidRDefault="00142E5B" w:rsidP="001231A3">
            <w:proofErr w:type="spellStart"/>
            <w:r w:rsidRPr="00580C0D">
              <w:t>Ein</w:t>
            </w:r>
            <w:proofErr w:type="spellEnd"/>
            <w:r w:rsidRPr="00580C0D">
              <w:t xml:space="preserve"> plan for </w:t>
            </w:r>
            <w:proofErr w:type="spellStart"/>
            <w:r w:rsidRPr="00580C0D">
              <w:t>auka</w:t>
            </w:r>
            <w:proofErr w:type="spellEnd"/>
            <w:r w:rsidRPr="00580C0D">
              <w:t xml:space="preserve"> produksjon av og </w:t>
            </w:r>
            <w:proofErr w:type="spellStart"/>
            <w:r w:rsidRPr="00580C0D">
              <w:t>etterspurnad</w:t>
            </w:r>
            <w:proofErr w:type="spellEnd"/>
            <w:r w:rsidRPr="00580C0D">
              <w:t xml:space="preserve"> etter biogass</w:t>
            </w:r>
          </w:p>
        </w:tc>
        <w:tc>
          <w:tcPr>
            <w:tcW w:w="1400" w:type="dxa"/>
            <w:tcBorders>
              <w:top w:val="nil"/>
              <w:left w:val="nil"/>
              <w:bottom w:val="nil"/>
              <w:right w:val="nil"/>
            </w:tcBorders>
            <w:tcMar>
              <w:top w:w="128" w:type="dxa"/>
              <w:left w:w="43" w:type="dxa"/>
              <w:bottom w:w="43" w:type="dxa"/>
              <w:right w:w="43" w:type="dxa"/>
            </w:tcMar>
            <w:vAlign w:val="bottom"/>
          </w:tcPr>
          <w:p w14:paraId="2EBAD376" w14:textId="77777777" w:rsidR="00F7113A" w:rsidRPr="00580C0D" w:rsidRDefault="00142E5B" w:rsidP="001231A3">
            <w:pPr>
              <w:jc w:val="right"/>
            </w:pPr>
            <w:r w:rsidRPr="00580C0D">
              <w:t>Nei</w:t>
            </w:r>
          </w:p>
        </w:tc>
      </w:tr>
      <w:tr w:rsidR="00F7113A" w:rsidRPr="00580C0D" w14:paraId="48395D51" w14:textId="77777777">
        <w:trPr>
          <w:trHeight w:val="380"/>
        </w:trPr>
        <w:tc>
          <w:tcPr>
            <w:tcW w:w="1400" w:type="dxa"/>
            <w:tcBorders>
              <w:top w:val="nil"/>
              <w:left w:val="nil"/>
              <w:bottom w:val="nil"/>
              <w:right w:val="nil"/>
            </w:tcBorders>
            <w:tcMar>
              <w:top w:w="128" w:type="dxa"/>
              <w:left w:w="43" w:type="dxa"/>
              <w:bottom w:w="43" w:type="dxa"/>
              <w:right w:w="43" w:type="dxa"/>
            </w:tcMar>
          </w:tcPr>
          <w:p w14:paraId="071CF8FE"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7D88DE5E" w14:textId="77777777" w:rsidR="00F7113A" w:rsidRPr="00580C0D" w:rsidRDefault="00142E5B" w:rsidP="001231A3">
            <w:pPr>
              <w:ind w:right="284"/>
              <w:jc w:val="right"/>
            </w:pPr>
            <w:r w:rsidRPr="00580C0D">
              <w:t>760</w:t>
            </w:r>
          </w:p>
        </w:tc>
        <w:tc>
          <w:tcPr>
            <w:tcW w:w="5600" w:type="dxa"/>
            <w:tcBorders>
              <w:top w:val="nil"/>
              <w:left w:val="nil"/>
              <w:bottom w:val="nil"/>
              <w:right w:val="nil"/>
            </w:tcBorders>
            <w:tcMar>
              <w:top w:w="128" w:type="dxa"/>
              <w:left w:w="43" w:type="dxa"/>
              <w:bottom w:w="43" w:type="dxa"/>
              <w:right w:w="43" w:type="dxa"/>
            </w:tcMar>
          </w:tcPr>
          <w:p w14:paraId="06C7C1E6" w14:textId="77777777" w:rsidR="00F7113A" w:rsidRPr="00580C0D" w:rsidRDefault="00142E5B" w:rsidP="001231A3">
            <w:proofErr w:type="spellStart"/>
            <w:r w:rsidRPr="00580C0D">
              <w:t>Ein</w:t>
            </w:r>
            <w:proofErr w:type="spellEnd"/>
            <w:r w:rsidRPr="00580C0D">
              <w:t xml:space="preserve"> oppdatert Klimaplan med konkrete </w:t>
            </w:r>
            <w:proofErr w:type="spellStart"/>
            <w:r w:rsidRPr="00580C0D">
              <w:t>verkemiddel</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86650DF" w14:textId="77777777" w:rsidR="00F7113A" w:rsidRPr="00580C0D" w:rsidRDefault="00142E5B" w:rsidP="001231A3">
            <w:pPr>
              <w:jc w:val="right"/>
            </w:pPr>
            <w:r w:rsidRPr="00580C0D">
              <w:t>Nei</w:t>
            </w:r>
          </w:p>
        </w:tc>
      </w:tr>
      <w:tr w:rsidR="00F7113A" w:rsidRPr="00580C0D" w14:paraId="500F2341" w14:textId="77777777">
        <w:trPr>
          <w:trHeight w:val="640"/>
        </w:trPr>
        <w:tc>
          <w:tcPr>
            <w:tcW w:w="1400" w:type="dxa"/>
            <w:tcBorders>
              <w:top w:val="nil"/>
              <w:left w:val="nil"/>
              <w:bottom w:val="nil"/>
              <w:right w:val="nil"/>
            </w:tcBorders>
            <w:tcMar>
              <w:top w:w="128" w:type="dxa"/>
              <w:left w:w="43" w:type="dxa"/>
              <w:bottom w:w="43" w:type="dxa"/>
              <w:right w:w="43" w:type="dxa"/>
            </w:tcMar>
          </w:tcPr>
          <w:p w14:paraId="5BBDD241"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1C37DBAF" w14:textId="77777777" w:rsidR="00F7113A" w:rsidRPr="00580C0D" w:rsidRDefault="00142E5B" w:rsidP="001231A3">
            <w:pPr>
              <w:ind w:right="284"/>
              <w:jc w:val="right"/>
            </w:pPr>
            <w:r w:rsidRPr="00580C0D">
              <w:t>915</w:t>
            </w:r>
          </w:p>
        </w:tc>
        <w:tc>
          <w:tcPr>
            <w:tcW w:w="5600" w:type="dxa"/>
            <w:tcBorders>
              <w:top w:val="nil"/>
              <w:left w:val="nil"/>
              <w:bottom w:val="nil"/>
              <w:right w:val="nil"/>
            </w:tcBorders>
            <w:tcMar>
              <w:top w:w="128" w:type="dxa"/>
              <w:left w:w="43" w:type="dxa"/>
              <w:bottom w:w="43" w:type="dxa"/>
              <w:right w:w="43" w:type="dxa"/>
            </w:tcMar>
          </w:tcPr>
          <w:p w14:paraId="25F39AC6" w14:textId="77777777" w:rsidR="00F7113A" w:rsidRPr="00580C0D" w:rsidRDefault="00142E5B" w:rsidP="001231A3">
            <w:proofErr w:type="spellStart"/>
            <w:r w:rsidRPr="00580C0D">
              <w:t>Auke</w:t>
            </w:r>
            <w:proofErr w:type="spellEnd"/>
            <w:r w:rsidRPr="00580C0D">
              <w:t xml:space="preserve"> omsetningskravet for biodrivstoff til vegtrafikken og innføre delkrav for avansert biodrivstoff basert på A-råstoff </w:t>
            </w:r>
          </w:p>
        </w:tc>
        <w:tc>
          <w:tcPr>
            <w:tcW w:w="1400" w:type="dxa"/>
            <w:tcBorders>
              <w:top w:val="nil"/>
              <w:left w:val="nil"/>
              <w:bottom w:val="nil"/>
              <w:right w:val="nil"/>
            </w:tcBorders>
            <w:tcMar>
              <w:top w:w="128" w:type="dxa"/>
              <w:left w:w="43" w:type="dxa"/>
              <w:bottom w:w="43" w:type="dxa"/>
              <w:right w:w="43" w:type="dxa"/>
            </w:tcMar>
            <w:vAlign w:val="bottom"/>
          </w:tcPr>
          <w:p w14:paraId="0D855B60" w14:textId="77777777" w:rsidR="00F7113A" w:rsidRPr="00580C0D" w:rsidRDefault="00142E5B" w:rsidP="001231A3">
            <w:pPr>
              <w:jc w:val="right"/>
            </w:pPr>
            <w:r w:rsidRPr="00580C0D">
              <w:t>Ja</w:t>
            </w:r>
          </w:p>
        </w:tc>
      </w:tr>
      <w:tr w:rsidR="00F7113A" w:rsidRPr="00580C0D" w14:paraId="5B1599B4" w14:textId="77777777">
        <w:trPr>
          <w:trHeight w:val="640"/>
        </w:trPr>
        <w:tc>
          <w:tcPr>
            <w:tcW w:w="1400" w:type="dxa"/>
            <w:tcBorders>
              <w:top w:val="nil"/>
              <w:left w:val="nil"/>
              <w:bottom w:val="nil"/>
              <w:right w:val="nil"/>
            </w:tcBorders>
            <w:tcMar>
              <w:top w:w="128" w:type="dxa"/>
              <w:left w:w="43" w:type="dxa"/>
              <w:bottom w:w="43" w:type="dxa"/>
              <w:right w:w="43" w:type="dxa"/>
            </w:tcMar>
          </w:tcPr>
          <w:p w14:paraId="6FC842FC"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70BEBD99" w14:textId="77777777" w:rsidR="00F7113A" w:rsidRPr="00580C0D" w:rsidRDefault="00142E5B" w:rsidP="001231A3">
            <w:pPr>
              <w:ind w:right="284"/>
              <w:jc w:val="right"/>
            </w:pPr>
            <w:r w:rsidRPr="00580C0D">
              <w:t>916</w:t>
            </w:r>
          </w:p>
        </w:tc>
        <w:tc>
          <w:tcPr>
            <w:tcW w:w="5600" w:type="dxa"/>
            <w:tcBorders>
              <w:top w:val="nil"/>
              <w:left w:val="nil"/>
              <w:bottom w:val="nil"/>
              <w:right w:val="nil"/>
            </w:tcBorders>
            <w:tcMar>
              <w:top w:w="128" w:type="dxa"/>
              <w:left w:w="43" w:type="dxa"/>
              <w:bottom w:w="43" w:type="dxa"/>
              <w:right w:w="43" w:type="dxa"/>
            </w:tcMar>
          </w:tcPr>
          <w:p w14:paraId="607C80C1" w14:textId="77777777" w:rsidR="00F7113A" w:rsidRPr="00580C0D" w:rsidRDefault="00142E5B" w:rsidP="001231A3">
            <w:proofErr w:type="spellStart"/>
            <w:r w:rsidRPr="00580C0D">
              <w:t>Auke</w:t>
            </w:r>
            <w:proofErr w:type="spellEnd"/>
            <w:r w:rsidRPr="00580C0D">
              <w:t xml:space="preserve"> omsetningskravet for biodrivstoff i luftfarten og varsle framtidig opptrapping </w:t>
            </w:r>
          </w:p>
        </w:tc>
        <w:tc>
          <w:tcPr>
            <w:tcW w:w="1400" w:type="dxa"/>
            <w:tcBorders>
              <w:top w:val="nil"/>
              <w:left w:val="nil"/>
              <w:bottom w:val="nil"/>
              <w:right w:val="nil"/>
            </w:tcBorders>
            <w:tcMar>
              <w:top w:w="128" w:type="dxa"/>
              <w:left w:w="43" w:type="dxa"/>
              <w:bottom w:w="43" w:type="dxa"/>
              <w:right w:w="43" w:type="dxa"/>
            </w:tcMar>
            <w:vAlign w:val="bottom"/>
          </w:tcPr>
          <w:p w14:paraId="236454CA" w14:textId="77777777" w:rsidR="00F7113A" w:rsidRPr="00580C0D" w:rsidRDefault="00142E5B" w:rsidP="001231A3">
            <w:pPr>
              <w:jc w:val="right"/>
            </w:pPr>
            <w:r w:rsidRPr="00580C0D">
              <w:t>Ja</w:t>
            </w:r>
          </w:p>
        </w:tc>
      </w:tr>
      <w:tr w:rsidR="00F7113A" w:rsidRPr="00580C0D" w14:paraId="1344D2AA" w14:textId="77777777">
        <w:trPr>
          <w:trHeight w:val="640"/>
        </w:trPr>
        <w:tc>
          <w:tcPr>
            <w:tcW w:w="1400" w:type="dxa"/>
            <w:tcBorders>
              <w:top w:val="nil"/>
              <w:left w:val="nil"/>
              <w:bottom w:val="nil"/>
              <w:right w:val="nil"/>
            </w:tcBorders>
            <w:tcMar>
              <w:top w:w="128" w:type="dxa"/>
              <w:left w:w="43" w:type="dxa"/>
              <w:bottom w:w="43" w:type="dxa"/>
              <w:right w:w="43" w:type="dxa"/>
            </w:tcMar>
          </w:tcPr>
          <w:p w14:paraId="66B683CD"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2EB4184" w14:textId="77777777" w:rsidR="00F7113A" w:rsidRPr="00580C0D" w:rsidRDefault="00142E5B" w:rsidP="001231A3">
            <w:pPr>
              <w:ind w:right="284"/>
              <w:jc w:val="right"/>
            </w:pPr>
            <w:r w:rsidRPr="00580C0D">
              <w:t>917</w:t>
            </w:r>
          </w:p>
        </w:tc>
        <w:tc>
          <w:tcPr>
            <w:tcW w:w="5600" w:type="dxa"/>
            <w:tcBorders>
              <w:top w:val="nil"/>
              <w:left w:val="nil"/>
              <w:bottom w:val="nil"/>
              <w:right w:val="nil"/>
            </w:tcBorders>
            <w:tcMar>
              <w:top w:w="128" w:type="dxa"/>
              <w:left w:w="43" w:type="dxa"/>
              <w:bottom w:w="43" w:type="dxa"/>
              <w:right w:w="43" w:type="dxa"/>
            </w:tcMar>
          </w:tcPr>
          <w:p w14:paraId="163D29F7" w14:textId="77777777" w:rsidR="00F7113A" w:rsidRPr="00580C0D" w:rsidRDefault="00142E5B" w:rsidP="001231A3">
            <w:proofErr w:type="spellStart"/>
            <w:r w:rsidRPr="00580C0D">
              <w:t>Auke</w:t>
            </w:r>
            <w:proofErr w:type="spellEnd"/>
            <w:r w:rsidRPr="00580C0D">
              <w:t xml:space="preserve"> omsetningskravet for biodrivstoff for </w:t>
            </w:r>
            <w:proofErr w:type="spellStart"/>
            <w:r w:rsidRPr="00580C0D">
              <w:t>ikkje-veggåande</w:t>
            </w:r>
            <w:proofErr w:type="spellEnd"/>
            <w:r w:rsidRPr="00580C0D">
              <w:t xml:space="preserve"> maskiner</w:t>
            </w:r>
          </w:p>
        </w:tc>
        <w:tc>
          <w:tcPr>
            <w:tcW w:w="1400" w:type="dxa"/>
            <w:tcBorders>
              <w:top w:val="nil"/>
              <w:left w:val="nil"/>
              <w:bottom w:val="nil"/>
              <w:right w:val="nil"/>
            </w:tcBorders>
            <w:tcMar>
              <w:top w:w="128" w:type="dxa"/>
              <w:left w:w="43" w:type="dxa"/>
              <w:bottom w:w="43" w:type="dxa"/>
              <w:right w:w="43" w:type="dxa"/>
            </w:tcMar>
            <w:vAlign w:val="bottom"/>
          </w:tcPr>
          <w:p w14:paraId="437FA75F" w14:textId="77777777" w:rsidR="00F7113A" w:rsidRPr="00580C0D" w:rsidRDefault="00142E5B" w:rsidP="001231A3">
            <w:pPr>
              <w:jc w:val="right"/>
            </w:pPr>
            <w:r w:rsidRPr="00580C0D">
              <w:t>Nei</w:t>
            </w:r>
          </w:p>
        </w:tc>
      </w:tr>
      <w:tr w:rsidR="00F7113A" w:rsidRPr="00580C0D" w14:paraId="4B736CDD" w14:textId="77777777">
        <w:trPr>
          <w:trHeight w:val="380"/>
        </w:trPr>
        <w:tc>
          <w:tcPr>
            <w:tcW w:w="1400" w:type="dxa"/>
            <w:tcBorders>
              <w:top w:val="nil"/>
              <w:left w:val="nil"/>
              <w:bottom w:val="nil"/>
              <w:right w:val="nil"/>
            </w:tcBorders>
            <w:tcMar>
              <w:top w:w="128" w:type="dxa"/>
              <w:left w:w="43" w:type="dxa"/>
              <w:bottom w:w="43" w:type="dxa"/>
              <w:right w:w="43" w:type="dxa"/>
            </w:tcMar>
          </w:tcPr>
          <w:p w14:paraId="52526D7E"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3F3F5B48" w14:textId="77777777" w:rsidR="00F7113A" w:rsidRPr="00580C0D" w:rsidRDefault="00142E5B" w:rsidP="001231A3">
            <w:pPr>
              <w:ind w:right="284"/>
              <w:jc w:val="right"/>
            </w:pPr>
            <w:r w:rsidRPr="00580C0D">
              <w:t>918</w:t>
            </w:r>
          </w:p>
        </w:tc>
        <w:tc>
          <w:tcPr>
            <w:tcW w:w="5600" w:type="dxa"/>
            <w:tcBorders>
              <w:top w:val="nil"/>
              <w:left w:val="nil"/>
              <w:bottom w:val="nil"/>
              <w:right w:val="nil"/>
            </w:tcBorders>
            <w:tcMar>
              <w:top w:w="128" w:type="dxa"/>
              <w:left w:w="43" w:type="dxa"/>
              <w:bottom w:w="43" w:type="dxa"/>
              <w:right w:w="43" w:type="dxa"/>
            </w:tcMar>
          </w:tcPr>
          <w:p w14:paraId="7C9DB132" w14:textId="77777777" w:rsidR="00F7113A" w:rsidRPr="00580C0D" w:rsidRDefault="00142E5B" w:rsidP="001231A3">
            <w:proofErr w:type="spellStart"/>
            <w:r w:rsidRPr="00580C0D">
              <w:t>Auke</w:t>
            </w:r>
            <w:proofErr w:type="spellEnd"/>
            <w:r w:rsidRPr="00580C0D">
              <w:t xml:space="preserve"> omsetningskravet for biodrivstoff til sjøfart </w:t>
            </w:r>
          </w:p>
        </w:tc>
        <w:tc>
          <w:tcPr>
            <w:tcW w:w="1400" w:type="dxa"/>
            <w:tcBorders>
              <w:top w:val="nil"/>
              <w:left w:val="nil"/>
              <w:bottom w:val="nil"/>
              <w:right w:val="nil"/>
            </w:tcBorders>
            <w:tcMar>
              <w:top w:w="128" w:type="dxa"/>
              <w:left w:w="43" w:type="dxa"/>
              <w:bottom w:w="43" w:type="dxa"/>
              <w:right w:w="43" w:type="dxa"/>
            </w:tcMar>
            <w:vAlign w:val="bottom"/>
          </w:tcPr>
          <w:p w14:paraId="48A3B56A" w14:textId="77777777" w:rsidR="00F7113A" w:rsidRPr="00580C0D" w:rsidRDefault="00142E5B" w:rsidP="001231A3">
            <w:pPr>
              <w:jc w:val="right"/>
            </w:pPr>
            <w:r w:rsidRPr="00580C0D">
              <w:t>Nei</w:t>
            </w:r>
          </w:p>
        </w:tc>
      </w:tr>
      <w:tr w:rsidR="00F7113A" w:rsidRPr="00580C0D" w14:paraId="1AF0DCFC" w14:textId="77777777">
        <w:trPr>
          <w:trHeight w:val="380"/>
        </w:trPr>
        <w:tc>
          <w:tcPr>
            <w:tcW w:w="1400" w:type="dxa"/>
            <w:tcBorders>
              <w:top w:val="nil"/>
              <w:left w:val="nil"/>
              <w:bottom w:val="nil"/>
              <w:right w:val="nil"/>
            </w:tcBorders>
            <w:tcMar>
              <w:top w:w="128" w:type="dxa"/>
              <w:left w:w="43" w:type="dxa"/>
              <w:bottom w:w="43" w:type="dxa"/>
              <w:right w:w="43" w:type="dxa"/>
            </w:tcMar>
          </w:tcPr>
          <w:p w14:paraId="26242D75"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54F0ACCE" w14:textId="77777777" w:rsidR="00F7113A" w:rsidRPr="00580C0D" w:rsidRDefault="00142E5B" w:rsidP="001231A3">
            <w:pPr>
              <w:ind w:right="284"/>
              <w:jc w:val="right"/>
            </w:pPr>
            <w:r w:rsidRPr="00580C0D">
              <w:t>919</w:t>
            </w:r>
          </w:p>
        </w:tc>
        <w:tc>
          <w:tcPr>
            <w:tcW w:w="5600" w:type="dxa"/>
            <w:tcBorders>
              <w:top w:val="nil"/>
              <w:left w:val="nil"/>
              <w:bottom w:val="nil"/>
              <w:right w:val="nil"/>
            </w:tcBorders>
            <w:tcMar>
              <w:top w:w="128" w:type="dxa"/>
              <w:left w:w="43" w:type="dxa"/>
              <w:bottom w:w="43" w:type="dxa"/>
              <w:right w:w="43" w:type="dxa"/>
            </w:tcMar>
          </w:tcPr>
          <w:p w14:paraId="302249BB" w14:textId="77777777" w:rsidR="00F7113A" w:rsidRPr="00580C0D" w:rsidRDefault="00142E5B" w:rsidP="001231A3">
            <w:r w:rsidRPr="00580C0D">
              <w:t>Rett prising av negative utslepp</w:t>
            </w:r>
          </w:p>
        </w:tc>
        <w:tc>
          <w:tcPr>
            <w:tcW w:w="1400" w:type="dxa"/>
            <w:tcBorders>
              <w:top w:val="nil"/>
              <w:left w:val="nil"/>
              <w:bottom w:val="nil"/>
              <w:right w:val="nil"/>
            </w:tcBorders>
            <w:tcMar>
              <w:top w:w="128" w:type="dxa"/>
              <w:left w:w="43" w:type="dxa"/>
              <w:bottom w:w="43" w:type="dxa"/>
              <w:right w:w="43" w:type="dxa"/>
            </w:tcMar>
            <w:vAlign w:val="bottom"/>
          </w:tcPr>
          <w:p w14:paraId="2E735E2E" w14:textId="77777777" w:rsidR="00F7113A" w:rsidRPr="00580C0D" w:rsidRDefault="00142E5B" w:rsidP="001231A3">
            <w:pPr>
              <w:jc w:val="right"/>
            </w:pPr>
            <w:r w:rsidRPr="00580C0D">
              <w:t>Nei</w:t>
            </w:r>
          </w:p>
        </w:tc>
      </w:tr>
      <w:tr w:rsidR="00F7113A" w:rsidRPr="00580C0D" w14:paraId="4AB4B1FD" w14:textId="77777777">
        <w:trPr>
          <w:trHeight w:val="380"/>
        </w:trPr>
        <w:tc>
          <w:tcPr>
            <w:tcW w:w="1400" w:type="dxa"/>
            <w:tcBorders>
              <w:top w:val="nil"/>
              <w:left w:val="nil"/>
              <w:bottom w:val="nil"/>
              <w:right w:val="nil"/>
            </w:tcBorders>
            <w:tcMar>
              <w:top w:w="128" w:type="dxa"/>
              <w:left w:w="43" w:type="dxa"/>
              <w:bottom w:w="43" w:type="dxa"/>
              <w:right w:w="43" w:type="dxa"/>
            </w:tcMar>
          </w:tcPr>
          <w:p w14:paraId="255A73F5"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1A1F51A0" w14:textId="77777777" w:rsidR="00F7113A" w:rsidRPr="00580C0D" w:rsidRDefault="00142E5B" w:rsidP="001231A3">
            <w:pPr>
              <w:ind w:right="284"/>
              <w:jc w:val="right"/>
            </w:pPr>
            <w:r w:rsidRPr="00580C0D">
              <w:t>35.4</w:t>
            </w:r>
          </w:p>
        </w:tc>
        <w:tc>
          <w:tcPr>
            <w:tcW w:w="5600" w:type="dxa"/>
            <w:tcBorders>
              <w:top w:val="nil"/>
              <w:left w:val="nil"/>
              <w:bottom w:val="nil"/>
              <w:right w:val="nil"/>
            </w:tcBorders>
            <w:tcMar>
              <w:top w:w="128" w:type="dxa"/>
              <w:left w:w="43" w:type="dxa"/>
              <w:bottom w:w="43" w:type="dxa"/>
              <w:right w:w="43" w:type="dxa"/>
            </w:tcMar>
          </w:tcPr>
          <w:p w14:paraId="3E8B35E0" w14:textId="77777777" w:rsidR="00F7113A" w:rsidRPr="00580C0D" w:rsidRDefault="00142E5B" w:rsidP="001231A3">
            <w:proofErr w:type="spellStart"/>
            <w:r w:rsidRPr="00580C0D">
              <w:t>Verkemiddel</w:t>
            </w:r>
            <w:proofErr w:type="spellEnd"/>
            <w:r w:rsidRPr="00580C0D">
              <w:t xml:space="preserve"> for raske </w:t>
            </w:r>
            <w:proofErr w:type="spellStart"/>
            <w:r w:rsidRPr="00580C0D">
              <w:t>utsleppskutt</w:t>
            </w:r>
            <w:proofErr w:type="spellEnd"/>
            <w:r w:rsidRPr="00580C0D">
              <w:t xml:space="preserve"> for store punktutslepp</w:t>
            </w:r>
          </w:p>
        </w:tc>
        <w:tc>
          <w:tcPr>
            <w:tcW w:w="1400" w:type="dxa"/>
            <w:tcBorders>
              <w:top w:val="nil"/>
              <w:left w:val="nil"/>
              <w:bottom w:val="nil"/>
              <w:right w:val="nil"/>
            </w:tcBorders>
            <w:tcMar>
              <w:top w:w="128" w:type="dxa"/>
              <w:left w:w="43" w:type="dxa"/>
              <w:bottom w:w="43" w:type="dxa"/>
              <w:right w:w="43" w:type="dxa"/>
            </w:tcMar>
            <w:vAlign w:val="bottom"/>
          </w:tcPr>
          <w:p w14:paraId="7D9EA88A" w14:textId="77777777" w:rsidR="00F7113A" w:rsidRPr="00580C0D" w:rsidRDefault="00142E5B" w:rsidP="001231A3">
            <w:pPr>
              <w:jc w:val="right"/>
            </w:pPr>
            <w:r w:rsidRPr="00580C0D">
              <w:t>Nei</w:t>
            </w:r>
          </w:p>
        </w:tc>
      </w:tr>
      <w:tr w:rsidR="00F7113A" w:rsidRPr="00580C0D" w14:paraId="20799992" w14:textId="77777777">
        <w:trPr>
          <w:trHeight w:val="640"/>
        </w:trPr>
        <w:tc>
          <w:tcPr>
            <w:tcW w:w="1400" w:type="dxa"/>
            <w:tcBorders>
              <w:top w:val="nil"/>
              <w:left w:val="nil"/>
              <w:bottom w:val="nil"/>
              <w:right w:val="nil"/>
            </w:tcBorders>
            <w:tcMar>
              <w:top w:w="128" w:type="dxa"/>
              <w:left w:w="43" w:type="dxa"/>
              <w:bottom w:w="43" w:type="dxa"/>
              <w:right w:w="43" w:type="dxa"/>
            </w:tcMar>
          </w:tcPr>
          <w:p w14:paraId="111D1A7E"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248E169D" w14:textId="77777777" w:rsidR="00F7113A" w:rsidRPr="00580C0D" w:rsidRDefault="00142E5B" w:rsidP="001231A3">
            <w:pPr>
              <w:ind w:right="284"/>
              <w:jc w:val="right"/>
            </w:pPr>
            <w:r w:rsidRPr="00580C0D">
              <w:t>35.10</w:t>
            </w:r>
          </w:p>
        </w:tc>
        <w:tc>
          <w:tcPr>
            <w:tcW w:w="5600" w:type="dxa"/>
            <w:tcBorders>
              <w:top w:val="nil"/>
              <w:left w:val="nil"/>
              <w:bottom w:val="nil"/>
              <w:right w:val="nil"/>
            </w:tcBorders>
            <w:tcMar>
              <w:top w:w="128" w:type="dxa"/>
              <w:left w:w="43" w:type="dxa"/>
              <w:bottom w:w="43" w:type="dxa"/>
              <w:right w:w="43" w:type="dxa"/>
            </w:tcMar>
          </w:tcPr>
          <w:p w14:paraId="7A063968" w14:textId="77777777" w:rsidR="00F7113A" w:rsidRPr="00580C0D" w:rsidRDefault="00142E5B" w:rsidP="001231A3">
            <w:r w:rsidRPr="00580C0D">
              <w:t xml:space="preserve">Krav om nullutslepp og fossilfrie </w:t>
            </w:r>
            <w:proofErr w:type="spellStart"/>
            <w:r w:rsidRPr="00580C0D">
              <w:t>byggje</w:t>
            </w:r>
            <w:proofErr w:type="spellEnd"/>
            <w:r w:rsidRPr="00580C0D">
              <w:t xml:space="preserve">- og </w:t>
            </w:r>
            <w:proofErr w:type="spellStart"/>
            <w:r w:rsidRPr="00580C0D">
              <w:t>anleggsplassar</w:t>
            </w:r>
            <w:proofErr w:type="spellEnd"/>
            <w:r w:rsidRPr="00580C0D">
              <w:t xml:space="preserve"> </w:t>
            </w:r>
            <w:r w:rsidRPr="00580C0D">
              <w:br/>
              <w:t xml:space="preserve">i </w:t>
            </w:r>
            <w:proofErr w:type="spellStart"/>
            <w:r w:rsidRPr="00580C0D">
              <w:t>offentlege</w:t>
            </w:r>
            <w:proofErr w:type="spellEnd"/>
            <w:r w:rsidRPr="00580C0D">
              <w:t xml:space="preserve"> </w:t>
            </w:r>
            <w:proofErr w:type="spellStart"/>
            <w:r w:rsidRPr="00580C0D">
              <w:t>anbod</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BD549B5" w14:textId="77777777" w:rsidR="00F7113A" w:rsidRPr="00580C0D" w:rsidRDefault="00142E5B" w:rsidP="001231A3">
            <w:pPr>
              <w:jc w:val="right"/>
            </w:pPr>
            <w:r w:rsidRPr="00580C0D">
              <w:t>Nei</w:t>
            </w:r>
          </w:p>
        </w:tc>
      </w:tr>
      <w:tr w:rsidR="00F7113A" w:rsidRPr="00580C0D" w14:paraId="083247F0" w14:textId="77777777">
        <w:trPr>
          <w:trHeight w:val="380"/>
        </w:trPr>
        <w:tc>
          <w:tcPr>
            <w:tcW w:w="1400" w:type="dxa"/>
            <w:tcBorders>
              <w:top w:val="nil"/>
              <w:left w:val="nil"/>
              <w:bottom w:val="nil"/>
              <w:right w:val="nil"/>
            </w:tcBorders>
            <w:tcMar>
              <w:top w:w="128" w:type="dxa"/>
              <w:left w:w="43" w:type="dxa"/>
              <w:bottom w:w="43" w:type="dxa"/>
              <w:right w:w="43" w:type="dxa"/>
            </w:tcMar>
          </w:tcPr>
          <w:p w14:paraId="74053055"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061C12DC" w14:textId="77777777" w:rsidR="00F7113A" w:rsidRPr="00580C0D" w:rsidRDefault="00142E5B" w:rsidP="001231A3">
            <w:pPr>
              <w:ind w:right="284"/>
              <w:jc w:val="right"/>
            </w:pPr>
            <w:r w:rsidRPr="00580C0D">
              <w:t>35.11</w:t>
            </w:r>
          </w:p>
        </w:tc>
        <w:tc>
          <w:tcPr>
            <w:tcW w:w="5600" w:type="dxa"/>
            <w:tcBorders>
              <w:top w:val="nil"/>
              <w:left w:val="nil"/>
              <w:bottom w:val="nil"/>
              <w:right w:val="nil"/>
            </w:tcBorders>
            <w:tcMar>
              <w:top w:w="128" w:type="dxa"/>
              <w:left w:w="43" w:type="dxa"/>
              <w:bottom w:w="43" w:type="dxa"/>
              <w:right w:w="43" w:type="dxa"/>
            </w:tcMar>
          </w:tcPr>
          <w:p w14:paraId="7E0C3DA3" w14:textId="77777777" w:rsidR="00F7113A" w:rsidRPr="00580C0D" w:rsidRDefault="00142E5B" w:rsidP="001231A3">
            <w:proofErr w:type="spellStart"/>
            <w:r w:rsidRPr="00580C0D">
              <w:t>Forbod</w:t>
            </w:r>
            <w:proofErr w:type="spellEnd"/>
            <w:r w:rsidRPr="00580C0D">
              <w:t xml:space="preserve"> mot bruk av fossile brensel på </w:t>
            </w:r>
            <w:proofErr w:type="spellStart"/>
            <w:r w:rsidRPr="00580C0D">
              <w:t>byggjeplassar</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6A58D80" w14:textId="77777777" w:rsidR="00F7113A" w:rsidRPr="00580C0D" w:rsidRDefault="00142E5B" w:rsidP="001231A3">
            <w:pPr>
              <w:jc w:val="right"/>
            </w:pPr>
            <w:r w:rsidRPr="00580C0D">
              <w:t>Nei</w:t>
            </w:r>
          </w:p>
        </w:tc>
      </w:tr>
      <w:tr w:rsidR="00F7113A" w:rsidRPr="00580C0D" w14:paraId="3F275651" w14:textId="77777777">
        <w:trPr>
          <w:trHeight w:val="380"/>
        </w:trPr>
        <w:tc>
          <w:tcPr>
            <w:tcW w:w="1400" w:type="dxa"/>
            <w:tcBorders>
              <w:top w:val="nil"/>
              <w:left w:val="nil"/>
              <w:bottom w:val="nil"/>
              <w:right w:val="nil"/>
            </w:tcBorders>
            <w:tcMar>
              <w:top w:w="128" w:type="dxa"/>
              <w:left w:w="43" w:type="dxa"/>
              <w:bottom w:w="43" w:type="dxa"/>
              <w:right w:w="43" w:type="dxa"/>
            </w:tcMar>
          </w:tcPr>
          <w:p w14:paraId="0BFE6CE6"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3AA47B90" w14:textId="77777777" w:rsidR="00F7113A" w:rsidRPr="00580C0D" w:rsidRDefault="00142E5B" w:rsidP="001231A3">
            <w:pPr>
              <w:ind w:right="284"/>
              <w:jc w:val="right"/>
            </w:pPr>
            <w:r w:rsidRPr="00580C0D">
              <w:t>35.16</w:t>
            </w:r>
          </w:p>
        </w:tc>
        <w:tc>
          <w:tcPr>
            <w:tcW w:w="5600" w:type="dxa"/>
            <w:tcBorders>
              <w:top w:val="nil"/>
              <w:left w:val="nil"/>
              <w:bottom w:val="nil"/>
              <w:right w:val="nil"/>
            </w:tcBorders>
            <w:tcMar>
              <w:top w:w="128" w:type="dxa"/>
              <w:left w:w="43" w:type="dxa"/>
              <w:bottom w:w="43" w:type="dxa"/>
              <w:right w:w="43" w:type="dxa"/>
            </w:tcMar>
          </w:tcPr>
          <w:p w14:paraId="53250C24" w14:textId="77777777" w:rsidR="00F7113A" w:rsidRPr="00580C0D" w:rsidRDefault="00142E5B" w:rsidP="001231A3">
            <w:r w:rsidRPr="00580C0D">
              <w:t>Erstatte fossile brensel i industrien</w:t>
            </w:r>
          </w:p>
        </w:tc>
        <w:tc>
          <w:tcPr>
            <w:tcW w:w="1400" w:type="dxa"/>
            <w:tcBorders>
              <w:top w:val="nil"/>
              <w:left w:val="nil"/>
              <w:bottom w:val="nil"/>
              <w:right w:val="nil"/>
            </w:tcBorders>
            <w:tcMar>
              <w:top w:w="128" w:type="dxa"/>
              <w:left w:w="43" w:type="dxa"/>
              <w:bottom w:w="43" w:type="dxa"/>
              <w:right w:w="43" w:type="dxa"/>
            </w:tcMar>
            <w:vAlign w:val="bottom"/>
          </w:tcPr>
          <w:p w14:paraId="4F4FB032" w14:textId="77777777" w:rsidR="00F7113A" w:rsidRPr="00580C0D" w:rsidRDefault="00142E5B" w:rsidP="001231A3">
            <w:pPr>
              <w:jc w:val="right"/>
            </w:pPr>
            <w:r w:rsidRPr="00580C0D">
              <w:t>Nei</w:t>
            </w:r>
          </w:p>
        </w:tc>
      </w:tr>
      <w:tr w:rsidR="00F7113A" w:rsidRPr="00580C0D" w14:paraId="639724EE" w14:textId="77777777">
        <w:trPr>
          <w:trHeight w:val="640"/>
        </w:trPr>
        <w:tc>
          <w:tcPr>
            <w:tcW w:w="1400" w:type="dxa"/>
            <w:tcBorders>
              <w:top w:val="nil"/>
              <w:left w:val="nil"/>
              <w:bottom w:val="nil"/>
              <w:right w:val="nil"/>
            </w:tcBorders>
            <w:tcMar>
              <w:top w:w="128" w:type="dxa"/>
              <w:left w:w="43" w:type="dxa"/>
              <w:bottom w:w="43" w:type="dxa"/>
              <w:right w:w="43" w:type="dxa"/>
            </w:tcMar>
          </w:tcPr>
          <w:p w14:paraId="63272755"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701CD3C6" w14:textId="77777777" w:rsidR="00F7113A" w:rsidRPr="00580C0D" w:rsidRDefault="00142E5B" w:rsidP="001231A3">
            <w:pPr>
              <w:ind w:right="284"/>
              <w:jc w:val="right"/>
            </w:pPr>
            <w:r w:rsidRPr="00580C0D">
              <w:t>35.20</w:t>
            </w:r>
          </w:p>
        </w:tc>
        <w:tc>
          <w:tcPr>
            <w:tcW w:w="5600" w:type="dxa"/>
            <w:tcBorders>
              <w:top w:val="nil"/>
              <w:left w:val="nil"/>
              <w:bottom w:val="nil"/>
              <w:right w:val="nil"/>
            </w:tcBorders>
            <w:tcMar>
              <w:top w:w="128" w:type="dxa"/>
              <w:left w:w="43" w:type="dxa"/>
              <w:bottom w:w="43" w:type="dxa"/>
              <w:right w:w="43" w:type="dxa"/>
            </w:tcMar>
          </w:tcPr>
          <w:p w14:paraId="1CF5425A" w14:textId="77777777" w:rsidR="00F7113A" w:rsidRPr="00580C0D" w:rsidRDefault="00142E5B" w:rsidP="001231A3">
            <w:r w:rsidRPr="00580C0D">
              <w:t xml:space="preserve">Oppfylle mål om 10 pst. vern av kyst- og havområde og </w:t>
            </w:r>
            <w:proofErr w:type="spellStart"/>
            <w:r w:rsidRPr="00580C0D">
              <w:t>fremje</w:t>
            </w:r>
            <w:proofErr w:type="spellEnd"/>
            <w:r w:rsidRPr="00580C0D">
              <w:t xml:space="preserve"> nasjonal plan for marint vern</w:t>
            </w:r>
          </w:p>
        </w:tc>
        <w:tc>
          <w:tcPr>
            <w:tcW w:w="1400" w:type="dxa"/>
            <w:tcBorders>
              <w:top w:val="nil"/>
              <w:left w:val="nil"/>
              <w:bottom w:val="nil"/>
              <w:right w:val="nil"/>
            </w:tcBorders>
            <w:tcMar>
              <w:top w:w="128" w:type="dxa"/>
              <w:left w:w="43" w:type="dxa"/>
              <w:bottom w:w="43" w:type="dxa"/>
              <w:right w:w="43" w:type="dxa"/>
            </w:tcMar>
            <w:vAlign w:val="bottom"/>
          </w:tcPr>
          <w:p w14:paraId="07FF2E12" w14:textId="77777777" w:rsidR="00F7113A" w:rsidRPr="00580C0D" w:rsidRDefault="00142E5B" w:rsidP="001231A3">
            <w:pPr>
              <w:jc w:val="right"/>
            </w:pPr>
            <w:r w:rsidRPr="00580C0D">
              <w:t>Nei</w:t>
            </w:r>
          </w:p>
        </w:tc>
      </w:tr>
      <w:tr w:rsidR="00F7113A" w:rsidRPr="00580C0D" w14:paraId="3F14EE93" w14:textId="77777777">
        <w:trPr>
          <w:trHeight w:val="380"/>
        </w:trPr>
        <w:tc>
          <w:tcPr>
            <w:tcW w:w="1400" w:type="dxa"/>
            <w:tcBorders>
              <w:top w:val="nil"/>
              <w:left w:val="nil"/>
              <w:bottom w:val="nil"/>
              <w:right w:val="nil"/>
            </w:tcBorders>
            <w:tcMar>
              <w:top w:w="128" w:type="dxa"/>
              <w:left w:w="43" w:type="dxa"/>
              <w:bottom w:w="43" w:type="dxa"/>
              <w:right w:w="43" w:type="dxa"/>
            </w:tcMar>
          </w:tcPr>
          <w:p w14:paraId="3870A7BC"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54DFB901" w14:textId="77777777" w:rsidR="00F7113A" w:rsidRPr="00580C0D" w:rsidRDefault="00142E5B" w:rsidP="001231A3">
            <w:pPr>
              <w:ind w:right="284"/>
              <w:jc w:val="right"/>
            </w:pPr>
            <w:r w:rsidRPr="00580C0D">
              <w:t>512</w:t>
            </w:r>
          </w:p>
        </w:tc>
        <w:tc>
          <w:tcPr>
            <w:tcW w:w="5600" w:type="dxa"/>
            <w:tcBorders>
              <w:top w:val="nil"/>
              <w:left w:val="nil"/>
              <w:bottom w:val="nil"/>
              <w:right w:val="nil"/>
            </w:tcBorders>
            <w:tcMar>
              <w:top w:w="128" w:type="dxa"/>
              <w:left w:w="43" w:type="dxa"/>
              <w:bottom w:w="43" w:type="dxa"/>
              <w:right w:w="43" w:type="dxa"/>
            </w:tcMar>
          </w:tcPr>
          <w:p w14:paraId="25C92FCF" w14:textId="77777777" w:rsidR="00F7113A" w:rsidRPr="00580C0D" w:rsidRDefault="00142E5B" w:rsidP="001231A3">
            <w:r w:rsidRPr="00580C0D">
              <w:t xml:space="preserve">Greie ut produsentansvarsordning for </w:t>
            </w:r>
            <w:proofErr w:type="spellStart"/>
            <w:r w:rsidRPr="00580C0D">
              <w:t>tekstilar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23BE6E0" w14:textId="77777777" w:rsidR="00F7113A" w:rsidRPr="00580C0D" w:rsidRDefault="00142E5B" w:rsidP="001231A3">
            <w:pPr>
              <w:jc w:val="right"/>
            </w:pPr>
            <w:r w:rsidRPr="00580C0D">
              <w:t>Ja</w:t>
            </w:r>
          </w:p>
        </w:tc>
      </w:tr>
      <w:tr w:rsidR="00F7113A" w:rsidRPr="00580C0D" w14:paraId="5C73F435" w14:textId="77777777">
        <w:trPr>
          <w:trHeight w:val="640"/>
        </w:trPr>
        <w:tc>
          <w:tcPr>
            <w:tcW w:w="1400" w:type="dxa"/>
            <w:tcBorders>
              <w:top w:val="nil"/>
              <w:left w:val="nil"/>
              <w:bottom w:val="nil"/>
              <w:right w:val="nil"/>
            </w:tcBorders>
            <w:tcMar>
              <w:top w:w="128" w:type="dxa"/>
              <w:left w:w="43" w:type="dxa"/>
              <w:bottom w:w="43" w:type="dxa"/>
              <w:right w:w="43" w:type="dxa"/>
            </w:tcMar>
          </w:tcPr>
          <w:p w14:paraId="21115705"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31441796" w14:textId="77777777" w:rsidR="00F7113A" w:rsidRPr="00580C0D" w:rsidRDefault="00142E5B" w:rsidP="001231A3">
            <w:pPr>
              <w:ind w:right="284"/>
              <w:jc w:val="right"/>
            </w:pPr>
            <w:r w:rsidRPr="00580C0D">
              <w:t>513</w:t>
            </w:r>
          </w:p>
        </w:tc>
        <w:tc>
          <w:tcPr>
            <w:tcW w:w="5600" w:type="dxa"/>
            <w:tcBorders>
              <w:top w:val="nil"/>
              <w:left w:val="nil"/>
              <w:bottom w:val="nil"/>
              <w:right w:val="nil"/>
            </w:tcBorders>
            <w:tcMar>
              <w:top w:w="128" w:type="dxa"/>
              <w:left w:w="43" w:type="dxa"/>
              <w:bottom w:w="43" w:type="dxa"/>
              <w:right w:w="43" w:type="dxa"/>
            </w:tcMar>
          </w:tcPr>
          <w:p w14:paraId="1C4994E2" w14:textId="77777777" w:rsidR="00F7113A" w:rsidRPr="00580C0D" w:rsidRDefault="00142E5B" w:rsidP="001231A3">
            <w:r w:rsidRPr="00580C0D">
              <w:t xml:space="preserve">Gjennomgå regelverk og vurdere </w:t>
            </w:r>
            <w:proofErr w:type="spellStart"/>
            <w:r w:rsidRPr="00580C0D">
              <w:t>endringar</w:t>
            </w:r>
            <w:proofErr w:type="spellEnd"/>
            <w:r w:rsidRPr="00580C0D">
              <w:t xml:space="preserve"> for å sikre at klesbransjen bruker </w:t>
            </w:r>
            <w:proofErr w:type="spellStart"/>
            <w:r w:rsidRPr="00580C0D">
              <w:t>uselde</w:t>
            </w:r>
            <w:proofErr w:type="spellEnd"/>
            <w:r w:rsidRPr="00580C0D">
              <w:t xml:space="preserve"> tekstilvarer om att</w:t>
            </w:r>
          </w:p>
        </w:tc>
        <w:tc>
          <w:tcPr>
            <w:tcW w:w="1400" w:type="dxa"/>
            <w:tcBorders>
              <w:top w:val="nil"/>
              <w:left w:val="nil"/>
              <w:bottom w:val="nil"/>
              <w:right w:val="nil"/>
            </w:tcBorders>
            <w:tcMar>
              <w:top w:w="128" w:type="dxa"/>
              <w:left w:w="43" w:type="dxa"/>
              <w:bottom w:w="43" w:type="dxa"/>
              <w:right w:w="43" w:type="dxa"/>
            </w:tcMar>
            <w:vAlign w:val="bottom"/>
          </w:tcPr>
          <w:p w14:paraId="4DE16F34" w14:textId="77777777" w:rsidR="00F7113A" w:rsidRPr="00580C0D" w:rsidRDefault="00142E5B" w:rsidP="001231A3">
            <w:pPr>
              <w:jc w:val="right"/>
            </w:pPr>
            <w:r w:rsidRPr="00580C0D">
              <w:t>Ja</w:t>
            </w:r>
          </w:p>
        </w:tc>
      </w:tr>
      <w:tr w:rsidR="00F7113A" w:rsidRPr="00580C0D" w14:paraId="2FF95886" w14:textId="77777777">
        <w:trPr>
          <w:trHeight w:val="640"/>
        </w:trPr>
        <w:tc>
          <w:tcPr>
            <w:tcW w:w="1400" w:type="dxa"/>
            <w:tcBorders>
              <w:top w:val="nil"/>
              <w:left w:val="nil"/>
              <w:bottom w:val="nil"/>
              <w:right w:val="nil"/>
            </w:tcBorders>
            <w:tcMar>
              <w:top w:w="128" w:type="dxa"/>
              <w:left w:w="43" w:type="dxa"/>
              <w:bottom w:w="43" w:type="dxa"/>
              <w:right w:w="43" w:type="dxa"/>
            </w:tcMar>
          </w:tcPr>
          <w:p w14:paraId="676C78AF"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475EACD6" w14:textId="77777777" w:rsidR="00F7113A" w:rsidRPr="00580C0D" w:rsidRDefault="00142E5B" w:rsidP="001231A3">
            <w:pPr>
              <w:ind w:right="284"/>
              <w:jc w:val="right"/>
            </w:pPr>
            <w:r w:rsidRPr="00580C0D">
              <w:t>713</w:t>
            </w:r>
          </w:p>
        </w:tc>
        <w:tc>
          <w:tcPr>
            <w:tcW w:w="5600" w:type="dxa"/>
            <w:tcBorders>
              <w:top w:val="nil"/>
              <w:left w:val="nil"/>
              <w:bottom w:val="nil"/>
              <w:right w:val="nil"/>
            </w:tcBorders>
            <w:tcMar>
              <w:top w:w="128" w:type="dxa"/>
              <w:left w:w="43" w:type="dxa"/>
              <w:bottom w:w="43" w:type="dxa"/>
              <w:right w:w="43" w:type="dxa"/>
            </w:tcMar>
          </w:tcPr>
          <w:p w14:paraId="161970BA" w14:textId="77777777" w:rsidR="00F7113A" w:rsidRPr="00580C0D" w:rsidRDefault="00142E5B" w:rsidP="001231A3">
            <w:proofErr w:type="spellStart"/>
            <w:r w:rsidRPr="00580C0D">
              <w:t>Verkemiddel</w:t>
            </w:r>
            <w:proofErr w:type="spellEnd"/>
            <w:r w:rsidRPr="00580C0D">
              <w:t xml:space="preserve"> som kan bidra til å </w:t>
            </w:r>
            <w:proofErr w:type="spellStart"/>
            <w:r w:rsidRPr="00580C0D">
              <w:t>gjere</w:t>
            </w:r>
            <w:proofErr w:type="spellEnd"/>
            <w:r w:rsidRPr="00580C0D">
              <w:t xml:space="preserve"> direkte karbonfangst </w:t>
            </w:r>
            <w:proofErr w:type="spellStart"/>
            <w:r w:rsidRPr="00580C0D">
              <w:t>frå</w:t>
            </w:r>
            <w:proofErr w:type="spellEnd"/>
            <w:r w:rsidRPr="00580C0D">
              <w:t xml:space="preserve"> luft (DAC) </w:t>
            </w:r>
            <w:proofErr w:type="spellStart"/>
            <w:r w:rsidRPr="00580C0D">
              <w:t>lønnsamt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9064105" w14:textId="77777777" w:rsidR="00F7113A" w:rsidRPr="00580C0D" w:rsidRDefault="00142E5B" w:rsidP="001231A3">
            <w:pPr>
              <w:jc w:val="right"/>
            </w:pPr>
            <w:r w:rsidRPr="00580C0D">
              <w:t>Nei</w:t>
            </w:r>
          </w:p>
        </w:tc>
      </w:tr>
      <w:tr w:rsidR="00F7113A" w:rsidRPr="00580C0D" w14:paraId="6DF5103F" w14:textId="77777777">
        <w:trPr>
          <w:trHeight w:val="640"/>
        </w:trPr>
        <w:tc>
          <w:tcPr>
            <w:tcW w:w="1400" w:type="dxa"/>
            <w:tcBorders>
              <w:top w:val="nil"/>
              <w:left w:val="nil"/>
              <w:bottom w:val="nil"/>
              <w:right w:val="nil"/>
            </w:tcBorders>
            <w:tcMar>
              <w:top w:w="128" w:type="dxa"/>
              <w:left w:w="43" w:type="dxa"/>
              <w:bottom w:w="43" w:type="dxa"/>
              <w:right w:w="43" w:type="dxa"/>
            </w:tcMar>
          </w:tcPr>
          <w:p w14:paraId="0BC5E240"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4185755C" w14:textId="77777777" w:rsidR="00F7113A" w:rsidRPr="00580C0D" w:rsidRDefault="00142E5B" w:rsidP="001231A3">
            <w:pPr>
              <w:ind w:right="284"/>
              <w:jc w:val="right"/>
            </w:pPr>
            <w:r w:rsidRPr="00580C0D">
              <w:t>753</w:t>
            </w:r>
          </w:p>
        </w:tc>
        <w:tc>
          <w:tcPr>
            <w:tcW w:w="5600" w:type="dxa"/>
            <w:tcBorders>
              <w:top w:val="nil"/>
              <w:left w:val="nil"/>
              <w:bottom w:val="nil"/>
              <w:right w:val="nil"/>
            </w:tcBorders>
            <w:tcMar>
              <w:top w:w="128" w:type="dxa"/>
              <w:left w:w="43" w:type="dxa"/>
              <w:bottom w:w="43" w:type="dxa"/>
              <w:right w:w="43" w:type="dxa"/>
            </w:tcMar>
          </w:tcPr>
          <w:p w14:paraId="37F42888" w14:textId="77777777" w:rsidR="00F7113A" w:rsidRPr="00580C0D" w:rsidRDefault="00142E5B" w:rsidP="001231A3">
            <w:r w:rsidRPr="00580C0D">
              <w:t xml:space="preserve">Levere </w:t>
            </w:r>
            <w:proofErr w:type="spellStart"/>
            <w:r w:rsidRPr="00580C0D">
              <w:t>ein</w:t>
            </w:r>
            <w:proofErr w:type="spellEnd"/>
            <w:r w:rsidRPr="00580C0D">
              <w:t xml:space="preserve"> plan for harmonisering av rammeverk for biogass i Norden </w:t>
            </w:r>
          </w:p>
        </w:tc>
        <w:tc>
          <w:tcPr>
            <w:tcW w:w="1400" w:type="dxa"/>
            <w:tcBorders>
              <w:top w:val="nil"/>
              <w:left w:val="nil"/>
              <w:bottom w:val="nil"/>
              <w:right w:val="nil"/>
            </w:tcBorders>
            <w:tcMar>
              <w:top w:w="128" w:type="dxa"/>
              <w:left w:w="43" w:type="dxa"/>
              <w:bottom w:w="43" w:type="dxa"/>
              <w:right w:w="43" w:type="dxa"/>
            </w:tcMar>
            <w:vAlign w:val="bottom"/>
          </w:tcPr>
          <w:p w14:paraId="2CC3C8A4" w14:textId="77777777" w:rsidR="00F7113A" w:rsidRPr="00580C0D" w:rsidRDefault="00142E5B" w:rsidP="001231A3">
            <w:pPr>
              <w:jc w:val="right"/>
            </w:pPr>
            <w:r w:rsidRPr="00580C0D">
              <w:t>Nei</w:t>
            </w:r>
          </w:p>
        </w:tc>
      </w:tr>
      <w:tr w:rsidR="00F7113A" w:rsidRPr="00580C0D" w14:paraId="4CBAEE7C" w14:textId="77777777">
        <w:trPr>
          <w:trHeight w:val="640"/>
        </w:trPr>
        <w:tc>
          <w:tcPr>
            <w:tcW w:w="1400" w:type="dxa"/>
            <w:tcBorders>
              <w:top w:val="nil"/>
              <w:left w:val="nil"/>
              <w:bottom w:val="nil"/>
              <w:right w:val="nil"/>
            </w:tcBorders>
            <w:tcMar>
              <w:top w:w="128" w:type="dxa"/>
              <w:left w:w="43" w:type="dxa"/>
              <w:bottom w:w="43" w:type="dxa"/>
              <w:right w:w="43" w:type="dxa"/>
            </w:tcMar>
          </w:tcPr>
          <w:p w14:paraId="6D7D2477"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74ECD280" w14:textId="77777777" w:rsidR="00F7113A" w:rsidRPr="00580C0D" w:rsidRDefault="00142E5B" w:rsidP="001231A3">
            <w:pPr>
              <w:ind w:right="284"/>
              <w:jc w:val="right"/>
            </w:pPr>
            <w:r w:rsidRPr="00580C0D">
              <w:t>837</w:t>
            </w:r>
          </w:p>
        </w:tc>
        <w:tc>
          <w:tcPr>
            <w:tcW w:w="5600" w:type="dxa"/>
            <w:tcBorders>
              <w:top w:val="nil"/>
              <w:left w:val="nil"/>
              <w:bottom w:val="nil"/>
              <w:right w:val="nil"/>
            </w:tcBorders>
            <w:tcMar>
              <w:top w:w="128" w:type="dxa"/>
              <w:left w:w="43" w:type="dxa"/>
              <w:bottom w:w="43" w:type="dxa"/>
              <w:right w:w="43" w:type="dxa"/>
            </w:tcMar>
          </w:tcPr>
          <w:p w14:paraId="3C5480A5" w14:textId="77777777" w:rsidR="00F7113A" w:rsidRPr="00580C0D" w:rsidRDefault="00142E5B" w:rsidP="001231A3">
            <w:r w:rsidRPr="00580C0D">
              <w:t xml:space="preserve">Utarbeide rapporteringssystem for bruk av </w:t>
            </w:r>
            <w:proofErr w:type="spellStart"/>
            <w:r w:rsidRPr="00580C0D">
              <w:t>berekraftig</w:t>
            </w:r>
            <w:proofErr w:type="spellEnd"/>
            <w:r w:rsidRPr="00580C0D">
              <w:t xml:space="preserve"> biodrivstoff </w:t>
            </w:r>
            <w:proofErr w:type="spellStart"/>
            <w:r w:rsidRPr="00580C0D">
              <w:t>utanfor</w:t>
            </w:r>
            <w:proofErr w:type="spellEnd"/>
            <w:r w:rsidRPr="00580C0D">
              <w:t xml:space="preserve"> omsetningskravet</w:t>
            </w:r>
          </w:p>
        </w:tc>
        <w:tc>
          <w:tcPr>
            <w:tcW w:w="1400" w:type="dxa"/>
            <w:tcBorders>
              <w:top w:val="nil"/>
              <w:left w:val="nil"/>
              <w:bottom w:val="nil"/>
              <w:right w:val="nil"/>
            </w:tcBorders>
            <w:tcMar>
              <w:top w:w="128" w:type="dxa"/>
              <w:left w:w="43" w:type="dxa"/>
              <w:bottom w:w="43" w:type="dxa"/>
              <w:right w:w="43" w:type="dxa"/>
            </w:tcMar>
            <w:vAlign w:val="bottom"/>
          </w:tcPr>
          <w:p w14:paraId="10D8156F" w14:textId="77777777" w:rsidR="00F7113A" w:rsidRPr="00580C0D" w:rsidRDefault="00142E5B" w:rsidP="001231A3">
            <w:pPr>
              <w:jc w:val="right"/>
            </w:pPr>
            <w:r w:rsidRPr="00580C0D">
              <w:t>Ja</w:t>
            </w:r>
          </w:p>
        </w:tc>
      </w:tr>
      <w:tr w:rsidR="00F7113A" w:rsidRPr="00580C0D" w14:paraId="1BB2DA1F" w14:textId="77777777">
        <w:trPr>
          <w:trHeight w:val="880"/>
        </w:trPr>
        <w:tc>
          <w:tcPr>
            <w:tcW w:w="1400" w:type="dxa"/>
            <w:tcBorders>
              <w:top w:val="nil"/>
              <w:left w:val="nil"/>
              <w:bottom w:val="nil"/>
              <w:right w:val="nil"/>
            </w:tcBorders>
            <w:tcMar>
              <w:top w:w="128" w:type="dxa"/>
              <w:left w:w="43" w:type="dxa"/>
              <w:bottom w:w="43" w:type="dxa"/>
              <w:right w:w="43" w:type="dxa"/>
            </w:tcMar>
          </w:tcPr>
          <w:p w14:paraId="3A5BD680"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7040C2F7" w14:textId="77777777" w:rsidR="00F7113A" w:rsidRPr="00580C0D" w:rsidRDefault="00142E5B" w:rsidP="001231A3">
            <w:pPr>
              <w:ind w:right="284"/>
              <w:jc w:val="right"/>
            </w:pPr>
            <w:r w:rsidRPr="00580C0D">
              <w:t>690</w:t>
            </w:r>
          </w:p>
        </w:tc>
        <w:tc>
          <w:tcPr>
            <w:tcW w:w="5600" w:type="dxa"/>
            <w:tcBorders>
              <w:top w:val="nil"/>
              <w:left w:val="nil"/>
              <w:bottom w:val="nil"/>
              <w:right w:val="nil"/>
            </w:tcBorders>
            <w:tcMar>
              <w:top w:w="128" w:type="dxa"/>
              <w:left w:w="43" w:type="dxa"/>
              <w:bottom w:w="43" w:type="dxa"/>
              <w:right w:w="43" w:type="dxa"/>
            </w:tcMar>
          </w:tcPr>
          <w:p w14:paraId="7F846F18" w14:textId="77777777" w:rsidR="00F7113A" w:rsidRPr="00580C0D" w:rsidRDefault="00142E5B" w:rsidP="001231A3">
            <w:r w:rsidRPr="00580C0D">
              <w:t xml:space="preserve">Bidra til gjennomføring av tiltak initierte av lokale og regionale styresmakter som reduserer utslepp </w:t>
            </w:r>
            <w:r w:rsidRPr="00580C0D">
              <w:br/>
              <w:t xml:space="preserve">i </w:t>
            </w:r>
            <w:proofErr w:type="spellStart"/>
            <w:r w:rsidRPr="00580C0D">
              <w:t>verdsarvfjordane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6A6E52E" w14:textId="77777777" w:rsidR="00F7113A" w:rsidRPr="00580C0D" w:rsidRDefault="00142E5B" w:rsidP="001231A3">
            <w:pPr>
              <w:jc w:val="right"/>
            </w:pPr>
            <w:r w:rsidRPr="00580C0D">
              <w:t>Nei</w:t>
            </w:r>
          </w:p>
        </w:tc>
      </w:tr>
      <w:tr w:rsidR="00F7113A" w:rsidRPr="00580C0D" w14:paraId="268C470A" w14:textId="77777777">
        <w:trPr>
          <w:trHeight w:val="880"/>
        </w:trPr>
        <w:tc>
          <w:tcPr>
            <w:tcW w:w="1400" w:type="dxa"/>
            <w:tcBorders>
              <w:top w:val="nil"/>
              <w:left w:val="nil"/>
              <w:bottom w:val="nil"/>
              <w:right w:val="nil"/>
            </w:tcBorders>
            <w:tcMar>
              <w:top w:w="128" w:type="dxa"/>
              <w:left w:w="43" w:type="dxa"/>
              <w:bottom w:w="43" w:type="dxa"/>
              <w:right w:w="43" w:type="dxa"/>
            </w:tcMar>
          </w:tcPr>
          <w:p w14:paraId="3766AAE2"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78B66ED9" w14:textId="77777777" w:rsidR="00F7113A" w:rsidRPr="00580C0D" w:rsidRDefault="00142E5B" w:rsidP="001231A3">
            <w:pPr>
              <w:ind w:right="284"/>
              <w:jc w:val="right"/>
            </w:pPr>
            <w:r w:rsidRPr="00580C0D">
              <w:t>691</w:t>
            </w:r>
          </w:p>
        </w:tc>
        <w:tc>
          <w:tcPr>
            <w:tcW w:w="5600" w:type="dxa"/>
            <w:tcBorders>
              <w:top w:val="nil"/>
              <w:left w:val="nil"/>
              <w:bottom w:val="nil"/>
              <w:right w:val="nil"/>
            </w:tcBorders>
            <w:tcMar>
              <w:top w:w="128" w:type="dxa"/>
              <w:left w:w="43" w:type="dxa"/>
              <w:bottom w:w="43" w:type="dxa"/>
              <w:right w:w="43" w:type="dxa"/>
            </w:tcMar>
          </w:tcPr>
          <w:p w14:paraId="09C7775E" w14:textId="77777777" w:rsidR="00F7113A" w:rsidRPr="00580C0D" w:rsidRDefault="00142E5B" w:rsidP="001231A3">
            <w:r w:rsidRPr="00580C0D">
              <w:t xml:space="preserve">Tiltak som </w:t>
            </w:r>
            <w:proofErr w:type="spellStart"/>
            <w:r w:rsidRPr="00580C0D">
              <w:t>sikrar</w:t>
            </w:r>
            <w:proofErr w:type="spellEnd"/>
            <w:r w:rsidRPr="00580C0D">
              <w:t xml:space="preserve"> </w:t>
            </w:r>
            <w:proofErr w:type="spellStart"/>
            <w:r w:rsidRPr="00580C0D">
              <w:t>verdsarvfjordane</w:t>
            </w:r>
            <w:proofErr w:type="spellEnd"/>
            <w:r w:rsidRPr="00580C0D">
              <w:t xml:space="preserve"> som </w:t>
            </w:r>
            <w:proofErr w:type="spellStart"/>
            <w:r w:rsidRPr="00580C0D">
              <w:t>anløpshamn</w:t>
            </w:r>
            <w:proofErr w:type="spellEnd"/>
            <w:r w:rsidRPr="00580C0D">
              <w:t xml:space="preserve"> for </w:t>
            </w:r>
            <w:proofErr w:type="spellStart"/>
            <w:r w:rsidRPr="00580C0D">
              <w:t>cruisebåtar</w:t>
            </w:r>
            <w:proofErr w:type="spellEnd"/>
            <w:r w:rsidRPr="00580C0D">
              <w:t xml:space="preserve"> også etter 2026 – etablering av </w:t>
            </w:r>
            <w:proofErr w:type="spellStart"/>
            <w:r w:rsidRPr="00580C0D">
              <w:t>landstraum</w:t>
            </w:r>
            <w:proofErr w:type="spellEnd"/>
            <w:r w:rsidRPr="00580C0D">
              <w:t xml:space="preserve"> </w:t>
            </w:r>
            <w:r w:rsidRPr="00580C0D">
              <w:br/>
              <w:t>i Flåm mv.</w:t>
            </w:r>
          </w:p>
        </w:tc>
        <w:tc>
          <w:tcPr>
            <w:tcW w:w="1400" w:type="dxa"/>
            <w:tcBorders>
              <w:top w:val="nil"/>
              <w:left w:val="nil"/>
              <w:bottom w:val="nil"/>
              <w:right w:val="nil"/>
            </w:tcBorders>
            <w:tcMar>
              <w:top w:w="128" w:type="dxa"/>
              <w:left w:w="43" w:type="dxa"/>
              <w:bottom w:w="43" w:type="dxa"/>
              <w:right w:w="43" w:type="dxa"/>
            </w:tcMar>
            <w:vAlign w:val="bottom"/>
          </w:tcPr>
          <w:p w14:paraId="443B006E" w14:textId="77777777" w:rsidR="00F7113A" w:rsidRPr="00580C0D" w:rsidRDefault="00142E5B" w:rsidP="001231A3">
            <w:pPr>
              <w:jc w:val="right"/>
            </w:pPr>
            <w:r w:rsidRPr="00580C0D">
              <w:t>Nei</w:t>
            </w:r>
          </w:p>
        </w:tc>
      </w:tr>
      <w:tr w:rsidR="00F7113A" w:rsidRPr="00580C0D" w14:paraId="43EE7339" w14:textId="77777777">
        <w:trPr>
          <w:trHeight w:val="640"/>
        </w:trPr>
        <w:tc>
          <w:tcPr>
            <w:tcW w:w="1400" w:type="dxa"/>
            <w:tcBorders>
              <w:top w:val="nil"/>
              <w:left w:val="nil"/>
              <w:bottom w:val="nil"/>
              <w:right w:val="nil"/>
            </w:tcBorders>
            <w:tcMar>
              <w:top w:w="128" w:type="dxa"/>
              <w:left w:w="43" w:type="dxa"/>
              <w:bottom w:w="43" w:type="dxa"/>
              <w:right w:w="43" w:type="dxa"/>
            </w:tcMar>
          </w:tcPr>
          <w:p w14:paraId="6E8E249F"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5E1FC75E" w14:textId="77777777" w:rsidR="00F7113A" w:rsidRPr="00580C0D" w:rsidRDefault="00142E5B" w:rsidP="001231A3">
            <w:pPr>
              <w:ind w:right="284"/>
              <w:jc w:val="right"/>
            </w:pPr>
            <w:r w:rsidRPr="00580C0D">
              <w:t>751</w:t>
            </w:r>
          </w:p>
        </w:tc>
        <w:tc>
          <w:tcPr>
            <w:tcW w:w="5600" w:type="dxa"/>
            <w:tcBorders>
              <w:top w:val="nil"/>
              <w:left w:val="nil"/>
              <w:bottom w:val="nil"/>
              <w:right w:val="nil"/>
            </w:tcBorders>
            <w:tcMar>
              <w:top w:w="128" w:type="dxa"/>
              <w:left w:w="43" w:type="dxa"/>
              <w:bottom w:w="43" w:type="dxa"/>
              <w:right w:w="43" w:type="dxa"/>
            </w:tcMar>
          </w:tcPr>
          <w:p w14:paraId="043058AA" w14:textId="77777777" w:rsidR="00F7113A" w:rsidRPr="00580C0D" w:rsidRDefault="00142E5B" w:rsidP="001231A3">
            <w:proofErr w:type="spellStart"/>
            <w:r w:rsidRPr="00580C0D">
              <w:t>Verkemiddel</w:t>
            </w:r>
            <w:proofErr w:type="spellEnd"/>
            <w:r w:rsidRPr="00580C0D">
              <w:t xml:space="preserve"> for </w:t>
            </w:r>
            <w:proofErr w:type="spellStart"/>
            <w:r w:rsidRPr="00580C0D">
              <w:t>meir</w:t>
            </w:r>
            <w:proofErr w:type="spellEnd"/>
            <w:r w:rsidRPr="00580C0D">
              <w:t xml:space="preserve"> effektiv og </w:t>
            </w:r>
            <w:proofErr w:type="spellStart"/>
            <w:r w:rsidRPr="00580C0D">
              <w:t>einskapleg</w:t>
            </w:r>
            <w:proofErr w:type="spellEnd"/>
            <w:r w:rsidRPr="00580C0D">
              <w:t xml:space="preserve"> skadefelling </w:t>
            </w:r>
            <w:r w:rsidRPr="00580C0D">
              <w:br/>
              <w:t>av rovvilt</w:t>
            </w:r>
          </w:p>
        </w:tc>
        <w:tc>
          <w:tcPr>
            <w:tcW w:w="1400" w:type="dxa"/>
            <w:tcBorders>
              <w:top w:val="nil"/>
              <w:left w:val="nil"/>
              <w:bottom w:val="nil"/>
              <w:right w:val="nil"/>
            </w:tcBorders>
            <w:tcMar>
              <w:top w:w="128" w:type="dxa"/>
              <w:left w:w="43" w:type="dxa"/>
              <w:bottom w:w="43" w:type="dxa"/>
              <w:right w:w="43" w:type="dxa"/>
            </w:tcMar>
            <w:vAlign w:val="bottom"/>
          </w:tcPr>
          <w:p w14:paraId="4DC61A5E" w14:textId="77777777" w:rsidR="00F7113A" w:rsidRPr="00580C0D" w:rsidRDefault="00142E5B" w:rsidP="001231A3">
            <w:pPr>
              <w:jc w:val="right"/>
            </w:pPr>
            <w:r w:rsidRPr="00580C0D">
              <w:t>Ja</w:t>
            </w:r>
          </w:p>
        </w:tc>
      </w:tr>
      <w:tr w:rsidR="00F7113A" w:rsidRPr="00580C0D" w14:paraId="33D894C9" w14:textId="77777777">
        <w:trPr>
          <w:trHeight w:val="380"/>
        </w:trPr>
        <w:tc>
          <w:tcPr>
            <w:tcW w:w="1400" w:type="dxa"/>
            <w:tcBorders>
              <w:top w:val="nil"/>
              <w:left w:val="nil"/>
              <w:bottom w:val="nil"/>
              <w:right w:val="nil"/>
            </w:tcBorders>
            <w:tcMar>
              <w:top w:w="128" w:type="dxa"/>
              <w:left w:w="43" w:type="dxa"/>
              <w:bottom w:w="43" w:type="dxa"/>
              <w:right w:w="43" w:type="dxa"/>
            </w:tcMar>
          </w:tcPr>
          <w:p w14:paraId="2DC71AD7"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4A5D685F" w14:textId="77777777" w:rsidR="00F7113A" w:rsidRPr="00580C0D" w:rsidRDefault="00142E5B" w:rsidP="001231A3">
            <w:pPr>
              <w:ind w:right="284"/>
              <w:jc w:val="right"/>
            </w:pPr>
            <w:r w:rsidRPr="00580C0D">
              <w:t>752</w:t>
            </w:r>
          </w:p>
        </w:tc>
        <w:tc>
          <w:tcPr>
            <w:tcW w:w="5600" w:type="dxa"/>
            <w:tcBorders>
              <w:top w:val="nil"/>
              <w:left w:val="nil"/>
              <w:bottom w:val="nil"/>
              <w:right w:val="nil"/>
            </w:tcBorders>
            <w:tcMar>
              <w:top w:w="128" w:type="dxa"/>
              <w:left w:w="43" w:type="dxa"/>
              <w:bottom w:w="43" w:type="dxa"/>
              <w:right w:w="43" w:type="dxa"/>
            </w:tcMar>
          </w:tcPr>
          <w:p w14:paraId="7C79DC2D" w14:textId="77777777" w:rsidR="00F7113A" w:rsidRPr="00580C0D" w:rsidRDefault="00142E5B" w:rsidP="001231A3">
            <w:r w:rsidRPr="00580C0D">
              <w:t>Kompetanseoverføringsprosjekt om skadefelling</w:t>
            </w:r>
          </w:p>
        </w:tc>
        <w:tc>
          <w:tcPr>
            <w:tcW w:w="1400" w:type="dxa"/>
            <w:tcBorders>
              <w:top w:val="nil"/>
              <w:left w:val="nil"/>
              <w:bottom w:val="nil"/>
              <w:right w:val="nil"/>
            </w:tcBorders>
            <w:tcMar>
              <w:top w:w="128" w:type="dxa"/>
              <w:left w:w="43" w:type="dxa"/>
              <w:bottom w:w="43" w:type="dxa"/>
              <w:right w:w="43" w:type="dxa"/>
            </w:tcMar>
            <w:vAlign w:val="bottom"/>
          </w:tcPr>
          <w:p w14:paraId="6A00981E" w14:textId="77777777" w:rsidR="00F7113A" w:rsidRPr="00580C0D" w:rsidRDefault="00142E5B" w:rsidP="001231A3">
            <w:pPr>
              <w:jc w:val="right"/>
            </w:pPr>
            <w:r w:rsidRPr="00580C0D">
              <w:t>Ja</w:t>
            </w:r>
          </w:p>
        </w:tc>
      </w:tr>
      <w:tr w:rsidR="00F7113A" w:rsidRPr="00580C0D" w14:paraId="0A2CDCEE" w14:textId="77777777">
        <w:trPr>
          <w:trHeight w:val="380"/>
        </w:trPr>
        <w:tc>
          <w:tcPr>
            <w:tcW w:w="1400" w:type="dxa"/>
            <w:tcBorders>
              <w:top w:val="nil"/>
              <w:left w:val="nil"/>
              <w:bottom w:val="nil"/>
              <w:right w:val="nil"/>
            </w:tcBorders>
            <w:tcMar>
              <w:top w:w="128" w:type="dxa"/>
              <w:left w:w="43" w:type="dxa"/>
              <w:bottom w:w="43" w:type="dxa"/>
              <w:right w:w="43" w:type="dxa"/>
            </w:tcMar>
          </w:tcPr>
          <w:p w14:paraId="16D0AD5A"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5E97105D" w14:textId="77777777" w:rsidR="00F7113A" w:rsidRPr="00580C0D" w:rsidRDefault="00142E5B" w:rsidP="001231A3">
            <w:pPr>
              <w:ind w:right="284"/>
              <w:jc w:val="right"/>
            </w:pPr>
            <w:r w:rsidRPr="00580C0D">
              <w:t>753</w:t>
            </w:r>
          </w:p>
        </w:tc>
        <w:tc>
          <w:tcPr>
            <w:tcW w:w="5600" w:type="dxa"/>
            <w:tcBorders>
              <w:top w:val="nil"/>
              <w:left w:val="nil"/>
              <w:bottom w:val="nil"/>
              <w:right w:val="nil"/>
            </w:tcBorders>
            <w:tcMar>
              <w:top w:w="128" w:type="dxa"/>
              <w:left w:w="43" w:type="dxa"/>
              <w:bottom w:w="43" w:type="dxa"/>
              <w:right w:w="43" w:type="dxa"/>
            </w:tcMar>
          </w:tcPr>
          <w:p w14:paraId="645BA23D" w14:textId="77777777" w:rsidR="00F7113A" w:rsidRPr="00580C0D" w:rsidRDefault="00142E5B" w:rsidP="001231A3">
            <w:r w:rsidRPr="00580C0D">
              <w:t xml:space="preserve">Forslag om </w:t>
            </w:r>
            <w:proofErr w:type="spellStart"/>
            <w:r w:rsidRPr="00580C0D">
              <w:t>verkemiddel</w:t>
            </w:r>
            <w:proofErr w:type="spellEnd"/>
            <w:r w:rsidRPr="00580C0D">
              <w:t xml:space="preserve"> for </w:t>
            </w:r>
            <w:proofErr w:type="spellStart"/>
            <w:r w:rsidRPr="00580C0D">
              <w:t>meir</w:t>
            </w:r>
            <w:proofErr w:type="spellEnd"/>
            <w:r w:rsidRPr="00580C0D">
              <w:t xml:space="preserve"> effektiv lisensfelling</w:t>
            </w:r>
          </w:p>
        </w:tc>
        <w:tc>
          <w:tcPr>
            <w:tcW w:w="1400" w:type="dxa"/>
            <w:tcBorders>
              <w:top w:val="nil"/>
              <w:left w:val="nil"/>
              <w:bottom w:val="nil"/>
              <w:right w:val="nil"/>
            </w:tcBorders>
            <w:tcMar>
              <w:top w:w="128" w:type="dxa"/>
              <w:left w:w="43" w:type="dxa"/>
              <w:bottom w:w="43" w:type="dxa"/>
              <w:right w:w="43" w:type="dxa"/>
            </w:tcMar>
            <w:vAlign w:val="bottom"/>
          </w:tcPr>
          <w:p w14:paraId="2A6BF1ED" w14:textId="77777777" w:rsidR="00F7113A" w:rsidRPr="00580C0D" w:rsidRDefault="00142E5B" w:rsidP="001231A3">
            <w:pPr>
              <w:jc w:val="right"/>
            </w:pPr>
            <w:r w:rsidRPr="00580C0D">
              <w:t>Ja</w:t>
            </w:r>
          </w:p>
        </w:tc>
      </w:tr>
      <w:tr w:rsidR="00F7113A" w:rsidRPr="00580C0D" w14:paraId="5E73A978" w14:textId="77777777">
        <w:trPr>
          <w:trHeight w:val="640"/>
        </w:trPr>
        <w:tc>
          <w:tcPr>
            <w:tcW w:w="1400" w:type="dxa"/>
            <w:tcBorders>
              <w:top w:val="nil"/>
              <w:left w:val="nil"/>
              <w:bottom w:val="nil"/>
              <w:right w:val="nil"/>
            </w:tcBorders>
            <w:tcMar>
              <w:top w:w="128" w:type="dxa"/>
              <w:left w:w="43" w:type="dxa"/>
              <w:bottom w:w="43" w:type="dxa"/>
              <w:right w:w="43" w:type="dxa"/>
            </w:tcMar>
          </w:tcPr>
          <w:p w14:paraId="7624430A"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682CD9C1" w14:textId="77777777" w:rsidR="00F7113A" w:rsidRPr="00580C0D" w:rsidRDefault="00142E5B" w:rsidP="001231A3">
            <w:pPr>
              <w:ind w:right="284"/>
              <w:jc w:val="right"/>
            </w:pPr>
            <w:r w:rsidRPr="00580C0D">
              <w:t>831</w:t>
            </w:r>
          </w:p>
        </w:tc>
        <w:tc>
          <w:tcPr>
            <w:tcW w:w="5600" w:type="dxa"/>
            <w:tcBorders>
              <w:top w:val="nil"/>
              <w:left w:val="nil"/>
              <w:bottom w:val="nil"/>
              <w:right w:val="nil"/>
            </w:tcBorders>
            <w:tcMar>
              <w:top w:w="128" w:type="dxa"/>
              <w:left w:w="43" w:type="dxa"/>
              <w:bottom w:w="43" w:type="dxa"/>
              <w:right w:w="43" w:type="dxa"/>
            </w:tcMar>
          </w:tcPr>
          <w:p w14:paraId="1BAABC86" w14:textId="77777777" w:rsidR="00F7113A" w:rsidRPr="00580C0D" w:rsidRDefault="00142E5B" w:rsidP="001231A3">
            <w:r w:rsidRPr="00580C0D">
              <w:t xml:space="preserve">Nasjonal plan for å </w:t>
            </w:r>
            <w:proofErr w:type="spellStart"/>
            <w:r w:rsidRPr="00580C0D">
              <w:t>gjere</w:t>
            </w:r>
            <w:proofErr w:type="spellEnd"/>
            <w:r w:rsidRPr="00580C0D">
              <w:t xml:space="preserve"> land- og </w:t>
            </w:r>
            <w:proofErr w:type="spellStart"/>
            <w:r w:rsidRPr="00580C0D">
              <w:t>ladestraum</w:t>
            </w:r>
            <w:proofErr w:type="spellEnd"/>
            <w:r w:rsidRPr="00580C0D">
              <w:t xml:space="preserve">, hydrogen, ammoniakk og andre </w:t>
            </w:r>
            <w:proofErr w:type="spellStart"/>
            <w:r w:rsidRPr="00580C0D">
              <w:t>grøne</w:t>
            </w:r>
            <w:proofErr w:type="spellEnd"/>
            <w:r w:rsidRPr="00580C0D">
              <w:t xml:space="preserve"> drivstoff </w:t>
            </w:r>
            <w:proofErr w:type="spellStart"/>
            <w:r w:rsidRPr="00580C0D">
              <w:t>tilgjengelege</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00F1A61" w14:textId="77777777" w:rsidR="00F7113A" w:rsidRPr="00580C0D" w:rsidRDefault="00142E5B" w:rsidP="001231A3">
            <w:pPr>
              <w:jc w:val="right"/>
            </w:pPr>
            <w:r w:rsidRPr="00580C0D">
              <w:t>Nei</w:t>
            </w:r>
          </w:p>
        </w:tc>
      </w:tr>
      <w:tr w:rsidR="00F7113A" w:rsidRPr="00580C0D" w14:paraId="066FD1E1" w14:textId="77777777">
        <w:trPr>
          <w:trHeight w:val="380"/>
        </w:trPr>
        <w:tc>
          <w:tcPr>
            <w:tcW w:w="1400" w:type="dxa"/>
            <w:tcBorders>
              <w:top w:val="nil"/>
              <w:left w:val="nil"/>
              <w:bottom w:val="nil"/>
              <w:right w:val="nil"/>
            </w:tcBorders>
            <w:tcMar>
              <w:top w:w="128" w:type="dxa"/>
              <w:left w:w="43" w:type="dxa"/>
              <w:bottom w:w="43" w:type="dxa"/>
              <w:right w:w="43" w:type="dxa"/>
            </w:tcMar>
          </w:tcPr>
          <w:p w14:paraId="16393D36"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2CEDEED9" w14:textId="77777777" w:rsidR="00F7113A" w:rsidRPr="00580C0D" w:rsidRDefault="00142E5B" w:rsidP="001231A3">
            <w:pPr>
              <w:ind w:right="284"/>
              <w:jc w:val="right"/>
            </w:pPr>
            <w:r w:rsidRPr="00580C0D">
              <w:t>973</w:t>
            </w:r>
          </w:p>
        </w:tc>
        <w:tc>
          <w:tcPr>
            <w:tcW w:w="5600" w:type="dxa"/>
            <w:tcBorders>
              <w:top w:val="nil"/>
              <w:left w:val="nil"/>
              <w:bottom w:val="nil"/>
              <w:right w:val="nil"/>
            </w:tcBorders>
            <w:tcMar>
              <w:top w:w="128" w:type="dxa"/>
              <w:left w:w="43" w:type="dxa"/>
              <w:bottom w:w="43" w:type="dxa"/>
              <w:right w:w="43" w:type="dxa"/>
            </w:tcMar>
          </w:tcPr>
          <w:p w14:paraId="3EF0D772" w14:textId="77777777" w:rsidR="00F7113A" w:rsidRPr="00580C0D" w:rsidRDefault="00142E5B" w:rsidP="001231A3">
            <w:r w:rsidRPr="00580C0D">
              <w:t>Forslag om revidering av motorferdsellova</w:t>
            </w:r>
          </w:p>
        </w:tc>
        <w:tc>
          <w:tcPr>
            <w:tcW w:w="1400" w:type="dxa"/>
            <w:tcBorders>
              <w:top w:val="nil"/>
              <w:left w:val="nil"/>
              <w:bottom w:val="nil"/>
              <w:right w:val="nil"/>
            </w:tcBorders>
            <w:tcMar>
              <w:top w:w="128" w:type="dxa"/>
              <w:left w:w="43" w:type="dxa"/>
              <w:bottom w:w="43" w:type="dxa"/>
              <w:right w:w="43" w:type="dxa"/>
            </w:tcMar>
            <w:vAlign w:val="bottom"/>
          </w:tcPr>
          <w:p w14:paraId="3885F75F" w14:textId="77777777" w:rsidR="00F7113A" w:rsidRPr="00580C0D" w:rsidRDefault="00142E5B" w:rsidP="001231A3">
            <w:pPr>
              <w:jc w:val="right"/>
            </w:pPr>
            <w:r w:rsidRPr="00580C0D">
              <w:t>Nei</w:t>
            </w:r>
          </w:p>
        </w:tc>
      </w:tr>
      <w:tr w:rsidR="00F7113A" w:rsidRPr="00580C0D" w14:paraId="1096B1AC" w14:textId="77777777">
        <w:trPr>
          <w:trHeight w:val="380"/>
        </w:trPr>
        <w:tc>
          <w:tcPr>
            <w:tcW w:w="1400" w:type="dxa"/>
            <w:tcBorders>
              <w:top w:val="nil"/>
              <w:left w:val="nil"/>
              <w:bottom w:val="nil"/>
              <w:right w:val="nil"/>
            </w:tcBorders>
            <w:tcMar>
              <w:top w:w="128" w:type="dxa"/>
              <w:left w:w="43" w:type="dxa"/>
              <w:bottom w:w="43" w:type="dxa"/>
              <w:right w:w="43" w:type="dxa"/>
            </w:tcMar>
          </w:tcPr>
          <w:p w14:paraId="0AD35A77"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694243C5" w14:textId="77777777" w:rsidR="00F7113A" w:rsidRPr="00580C0D" w:rsidRDefault="00142E5B" w:rsidP="001231A3">
            <w:pPr>
              <w:ind w:right="284"/>
              <w:jc w:val="right"/>
            </w:pPr>
            <w:r w:rsidRPr="00580C0D">
              <w:t>976</w:t>
            </w:r>
          </w:p>
        </w:tc>
        <w:tc>
          <w:tcPr>
            <w:tcW w:w="5600" w:type="dxa"/>
            <w:tcBorders>
              <w:top w:val="nil"/>
              <w:left w:val="nil"/>
              <w:bottom w:val="nil"/>
              <w:right w:val="nil"/>
            </w:tcBorders>
            <w:tcMar>
              <w:top w:w="128" w:type="dxa"/>
              <w:left w:w="43" w:type="dxa"/>
              <w:bottom w:w="43" w:type="dxa"/>
              <w:right w:w="43" w:type="dxa"/>
            </w:tcMar>
          </w:tcPr>
          <w:p w14:paraId="2E2ED3C7" w14:textId="77777777" w:rsidR="00F7113A" w:rsidRPr="00580C0D" w:rsidRDefault="00142E5B" w:rsidP="001231A3">
            <w:r w:rsidRPr="00580C0D">
              <w:t xml:space="preserve">Oppfølging av globalt rammeverk for </w:t>
            </w:r>
            <w:proofErr w:type="spellStart"/>
            <w:r w:rsidRPr="00580C0D">
              <w:t>naturmangfald</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57F52C2" w14:textId="77777777" w:rsidR="00F7113A" w:rsidRPr="00580C0D" w:rsidRDefault="00142E5B" w:rsidP="001231A3">
            <w:pPr>
              <w:jc w:val="right"/>
            </w:pPr>
            <w:r w:rsidRPr="00580C0D">
              <w:t>Nei</w:t>
            </w:r>
          </w:p>
        </w:tc>
      </w:tr>
      <w:tr w:rsidR="00F7113A" w:rsidRPr="00580C0D" w14:paraId="5C3790FD" w14:textId="77777777">
        <w:trPr>
          <w:trHeight w:val="640"/>
        </w:trPr>
        <w:tc>
          <w:tcPr>
            <w:tcW w:w="1400" w:type="dxa"/>
            <w:tcBorders>
              <w:top w:val="nil"/>
              <w:left w:val="nil"/>
              <w:bottom w:val="nil"/>
              <w:right w:val="nil"/>
            </w:tcBorders>
            <w:tcMar>
              <w:top w:w="128" w:type="dxa"/>
              <w:left w:w="43" w:type="dxa"/>
              <w:bottom w:w="43" w:type="dxa"/>
              <w:right w:w="43" w:type="dxa"/>
            </w:tcMar>
          </w:tcPr>
          <w:p w14:paraId="002ADB1F"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0724DA41" w14:textId="77777777" w:rsidR="00F7113A" w:rsidRPr="00580C0D" w:rsidRDefault="00142E5B" w:rsidP="001231A3">
            <w:pPr>
              <w:ind w:right="284"/>
              <w:jc w:val="right"/>
            </w:pPr>
            <w:r w:rsidRPr="00580C0D">
              <w:t>1001</w:t>
            </w:r>
          </w:p>
        </w:tc>
        <w:tc>
          <w:tcPr>
            <w:tcW w:w="5600" w:type="dxa"/>
            <w:tcBorders>
              <w:top w:val="nil"/>
              <w:left w:val="nil"/>
              <w:bottom w:val="nil"/>
              <w:right w:val="nil"/>
            </w:tcBorders>
            <w:tcMar>
              <w:top w:w="128" w:type="dxa"/>
              <w:left w:w="43" w:type="dxa"/>
              <w:bottom w:w="43" w:type="dxa"/>
              <w:right w:w="43" w:type="dxa"/>
            </w:tcMar>
          </w:tcPr>
          <w:p w14:paraId="2BD5A69D" w14:textId="07E1BC8C" w:rsidR="00F7113A" w:rsidRPr="00580C0D" w:rsidRDefault="00142E5B" w:rsidP="001231A3">
            <w:r w:rsidRPr="00580C0D">
              <w:t xml:space="preserve">Greie ut </w:t>
            </w:r>
            <w:proofErr w:type="spellStart"/>
            <w:r w:rsidRPr="00580C0D">
              <w:t>insentivordning</w:t>
            </w:r>
            <w:proofErr w:type="spellEnd"/>
            <w:r w:rsidRPr="00580C0D">
              <w:t xml:space="preserve"> for at frivillige, inkl. lag og </w:t>
            </w:r>
            <w:r w:rsidR="00C26F72">
              <w:br/>
            </w:r>
            <w:proofErr w:type="spellStart"/>
            <w:r w:rsidRPr="00580C0D">
              <w:t>organisasjonar</w:t>
            </w:r>
            <w:proofErr w:type="spellEnd"/>
            <w:r w:rsidRPr="00580C0D">
              <w:t>, vil bidra til rydding av plast</w:t>
            </w:r>
          </w:p>
        </w:tc>
        <w:tc>
          <w:tcPr>
            <w:tcW w:w="1400" w:type="dxa"/>
            <w:tcBorders>
              <w:top w:val="nil"/>
              <w:left w:val="nil"/>
              <w:bottom w:val="nil"/>
              <w:right w:val="nil"/>
            </w:tcBorders>
            <w:tcMar>
              <w:top w:w="128" w:type="dxa"/>
              <w:left w:w="43" w:type="dxa"/>
              <w:bottom w:w="43" w:type="dxa"/>
              <w:right w:w="43" w:type="dxa"/>
            </w:tcMar>
            <w:vAlign w:val="bottom"/>
          </w:tcPr>
          <w:p w14:paraId="3E65A354" w14:textId="77777777" w:rsidR="00F7113A" w:rsidRPr="00580C0D" w:rsidRDefault="00142E5B" w:rsidP="001231A3">
            <w:pPr>
              <w:jc w:val="right"/>
            </w:pPr>
            <w:r w:rsidRPr="00580C0D">
              <w:t>Ja</w:t>
            </w:r>
          </w:p>
        </w:tc>
      </w:tr>
      <w:tr w:rsidR="00F7113A" w:rsidRPr="00580C0D" w14:paraId="0EB62071" w14:textId="77777777">
        <w:trPr>
          <w:trHeight w:val="640"/>
        </w:trPr>
        <w:tc>
          <w:tcPr>
            <w:tcW w:w="1400" w:type="dxa"/>
            <w:tcBorders>
              <w:top w:val="nil"/>
              <w:left w:val="nil"/>
              <w:bottom w:val="nil"/>
              <w:right w:val="nil"/>
            </w:tcBorders>
            <w:tcMar>
              <w:top w:w="128" w:type="dxa"/>
              <w:left w:w="43" w:type="dxa"/>
              <w:bottom w:w="43" w:type="dxa"/>
              <w:right w:w="43" w:type="dxa"/>
            </w:tcMar>
          </w:tcPr>
          <w:p w14:paraId="5AC2165F"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62E119E5" w14:textId="77777777" w:rsidR="00F7113A" w:rsidRPr="00580C0D" w:rsidRDefault="00142E5B" w:rsidP="001231A3">
            <w:pPr>
              <w:ind w:right="284"/>
              <w:jc w:val="right"/>
            </w:pPr>
            <w:r w:rsidRPr="00580C0D">
              <w:t>1004</w:t>
            </w:r>
          </w:p>
        </w:tc>
        <w:tc>
          <w:tcPr>
            <w:tcW w:w="5600" w:type="dxa"/>
            <w:tcBorders>
              <w:top w:val="nil"/>
              <w:left w:val="nil"/>
              <w:bottom w:val="nil"/>
              <w:right w:val="nil"/>
            </w:tcBorders>
            <w:tcMar>
              <w:top w:w="128" w:type="dxa"/>
              <w:left w:w="43" w:type="dxa"/>
              <w:bottom w:w="43" w:type="dxa"/>
              <w:right w:w="43" w:type="dxa"/>
            </w:tcMar>
          </w:tcPr>
          <w:p w14:paraId="70AB48CB" w14:textId="77777777" w:rsidR="00F7113A" w:rsidRPr="00580C0D" w:rsidRDefault="00142E5B" w:rsidP="001231A3">
            <w:proofErr w:type="spellStart"/>
            <w:r w:rsidRPr="00580C0D">
              <w:t>Tilskotsordning</w:t>
            </w:r>
            <w:proofErr w:type="spellEnd"/>
            <w:r w:rsidRPr="00580C0D">
              <w:t xml:space="preserve"> som </w:t>
            </w:r>
            <w:proofErr w:type="spellStart"/>
            <w:r w:rsidRPr="00580C0D">
              <w:t>dekkjer</w:t>
            </w:r>
            <w:proofErr w:type="spellEnd"/>
            <w:r w:rsidRPr="00580C0D">
              <w:t xml:space="preserve"> kostnadene med leveranse av avfall etter frivillige </w:t>
            </w:r>
            <w:proofErr w:type="spellStart"/>
            <w:r w:rsidRPr="00580C0D">
              <w:t>ryddeaksjonar</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vAlign w:val="bottom"/>
          </w:tcPr>
          <w:p w14:paraId="76149572" w14:textId="77777777" w:rsidR="00F7113A" w:rsidRPr="00580C0D" w:rsidRDefault="00142E5B" w:rsidP="001231A3">
            <w:pPr>
              <w:jc w:val="right"/>
            </w:pPr>
            <w:r w:rsidRPr="00580C0D">
              <w:t>Ja</w:t>
            </w:r>
          </w:p>
        </w:tc>
      </w:tr>
      <w:tr w:rsidR="00F7113A" w:rsidRPr="00580C0D" w14:paraId="367CDC1F" w14:textId="77777777">
        <w:trPr>
          <w:trHeight w:val="380"/>
        </w:trPr>
        <w:tc>
          <w:tcPr>
            <w:tcW w:w="1400" w:type="dxa"/>
            <w:tcBorders>
              <w:top w:val="nil"/>
              <w:left w:val="nil"/>
              <w:bottom w:val="nil"/>
              <w:right w:val="nil"/>
            </w:tcBorders>
            <w:tcMar>
              <w:top w:w="128" w:type="dxa"/>
              <w:left w:w="43" w:type="dxa"/>
              <w:bottom w:w="43" w:type="dxa"/>
              <w:right w:w="43" w:type="dxa"/>
            </w:tcMar>
          </w:tcPr>
          <w:p w14:paraId="7C07436C"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3DB2852A" w14:textId="77777777" w:rsidR="00F7113A" w:rsidRPr="00580C0D" w:rsidRDefault="00142E5B" w:rsidP="001231A3">
            <w:pPr>
              <w:ind w:right="284"/>
              <w:jc w:val="right"/>
            </w:pPr>
            <w:r w:rsidRPr="00580C0D">
              <w:t>1009</w:t>
            </w:r>
          </w:p>
        </w:tc>
        <w:tc>
          <w:tcPr>
            <w:tcW w:w="5600" w:type="dxa"/>
            <w:tcBorders>
              <w:top w:val="nil"/>
              <w:left w:val="nil"/>
              <w:bottom w:val="nil"/>
              <w:right w:val="nil"/>
            </w:tcBorders>
            <w:tcMar>
              <w:top w:w="128" w:type="dxa"/>
              <w:left w:w="43" w:type="dxa"/>
              <w:bottom w:w="43" w:type="dxa"/>
              <w:right w:w="43" w:type="dxa"/>
            </w:tcMar>
          </w:tcPr>
          <w:p w14:paraId="04AB6AB6" w14:textId="7A78D073" w:rsidR="00F7113A" w:rsidRPr="00580C0D" w:rsidRDefault="00142E5B" w:rsidP="001231A3">
            <w:r w:rsidRPr="00580C0D">
              <w:t xml:space="preserve">Harmonisere rammevilkåra for biogassproduksjon </w:t>
            </w:r>
            <w:r w:rsidR="00C26F72">
              <w:br/>
            </w:r>
            <w:r w:rsidRPr="00580C0D">
              <w:t xml:space="preserve">i Norden </w:t>
            </w:r>
          </w:p>
        </w:tc>
        <w:tc>
          <w:tcPr>
            <w:tcW w:w="1400" w:type="dxa"/>
            <w:tcBorders>
              <w:top w:val="nil"/>
              <w:left w:val="nil"/>
              <w:bottom w:val="nil"/>
              <w:right w:val="nil"/>
            </w:tcBorders>
            <w:tcMar>
              <w:top w:w="128" w:type="dxa"/>
              <w:left w:w="43" w:type="dxa"/>
              <w:bottom w:w="43" w:type="dxa"/>
              <w:right w:w="43" w:type="dxa"/>
            </w:tcMar>
            <w:vAlign w:val="bottom"/>
          </w:tcPr>
          <w:p w14:paraId="3F298269" w14:textId="77777777" w:rsidR="00F7113A" w:rsidRPr="00580C0D" w:rsidRDefault="00142E5B" w:rsidP="001231A3">
            <w:pPr>
              <w:jc w:val="right"/>
            </w:pPr>
            <w:r w:rsidRPr="00580C0D">
              <w:t>Nei</w:t>
            </w:r>
          </w:p>
        </w:tc>
      </w:tr>
      <w:tr w:rsidR="00F7113A" w:rsidRPr="00580C0D" w14:paraId="0FEA520A" w14:textId="77777777">
        <w:trPr>
          <w:trHeight w:val="380"/>
        </w:trPr>
        <w:tc>
          <w:tcPr>
            <w:tcW w:w="1400" w:type="dxa"/>
            <w:tcBorders>
              <w:top w:val="nil"/>
              <w:left w:val="nil"/>
              <w:bottom w:val="nil"/>
              <w:right w:val="nil"/>
            </w:tcBorders>
            <w:tcMar>
              <w:top w:w="128" w:type="dxa"/>
              <w:left w:w="43" w:type="dxa"/>
              <w:bottom w:w="43" w:type="dxa"/>
              <w:right w:w="43" w:type="dxa"/>
            </w:tcMar>
          </w:tcPr>
          <w:p w14:paraId="6F157344" w14:textId="77777777" w:rsidR="00F7113A" w:rsidRPr="00580C0D" w:rsidRDefault="00142E5B" w:rsidP="001231A3">
            <w:r w:rsidRPr="00580C0D">
              <w:t>2019–2020</w:t>
            </w:r>
          </w:p>
        </w:tc>
        <w:tc>
          <w:tcPr>
            <w:tcW w:w="1120" w:type="dxa"/>
            <w:tcBorders>
              <w:top w:val="nil"/>
              <w:left w:val="nil"/>
              <w:bottom w:val="nil"/>
              <w:right w:val="nil"/>
            </w:tcBorders>
            <w:tcMar>
              <w:top w:w="128" w:type="dxa"/>
              <w:left w:w="43" w:type="dxa"/>
              <w:bottom w:w="43" w:type="dxa"/>
              <w:right w:w="43" w:type="dxa"/>
            </w:tcMar>
          </w:tcPr>
          <w:p w14:paraId="24F3E806" w14:textId="77777777" w:rsidR="00F7113A" w:rsidRPr="00580C0D" w:rsidRDefault="00142E5B" w:rsidP="001231A3">
            <w:pPr>
              <w:ind w:right="284"/>
              <w:jc w:val="right"/>
            </w:pPr>
            <w:r w:rsidRPr="00580C0D">
              <w:t>708</w:t>
            </w:r>
          </w:p>
        </w:tc>
        <w:tc>
          <w:tcPr>
            <w:tcW w:w="5600" w:type="dxa"/>
            <w:tcBorders>
              <w:top w:val="nil"/>
              <w:left w:val="nil"/>
              <w:bottom w:val="nil"/>
              <w:right w:val="nil"/>
            </w:tcBorders>
            <w:tcMar>
              <w:top w:w="128" w:type="dxa"/>
              <w:left w:w="43" w:type="dxa"/>
              <w:bottom w:w="43" w:type="dxa"/>
              <w:right w:w="43" w:type="dxa"/>
            </w:tcMar>
          </w:tcPr>
          <w:p w14:paraId="3C18EC72" w14:textId="77777777" w:rsidR="00F7113A" w:rsidRPr="00580C0D" w:rsidRDefault="00142E5B" w:rsidP="001231A3">
            <w:r w:rsidRPr="00580C0D">
              <w:t>Nye mål i kulturmiljøpolitikken</w:t>
            </w:r>
          </w:p>
        </w:tc>
        <w:tc>
          <w:tcPr>
            <w:tcW w:w="1400" w:type="dxa"/>
            <w:tcBorders>
              <w:top w:val="nil"/>
              <w:left w:val="nil"/>
              <w:bottom w:val="nil"/>
              <w:right w:val="nil"/>
            </w:tcBorders>
            <w:tcMar>
              <w:top w:w="128" w:type="dxa"/>
              <w:left w:w="43" w:type="dxa"/>
              <w:bottom w:w="43" w:type="dxa"/>
              <w:right w:w="43" w:type="dxa"/>
            </w:tcMar>
            <w:vAlign w:val="bottom"/>
          </w:tcPr>
          <w:p w14:paraId="2333A915" w14:textId="77777777" w:rsidR="00F7113A" w:rsidRPr="00580C0D" w:rsidRDefault="00142E5B" w:rsidP="001231A3">
            <w:pPr>
              <w:jc w:val="right"/>
            </w:pPr>
            <w:r w:rsidRPr="00580C0D">
              <w:t>Nei</w:t>
            </w:r>
          </w:p>
        </w:tc>
      </w:tr>
      <w:tr w:rsidR="00F7113A" w:rsidRPr="00580C0D" w14:paraId="6A6ECD1D" w14:textId="77777777">
        <w:trPr>
          <w:trHeight w:val="640"/>
        </w:trPr>
        <w:tc>
          <w:tcPr>
            <w:tcW w:w="1400" w:type="dxa"/>
            <w:tcBorders>
              <w:top w:val="nil"/>
              <w:left w:val="nil"/>
              <w:bottom w:val="nil"/>
              <w:right w:val="nil"/>
            </w:tcBorders>
            <w:tcMar>
              <w:top w:w="128" w:type="dxa"/>
              <w:left w:w="43" w:type="dxa"/>
              <w:bottom w:w="43" w:type="dxa"/>
              <w:right w:w="43" w:type="dxa"/>
            </w:tcMar>
          </w:tcPr>
          <w:p w14:paraId="2B5A0115" w14:textId="77777777" w:rsidR="00F7113A" w:rsidRPr="00580C0D" w:rsidRDefault="00142E5B" w:rsidP="001231A3">
            <w:r w:rsidRPr="00580C0D">
              <w:t>2018–2019</w:t>
            </w:r>
          </w:p>
        </w:tc>
        <w:tc>
          <w:tcPr>
            <w:tcW w:w="1120" w:type="dxa"/>
            <w:tcBorders>
              <w:top w:val="nil"/>
              <w:left w:val="nil"/>
              <w:bottom w:val="nil"/>
              <w:right w:val="nil"/>
            </w:tcBorders>
            <w:tcMar>
              <w:top w:w="128" w:type="dxa"/>
              <w:left w:w="43" w:type="dxa"/>
              <w:bottom w:w="43" w:type="dxa"/>
              <w:right w:w="43" w:type="dxa"/>
            </w:tcMar>
          </w:tcPr>
          <w:p w14:paraId="36E845FE" w14:textId="77777777" w:rsidR="00F7113A" w:rsidRPr="00580C0D" w:rsidRDefault="00142E5B" w:rsidP="001231A3">
            <w:pPr>
              <w:ind w:right="284"/>
              <w:jc w:val="right"/>
            </w:pPr>
            <w:r w:rsidRPr="00580C0D">
              <w:t>383</w:t>
            </w:r>
          </w:p>
        </w:tc>
        <w:tc>
          <w:tcPr>
            <w:tcW w:w="5600" w:type="dxa"/>
            <w:tcBorders>
              <w:top w:val="nil"/>
              <w:left w:val="nil"/>
              <w:bottom w:val="nil"/>
              <w:right w:val="nil"/>
            </w:tcBorders>
            <w:tcMar>
              <w:top w:w="128" w:type="dxa"/>
              <w:left w:w="43" w:type="dxa"/>
              <w:bottom w:w="43" w:type="dxa"/>
              <w:right w:w="43" w:type="dxa"/>
            </w:tcMar>
          </w:tcPr>
          <w:p w14:paraId="07D1E011" w14:textId="77777777" w:rsidR="00F7113A" w:rsidRPr="00580C0D" w:rsidRDefault="00142E5B" w:rsidP="001231A3">
            <w:proofErr w:type="spellStart"/>
            <w:r w:rsidRPr="00580C0D">
              <w:t>Erstatningsreglane</w:t>
            </w:r>
            <w:proofErr w:type="spellEnd"/>
            <w:r w:rsidRPr="00580C0D">
              <w:t xml:space="preserve"> ved tap av beitedyr til rovvilt og kompensasjonsordninga (FKT)</w:t>
            </w:r>
          </w:p>
        </w:tc>
        <w:tc>
          <w:tcPr>
            <w:tcW w:w="1400" w:type="dxa"/>
            <w:tcBorders>
              <w:top w:val="nil"/>
              <w:left w:val="nil"/>
              <w:bottom w:val="nil"/>
              <w:right w:val="nil"/>
            </w:tcBorders>
            <w:tcMar>
              <w:top w:w="128" w:type="dxa"/>
              <w:left w:w="43" w:type="dxa"/>
              <w:bottom w:w="43" w:type="dxa"/>
              <w:right w:w="43" w:type="dxa"/>
            </w:tcMar>
            <w:vAlign w:val="bottom"/>
          </w:tcPr>
          <w:p w14:paraId="198DA7E5" w14:textId="77777777" w:rsidR="00F7113A" w:rsidRPr="00580C0D" w:rsidRDefault="00142E5B" w:rsidP="001231A3">
            <w:pPr>
              <w:jc w:val="right"/>
            </w:pPr>
            <w:r w:rsidRPr="00580C0D">
              <w:t>Nei</w:t>
            </w:r>
          </w:p>
        </w:tc>
      </w:tr>
      <w:tr w:rsidR="00F7113A" w:rsidRPr="00580C0D" w14:paraId="250CE08C" w14:textId="77777777">
        <w:trPr>
          <w:trHeight w:val="380"/>
        </w:trPr>
        <w:tc>
          <w:tcPr>
            <w:tcW w:w="1400" w:type="dxa"/>
            <w:tcBorders>
              <w:top w:val="nil"/>
              <w:left w:val="nil"/>
              <w:bottom w:val="nil"/>
              <w:right w:val="nil"/>
            </w:tcBorders>
            <w:tcMar>
              <w:top w:w="128" w:type="dxa"/>
              <w:left w:w="43" w:type="dxa"/>
              <w:bottom w:w="43" w:type="dxa"/>
              <w:right w:w="43" w:type="dxa"/>
            </w:tcMar>
          </w:tcPr>
          <w:p w14:paraId="37BFB1F8"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501B482A" w14:textId="77777777" w:rsidR="00F7113A" w:rsidRPr="00580C0D" w:rsidRDefault="00142E5B" w:rsidP="001231A3">
            <w:pPr>
              <w:ind w:right="284"/>
              <w:jc w:val="right"/>
            </w:pPr>
            <w:r w:rsidRPr="00580C0D">
              <w:t>481</w:t>
            </w:r>
          </w:p>
        </w:tc>
        <w:tc>
          <w:tcPr>
            <w:tcW w:w="5600" w:type="dxa"/>
            <w:tcBorders>
              <w:top w:val="nil"/>
              <w:left w:val="nil"/>
              <w:bottom w:val="nil"/>
              <w:right w:val="nil"/>
            </w:tcBorders>
            <w:tcMar>
              <w:top w:w="128" w:type="dxa"/>
              <w:left w:w="43" w:type="dxa"/>
              <w:bottom w:w="43" w:type="dxa"/>
              <w:right w:w="43" w:type="dxa"/>
            </w:tcMar>
          </w:tcPr>
          <w:p w14:paraId="41AC61A1" w14:textId="77777777" w:rsidR="00F7113A" w:rsidRPr="00580C0D" w:rsidRDefault="00142E5B" w:rsidP="001231A3">
            <w:r w:rsidRPr="00580C0D">
              <w:t xml:space="preserve">Gjenbruk gjennom </w:t>
            </w:r>
            <w:proofErr w:type="spellStart"/>
            <w:r w:rsidRPr="00580C0D">
              <w:t>kommunane</w:t>
            </w:r>
            <w:proofErr w:type="spellEnd"/>
            <w:r w:rsidRPr="00580C0D">
              <w:t xml:space="preserve"> sine </w:t>
            </w:r>
            <w:proofErr w:type="spellStart"/>
            <w:r w:rsidRPr="00580C0D">
              <w:t>gjenbruksstasjonar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D2A2652" w14:textId="77777777" w:rsidR="00F7113A" w:rsidRPr="00580C0D" w:rsidRDefault="00142E5B" w:rsidP="001231A3">
            <w:pPr>
              <w:jc w:val="right"/>
            </w:pPr>
            <w:r w:rsidRPr="00580C0D">
              <w:t>Nei</w:t>
            </w:r>
          </w:p>
        </w:tc>
      </w:tr>
      <w:tr w:rsidR="00F7113A" w:rsidRPr="00580C0D" w14:paraId="3B6AB647" w14:textId="77777777">
        <w:trPr>
          <w:trHeight w:val="380"/>
        </w:trPr>
        <w:tc>
          <w:tcPr>
            <w:tcW w:w="1400" w:type="dxa"/>
            <w:tcBorders>
              <w:top w:val="nil"/>
              <w:left w:val="nil"/>
              <w:bottom w:val="nil"/>
              <w:right w:val="nil"/>
            </w:tcBorders>
            <w:tcMar>
              <w:top w:w="128" w:type="dxa"/>
              <w:left w:w="43" w:type="dxa"/>
              <w:bottom w:w="43" w:type="dxa"/>
              <w:right w:w="43" w:type="dxa"/>
            </w:tcMar>
          </w:tcPr>
          <w:p w14:paraId="7A0F1CA5"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30CAD237" w14:textId="77777777" w:rsidR="00F7113A" w:rsidRPr="00580C0D" w:rsidRDefault="00142E5B" w:rsidP="001231A3">
            <w:pPr>
              <w:ind w:right="284"/>
              <w:jc w:val="right"/>
            </w:pPr>
            <w:r w:rsidRPr="00580C0D">
              <w:t>482</w:t>
            </w:r>
          </w:p>
        </w:tc>
        <w:tc>
          <w:tcPr>
            <w:tcW w:w="5600" w:type="dxa"/>
            <w:tcBorders>
              <w:top w:val="nil"/>
              <w:left w:val="nil"/>
              <w:bottom w:val="nil"/>
              <w:right w:val="nil"/>
            </w:tcBorders>
            <w:tcMar>
              <w:top w:w="128" w:type="dxa"/>
              <w:left w:w="43" w:type="dxa"/>
              <w:bottom w:w="43" w:type="dxa"/>
              <w:right w:w="43" w:type="dxa"/>
            </w:tcMar>
          </w:tcPr>
          <w:p w14:paraId="6FEF4D96" w14:textId="77777777" w:rsidR="00F7113A" w:rsidRPr="00580C0D" w:rsidRDefault="00142E5B" w:rsidP="001231A3">
            <w:proofErr w:type="spellStart"/>
            <w:r w:rsidRPr="00580C0D">
              <w:t>Utleige</w:t>
            </w:r>
            <w:proofErr w:type="spellEnd"/>
            <w:r w:rsidRPr="00580C0D">
              <w:t xml:space="preserve"> av </w:t>
            </w:r>
            <w:proofErr w:type="spellStart"/>
            <w:r w:rsidRPr="00580C0D">
              <w:t>avfallskonteinarar</w:t>
            </w:r>
            <w:proofErr w:type="spellEnd"/>
            <w:r w:rsidRPr="00580C0D">
              <w:t xml:space="preserve"> </w:t>
            </w:r>
            <w:proofErr w:type="spellStart"/>
            <w:r w:rsidRPr="00580C0D">
              <w:t>frå</w:t>
            </w:r>
            <w:proofErr w:type="spellEnd"/>
            <w:r w:rsidRPr="00580C0D">
              <w:t xml:space="preserve"> </w:t>
            </w:r>
            <w:proofErr w:type="spellStart"/>
            <w:r w:rsidRPr="00580C0D">
              <w:t>godkjende</w:t>
            </w:r>
            <w:proofErr w:type="spellEnd"/>
            <w:r w:rsidRPr="00580C0D">
              <w:t xml:space="preserve"> avfallsselskap</w:t>
            </w:r>
          </w:p>
        </w:tc>
        <w:tc>
          <w:tcPr>
            <w:tcW w:w="1400" w:type="dxa"/>
            <w:tcBorders>
              <w:top w:val="nil"/>
              <w:left w:val="nil"/>
              <w:bottom w:val="nil"/>
              <w:right w:val="nil"/>
            </w:tcBorders>
            <w:tcMar>
              <w:top w:w="128" w:type="dxa"/>
              <w:left w:w="43" w:type="dxa"/>
              <w:bottom w:w="43" w:type="dxa"/>
              <w:right w:w="43" w:type="dxa"/>
            </w:tcMar>
            <w:vAlign w:val="bottom"/>
          </w:tcPr>
          <w:p w14:paraId="4A8069E1" w14:textId="77777777" w:rsidR="00F7113A" w:rsidRPr="00580C0D" w:rsidRDefault="00142E5B" w:rsidP="001231A3">
            <w:pPr>
              <w:jc w:val="right"/>
            </w:pPr>
            <w:r w:rsidRPr="00580C0D">
              <w:t>Nei</w:t>
            </w:r>
          </w:p>
        </w:tc>
      </w:tr>
      <w:tr w:rsidR="00F7113A" w:rsidRPr="00580C0D" w14:paraId="483AA065" w14:textId="77777777">
        <w:trPr>
          <w:trHeight w:val="380"/>
        </w:trPr>
        <w:tc>
          <w:tcPr>
            <w:tcW w:w="1400" w:type="dxa"/>
            <w:tcBorders>
              <w:top w:val="nil"/>
              <w:left w:val="nil"/>
              <w:bottom w:val="nil"/>
              <w:right w:val="nil"/>
            </w:tcBorders>
            <w:tcMar>
              <w:top w:w="128" w:type="dxa"/>
              <w:left w:w="43" w:type="dxa"/>
              <w:bottom w:w="43" w:type="dxa"/>
              <w:right w:w="43" w:type="dxa"/>
            </w:tcMar>
          </w:tcPr>
          <w:p w14:paraId="07DF9DF5"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28BB8384" w14:textId="77777777" w:rsidR="00F7113A" w:rsidRPr="00580C0D" w:rsidRDefault="00142E5B" w:rsidP="001231A3">
            <w:pPr>
              <w:ind w:right="284"/>
              <w:jc w:val="right"/>
            </w:pPr>
            <w:r w:rsidRPr="00580C0D">
              <w:t>489</w:t>
            </w:r>
          </w:p>
        </w:tc>
        <w:tc>
          <w:tcPr>
            <w:tcW w:w="5600" w:type="dxa"/>
            <w:tcBorders>
              <w:top w:val="nil"/>
              <w:left w:val="nil"/>
              <w:bottom w:val="nil"/>
              <w:right w:val="nil"/>
            </w:tcBorders>
            <w:tcMar>
              <w:top w:w="128" w:type="dxa"/>
              <w:left w:w="43" w:type="dxa"/>
              <w:bottom w:w="43" w:type="dxa"/>
              <w:right w:w="43" w:type="dxa"/>
            </w:tcMar>
          </w:tcPr>
          <w:p w14:paraId="3CB12BAE" w14:textId="77777777" w:rsidR="00F7113A" w:rsidRPr="00580C0D" w:rsidRDefault="00142E5B" w:rsidP="001231A3">
            <w:proofErr w:type="spellStart"/>
            <w:r w:rsidRPr="00580C0D">
              <w:t>Matkastelov</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73E58C0C" w14:textId="77777777" w:rsidR="00F7113A" w:rsidRPr="00580C0D" w:rsidRDefault="00142E5B" w:rsidP="001231A3">
            <w:pPr>
              <w:jc w:val="right"/>
            </w:pPr>
            <w:r w:rsidRPr="00580C0D">
              <w:t>Nei</w:t>
            </w:r>
          </w:p>
        </w:tc>
      </w:tr>
      <w:tr w:rsidR="00F7113A" w:rsidRPr="00580C0D" w14:paraId="2B0DD420" w14:textId="77777777">
        <w:trPr>
          <w:trHeight w:val="640"/>
        </w:trPr>
        <w:tc>
          <w:tcPr>
            <w:tcW w:w="1400" w:type="dxa"/>
            <w:tcBorders>
              <w:top w:val="nil"/>
              <w:left w:val="nil"/>
              <w:bottom w:val="nil"/>
              <w:right w:val="nil"/>
            </w:tcBorders>
            <w:tcMar>
              <w:top w:w="128" w:type="dxa"/>
              <w:left w:w="43" w:type="dxa"/>
              <w:bottom w:w="43" w:type="dxa"/>
              <w:right w:w="43" w:type="dxa"/>
            </w:tcMar>
          </w:tcPr>
          <w:p w14:paraId="0C281C3C"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79CFDF98" w14:textId="77777777" w:rsidR="00F7113A" w:rsidRPr="00580C0D" w:rsidRDefault="00142E5B" w:rsidP="001231A3">
            <w:pPr>
              <w:ind w:right="284"/>
              <w:jc w:val="right"/>
            </w:pPr>
            <w:r w:rsidRPr="00580C0D">
              <w:t>661</w:t>
            </w:r>
          </w:p>
        </w:tc>
        <w:tc>
          <w:tcPr>
            <w:tcW w:w="5600" w:type="dxa"/>
            <w:tcBorders>
              <w:top w:val="nil"/>
              <w:left w:val="nil"/>
              <w:bottom w:val="nil"/>
              <w:right w:val="nil"/>
            </w:tcBorders>
            <w:tcMar>
              <w:top w:w="128" w:type="dxa"/>
              <w:left w:w="43" w:type="dxa"/>
              <w:bottom w:w="43" w:type="dxa"/>
              <w:right w:w="43" w:type="dxa"/>
            </w:tcMar>
          </w:tcPr>
          <w:p w14:paraId="36C1B418" w14:textId="77777777" w:rsidR="00F7113A" w:rsidRPr="00580C0D" w:rsidRDefault="00142E5B" w:rsidP="001231A3">
            <w:r w:rsidRPr="00580C0D">
              <w:t xml:space="preserve">Greie ut </w:t>
            </w:r>
            <w:proofErr w:type="spellStart"/>
            <w:r w:rsidRPr="00580C0D">
              <w:t>strengare</w:t>
            </w:r>
            <w:proofErr w:type="spellEnd"/>
            <w:r w:rsidRPr="00580C0D">
              <w:t xml:space="preserve"> krav til </w:t>
            </w:r>
            <w:proofErr w:type="spellStart"/>
            <w:r w:rsidRPr="00580C0D">
              <w:t>svartvass</w:t>
            </w:r>
            <w:proofErr w:type="spellEnd"/>
            <w:r w:rsidRPr="00580C0D">
              <w:t xml:space="preserve">- og gråvassutslepp </w:t>
            </w:r>
            <w:proofErr w:type="spellStart"/>
            <w:r w:rsidRPr="00580C0D">
              <w:t>frå</w:t>
            </w:r>
            <w:proofErr w:type="spellEnd"/>
            <w:r w:rsidRPr="00580C0D">
              <w:t xml:space="preserve"> cruiseskip</w:t>
            </w:r>
          </w:p>
        </w:tc>
        <w:tc>
          <w:tcPr>
            <w:tcW w:w="1400" w:type="dxa"/>
            <w:tcBorders>
              <w:top w:val="nil"/>
              <w:left w:val="nil"/>
              <w:bottom w:val="nil"/>
              <w:right w:val="nil"/>
            </w:tcBorders>
            <w:tcMar>
              <w:top w:w="128" w:type="dxa"/>
              <w:left w:w="43" w:type="dxa"/>
              <w:bottom w:w="43" w:type="dxa"/>
              <w:right w:w="43" w:type="dxa"/>
            </w:tcMar>
            <w:vAlign w:val="bottom"/>
          </w:tcPr>
          <w:p w14:paraId="4026C985" w14:textId="77777777" w:rsidR="00F7113A" w:rsidRPr="00580C0D" w:rsidRDefault="00142E5B" w:rsidP="001231A3">
            <w:pPr>
              <w:jc w:val="right"/>
            </w:pPr>
            <w:r w:rsidRPr="00580C0D">
              <w:t>Nei</w:t>
            </w:r>
          </w:p>
        </w:tc>
      </w:tr>
      <w:tr w:rsidR="00F7113A" w:rsidRPr="00580C0D" w14:paraId="42229156" w14:textId="77777777">
        <w:trPr>
          <w:trHeight w:val="640"/>
        </w:trPr>
        <w:tc>
          <w:tcPr>
            <w:tcW w:w="1400" w:type="dxa"/>
            <w:tcBorders>
              <w:top w:val="nil"/>
              <w:left w:val="nil"/>
              <w:bottom w:val="nil"/>
              <w:right w:val="nil"/>
            </w:tcBorders>
            <w:tcMar>
              <w:top w:w="128" w:type="dxa"/>
              <w:left w:w="43" w:type="dxa"/>
              <w:bottom w:w="43" w:type="dxa"/>
              <w:right w:w="43" w:type="dxa"/>
            </w:tcMar>
          </w:tcPr>
          <w:p w14:paraId="4C8F9D2D"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3C8DA11D" w14:textId="77777777" w:rsidR="00F7113A" w:rsidRPr="00580C0D" w:rsidRDefault="00142E5B" w:rsidP="001231A3">
            <w:pPr>
              <w:ind w:right="284"/>
              <w:jc w:val="right"/>
            </w:pPr>
            <w:r w:rsidRPr="00580C0D">
              <w:t>672</w:t>
            </w:r>
          </w:p>
        </w:tc>
        <w:tc>
          <w:tcPr>
            <w:tcW w:w="5600" w:type="dxa"/>
            <w:tcBorders>
              <w:top w:val="nil"/>
              <w:left w:val="nil"/>
              <w:bottom w:val="nil"/>
              <w:right w:val="nil"/>
            </w:tcBorders>
            <w:tcMar>
              <w:top w:w="128" w:type="dxa"/>
              <w:left w:w="43" w:type="dxa"/>
              <w:bottom w:w="43" w:type="dxa"/>
              <w:right w:w="43" w:type="dxa"/>
            </w:tcMar>
          </w:tcPr>
          <w:p w14:paraId="206AA03E" w14:textId="77777777" w:rsidR="00F7113A" w:rsidRPr="00580C0D" w:rsidRDefault="00142E5B" w:rsidP="001231A3">
            <w:proofErr w:type="gramStart"/>
            <w:r w:rsidRPr="00580C0D">
              <w:t>Implementere</w:t>
            </w:r>
            <w:proofErr w:type="gramEnd"/>
            <w:r w:rsidRPr="00580C0D">
              <w:t xml:space="preserve"> krav og </w:t>
            </w:r>
            <w:proofErr w:type="spellStart"/>
            <w:r w:rsidRPr="00580C0D">
              <w:t>reguleringar</w:t>
            </w:r>
            <w:proofErr w:type="spellEnd"/>
            <w:r w:rsidRPr="00580C0D">
              <w:t xml:space="preserve"> til utslepp </w:t>
            </w:r>
            <w:proofErr w:type="spellStart"/>
            <w:r w:rsidRPr="00580C0D">
              <w:t>frå</w:t>
            </w:r>
            <w:proofErr w:type="spellEnd"/>
            <w:r w:rsidRPr="00580C0D">
              <w:t xml:space="preserve"> cruiseskip og </w:t>
            </w:r>
            <w:proofErr w:type="spellStart"/>
            <w:r w:rsidRPr="00580C0D">
              <w:t>annan</w:t>
            </w:r>
            <w:proofErr w:type="spellEnd"/>
            <w:r w:rsidRPr="00580C0D">
              <w:t xml:space="preserve"> skipstrafikk i </w:t>
            </w:r>
            <w:proofErr w:type="spellStart"/>
            <w:r w:rsidRPr="00580C0D">
              <w:t>turistfjordar</w:t>
            </w:r>
            <w:proofErr w:type="spellEnd"/>
            <w:r w:rsidRPr="00580C0D">
              <w:t xml:space="preserve"> m.m.</w:t>
            </w:r>
          </w:p>
        </w:tc>
        <w:tc>
          <w:tcPr>
            <w:tcW w:w="1400" w:type="dxa"/>
            <w:tcBorders>
              <w:top w:val="nil"/>
              <w:left w:val="nil"/>
              <w:bottom w:val="nil"/>
              <w:right w:val="nil"/>
            </w:tcBorders>
            <w:tcMar>
              <w:top w:w="128" w:type="dxa"/>
              <w:left w:w="43" w:type="dxa"/>
              <w:bottom w:w="43" w:type="dxa"/>
              <w:right w:w="43" w:type="dxa"/>
            </w:tcMar>
            <w:vAlign w:val="bottom"/>
          </w:tcPr>
          <w:p w14:paraId="359221AC" w14:textId="77777777" w:rsidR="00F7113A" w:rsidRPr="00580C0D" w:rsidRDefault="00142E5B" w:rsidP="001231A3">
            <w:pPr>
              <w:jc w:val="right"/>
            </w:pPr>
            <w:r w:rsidRPr="00580C0D">
              <w:t>Nei</w:t>
            </w:r>
          </w:p>
        </w:tc>
      </w:tr>
      <w:tr w:rsidR="00F7113A" w:rsidRPr="00580C0D" w14:paraId="4470BDD0" w14:textId="77777777">
        <w:trPr>
          <w:trHeight w:val="380"/>
        </w:trPr>
        <w:tc>
          <w:tcPr>
            <w:tcW w:w="1400" w:type="dxa"/>
            <w:tcBorders>
              <w:top w:val="nil"/>
              <w:left w:val="nil"/>
              <w:bottom w:val="nil"/>
              <w:right w:val="nil"/>
            </w:tcBorders>
            <w:tcMar>
              <w:top w:w="128" w:type="dxa"/>
              <w:left w:w="43" w:type="dxa"/>
              <w:bottom w:w="43" w:type="dxa"/>
              <w:right w:w="43" w:type="dxa"/>
            </w:tcMar>
          </w:tcPr>
          <w:p w14:paraId="432E5F84"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65132B89" w14:textId="77777777" w:rsidR="00F7113A" w:rsidRPr="00580C0D" w:rsidRDefault="00142E5B" w:rsidP="001231A3">
            <w:pPr>
              <w:ind w:right="284"/>
              <w:jc w:val="right"/>
            </w:pPr>
            <w:r w:rsidRPr="00580C0D">
              <w:t>674</w:t>
            </w:r>
          </w:p>
        </w:tc>
        <w:tc>
          <w:tcPr>
            <w:tcW w:w="5600" w:type="dxa"/>
            <w:tcBorders>
              <w:top w:val="nil"/>
              <w:left w:val="nil"/>
              <w:bottom w:val="nil"/>
              <w:right w:val="nil"/>
            </w:tcBorders>
            <w:tcMar>
              <w:top w:w="128" w:type="dxa"/>
              <w:left w:w="43" w:type="dxa"/>
              <w:bottom w:w="43" w:type="dxa"/>
              <w:right w:w="43" w:type="dxa"/>
            </w:tcMar>
          </w:tcPr>
          <w:p w14:paraId="2B7A05C8" w14:textId="77777777" w:rsidR="00F7113A" w:rsidRPr="00580C0D" w:rsidRDefault="00142E5B" w:rsidP="001231A3">
            <w:r w:rsidRPr="00580C0D">
              <w:t xml:space="preserve">Nasjonalt </w:t>
            </w:r>
            <w:proofErr w:type="spellStart"/>
            <w:r w:rsidRPr="00580C0D">
              <w:t>forbod</w:t>
            </w:r>
            <w:proofErr w:type="spellEnd"/>
            <w:r w:rsidRPr="00580C0D">
              <w:t xml:space="preserve"> mot sal av </w:t>
            </w:r>
            <w:proofErr w:type="spellStart"/>
            <w:r w:rsidRPr="00580C0D">
              <w:t>heliumballongar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033C896D" w14:textId="77777777" w:rsidR="00F7113A" w:rsidRPr="00580C0D" w:rsidRDefault="00142E5B" w:rsidP="001231A3">
            <w:pPr>
              <w:jc w:val="right"/>
            </w:pPr>
            <w:r w:rsidRPr="00580C0D">
              <w:t>Ja</w:t>
            </w:r>
          </w:p>
        </w:tc>
      </w:tr>
      <w:tr w:rsidR="00F7113A" w:rsidRPr="00580C0D" w14:paraId="0AE035C9" w14:textId="77777777">
        <w:trPr>
          <w:trHeight w:val="380"/>
        </w:trPr>
        <w:tc>
          <w:tcPr>
            <w:tcW w:w="1400" w:type="dxa"/>
            <w:tcBorders>
              <w:top w:val="nil"/>
              <w:left w:val="nil"/>
              <w:bottom w:val="nil"/>
              <w:right w:val="nil"/>
            </w:tcBorders>
            <w:tcMar>
              <w:top w:w="128" w:type="dxa"/>
              <w:left w:w="43" w:type="dxa"/>
              <w:bottom w:w="43" w:type="dxa"/>
              <w:right w:w="43" w:type="dxa"/>
            </w:tcMar>
          </w:tcPr>
          <w:p w14:paraId="342EBCA4" w14:textId="77777777" w:rsidR="00F7113A" w:rsidRPr="00580C0D" w:rsidRDefault="00142E5B" w:rsidP="001231A3">
            <w:r w:rsidRPr="00580C0D">
              <w:t>2016–2017</w:t>
            </w:r>
          </w:p>
        </w:tc>
        <w:tc>
          <w:tcPr>
            <w:tcW w:w="1120" w:type="dxa"/>
            <w:tcBorders>
              <w:top w:val="nil"/>
              <w:left w:val="nil"/>
              <w:bottom w:val="nil"/>
              <w:right w:val="nil"/>
            </w:tcBorders>
            <w:tcMar>
              <w:top w:w="128" w:type="dxa"/>
              <w:left w:w="43" w:type="dxa"/>
              <w:bottom w:w="43" w:type="dxa"/>
              <w:right w:w="43" w:type="dxa"/>
            </w:tcMar>
          </w:tcPr>
          <w:p w14:paraId="0007B586" w14:textId="77777777" w:rsidR="00F7113A" w:rsidRPr="00580C0D" w:rsidRDefault="00142E5B" w:rsidP="001231A3">
            <w:pPr>
              <w:ind w:right="284"/>
              <w:jc w:val="right"/>
            </w:pPr>
            <w:r w:rsidRPr="00580C0D">
              <w:t>529</w:t>
            </w:r>
          </w:p>
        </w:tc>
        <w:tc>
          <w:tcPr>
            <w:tcW w:w="5600" w:type="dxa"/>
            <w:tcBorders>
              <w:top w:val="nil"/>
              <w:left w:val="nil"/>
              <w:bottom w:val="nil"/>
              <w:right w:val="nil"/>
            </w:tcBorders>
            <w:tcMar>
              <w:top w:w="128" w:type="dxa"/>
              <w:left w:w="43" w:type="dxa"/>
              <w:bottom w:w="43" w:type="dxa"/>
              <w:right w:w="43" w:type="dxa"/>
            </w:tcMar>
          </w:tcPr>
          <w:p w14:paraId="42CB9645" w14:textId="77777777" w:rsidR="00F7113A" w:rsidRPr="00580C0D" w:rsidRDefault="00142E5B" w:rsidP="001231A3">
            <w:r w:rsidRPr="00580C0D">
              <w:t>Gratis levering av marint avfall</w:t>
            </w:r>
          </w:p>
        </w:tc>
        <w:tc>
          <w:tcPr>
            <w:tcW w:w="1400" w:type="dxa"/>
            <w:tcBorders>
              <w:top w:val="nil"/>
              <w:left w:val="nil"/>
              <w:bottom w:val="nil"/>
              <w:right w:val="nil"/>
            </w:tcBorders>
            <w:tcMar>
              <w:top w:w="128" w:type="dxa"/>
              <w:left w:w="43" w:type="dxa"/>
              <w:bottom w:w="43" w:type="dxa"/>
              <w:right w:w="43" w:type="dxa"/>
            </w:tcMar>
            <w:vAlign w:val="bottom"/>
          </w:tcPr>
          <w:p w14:paraId="17509E93" w14:textId="77777777" w:rsidR="00F7113A" w:rsidRPr="00580C0D" w:rsidRDefault="00142E5B" w:rsidP="001231A3">
            <w:pPr>
              <w:jc w:val="right"/>
            </w:pPr>
            <w:r w:rsidRPr="00580C0D">
              <w:t>Ja</w:t>
            </w:r>
          </w:p>
        </w:tc>
      </w:tr>
      <w:tr w:rsidR="00F7113A" w:rsidRPr="00580C0D" w14:paraId="68636C12" w14:textId="77777777">
        <w:trPr>
          <w:trHeight w:val="380"/>
        </w:trPr>
        <w:tc>
          <w:tcPr>
            <w:tcW w:w="1400" w:type="dxa"/>
            <w:tcBorders>
              <w:top w:val="nil"/>
              <w:left w:val="nil"/>
              <w:bottom w:val="nil"/>
              <w:right w:val="nil"/>
            </w:tcBorders>
            <w:tcMar>
              <w:top w:w="128" w:type="dxa"/>
              <w:left w:w="43" w:type="dxa"/>
              <w:bottom w:w="43" w:type="dxa"/>
              <w:right w:w="43" w:type="dxa"/>
            </w:tcMar>
          </w:tcPr>
          <w:p w14:paraId="567C2554" w14:textId="77777777" w:rsidR="00F7113A" w:rsidRPr="00580C0D" w:rsidRDefault="00142E5B" w:rsidP="001231A3">
            <w:r w:rsidRPr="00580C0D">
              <w:t>2016–2017</w:t>
            </w:r>
          </w:p>
        </w:tc>
        <w:tc>
          <w:tcPr>
            <w:tcW w:w="1120" w:type="dxa"/>
            <w:tcBorders>
              <w:top w:val="nil"/>
              <w:left w:val="nil"/>
              <w:bottom w:val="nil"/>
              <w:right w:val="nil"/>
            </w:tcBorders>
            <w:tcMar>
              <w:top w:w="128" w:type="dxa"/>
              <w:left w:w="43" w:type="dxa"/>
              <w:bottom w:w="43" w:type="dxa"/>
              <w:right w:w="43" w:type="dxa"/>
            </w:tcMar>
          </w:tcPr>
          <w:p w14:paraId="73B0E207" w14:textId="77777777" w:rsidR="00F7113A" w:rsidRPr="00580C0D" w:rsidRDefault="00142E5B" w:rsidP="001231A3">
            <w:pPr>
              <w:ind w:right="284"/>
              <w:jc w:val="right"/>
            </w:pPr>
            <w:r w:rsidRPr="00580C0D">
              <w:t>914</w:t>
            </w:r>
          </w:p>
        </w:tc>
        <w:tc>
          <w:tcPr>
            <w:tcW w:w="5600" w:type="dxa"/>
            <w:tcBorders>
              <w:top w:val="nil"/>
              <w:left w:val="nil"/>
              <w:bottom w:val="nil"/>
              <w:right w:val="nil"/>
            </w:tcBorders>
            <w:tcMar>
              <w:top w:w="128" w:type="dxa"/>
              <w:left w:w="43" w:type="dxa"/>
              <w:bottom w:w="43" w:type="dxa"/>
              <w:right w:w="43" w:type="dxa"/>
            </w:tcMar>
          </w:tcPr>
          <w:p w14:paraId="63DC1091" w14:textId="77777777" w:rsidR="00F7113A" w:rsidRPr="00580C0D" w:rsidRDefault="00142E5B" w:rsidP="001231A3">
            <w:r w:rsidRPr="00580C0D">
              <w:t xml:space="preserve">Forslag til tiltak og </w:t>
            </w:r>
            <w:proofErr w:type="spellStart"/>
            <w:r w:rsidRPr="00580C0D">
              <w:t>verkemiddel</w:t>
            </w:r>
            <w:proofErr w:type="spellEnd"/>
            <w:r w:rsidRPr="00580C0D">
              <w:t xml:space="preserve"> for </w:t>
            </w:r>
            <w:proofErr w:type="spellStart"/>
            <w:r w:rsidRPr="00580C0D">
              <w:t>overvass</w:t>
            </w:r>
            <w:proofErr w:type="spellEnd"/>
            <w:r w:rsidRPr="00580C0D">
              <w:t>-problematikk</w:t>
            </w:r>
          </w:p>
        </w:tc>
        <w:tc>
          <w:tcPr>
            <w:tcW w:w="1400" w:type="dxa"/>
            <w:tcBorders>
              <w:top w:val="nil"/>
              <w:left w:val="nil"/>
              <w:bottom w:val="nil"/>
              <w:right w:val="nil"/>
            </w:tcBorders>
            <w:tcMar>
              <w:top w:w="128" w:type="dxa"/>
              <w:left w:w="43" w:type="dxa"/>
              <w:bottom w:w="43" w:type="dxa"/>
              <w:right w:w="43" w:type="dxa"/>
            </w:tcMar>
            <w:vAlign w:val="bottom"/>
          </w:tcPr>
          <w:p w14:paraId="0C74656B" w14:textId="77777777" w:rsidR="00F7113A" w:rsidRPr="00580C0D" w:rsidRDefault="00142E5B" w:rsidP="001231A3">
            <w:pPr>
              <w:jc w:val="right"/>
            </w:pPr>
            <w:r w:rsidRPr="00580C0D">
              <w:t>Nei</w:t>
            </w:r>
          </w:p>
        </w:tc>
      </w:tr>
      <w:tr w:rsidR="00F7113A" w:rsidRPr="00580C0D" w14:paraId="22691AFE" w14:textId="77777777">
        <w:trPr>
          <w:trHeight w:val="380"/>
        </w:trPr>
        <w:tc>
          <w:tcPr>
            <w:tcW w:w="1400" w:type="dxa"/>
            <w:tcBorders>
              <w:top w:val="nil"/>
              <w:left w:val="nil"/>
              <w:bottom w:val="nil"/>
              <w:right w:val="nil"/>
            </w:tcBorders>
            <w:tcMar>
              <w:top w:w="128" w:type="dxa"/>
              <w:left w:w="43" w:type="dxa"/>
              <w:bottom w:w="43" w:type="dxa"/>
              <w:right w:w="43" w:type="dxa"/>
            </w:tcMar>
          </w:tcPr>
          <w:p w14:paraId="4935E334" w14:textId="77777777" w:rsidR="00F7113A" w:rsidRPr="00580C0D" w:rsidRDefault="00142E5B" w:rsidP="001231A3">
            <w:r w:rsidRPr="00580C0D">
              <w:t>2015–2016</w:t>
            </w:r>
          </w:p>
        </w:tc>
        <w:tc>
          <w:tcPr>
            <w:tcW w:w="1120" w:type="dxa"/>
            <w:tcBorders>
              <w:top w:val="nil"/>
              <w:left w:val="nil"/>
              <w:bottom w:val="nil"/>
              <w:right w:val="nil"/>
            </w:tcBorders>
            <w:tcMar>
              <w:top w:w="128" w:type="dxa"/>
              <w:left w:w="43" w:type="dxa"/>
              <w:bottom w:w="43" w:type="dxa"/>
              <w:right w:w="43" w:type="dxa"/>
            </w:tcMar>
          </w:tcPr>
          <w:p w14:paraId="335A149D" w14:textId="77777777" w:rsidR="00F7113A" w:rsidRPr="00580C0D" w:rsidRDefault="00142E5B" w:rsidP="001231A3">
            <w:pPr>
              <w:ind w:right="284"/>
              <w:jc w:val="right"/>
            </w:pPr>
            <w:r w:rsidRPr="00580C0D">
              <w:t>674</w:t>
            </w:r>
          </w:p>
        </w:tc>
        <w:tc>
          <w:tcPr>
            <w:tcW w:w="5600" w:type="dxa"/>
            <w:tcBorders>
              <w:top w:val="nil"/>
              <w:left w:val="nil"/>
              <w:bottom w:val="nil"/>
              <w:right w:val="nil"/>
            </w:tcBorders>
            <w:tcMar>
              <w:top w:w="128" w:type="dxa"/>
              <w:left w:w="43" w:type="dxa"/>
              <w:bottom w:w="43" w:type="dxa"/>
              <w:right w:w="43" w:type="dxa"/>
            </w:tcMar>
          </w:tcPr>
          <w:p w14:paraId="21D592E5" w14:textId="77777777" w:rsidR="00F7113A" w:rsidRPr="00580C0D" w:rsidRDefault="00142E5B" w:rsidP="001231A3">
            <w:r w:rsidRPr="00580C0D">
              <w:t xml:space="preserve">Handlingsplan for å </w:t>
            </w:r>
            <w:proofErr w:type="spellStart"/>
            <w:r w:rsidRPr="00580C0D">
              <w:t>betre</w:t>
            </w:r>
            <w:proofErr w:type="spellEnd"/>
            <w:r w:rsidRPr="00580C0D">
              <w:t xml:space="preserve"> situasjonen for sjøfugl</w:t>
            </w:r>
          </w:p>
        </w:tc>
        <w:tc>
          <w:tcPr>
            <w:tcW w:w="1400" w:type="dxa"/>
            <w:tcBorders>
              <w:top w:val="nil"/>
              <w:left w:val="nil"/>
              <w:bottom w:val="nil"/>
              <w:right w:val="nil"/>
            </w:tcBorders>
            <w:tcMar>
              <w:top w:w="128" w:type="dxa"/>
              <w:left w:w="43" w:type="dxa"/>
              <w:bottom w:w="43" w:type="dxa"/>
              <w:right w:w="43" w:type="dxa"/>
            </w:tcMar>
            <w:vAlign w:val="bottom"/>
          </w:tcPr>
          <w:p w14:paraId="19711616" w14:textId="77777777" w:rsidR="00F7113A" w:rsidRPr="00580C0D" w:rsidRDefault="00142E5B" w:rsidP="001231A3">
            <w:pPr>
              <w:jc w:val="right"/>
            </w:pPr>
            <w:r w:rsidRPr="00580C0D">
              <w:t>Nei</w:t>
            </w:r>
          </w:p>
        </w:tc>
      </w:tr>
      <w:tr w:rsidR="00F7113A" w:rsidRPr="00580C0D" w14:paraId="7FA5B63C"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353D4350" w14:textId="77777777" w:rsidR="00F7113A" w:rsidRPr="00580C0D" w:rsidRDefault="00142E5B" w:rsidP="001231A3">
            <w:r w:rsidRPr="00580C0D">
              <w:t>2015–2016</w:t>
            </w:r>
          </w:p>
        </w:tc>
        <w:tc>
          <w:tcPr>
            <w:tcW w:w="1120" w:type="dxa"/>
            <w:tcBorders>
              <w:top w:val="nil"/>
              <w:left w:val="nil"/>
              <w:bottom w:val="single" w:sz="4" w:space="0" w:color="000000"/>
              <w:right w:val="nil"/>
            </w:tcBorders>
            <w:tcMar>
              <w:top w:w="128" w:type="dxa"/>
              <w:left w:w="43" w:type="dxa"/>
              <w:bottom w:w="43" w:type="dxa"/>
              <w:right w:w="43" w:type="dxa"/>
            </w:tcMar>
          </w:tcPr>
          <w:p w14:paraId="0A4C2104" w14:textId="77777777" w:rsidR="00F7113A" w:rsidRPr="00580C0D" w:rsidRDefault="00142E5B" w:rsidP="001231A3">
            <w:pPr>
              <w:ind w:right="284"/>
              <w:jc w:val="right"/>
            </w:pPr>
            <w:r w:rsidRPr="00580C0D">
              <w:t>681</w:t>
            </w:r>
          </w:p>
        </w:tc>
        <w:tc>
          <w:tcPr>
            <w:tcW w:w="5600" w:type="dxa"/>
            <w:tcBorders>
              <w:top w:val="nil"/>
              <w:left w:val="nil"/>
              <w:bottom w:val="single" w:sz="4" w:space="0" w:color="000000"/>
              <w:right w:val="nil"/>
            </w:tcBorders>
            <w:tcMar>
              <w:top w:w="128" w:type="dxa"/>
              <w:left w:w="43" w:type="dxa"/>
              <w:bottom w:w="43" w:type="dxa"/>
              <w:right w:w="43" w:type="dxa"/>
            </w:tcMar>
          </w:tcPr>
          <w:p w14:paraId="259B5ED6" w14:textId="77777777" w:rsidR="00F7113A" w:rsidRPr="00580C0D" w:rsidRDefault="00142E5B" w:rsidP="001231A3">
            <w:proofErr w:type="spellStart"/>
            <w:r w:rsidRPr="00580C0D">
              <w:t>Forbod</w:t>
            </w:r>
            <w:proofErr w:type="spellEnd"/>
            <w:r w:rsidRPr="00580C0D">
              <w:t xml:space="preserve"> mot mikroplast i kroppspleieprodukt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91FD0D" w14:textId="77777777" w:rsidR="00F7113A" w:rsidRPr="00580C0D" w:rsidRDefault="00142E5B" w:rsidP="001231A3">
            <w:pPr>
              <w:jc w:val="right"/>
            </w:pPr>
            <w:r w:rsidRPr="00580C0D">
              <w:t>Nei</w:t>
            </w:r>
          </w:p>
        </w:tc>
      </w:tr>
    </w:tbl>
    <w:p w14:paraId="0CE52408" w14:textId="77777777" w:rsidR="00F7113A" w:rsidRPr="00580C0D" w:rsidRDefault="00142E5B" w:rsidP="001A1B0B">
      <w:pPr>
        <w:pStyle w:val="Overskrift2"/>
        <w:numPr>
          <w:ilvl w:val="1"/>
          <w:numId w:val="29"/>
        </w:numPr>
      </w:pPr>
      <w:r w:rsidRPr="00580C0D">
        <w:t>Stortingssesjon 2022–2023</w:t>
      </w:r>
    </w:p>
    <w:p w14:paraId="4DA3F91C" w14:textId="77777777" w:rsidR="00F7113A" w:rsidRPr="00580C0D" w:rsidRDefault="00142E5B" w:rsidP="00580C0D">
      <w:pPr>
        <w:pStyle w:val="avsnitt-tittel"/>
      </w:pPr>
      <w:proofErr w:type="spellStart"/>
      <w:r w:rsidRPr="00580C0D">
        <w:t>Gje</w:t>
      </w:r>
      <w:proofErr w:type="spellEnd"/>
      <w:r w:rsidRPr="00580C0D">
        <w:t xml:space="preserve"> </w:t>
      </w:r>
      <w:proofErr w:type="spellStart"/>
      <w:r w:rsidRPr="00580C0D">
        <w:t>Enova</w:t>
      </w:r>
      <w:proofErr w:type="spellEnd"/>
      <w:r w:rsidRPr="00580C0D">
        <w:t xml:space="preserve"> </w:t>
      </w:r>
      <w:proofErr w:type="spellStart"/>
      <w:r w:rsidRPr="00580C0D">
        <w:t>eit</w:t>
      </w:r>
      <w:proofErr w:type="spellEnd"/>
      <w:r w:rsidRPr="00580C0D">
        <w:t xml:space="preserve"> tilleggsmandat om å bidra til å </w:t>
      </w:r>
      <w:proofErr w:type="spellStart"/>
      <w:r w:rsidRPr="00580C0D">
        <w:t>styrkje</w:t>
      </w:r>
      <w:proofErr w:type="spellEnd"/>
      <w:r w:rsidRPr="00580C0D">
        <w:t xml:space="preserve"> forsyningstryggleiken</w:t>
      </w:r>
    </w:p>
    <w:p w14:paraId="26987579" w14:textId="77777777" w:rsidR="00F7113A" w:rsidRPr="00580C0D" w:rsidRDefault="00142E5B" w:rsidP="00580C0D">
      <w:pPr>
        <w:pStyle w:val="avsnitt-undertittel"/>
      </w:pPr>
      <w:r w:rsidRPr="00580C0D">
        <w:t>Vedtak nr. 21, 18. oktober 2022</w:t>
      </w:r>
    </w:p>
    <w:p w14:paraId="41DF75AE" w14:textId="77777777" w:rsidR="00F7113A" w:rsidRPr="00580C0D" w:rsidRDefault="00142E5B" w:rsidP="00580C0D">
      <w:pPr>
        <w:pStyle w:val="blokksit"/>
        <w:rPr>
          <w:rStyle w:val="kursiv"/>
        </w:rPr>
      </w:pPr>
      <w:r w:rsidRPr="00580C0D">
        <w:rPr>
          <w:rStyle w:val="kursiv"/>
        </w:rPr>
        <w:t xml:space="preserve">«Stortinget ber regjeringen vurdere, i lys av den aktuelle strømsituasjonen, å gi </w:t>
      </w:r>
      <w:proofErr w:type="spellStart"/>
      <w:r w:rsidRPr="00580C0D">
        <w:rPr>
          <w:rStyle w:val="kursiv"/>
        </w:rPr>
        <w:t>Enova</w:t>
      </w:r>
      <w:proofErr w:type="spellEnd"/>
      <w:r w:rsidRPr="00580C0D">
        <w:rPr>
          <w:rStyle w:val="kursiv"/>
        </w:rPr>
        <w:t xml:space="preserve"> et tilleggsmandat om å bidra til å styrke forsyningssikkerheten ved å legge til rette for vesentlig mer energieffektivisering og fleksibel og effektiv energi- og effektbruk gjennom målrettede tiltak for bedrifter og husholdninger. En slik oppdatering må sikre at støtte til moden teknologi som gir raske reduksjoner i strømforbruket, blir en sentral oppgave for </w:t>
      </w:r>
      <w:proofErr w:type="spellStart"/>
      <w:r w:rsidRPr="00580C0D">
        <w:rPr>
          <w:rStyle w:val="kursiv"/>
        </w:rPr>
        <w:t>Enova</w:t>
      </w:r>
      <w:proofErr w:type="spellEnd"/>
      <w:r w:rsidRPr="00580C0D">
        <w:rPr>
          <w:rStyle w:val="kursiv"/>
        </w:rPr>
        <w:t>, som for eksempel gjennom varmepumper, etterisolering av deler av bygningskroppen, utskiftning av vinduer, batterier, bergvarme og lignende.»</w:t>
      </w:r>
    </w:p>
    <w:p w14:paraId="34B25C11"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og Ola Elvestuen om ekstraordinære tiltak som følgje av straumpriskrisa, jf. </w:t>
      </w:r>
      <w:proofErr w:type="spellStart"/>
      <w:r w:rsidRPr="00580C0D">
        <w:t>Innst</w:t>
      </w:r>
      <w:proofErr w:type="spellEnd"/>
      <w:r w:rsidRPr="00580C0D">
        <w:t>. 25 S (2022–2023).</w:t>
      </w:r>
    </w:p>
    <w:p w14:paraId="3982D96F" w14:textId="77777777" w:rsidR="00F7113A" w:rsidRPr="00580C0D" w:rsidRDefault="00142E5B" w:rsidP="00580C0D">
      <w:r w:rsidRPr="00580C0D">
        <w:t xml:space="preserve">I mars 2023 presiserte regjeringa mandatet til </w:t>
      </w:r>
      <w:proofErr w:type="spellStart"/>
      <w:r w:rsidRPr="00580C0D">
        <w:t>Enova</w:t>
      </w:r>
      <w:proofErr w:type="spellEnd"/>
      <w:r w:rsidRPr="00580C0D">
        <w:t xml:space="preserve"> knytt til energi, jf. Tilleggsavtale av 15. februar 2023 om forvaltning av </w:t>
      </w:r>
      <w:proofErr w:type="spellStart"/>
      <w:r w:rsidRPr="00580C0D">
        <w:t>midlane</w:t>
      </w:r>
      <w:proofErr w:type="spellEnd"/>
      <w:r w:rsidRPr="00580C0D">
        <w:t xml:space="preserve"> </w:t>
      </w:r>
      <w:proofErr w:type="spellStart"/>
      <w:r w:rsidRPr="00580C0D">
        <w:t>frå</w:t>
      </w:r>
      <w:proofErr w:type="spellEnd"/>
      <w:r w:rsidRPr="00580C0D">
        <w:t xml:space="preserve"> Klima- og energifondet. Der går det fram at </w:t>
      </w:r>
      <w:proofErr w:type="spellStart"/>
      <w:r w:rsidRPr="00580C0D">
        <w:rPr>
          <w:rStyle w:val="kursiv"/>
        </w:rPr>
        <w:t>Enova</w:t>
      </w:r>
      <w:proofErr w:type="spellEnd"/>
      <w:r w:rsidRPr="00580C0D">
        <w:rPr>
          <w:rStyle w:val="kursiv"/>
        </w:rPr>
        <w:t xml:space="preserve"> skal finne gode løsninger som tar hensyn til behovet for et effektivt energisystem. Det innebærer at </w:t>
      </w:r>
      <w:proofErr w:type="spellStart"/>
      <w:r w:rsidRPr="00580C0D">
        <w:rPr>
          <w:rStyle w:val="kursiv"/>
        </w:rPr>
        <w:t>Enova</w:t>
      </w:r>
      <w:proofErr w:type="spellEnd"/>
      <w:r w:rsidRPr="00580C0D">
        <w:rPr>
          <w:rStyle w:val="kursiv"/>
        </w:rPr>
        <w:t xml:space="preserve"> blant annet skal bidra til mer effektiv bruk av energi, mer effektiv utnyttelse av eksisterende nett og utvikling av nye energiteknologier i alle sektorer</w:t>
      </w:r>
      <w:r w:rsidRPr="00580C0D">
        <w:t xml:space="preserve">. Mandatet </w:t>
      </w:r>
      <w:proofErr w:type="spellStart"/>
      <w:r w:rsidRPr="00580C0D">
        <w:t>omfattar</w:t>
      </w:r>
      <w:proofErr w:type="spellEnd"/>
      <w:r w:rsidRPr="00580C0D">
        <w:t xml:space="preserve"> </w:t>
      </w:r>
      <w:proofErr w:type="spellStart"/>
      <w:r w:rsidRPr="00580C0D">
        <w:t>no</w:t>
      </w:r>
      <w:proofErr w:type="spellEnd"/>
      <w:r w:rsidRPr="00580C0D">
        <w:t xml:space="preserve"> energieffektivisering i alle </w:t>
      </w:r>
      <w:proofErr w:type="spellStart"/>
      <w:r w:rsidRPr="00580C0D">
        <w:t>sektorar</w:t>
      </w:r>
      <w:proofErr w:type="spellEnd"/>
      <w:r w:rsidRPr="00580C0D">
        <w:t xml:space="preserve"> og </w:t>
      </w:r>
      <w:proofErr w:type="spellStart"/>
      <w:r w:rsidRPr="00580C0D">
        <w:t>opnar</w:t>
      </w:r>
      <w:proofErr w:type="spellEnd"/>
      <w:r w:rsidRPr="00580C0D">
        <w:t xml:space="preserve"> i større grad for støtte til moden og </w:t>
      </w:r>
      <w:proofErr w:type="spellStart"/>
      <w:r w:rsidRPr="00580C0D">
        <w:t>velkjend</w:t>
      </w:r>
      <w:proofErr w:type="spellEnd"/>
      <w:r w:rsidRPr="00580C0D">
        <w:t xml:space="preserve"> teknologi i umodne </w:t>
      </w:r>
      <w:proofErr w:type="spellStart"/>
      <w:r w:rsidRPr="00580C0D">
        <w:t>marknader</w:t>
      </w:r>
      <w:proofErr w:type="spellEnd"/>
      <w:r w:rsidRPr="00580C0D">
        <w:t>.</w:t>
      </w:r>
    </w:p>
    <w:p w14:paraId="6BDC4852" w14:textId="77777777" w:rsidR="00F7113A" w:rsidRPr="00580C0D" w:rsidRDefault="00142E5B" w:rsidP="00580C0D">
      <w:proofErr w:type="spellStart"/>
      <w:r w:rsidRPr="00580C0D">
        <w:t>Enovas</w:t>
      </w:r>
      <w:proofErr w:type="spellEnd"/>
      <w:r w:rsidRPr="00580C0D">
        <w:t xml:space="preserve"> presiserte mandat og styrkte rolle knytt til energi og energieffektivisering inngår som </w:t>
      </w:r>
      <w:proofErr w:type="spellStart"/>
      <w:r w:rsidRPr="00580C0D">
        <w:t>ein</w:t>
      </w:r>
      <w:proofErr w:type="spellEnd"/>
      <w:r w:rsidRPr="00580C0D">
        <w:t xml:space="preserve"> del av den </w:t>
      </w:r>
      <w:proofErr w:type="spellStart"/>
      <w:r w:rsidRPr="00580C0D">
        <w:t>heilskaplege</w:t>
      </w:r>
      <w:proofErr w:type="spellEnd"/>
      <w:r w:rsidRPr="00580C0D">
        <w:t xml:space="preserve"> handlingsplanen regjeringa har for energieffektivisering. Regjeringa er </w:t>
      </w:r>
      <w:proofErr w:type="spellStart"/>
      <w:r w:rsidRPr="00580C0D">
        <w:t>oppteken</w:t>
      </w:r>
      <w:proofErr w:type="spellEnd"/>
      <w:r w:rsidRPr="00580C0D">
        <w:t xml:space="preserve"> av at ei styrkt satsing på energieffektivisering skal </w:t>
      </w:r>
      <w:proofErr w:type="spellStart"/>
      <w:r w:rsidRPr="00580C0D">
        <w:t>vere</w:t>
      </w:r>
      <w:proofErr w:type="spellEnd"/>
      <w:r w:rsidRPr="00580C0D">
        <w:t xml:space="preserve"> basert på </w:t>
      </w:r>
      <w:proofErr w:type="spellStart"/>
      <w:r w:rsidRPr="00580C0D">
        <w:t>faglege</w:t>
      </w:r>
      <w:proofErr w:type="spellEnd"/>
      <w:r w:rsidRPr="00580C0D">
        <w:t xml:space="preserve"> </w:t>
      </w:r>
      <w:proofErr w:type="spellStart"/>
      <w:r w:rsidRPr="00580C0D">
        <w:t>vurderingar</w:t>
      </w:r>
      <w:proofErr w:type="spellEnd"/>
      <w:r w:rsidRPr="00580C0D">
        <w:t xml:space="preserve">. Departementet bad </w:t>
      </w:r>
      <w:proofErr w:type="spellStart"/>
      <w:r w:rsidRPr="00580C0D">
        <w:t>difor</w:t>
      </w:r>
      <w:proofErr w:type="spellEnd"/>
      <w:r w:rsidRPr="00580C0D">
        <w:t xml:space="preserve"> </w:t>
      </w:r>
      <w:proofErr w:type="spellStart"/>
      <w:r w:rsidRPr="00580C0D">
        <w:t>Enova</w:t>
      </w:r>
      <w:proofErr w:type="spellEnd"/>
      <w:r w:rsidRPr="00580C0D">
        <w:t xml:space="preserve"> levere ei tilråding om korleis </w:t>
      </w:r>
      <w:proofErr w:type="spellStart"/>
      <w:r w:rsidRPr="00580C0D">
        <w:t>dei</w:t>
      </w:r>
      <w:proofErr w:type="spellEnd"/>
      <w:r w:rsidRPr="00580C0D">
        <w:t xml:space="preserve"> vil innrette aktiviteten sin i lys av presiseringa av mandatet, </w:t>
      </w:r>
      <w:proofErr w:type="spellStart"/>
      <w:r w:rsidRPr="00580C0D">
        <w:t>irekna</w:t>
      </w:r>
      <w:proofErr w:type="spellEnd"/>
      <w:r w:rsidRPr="00580C0D">
        <w:t xml:space="preserve"> knytt til kva for </w:t>
      </w:r>
      <w:proofErr w:type="spellStart"/>
      <w:r w:rsidRPr="00580C0D">
        <w:t>nærmare</w:t>
      </w:r>
      <w:proofErr w:type="spellEnd"/>
      <w:r w:rsidRPr="00580C0D">
        <w:t xml:space="preserve"> definerte kriterium som kan </w:t>
      </w:r>
      <w:proofErr w:type="spellStart"/>
      <w:r w:rsidRPr="00580C0D">
        <w:t>liggje</w:t>
      </w:r>
      <w:proofErr w:type="spellEnd"/>
      <w:r w:rsidRPr="00580C0D">
        <w:t xml:space="preserve"> til grunn for støtte til </w:t>
      </w:r>
      <w:proofErr w:type="spellStart"/>
      <w:r w:rsidRPr="00580C0D">
        <w:t>meir</w:t>
      </w:r>
      <w:proofErr w:type="spellEnd"/>
      <w:r w:rsidRPr="00580C0D">
        <w:t xml:space="preserve"> moden og </w:t>
      </w:r>
      <w:proofErr w:type="spellStart"/>
      <w:r w:rsidRPr="00580C0D">
        <w:t>velkjend</w:t>
      </w:r>
      <w:proofErr w:type="spellEnd"/>
      <w:r w:rsidRPr="00580C0D">
        <w:t xml:space="preserve"> teknologi. Les </w:t>
      </w:r>
      <w:proofErr w:type="spellStart"/>
      <w:r w:rsidRPr="00580C0D">
        <w:t>ein</w:t>
      </w:r>
      <w:proofErr w:type="spellEnd"/>
      <w:r w:rsidRPr="00580C0D">
        <w:t xml:space="preserve"> utvida omtale under kap. 1428.50.</w:t>
      </w:r>
    </w:p>
    <w:p w14:paraId="7CCF5930" w14:textId="77777777" w:rsidR="00F7113A" w:rsidRPr="00580C0D" w:rsidRDefault="00142E5B" w:rsidP="00580C0D">
      <w:r w:rsidRPr="00580C0D">
        <w:t xml:space="preserve">Til </w:t>
      </w:r>
      <w:proofErr w:type="spellStart"/>
      <w:r w:rsidRPr="00580C0D">
        <w:t>saman</w:t>
      </w:r>
      <w:proofErr w:type="spellEnd"/>
      <w:r w:rsidRPr="00580C0D">
        <w:t xml:space="preserve"> legg </w:t>
      </w:r>
      <w:proofErr w:type="spellStart"/>
      <w:r w:rsidRPr="00580C0D">
        <w:t>Enova</w:t>
      </w:r>
      <w:proofErr w:type="spellEnd"/>
      <w:r w:rsidRPr="00580C0D">
        <w:t xml:space="preserve"> opp til å støtte energieffektivisering og energi </w:t>
      </w:r>
      <w:proofErr w:type="spellStart"/>
      <w:r w:rsidRPr="00580C0D">
        <w:t>meir</w:t>
      </w:r>
      <w:proofErr w:type="spellEnd"/>
      <w:r w:rsidRPr="00580C0D">
        <w:t xml:space="preserve"> i breitt med mellom 1,5 mrd. og 2 mrd. kroner i år. Av dette vil om lag </w:t>
      </w:r>
      <w:proofErr w:type="spellStart"/>
      <w:r w:rsidRPr="00580C0D">
        <w:t>ein</w:t>
      </w:r>
      <w:proofErr w:type="spellEnd"/>
      <w:r w:rsidRPr="00580C0D">
        <w:t xml:space="preserve"> halv milliard </w:t>
      </w:r>
      <w:proofErr w:type="spellStart"/>
      <w:r w:rsidRPr="00580C0D">
        <w:t>vere</w:t>
      </w:r>
      <w:proofErr w:type="spellEnd"/>
      <w:r w:rsidRPr="00580C0D">
        <w:t xml:space="preserve"> styrkt enøksatsing. Satsinga legg vekt på å </w:t>
      </w:r>
      <w:proofErr w:type="spellStart"/>
      <w:r w:rsidRPr="00580C0D">
        <w:t>byggje</w:t>
      </w:r>
      <w:proofErr w:type="spellEnd"/>
      <w:r w:rsidRPr="00580C0D">
        <w:t xml:space="preserve"> ned </w:t>
      </w:r>
      <w:proofErr w:type="spellStart"/>
      <w:r w:rsidRPr="00580C0D">
        <w:t>barrierar</w:t>
      </w:r>
      <w:proofErr w:type="spellEnd"/>
      <w:r w:rsidRPr="00580C0D">
        <w:t xml:space="preserve"> og skape varige </w:t>
      </w:r>
      <w:proofErr w:type="spellStart"/>
      <w:r w:rsidRPr="00580C0D">
        <w:t>marknadsendringar</w:t>
      </w:r>
      <w:proofErr w:type="spellEnd"/>
      <w:r w:rsidRPr="00580C0D">
        <w:t xml:space="preserve"> slik at energieffektiviseringspotensialet på sikt i større grad kan </w:t>
      </w:r>
      <w:proofErr w:type="spellStart"/>
      <w:r w:rsidRPr="00580C0D">
        <w:t>utløysast</w:t>
      </w:r>
      <w:proofErr w:type="spellEnd"/>
      <w:r w:rsidRPr="00580C0D">
        <w:t xml:space="preserve"> </w:t>
      </w:r>
      <w:proofErr w:type="spellStart"/>
      <w:r w:rsidRPr="00580C0D">
        <w:t>utan</w:t>
      </w:r>
      <w:proofErr w:type="spellEnd"/>
      <w:r w:rsidRPr="00580C0D">
        <w:t xml:space="preserve"> støtte.</w:t>
      </w:r>
    </w:p>
    <w:p w14:paraId="399D79C1" w14:textId="77777777" w:rsidR="00F7113A" w:rsidRPr="00580C0D" w:rsidRDefault="00142E5B" w:rsidP="00580C0D">
      <w:r w:rsidRPr="00580C0D">
        <w:t xml:space="preserve">Regjeringas handlingsplan for energieffektivisering i alle </w:t>
      </w:r>
      <w:proofErr w:type="spellStart"/>
      <w:r w:rsidRPr="00580C0D">
        <w:t>delar</w:t>
      </w:r>
      <w:proofErr w:type="spellEnd"/>
      <w:r w:rsidRPr="00580C0D">
        <w:t xml:space="preserve"> av norsk økonomi </w:t>
      </w:r>
      <w:proofErr w:type="spellStart"/>
      <w:r w:rsidRPr="00580C0D">
        <w:t>inneheld</w:t>
      </w:r>
      <w:proofErr w:type="spellEnd"/>
      <w:r w:rsidRPr="00580C0D">
        <w:t xml:space="preserve"> </w:t>
      </w:r>
      <w:proofErr w:type="spellStart"/>
      <w:r w:rsidRPr="00580C0D">
        <w:t>fleire</w:t>
      </w:r>
      <w:proofErr w:type="spellEnd"/>
      <w:r w:rsidRPr="00580C0D">
        <w:t xml:space="preserve"> viktige grep for </w:t>
      </w:r>
      <w:proofErr w:type="spellStart"/>
      <w:r w:rsidRPr="00580C0D">
        <w:t>auka</w:t>
      </w:r>
      <w:proofErr w:type="spellEnd"/>
      <w:r w:rsidRPr="00580C0D">
        <w:t xml:space="preserve"> energieffektivisering og følgjer opp </w:t>
      </w:r>
      <w:proofErr w:type="spellStart"/>
      <w:r w:rsidRPr="00580C0D">
        <w:t>tilrådingar</w:t>
      </w:r>
      <w:proofErr w:type="spellEnd"/>
      <w:r w:rsidRPr="00580C0D">
        <w:t xml:space="preserve"> </w:t>
      </w:r>
      <w:proofErr w:type="spellStart"/>
      <w:r w:rsidRPr="00580C0D">
        <w:t>frå</w:t>
      </w:r>
      <w:proofErr w:type="spellEnd"/>
      <w:r w:rsidRPr="00580C0D">
        <w:t xml:space="preserve"> Energikommisjonen. Handlingsplanen ser </w:t>
      </w:r>
      <w:proofErr w:type="spellStart"/>
      <w:r w:rsidRPr="00580C0D">
        <w:t>verkemiddel</w:t>
      </w:r>
      <w:proofErr w:type="spellEnd"/>
      <w:r w:rsidRPr="00580C0D">
        <w:t xml:space="preserve"> som informasjon, krav og stønad i </w:t>
      </w:r>
      <w:proofErr w:type="spellStart"/>
      <w:r w:rsidRPr="00580C0D">
        <w:t>samanheng</w:t>
      </w:r>
      <w:proofErr w:type="spellEnd"/>
      <w:r w:rsidRPr="00580C0D">
        <w:t xml:space="preserve">. Mellom anna foreslår regjeringa ei løyving på 495 mill. kroner til tiltak for energieffektivisering i 2024, fordelt på Husbanken, </w:t>
      </w:r>
      <w:proofErr w:type="spellStart"/>
      <w:r w:rsidRPr="00580C0D">
        <w:t>Enova</w:t>
      </w:r>
      <w:proofErr w:type="spellEnd"/>
      <w:r w:rsidRPr="00580C0D">
        <w:t xml:space="preserve">, NVE og Direktoratet for </w:t>
      </w:r>
      <w:proofErr w:type="spellStart"/>
      <w:r w:rsidRPr="00580C0D">
        <w:t>Byggkvalitet</w:t>
      </w:r>
      <w:proofErr w:type="spellEnd"/>
      <w:r w:rsidRPr="00580C0D">
        <w:t>.</w:t>
      </w:r>
    </w:p>
    <w:p w14:paraId="6954A991"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6FFA1250" w14:textId="77777777" w:rsidR="00F7113A" w:rsidRPr="00580C0D" w:rsidRDefault="00142E5B" w:rsidP="00580C0D">
      <w:pPr>
        <w:pStyle w:val="avsnitt-undertittel"/>
      </w:pPr>
      <w:r w:rsidRPr="00580C0D">
        <w:t xml:space="preserve">Endre </w:t>
      </w:r>
      <w:proofErr w:type="spellStart"/>
      <w:r w:rsidRPr="00580C0D">
        <w:t>Enova-tilskot</w:t>
      </w:r>
      <w:proofErr w:type="spellEnd"/>
      <w:r w:rsidRPr="00580C0D">
        <w:t xml:space="preserve"> «helhetlig oppgradering av bygningskropp»</w:t>
      </w:r>
    </w:p>
    <w:p w14:paraId="679D83D1" w14:textId="77777777" w:rsidR="00F7113A" w:rsidRPr="00580C0D" w:rsidRDefault="00142E5B" w:rsidP="00580C0D">
      <w:pPr>
        <w:pStyle w:val="avsnitt-undertittel"/>
      </w:pPr>
      <w:r w:rsidRPr="00580C0D">
        <w:t>Vedtak nr. 22, 18. oktober 2022</w:t>
      </w:r>
    </w:p>
    <w:p w14:paraId="20D6D367" w14:textId="77777777" w:rsidR="00F7113A" w:rsidRPr="00580C0D" w:rsidRDefault="00142E5B" w:rsidP="00580C0D">
      <w:pPr>
        <w:pStyle w:val="blokksit"/>
        <w:rPr>
          <w:rStyle w:val="kursiv"/>
        </w:rPr>
      </w:pPr>
      <w:r w:rsidRPr="00580C0D">
        <w:rPr>
          <w:rStyle w:val="kursiv"/>
        </w:rPr>
        <w:t xml:space="preserve">«Stortinget ber regjeringen vurdere å endre dagens </w:t>
      </w:r>
      <w:proofErr w:type="spellStart"/>
      <w:r w:rsidRPr="00580C0D">
        <w:rPr>
          <w:rStyle w:val="kursiv"/>
        </w:rPr>
        <w:t>Enova</w:t>
      </w:r>
      <w:proofErr w:type="spellEnd"/>
      <w:r w:rsidRPr="00580C0D">
        <w:rPr>
          <w:rStyle w:val="kursiv"/>
        </w:rPr>
        <w:t>-tilskudd «helhetlig oppgradering av bygningskropp» slik at husholdninger kan få tilskudd også når bare deler av bygningen oppgraderes.»</w:t>
      </w:r>
    </w:p>
    <w:p w14:paraId="6C78CE2A"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og Ola Elvestuen om ekstraordinære tiltak som følgje av straumpriskrisa, jf. </w:t>
      </w:r>
      <w:proofErr w:type="spellStart"/>
      <w:r w:rsidRPr="00580C0D">
        <w:t>Innst</w:t>
      </w:r>
      <w:proofErr w:type="spellEnd"/>
      <w:r w:rsidRPr="00580C0D">
        <w:t>. 25 S (2022–2023).</w:t>
      </w:r>
    </w:p>
    <w:p w14:paraId="718A007D" w14:textId="77777777" w:rsidR="00F7113A" w:rsidRPr="00580C0D" w:rsidRDefault="00142E5B" w:rsidP="00580C0D">
      <w:r w:rsidRPr="00580C0D">
        <w:t xml:space="preserve">Departementet viser til svar på oppmodingsvedtak nr. 21, 18. oktober 2022, og utvida omtale under kap. 1428.50 av ei styrkt satsing på energieffektivisering. Som </w:t>
      </w:r>
      <w:proofErr w:type="spellStart"/>
      <w:r w:rsidRPr="00580C0D">
        <w:t>ein</w:t>
      </w:r>
      <w:proofErr w:type="spellEnd"/>
      <w:r w:rsidRPr="00580C0D">
        <w:t xml:space="preserve"> del av oppdraget </w:t>
      </w:r>
      <w:proofErr w:type="spellStart"/>
      <w:r w:rsidRPr="00580C0D">
        <w:t>frå</w:t>
      </w:r>
      <w:proofErr w:type="spellEnd"/>
      <w:r w:rsidRPr="00580C0D">
        <w:t xml:space="preserve"> departementet om å orientere om korleis </w:t>
      </w:r>
      <w:proofErr w:type="spellStart"/>
      <w:r w:rsidRPr="00580C0D">
        <w:t>dei</w:t>
      </w:r>
      <w:proofErr w:type="spellEnd"/>
      <w:r w:rsidRPr="00580C0D">
        <w:t xml:space="preserve"> vil innrette aktiviteten retta mot energi, vart </w:t>
      </w:r>
      <w:proofErr w:type="spellStart"/>
      <w:r w:rsidRPr="00580C0D">
        <w:t>Enova</w:t>
      </w:r>
      <w:proofErr w:type="spellEnd"/>
      <w:r w:rsidRPr="00580C0D">
        <w:t xml:space="preserve"> også bede om å vurdere </w:t>
      </w:r>
      <w:proofErr w:type="spellStart"/>
      <w:r w:rsidRPr="00580C0D">
        <w:t>innhaldet</w:t>
      </w:r>
      <w:proofErr w:type="spellEnd"/>
      <w:r w:rsidRPr="00580C0D">
        <w:t xml:space="preserve"> i dette oppmodingsvedtaket. Gjennom </w:t>
      </w:r>
      <w:proofErr w:type="spellStart"/>
      <w:r w:rsidRPr="00580C0D">
        <w:t>noverande</w:t>
      </w:r>
      <w:proofErr w:type="spellEnd"/>
      <w:r w:rsidRPr="00580C0D">
        <w:t xml:space="preserve"> </w:t>
      </w:r>
      <w:proofErr w:type="spellStart"/>
      <w:r w:rsidRPr="00580C0D">
        <w:t>tilskot</w:t>
      </w:r>
      <w:proofErr w:type="spellEnd"/>
      <w:r w:rsidRPr="00580C0D">
        <w:t xml:space="preserve"> til </w:t>
      </w:r>
      <w:proofErr w:type="spellStart"/>
      <w:r w:rsidRPr="00580C0D">
        <w:t>heilskaplege</w:t>
      </w:r>
      <w:proofErr w:type="spellEnd"/>
      <w:r w:rsidRPr="00580C0D">
        <w:t xml:space="preserve"> oppgraderingsprosjekt motiverer </w:t>
      </w:r>
      <w:proofErr w:type="spellStart"/>
      <w:r w:rsidRPr="00580C0D">
        <w:t>Enova</w:t>
      </w:r>
      <w:proofErr w:type="spellEnd"/>
      <w:r w:rsidRPr="00580C0D">
        <w:t xml:space="preserve"> til føredømeprosjekt som </w:t>
      </w:r>
      <w:proofErr w:type="spellStart"/>
      <w:r w:rsidRPr="00580C0D">
        <w:t>ifølgje</w:t>
      </w:r>
      <w:proofErr w:type="spellEnd"/>
      <w:r w:rsidRPr="00580C0D">
        <w:t xml:space="preserve"> </w:t>
      </w:r>
      <w:proofErr w:type="spellStart"/>
      <w:r w:rsidRPr="00580C0D">
        <w:t>Enova</w:t>
      </w:r>
      <w:proofErr w:type="spellEnd"/>
      <w:r w:rsidRPr="00580C0D">
        <w:t xml:space="preserve"> </w:t>
      </w:r>
      <w:proofErr w:type="spellStart"/>
      <w:r w:rsidRPr="00580C0D">
        <w:t>bidreg</w:t>
      </w:r>
      <w:proofErr w:type="spellEnd"/>
      <w:r w:rsidRPr="00580C0D">
        <w:t xml:space="preserve"> til </w:t>
      </w:r>
      <w:proofErr w:type="spellStart"/>
      <w:r w:rsidRPr="00580C0D">
        <w:t>auka</w:t>
      </w:r>
      <w:proofErr w:type="spellEnd"/>
      <w:r w:rsidRPr="00580C0D">
        <w:t xml:space="preserve"> kompetanse i bransjen og til </w:t>
      </w:r>
      <w:proofErr w:type="spellStart"/>
      <w:r w:rsidRPr="00580C0D">
        <w:t>haldningsutvikling</w:t>
      </w:r>
      <w:proofErr w:type="spellEnd"/>
      <w:r w:rsidRPr="00580C0D">
        <w:t xml:space="preserve"> hos </w:t>
      </w:r>
      <w:proofErr w:type="spellStart"/>
      <w:r w:rsidRPr="00580C0D">
        <w:t>bustadeigarar</w:t>
      </w:r>
      <w:proofErr w:type="spellEnd"/>
      <w:r w:rsidRPr="00580C0D">
        <w:t xml:space="preserve">. Ei eventuell støtteordning til trinnvis oppgradering burde etter </w:t>
      </w:r>
      <w:proofErr w:type="spellStart"/>
      <w:r w:rsidRPr="00580C0D">
        <w:t>Enovas</w:t>
      </w:r>
      <w:proofErr w:type="spellEnd"/>
      <w:r w:rsidRPr="00580C0D">
        <w:t xml:space="preserve"> vurdering </w:t>
      </w:r>
      <w:proofErr w:type="spellStart"/>
      <w:r w:rsidRPr="00580C0D">
        <w:t>knytast</w:t>
      </w:r>
      <w:proofErr w:type="spellEnd"/>
      <w:r w:rsidRPr="00580C0D">
        <w:t xml:space="preserve"> til prosentvis </w:t>
      </w:r>
      <w:proofErr w:type="spellStart"/>
      <w:r w:rsidRPr="00580C0D">
        <w:t>forbetring</w:t>
      </w:r>
      <w:proofErr w:type="spellEnd"/>
      <w:r w:rsidRPr="00580C0D">
        <w:t xml:space="preserve"> av samla energiyting, på same måten som det </w:t>
      </w:r>
      <w:proofErr w:type="spellStart"/>
      <w:r w:rsidRPr="00580C0D">
        <w:t>Enova</w:t>
      </w:r>
      <w:proofErr w:type="spellEnd"/>
      <w:r w:rsidRPr="00580C0D">
        <w:t xml:space="preserve"> </w:t>
      </w:r>
      <w:proofErr w:type="spellStart"/>
      <w:r w:rsidRPr="00580C0D">
        <w:t>no</w:t>
      </w:r>
      <w:proofErr w:type="spellEnd"/>
      <w:r w:rsidRPr="00580C0D">
        <w:t xml:space="preserve"> </w:t>
      </w:r>
      <w:proofErr w:type="spellStart"/>
      <w:r w:rsidRPr="00580C0D">
        <w:t>legg</w:t>
      </w:r>
      <w:proofErr w:type="spellEnd"/>
      <w:r w:rsidRPr="00580C0D">
        <w:t xml:space="preserve"> opp til for </w:t>
      </w:r>
      <w:proofErr w:type="spellStart"/>
      <w:r w:rsidRPr="00580C0D">
        <w:t>fleirbustadhus</w:t>
      </w:r>
      <w:proofErr w:type="spellEnd"/>
      <w:r w:rsidRPr="00580C0D">
        <w:t xml:space="preserve"> og næringsbygg. Utfordringa er at </w:t>
      </w:r>
      <w:proofErr w:type="spellStart"/>
      <w:r w:rsidRPr="00580C0D">
        <w:t>noverande</w:t>
      </w:r>
      <w:proofErr w:type="spellEnd"/>
      <w:r w:rsidRPr="00580C0D">
        <w:t xml:space="preserve"> energimerke </w:t>
      </w:r>
      <w:proofErr w:type="spellStart"/>
      <w:r w:rsidRPr="00580C0D">
        <w:t>ikkje</w:t>
      </w:r>
      <w:proofErr w:type="spellEnd"/>
      <w:r w:rsidRPr="00580C0D">
        <w:t xml:space="preserve"> er </w:t>
      </w:r>
      <w:proofErr w:type="spellStart"/>
      <w:r w:rsidRPr="00580C0D">
        <w:t>ein</w:t>
      </w:r>
      <w:proofErr w:type="spellEnd"/>
      <w:r w:rsidRPr="00580C0D">
        <w:t xml:space="preserve"> eigna indikator for energitiltak i ei støtteordning retta mot </w:t>
      </w:r>
      <w:proofErr w:type="spellStart"/>
      <w:r w:rsidRPr="00580C0D">
        <w:t>einebustader</w:t>
      </w:r>
      <w:proofErr w:type="spellEnd"/>
      <w:r w:rsidRPr="00580C0D">
        <w:t xml:space="preserve"> og småhus, </w:t>
      </w:r>
      <w:proofErr w:type="spellStart"/>
      <w:r w:rsidRPr="00580C0D">
        <w:t>ikkje</w:t>
      </w:r>
      <w:proofErr w:type="spellEnd"/>
      <w:r w:rsidRPr="00580C0D">
        <w:t xml:space="preserve"> minst fordi det </w:t>
      </w:r>
      <w:proofErr w:type="spellStart"/>
      <w:r w:rsidRPr="00580C0D">
        <w:t>ikkje</w:t>
      </w:r>
      <w:proofErr w:type="spellEnd"/>
      <w:r w:rsidRPr="00580C0D">
        <w:t xml:space="preserve"> </w:t>
      </w:r>
      <w:proofErr w:type="spellStart"/>
      <w:r w:rsidRPr="00580C0D">
        <w:t>føreset</w:t>
      </w:r>
      <w:proofErr w:type="spellEnd"/>
      <w:r w:rsidRPr="00580C0D">
        <w:t xml:space="preserve"> merking gjord av </w:t>
      </w:r>
      <w:proofErr w:type="spellStart"/>
      <w:r w:rsidRPr="00580C0D">
        <w:t>ein</w:t>
      </w:r>
      <w:proofErr w:type="spellEnd"/>
      <w:r w:rsidRPr="00580C0D">
        <w:t xml:space="preserve"> profesjonell aktør. </w:t>
      </w:r>
      <w:proofErr w:type="spellStart"/>
      <w:r w:rsidRPr="00580C0D">
        <w:t>Enova</w:t>
      </w:r>
      <w:proofErr w:type="spellEnd"/>
      <w:r w:rsidRPr="00580C0D">
        <w:t xml:space="preserve"> viser likevel til at </w:t>
      </w:r>
      <w:proofErr w:type="spellStart"/>
      <w:r w:rsidRPr="00580C0D">
        <w:t>marknaden</w:t>
      </w:r>
      <w:proofErr w:type="spellEnd"/>
      <w:r w:rsidRPr="00580C0D">
        <w:t xml:space="preserve"> for rehabilitering i </w:t>
      </w:r>
      <w:proofErr w:type="spellStart"/>
      <w:r w:rsidRPr="00580C0D">
        <w:t>bustader</w:t>
      </w:r>
      <w:proofErr w:type="spellEnd"/>
      <w:r w:rsidRPr="00580C0D">
        <w:t xml:space="preserve"> er stor og moden, og at </w:t>
      </w:r>
      <w:proofErr w:type="spellStart"/>
      <w:r w:rsidRPr="00580C0D">
        <w:t>ein</w:t>
      </w:r>
      <w:proofErr w:type="spellEnd"/>
      <w:r w:rsidRPr="00580C0D">
        <w:t xml:space="preserve"> </w:t>
      </w:r>
      <w:proofErr w:type="spellStart"/>
      <w:r w:rsidRPr="00580C0D">
        <w:t>høg</w:t>
      </w:r>
      <w:proofErr w:type="spellEnd"/>
      <w:r w:rsidRPr="00580C0D">
        <w:t xml:space="preserve"> andel av </w:t>
      </w:r>
      <w:proofErr w:type="spellStart"/>
      <w:r w:rsidRPr="00580C0D">
        <w:t>eit</w:t>
      </w:r>
      <w:proofErr w:type="spellEnd"/>
      <w:r w:rsidRPr="00580C0D">
        <w:t xml:space="preserve"> eventuelt </w:t>
      </w:r>
      <w:proofErr w:type="spellStart"/>
      <w:r w:rsidRPr="00580C0D">
        <w:t>tilskot</w:t>
      </w:r>
      <w:proofErr w:type="spellEnd"/>
      <w:r w:rsidRPr="00580C0D">
        <w:t xml:space="preserve"> til trinnvis oppgradering </w:t>
      </w:r>
      <w:proofErr w:type="spellStart"/>
      <w:r w:rsidRPr="00580C0D">
        <w:t>difor</w:t>
      </w:r>
      <w:proofErr w:type="spellEnd"/>
      <w:r w:rsidRPr="00580C0D">
        <w:t xml:space="preserve"> ville </w:t>
      </w:r>
      <w:proofErr w:type="spellStart"/>
      <w:r w:rsidRPr="00580C0D">
        <w:t>innebere</w:t>
      </w:r>
      <w:proofErr w:type="spellEnd"/>
      <w:r w:rsidRPr="00580C0D">
        <w:t xml:space="preserve"> </w:t>
      </w:r>
      <w:proofErr w:type="spellStart"/>
      <w:r w:rsidRPr="00580C0D">
        <w:t>betydeleg</w:t>
      </w:r>
      <w:proofErr w:type="spellEnd"/>
      <w:r w:rsidRPr="00580C0D">
        <w:t xml:space="preserve"> </w:t>
      </w:r>
      <w:proofErr w:type="spellStart"/>
      <w:r w:rsidRPr="00580C0D">
        <w:t>løyvingsbehov</w:t>
      </w:r>
      <w:proofErr w:type="spellEnd"/>
      <w:r w:rsidRPr="00580C0D">
        <w:t xml:space="preserve"> og i stor grad gå til prosjekt som også ville ha blitt gjennomførte </w:t>
      </w:r>
      <w:proofErr w:type="spellStart"/>
      <w:r w:rsidRPr="00580C0D">
        <w:t>utan</w:t>
      </w:r>
      <w:proofErr w:type="spellEnd"/>
      <w:r w:rsidRPr="00580C0D">
        <w:t xml:space="preserve"> </w:t>
      </w:r>
      <w:proofErr w:type="spellStart"/>
      <w:r w:rsidRPr="00580C0D">
        <w:t>tilskot</w:t>
      </w:r>
      <w:proofErr w:type="spellEnd"/>
      <w:r w:rsidRPr="00580C0D">
        <w:t>.</w:t>
      </w:r>
    </w:p>
    <w:p w14:paraId="5641B684" w14:textId="77777777" w:rsidR="00F7113A" w:rsidRPr="00580C0D" w:rsidRDefault="00142E5B" w:rsidP="00580C0D">
      <w:r w:rsidRPr="00580C0D">
        <w:t xml:space="preserve">Klima- og miljødepartementets styring av </w:t>
      </w:r>
      <w:proofErr w:type="spellStart"/>
      <w:r w:rsidRPr="00580C0D">
        <w:t>Enova</w:t>
      </w:r>
      <w:proofErr w:type="spellEnd"/>
      <w:r w:rsidRPr="00580C0D">
        <w:t xml:space="preserve"> går </w:t>
      </w:r>
      <w:proofErr w:type="spellStart"/>
      <w:r w:rsidRPr="00580C0D">
        <w:t>ikkje</w:t>
      </w:r>
      <w:proofErr w:type="spellEnd"/>
      <w:r w:rsidRPr="00580C0D">
        <w:t xml:space="preserve"> for seg på detaljnivået oppmodingsvedtaket impliserer. </w:t>
      </w:r>
      <w:proofErr w:type="spellStart"/>
      <w:r w:rsidRPr="00580C0D">
        <w:t>Enova</w:t>
      </w:r>
      <w:proofErr w:type="spellEnd"/>
      <w:r w:rsidRPr="00580C0D">
        <w:t xml:space="preserve"> </w:t>
      </w:r>
      <w:proofErr w:type="spellStart"/>
      <w:r w:rsidRPr="00580C0D">
        <w:t>utviklar</w:t>
      </w:r>
      <w:proofErr w:type="spellEnd"/>
      <w:r w:rsidRPr="00580C0D">
        <w:t xml:space="preserve"> program og </w:t>
      </w:r>
      <w:proofErr w:type="spellStart"/>
      <w:r w:rsidRPr="00580C0D">
        <w:t>set</w:t>
      </w:r>
      <w:proofErr w:type="spellEnd"/>
      <w:r w:rsidRPr="00580C0D">
        <w:t xml:space="preserve"> kriterium basert på </w:t>
      </w:r>
      <w:proofErr w:type="spellStart"/>
      <w:r w:rsidRPr="00580C0D">
        <w:t>dei</w:t>
      </w:r>
      <w:proofErr w:type="spellEnd"/>
      <w:r w:rsidRPr="00580C0D">
        <w:t xml:space="preserve"> </w:t>
      </w:r>
      <w:proofErr w:type="spellStart"/>
      <w:r w:rsidRPr="00580C0D">
        <w:t>faglege</w:t>
      </w:r>
      <w:proofErr w:type="spellEnd"/>
      <w:r w:rsidRPr="00580C0D">
        <w:t xml:space="preserve"> </w:t>
      </w:r>
      <w:proofErr w:type="spellStart"/>
      <w:r w:rsidRPr="00580C0D">
        <w:t>vurderingane</w:t>
      </w:r>
      <w:proofErr w:type="spellEnd"/>
      <w:r w:rsidRPr="00580C0D">
        <w:t xml:space="preserve"> </w:t>
      </w:r>
      <w:proofErr w:type="spellStart"/>
      <w:r w:rsidRPr="00580C0D">
        <w:t>deira</w:t>
      </w:r>
      <w:proofErr w:type="spellEnd"/>
      <w:r w:rsidRPr="00580C0D">
        <w:t xml:space="preserve"> og kjennskapen </w:t>
      </w:r>
      <w:proofErr w:type="spellStart"/>
      <w:r w:rsidRPr="00580C0D">
        <w:t>deira</w:t>
      </w:r>
      <w:proofErr w:type="spellEnd"/>
      <w:r w:rsidRPr="00580C0D">
        <w:t xml:space="preserve"> til </w:t>
      </w:r>
      <w:proofErr w:type="spellStart"/>
      <w:r w:rsidRPr="00580C0D">
        <w:t>teknologiar</w:t>
      </w:r>
      <w:proofErr w:type="spellEnd"/>
      <w:r w:rsidRPr="00580C0D">
        <w:t xml:space="preserve"> og </w:t>
      </w:r>
      <w:proofErr w:type="spellStart"/>
      <w:r w:rsidRPr="00580C0D">
        <w:t>marknader</w:t>
      </w:r>
      <w:proofErr w:type="spellEnd"/>
      <w:r w:rsidRPr="00580C0D">
        <w:t xml:space="preserve">. Slik departementet vurderer det, </w:t>
      </w:r>
      <w:proofErr w:type="spellStart"/>
      <w:r w:rsidRPr="00580C0D">
        <w:t>legg</w:t>
      </w:r>
      <w:proofErr w:type="spellEnd"/>
      <w:r w:rsidRPr="00580C0D">
        <w:t xml:space="preserve"> det til rette for at </w:t>
      </w:r>
      <w:proofErr w:type="spellStart"/>
      <w:r w:rsidRPr="00580C0D">
        <w:t>midlane</w:t>
      </w:r>
      <w:proofErr w:type="spellEnd"/>
      <w:r w:rsidRPr="00580C0D">
        <w:t xml:space="preserve"> </w:t>
      </w:r>
      <w:proofErr w:type="spellStart"/>
      <w:r w:rsidRPr="00580C0D">
        <w:t>frå</w:t>
      </w:r>
      <w:proofErr w:type="spellEnd"/>
      <w:r w:rsidRPr="00580C0D">
        <w:t xml:space="preserve"> Klima- og energifondet blir utnytta mest </w:t>
      </w:r>
      <w:proofErr w:type="spellStart"/>
      <w:r w:rsidRPr="00580C0D">
        <w:t>mogleg</w:t>
      </w:r>
      <w:proofErr w:type="spellEnd"/>
      <w:r w:rsidRPr="00580C0D">
        <w:t xml:space="preserve"> effektivt for å nå </w:t>
      </w:r>
      <w:proofErr w:type="spellStart"/>
      <w:r w:rsidRPr="00580C0D">
        <w:t>dei</w:t>
      </w:r>
      <w:proofErr w:type="spellEnd"/>
      <w:r w:rsidRPr="00580C0D">
        <w:t xml:space="preserve"> overordna politisk sette måla i styringsavtalen.</w:t>
      </w:r>
    </w:p>
    <w:p w14:paraId="3203D094"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57658373" w14:textId="77777777" w:rsidR="00F7113A" w:rsidRPr="00580C0D" w:rsidRDefault="00142E5B" w:rsidP="00580C0D">
      <w:pPr>
        <w:pStyle w:val="avsnitt-tittel"/>
      </w:pPr>
      <w:r w:rsidRPr="00580C0D">
        <w:t xml:space="preserve">Endre </w:t>
      </w:r>
      <w:proofErr w:type="spellStart"/>
      <w:r w:rsidRPr="00580C0D">
        <w:t>Enovas</w:t>
      </w:r>
      <w:proofErr w:type="spellEnd"/>
      <w:r w:rsidRPr="00580C0D">
        <w:t xml:space="preserve"> løysing for utbetaling til </w:t>
      </w:r>
      <w:proofErr w:type="spellStart"/>
      <w:r w:rsidRPr="00580C0D">
        <w:t>forbrukarar</w:t>
      </w:r>
      <w:proofErr w:type="spellEnd"/>
    </w:p>
    <w:p w14:paraId="6C70A9C4" w14:textId="77777777" w:rsidR="00F7113A" w:rsidRPr="00580C0D" w:rsidRDefault="00142E5B" w:rsidP="00580C0D">
      <w:pPr>
        <w:pStyle w:val="avsnitt-undertittel"/>
      </w:pPr>
      <w:r w:rsidRPr="00580C0D">
        <w:t>Vedtak nr. 23, 16. oktober 2022</w:t>
      </w:r>
    </w:p>
    <w:p w14:paraId="392DBFFC" w14:textId="77777777" w:rsidR="00F7113A" w:rsidRPr="00580C0D" w:rsidRDefault="00142E5B" w:rsidP="00580C0D">
      <w:pPr>
        <w:pStyle w:val="blokksit"/>
        <w:rPr>
          <w:rStyle w:val="kursiv"/>
        </w:rPr>
      </w:pPr>
      <w:r w:rsidRPr="00580C0D">
        <w:rPr>
          <w:rStyle w:val="kursiv"/>
        </w:rPr>
        <w:t xml:space="preserve">«Stortinget ber regjeringen vurdere å legge om </w:t>
      </w:r>
      <w:proofErr w:type="spellStart"/>
      <w:r w:rsidRPr="00580C0D">
        <w:rPr>
          <w:rStyle w:val="kursiv"/>
        </w:rPr>
        <w:t>Enovas</w:t>
      </w:r>
      <w:proofErr w:type="spellEnd"/>
      <w:r w:rsidRPr="00580C0D">
        <w:rPr>
          <w:rStyle w:val="kursiv"/>
        </w:rPr>
        <w:t xml:space="preserve"> løsning for utbetaling til forbrukere slik at man får samtidig utbetaling.»</w:t>
      </w:r>
    </w:p>
    <w:p w14:paraId="2B2B0316"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og Ola Elvestuen om ekstraordinære tiltak som følgje av straumpriskrisa, jf. </w:t>
      </w:r>
      <w:proofErr w:type="spellStart"/>
      <w:r w:rsidRPr="00580C0D">
        <w:t>Innst</w:t>
      </w:r>
      <w:proofErr w:type="spellEnd"/>
      <w:r w:rsidRPr="00580C0D">
        <w:t>. 25 S (2022–2023).</w:t>
      </w:r>
    </w:p>
    <w:p w14:paraId="2C2222FC" w14:textId="77777777" w:rsidR="00F7113A" w:rsidRPr="00580C0D" w:rsidRDefault="00142E5B" w:rsidP="00580C0D">
      <w:r w:rsidRPr="00580C0D">
        <w:t xml:space="preserve">Departementet forstår oppmodingsvedtaket som at det er meint ei vurdering av at støtte til </w:t>
      </w:r>
      <w:proofErr w:type="spellStart"/>
      <w:r w:rsidRPr="00580C0D">
        <w:t>hushald</w:t>
      </w:r>
      <w:proofErr w:type="spellEnd"/>
      <w:r w:rsidRPr="00580C0D">
        <w:t xml:space="preserve"> og </w:t>
      </w:r>
      <w:proofErr w:type="spellStart"/>
      <w:r w:rsidRPr="00580C0D">
        <w:t>forbrukarar</w:t>
      </w:r>
      <w:proofErr w:type="spellEnd"/>
      <w:r w:rsidRPr="00580C0D">
        <w:t xml:space="preserve"> blir utbetalt samstundes som det blir søkt om </w:t>
      </w:r>
      <w:proofErr w:type="spellStart"/>
      <w:r w:rsidRPr="00580C0D">
        <w:t>tilskot</w:t>
      </w:r>
      <w:proofErr w:type="spellEnd"/>
      <w:r w:rsidRPr="00580C0D">
        <w:t xml:space="preserve">, og </w:t>
      </w:r>
      <w:proofErr w:type="spellStart"/>
      <w:r w:rsidRPr="00580C0D">
        <w:t>ikkje</w:t>
      </w:r>
      <w:proofErr w:type="spellEnd"/>
      <w:r w:rsidRPr="00580C0D">
        <w:t xml:space="preserve"> </w:t>
      </w:r>
      <w:proofErr w:type="spellStart"/>
      <w:r w:rsidRPr="00580C0D">
        <w:t>etterskotsvis</w:t>
      </w:r>
      <w:proofErr w:type="spellEnd"/>
      <w:r w:rsidRPr="00580C0D">
        <w:t xml:space="preserve"> etter gjennomført tiltak, som er </w:t>
      </w:r>
      <w:proofErr w:type="spellStart"/>
      <w:r w:rsidRPr="00580C0D">
        <w:t>noverande</w:t>
      </w:r>
      <w:proofErr w:type="spellEnd"/>
      <w:r w:rsidRPr="00580C0D">
        <w:t xml:space="preserve"> praksis. I samband med oppdraget </w:t>
      </w:r>
      <w:proofErr w:type="spellStart"/>
      <w:r w:rsidRPr="00580C0D">
        <w:t>frå</w:t>
      </w:r>
      <w:proofErr w:type="spellEnd"/>
      <w:r w:rsidRPr="00580C0D">
        <w:t xml:space="preserve"> regjeringa til </w:t>
      </w:r>
      <w:proofErr w:type="spellStart"/>
      <w:r w:rsidRPr="00580C0D">
        <w:t>Enova</w:t>
      </w:r>
      <w:proofErr w:type="spellEnd"/>
      <w:r w:rsidRPr="00580C0D">
        <w:t xml:space="preserve"> om orientering om aktivitet retta mot energi vart </w:t>
      </w:r>
      <w:proofErr w:type="spellStart"/>
      <w:r w:rsidRPr="00580C0D">
        <w:t>Enova</w:t>
      </w:r>
      <w:proofErr w:type="spellEnd"/>
      <w:r w:rsidRPr="00580C0D">
        <w:t xml:space="preserve"> også bede om å vurdere samstundes utbetaling.</w:t>
      </w:r>
    </w:p>
    <w:p w14:paraId="34A4D5AB" w14:textId="77777777" w:rsidR="00F7113A" w:rsidRPr="00580C0D" w:rsidRDefault="00142E5B" w:rsidP="00580C0D">
      <w:r w:rsidRPr="00580C0D">
        <w:t xml:space="preserve">Det er </w:t>
      </w:r>
      <w:proofErr w:type="spellStart"/>
      <w:r w:rsidRPr="00580C0D">
        <w:t>fleire</w:t>
      </w:r>
      <w:proofErr w:type="spellEnd"/>
      <w:r w:rsidRPr="00580C0D">
        <w:t xml:space="preserve"> </w:t>
      </w:r>
      <w:proofErr w:type="spellStart"/>
      <w:r w:rsidRPr="00580C0D">
        <w:t>grunnar</w:t>
      </w:r>
      <w:proofErr w:type="spellEnd"/>
      <w:r w:rsidRPr="00580C0D">
        <w:t xml:space="preserve"> til at støtte </w:t>
      </w:r>
      <w:proofErr w:type="spellStart"/>
      <w:r w:rsidRPr="00580C0D">
        <w:t>ikkje</w:t>
      </w:r>
      <w:proofErr w:type="spellEnd"/>
      <w:r w:rsidRPr="00580C0D">
        <w:t xml:space="preserve"> bør </w:t>
      </w:r>
      <w:proofErr w:type="spellStart"/>
      <w:r w:rsidRPr="00580C0D">
        <w:t>utbetalast</w:t>
      </w:r>
      <w:proofErr w:type="spellEnd"/>
      <w:r w:rsidRPr="00580C0D">
        <w:t xml:space="preserve"> før tiltak faktisk er gjennomførte, som </w:t>
      </w:r>
      <w:proofErr w:type="spellStart"/>
      <w:r w:rsidRPr="00580C0D">
        <w:t>Enova</w:t>
      </w:r>
      <w:proofErr w:type="spellEnd"/>
      <w:r w:rsidRPr="00580C0D">
        <w:t xml:space="preserve"> også </w:t>
      </w:r>
      <w:proofErr w:type="spellStart"/>
      <w:r w:rsidRPr="00580C0D">
        <w:t>trekkjer</w:t>
      </w:r>
      <w:proofErr w:type="spellEnd"/>
      <w:r w:rsidRPr="00580C0D">
        <w:t xml:space="preserve"> fram i svaret sitt. </w:t>
      </w:r>
      <w:proofErr w:type="spellStart"/>
      <w:r w:rsidRPr="00580C0D">
        <w:t>Ein</w:t>
      </w:r>
      <w:proofErr w:type="spellEnd"/>
      <w:r w:rsidRPr="00580C0D">
        <w:t xml:space="preserve"> grunn er at det er stort </w:t>
      </w:r>
      <w:proofErr w:type="spellStart"/>
      <w:r w:rsidRPr="00580C0D">
        <w:t>sannsyn</w:t>
      </w:r>
      <w:proofErr w:type="spellEnd"/>
      <w:r w:rsidRPr="00580C0D">
        <w:t xml:space="preserve"> for at </w:t>
      </w:r>
      <w:proofErr w:type="spellStart"/>
      <w:r w:rsidRPr="00580C0D">
        <w:t>ein</w:t>
      </w:r>
      <w:proofErr w:type="spellEnd"/>
      <w:r w:rsidRPr="00580C0D">
        <w:t xml:space="preserve"> god del av prosjekta </w:t>
      </w:r>
      <w:proofErr w:type="spellStart"/>
      <w:r w:rsidRPr="00580C0D">
        <w:t>ikkje</w:t>
      </w:r>
      <w:proofErr w:type="spellEnd"/>
      <w:r w:rsidRPr="00580C0D">
        <w:t xml:space="preserve"> blir gjennomførte og </w:t>
      </w:r>
      <w:proofErr w:type="spellStart"/>
      <w:r w:rsidRPr="00580C0D">
        <w:t>ein</w:t>
      </w:r>
      <w:proofErr w:type="spellEnd"/>
      <w:r w:rsidRPr="00580C0D">
        <w:t xml:space="preserve"> da må bruke </w:t>
      </w:r>
      <w:proofErr w:type="spellStart"/>
      <w:r w:rsidRPr="00580C0D">
        <w:t>mykje</w:t>
      </w:r>
      <w:proofErr w:type="spellEnd"/>
      <w:r w:rsidRPr="00580C0D">
        <w:t xml:space="preserve"> tid og </w:t>
      </w:r>
      <w:proofErr w:type="spellStart"/>
      <w:r w:rsidRPr="00580C0D">
        <w:t>ressursar</w:t>
      </w:r>
      <w:proofErr w:type="spellEnd"/>
      <w:r w:rsidRPr="00580C0D">
        <w:t xml:space="preserve"> på tilbakebetaling hos både </w:t>
      </w:r>
      <w:proofErr w:type="spellStart"/>
      <w:r w:rsidRPr="00580C0D">
        <w:t>Enova</w:t>
      </w:r>
      <w:proofErr w:type="spellEnd"/>
      <w:r w:rsidRPr="00580C0D">
        <w:t xml:space="preserve"> og </w:t>
      </w:r>
      <w:proofErr w:type="spellStart"/>
      <w:r w:rsidRPr="00580C0D">
        <w:t>søkjaren</w:t>
      </w:r>
      <w:proofErr w:type="spellEnd"/>
      <w:r w:rsidRPr="00580C0D">
        <w:t xml:space="preserve"> </w:t>
      </w:r>
      <w:proofErr w:type="spellStart"/>
      <w:r w:rsidRPr="00580C0D">
        <w:t>utan</w:t>
      </w:r>
      <w:proofErr w:type="spellEnd"/>
      <w:r w:rsidRPr="00580C0D">
        <w:t xml:space="preserve"> at </w:t>
      </w:r>
      <w:proofErr w:type="spellStart"/>
      <w:r w:rsidRPr="00580C0D">
        <w:t>ein</w:t>
      </w:r>
      <w:proofErr w:type="spellEnd"/>
      <w:r w:rsidRPr="00580C0D">
        <w:t xml:space="preserve"> nødvendigvis oppnår betre resultat. </w:t>
      </w:r>
      <w:proofErr w:type="spellStart"/>
      <w:r w:rsidRPr="00580C0D">
        <w:t>Tidlegare</w:t>
      </w:r>
      <w:proofErr w:type="spellEnd"/>
      <w:r w:rsidRPr="00580C0D">
        <w:t xml:space="preserve"> </w:t>
      </w:r>
      <w:proofErr w:type="spellStart"/>
      <w:r w:rsidRPr="00580C0D">
        <w:t>erfaringar</w:t>
      </w:r>
      <w:proofErr w:type="spellEnd"/>
      <w:r w:rsidRPr="00580C0D">
        <w:t xml:space="preserve"> i </w:t>
      </w:r>
      <w:proofErr w:type="spellStart"/>
      <w:r w:rsidRPr="00580C0D">
        <w:t>Enova</w:t>
      </w:r>
      <w:proofErr w:type="spellEnd"/>
      <w:r w:rsidRPr="00580C0D">
        <w:t xml:space="preserve"> med søknadsbasert ordning retta mot </w:t>
      </w:r>
      <w:proofErr w:type="spellStart"/>
      <w:r w:rsidRPr="00580C0D">
        <w:t>hushalda</w:t>
      </w:r>
      <w:proofErr w:type="spellEnd"/>
      <w:r w:rsidRPr="00580C0D">
        <w:t xml:space="preserve"> viser at om lag halvparten av </w:t>
      </w:r>
      <w:proofErr w:type="spellStart"/>
      <w:r w:rsidRPr="00580C0D">
        <w:t>tilsegnene</w:t>
      </w:r>
      <w:proofErr w:type="spellEnd"/>
      <w:r w:rsidRPr="00580C0D">
        <w:t xml:space="preserve"> </w:t>
      </w:r>
      <w:proofErr w:type="spellStart"/>
      <w:r w:rsidRPr="00580C0D">
        <w:t>ikkje</w:t>
      </w:r>
      <w:proofErr w:type="spellEnd"/>
      <w:r w:rsidRPr="00580C0D">
        <w:t xml:space="preserve"> </w:t>
      </w:r>
      <w:proofErr w:type="spellStart"/>
      <w:r w:rsidRPr="00580C0D">
        <w:t>vart</w:t>
      </w:r>
      <w:proofErr w:type="spellEnd"/>
      <w:r w:rsidRPr="00580C0D">
        <w:t xml:space="preserve"> brukt. Den </w:t>
      </w:r>
      <w:proofErr w:type="spellStart"/>
      <w:r w:rsidRPr="00580C0D">
        <w:t>noverande</w:t>
      </w:r>
      <w:proofErr w:type="spellEnd"/>
      <w:r w:rsidRPr="00580C0D">
        <w:t xml:space="preserve"> ordninga, </w:t>
      </w:r>
      <w:proofErr w:type="spellStart"/>
      <w:r w:rsidRPr="00580C0D">
        <w:t>Enovatilskotet</w:t>
      </w:r>
      <w:proofErr w:type="spellEnd"/>
      <w:r w:rsidRPr="00580C0D">
        <w:t xml:space="preserve">, med klare kriterium for kva som kvalifiserer til støtte, og rask utbetaling etter motteken faktura, er ubyråkratisk og enkel for både </w:t>
      </w:r>
      <w:proofErr w:type="spellStart"/>
      <w:r w:rsidRPr="00580C0D">
        <w:t>søkjarane</w:t>
      </w:r>
      <w:proofErr w:type="spellEnd"/>
      <w:r w:rsidRPr="00580C0D">
        <w:t xml:space="preserve"> og </w:t>
      </w:r>
      <w:proofErr w:type="spellStart"/>
      <w:r w:rsidRPr="00580C0D">
        <w:t>Enova</w:t>
      </w:r>
      <w:proofErr w:type="spellEnd"/>
      <w:r w:rsidRPr="00580C0D">
        <w:t xml:space="preserve">. Når det er sagt, erkjenner departementet at det kan </w:t>
      </w:r>
      <w:proofErr w:type="spellStart"/>
      <w:r w:rsidRPr="00580C0D">
        <w:t>vere</w:t>
      </w:r>
      <w:proofErr w:type="spellEnd"/>
      <w:r w:rsidRPr="00580C0D">
        <w:t xml:space="preserve"> </w:t>
      </w:r>
      <w:proofErr w:type="spellStart"/>
      <w:r w:rsidRPr="00580C0D">
        <w:t>utfordrande</w:t>
      </w:r>
      <w:proofErr w:type="spellEnd"/>
      <w:r w:rsidRPr="00580C0D">
        <w:t xml:space="preserve"> for </w:t>
      </w:r>
      <w:proofErr w:type="spellStart"/>
      <w:r w:rsidRPr="00580C0D">
        <w:t>nokre</w:t>
      </w:r>
      <w:proofErr w:type="spellEnd"/>
      <w:r w:rsidRPr="00580C0D">
        <w:t xml:space="preserve"> å ha </w:t>
      </w:r>
      <w:proofErr w:type="spellStart"/>
      <w:r w:rsidRPr="00580C0D">
        <w:t>midlar</w:t>
      </w:r>
      <w:proofErr w:type="spellEnd"/>
      <w:r w:rsidRPr="00580C0D">
        <w:t xml:space="preserve"> til å gjennomføre </w:t>
      </w:r>
      <w:proofErr w:type="spellStart"/>
      <w:r w:rsidRPr="00580C0D">
        <w:t>investeringar</w:t>
      </w:r>
      <w:proofErr w:type="spellEnd"/>
      <w:r w:rsidRPr="00580C0D">
        <w:t xml:space="preserve"> før støtta blir utbetalt. Denne likviditetsutfordringa kan og bør likevel </w:t>
      </w:r>
      <w:proofErr w:type="spellStart"/>
      <w:r w:rsidRPr="00580C0D">
        <w:t>løysast</w:t>
      </w:r>
      <w:proofErr w:type="spellEnd"/>
      <w:r w:rsidRPr="00580C0D">
        <w:t xml:space="preserve"> på andre </w:t>
      </w:r>
      <w:proofErr w:type="spellStart"/>
      <w:r w:rsidRPr="00580C0D">
        <w:t>måtar</w:t>
      </w:r>
      <w:proofErr w:type="spellEnd"/>
      <w:r w:rsidRPr="00580C0D">
        <w:t xml:space="preserve"> enn å betale ut </w:t>
      </w:r>
      <w:proofErr w:type="spellStart"/>
      <w:r w:rsidRPr="00580C0D">
        <w:t>pengar</w:t>
      </w:r>
      <w:proofErr w:type="spellEnd"/>
      <w:r w:rsidRPr="00580C0D">
        <w:t xml:space="preserve"> før tiltak er gjennomførte. Her viser departementet til regjeringa sin handlingsplan for energieffektivisering der mellom anna lån er </w:t>
      </w:r>
      <w:proofErr w:type="spellStart"/>
      <w:r w:rsidRPr="00580C0D">
        <w:t>trekt</w:t>
      </w:r>
      <w:proofErr w:type="spellEnd"/>
      <w:r w:rsidRPr="00580C0D">
        <w:t xml:space="preserve"> fram som ei </w:t>
      </w:r>
      <w:proofErr w:type="spellStart"/>
      <w:r w:rsidRPr="00580C0D">
        <w:t>mogleg</w:t>
      </w:r>
      <w:proofErr w:type="spellEnd"/>
      <w:r w:rsidRPr="00580C0D">
        <w:t xml:space="preserve"> løysing ettersom det i mange tilfelle er snakk om økonomisk lønnsame tiltak.</w:t>
      </w:r>
    </w:p>
    <w:p w14:paraId="32A5DCD6"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2015BDCF" w14:textId="77777777" w:rsidR="00F7113A" w:rsidRPr="00580C0D" w:rsidRDefault="00142E5B" w:rsidP="00580C0D">
      <w:pPr>
        <w:pStyle w:val="avsnitt-tittel"/>
      </w:pPr>
      <w:proofErr w:type="spellStart"/>
      <w:r w:rsidRPr="00580C0D">
        <w:t>Fremje</w:t>
      </w:r>
      <w:proofErr w:type="spellEnd"/>
      <w:r w:rsidRPr="00580C0D">
        <w:t xml:space="preserve"> krav om låg- og nullutslepp til offshorefartøy</w:t>
      </w:r>
    </w:p>
    <w:p w14:paraId="7D1F6D49" w14:textId="77777777" w:rsidR="00F7113A" w:rsidRPr="00580C0D" w:rsidRDefault="00142E5B" w:rsidP="00580C0D">
      <w:pPr>
        <w:pStyle w:val="avsnitt-undertittel"/>
      </w:pPr>
      <w:r w:rsidRPr="00580C0D">
        <w:t>Vedtak nr. 92, 1. desember 2022</w:t>
      </w:r>
    </w:p>
    <w:p w14:paraId="39B0877A" w14:textId="77777777" w:rsidR="00F7113A" w:rsidRPr="00580C0D" w:rsidRDefault="00142E5B" w:rsidP="00580C0D">
      <w:pPr>
        <w:pStyle w:val="blokksit"/>
        <w:rPr>
          <w:rStyle w:val="kursiv"/>
        </w:rPr>
      </w:pPr>
      <w:r w:rsidRPr="00580C0D">
        <w:rPr>
          <w:rStyle w:val="kursiv"/>
        </w:rPr>
        <w:t>«Stortinget ber regjeringen i løpet av 2023 fremme krav om lavutslipp til offshorefartøy med sikte på innføring fra 2025 og nullutslipp fra 2029, eller tilsvarende krav som gir samme utslippseffekt for offshorefartøy.»</w:t>
      </w:r>
    </w:p>
    <w:p w14:paraId="444A13D5"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68E7BB47" w14:textId="77777777" w:rsidR="00F7113A" w:rsidRPr="00580C0D" w:rsidRDefault="00142E5B" w:rsidP="00580C0D">
      <w:r w:rsidRPr="00580C0D">
        <w:t xml:space="preserve">Klima- og miljødepartementet har gjeve Sjøfartsdirektoratet i oppdrag </w:t>
      </w:r>
      <w:proofErr w:type="gramStart"/>
      <w:r w:rsidRPr="00580C0D">
        <w:t>å sjå</w:t>
      </w:r>
      <w:proofErr w:type="gramEnd"/>
      <w:r w:rsidRPr="00580C0D">
        <w:t xml:space="preserve"> på korleis låg- og nullutsleppskrav til offshorefartøy kan formast ut og </w:t>
      </w:r>
      <w:proofErr w:type="spellStart"/>
      <w:r w:rsidRPr="00580C0D">
        <w:t>innrettast</w:t>
      </w:r>
      <w:proofErr w:type="spellEnd"/>
      <w:r w:rsidRPr="00580C0D">
        <w:t>.</w:t>
      </w:r>
    </w:p>
    <w:p w14:paraId="1D087806" w14:textId="77777777" w:rsidR="00F7113A" w:rsidRPr="00580C0D" w:rsidRDefault="00142E5B" w:rsidP="00580C0D">
      <w:r w:rsidRPr="00580C0D">
        <w:t>Regjeringa vil komme tilbake til Stortinget på eigna måte.</w:t>
      </w:r>
    </w:p>
    <w:p w14:paraId="68F140DD" w14:textId="77777777" w:rsidR="00F7113A" w:rsidRPr="00580C0D" w:rsidRDefault="00142E5B" w:rsidP="00580C0D">
      <w:pPr>
        <w:pStyle w:val="avsnitt-tittel"/>
      </w:pPr>
      <w:r w:rsidRPr="00580C0D">
        <w:t xml:space="preserve">Innføring av omsetningskrav for avansert biodrivstoff til </w:t>
      </w:r>
      <w:proofErr w:type="spellStart"/>
      <w:r w:rsidRPr="00580C0D">
        <w:t>innanriks</w:t>
      </w:r>
      <w:proofErr w:type="spellEnd"/>
      <w:r w:rsidRPr="00580C0D">
        <w:t xml:space="preserve"> sjøfart og fiske</w:t>
      </w:r>
    </w:p>
    <w:p w14:paraId="0A525174" w14:textId="77777777" w:rsidR="00F7113A" w:rsidRPr="00580C0D" w:rsidRDefault="00142E5B" w:rsidP="00580C0D">
      <w:pPr>
        <w:pStyle w:val="avsnitt-undertittel"/>
      </w:pPr>
      <w:r w:rsidRPr="00580C0D">
        <w:t>Vedtak nr. 93, 1. desember 2022</w:t>
      </w:r>
    </w:p>
    <w:p w14:paraId="130B8996" w14:textId="77777777" w:rsidR="00F7113A" w:rsidRPr="00580C0D" w:rsidRDefault="00142E5B" w:rsidP="00580C0D">
      <w:pPr>
        <w:pStyle w:val="blokksit"/>
        <w:rPr>
          <w:rStyle w:val="kursiv"/>
        </w:rPr>
      </w:pPr>
      <w:r w:rsidRPr="00580C0D">
        <w:rPr>
          <w:rStyle w:val="kursiv"/>
        </w:rPr>
        <w:t>«Stortinget ber regjeringen sende forslag om innføring av omsetningskrav for avansert biodrivstoff til innenriks sjøfart og fiske på høring, med forslag om et omsetningskrav på 4 volumprosent fra 1. juli 2023 og med en videre opptrapping til 6 prosent i 2024.»</w:t>
      </w:r>
    </w:p>
    <w:p w14:paraId="3CAA0D0B"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xml:space="preserve">. 2 S (2022–2023). Forslag til omsetningskrav for avansert biodrivstoff til sjøfart </w:t>
      </w:r>
      <w:proofErr w:type="spellStart"/>
      <w:r w:rsidRPr="00580C0D">
        <w:t>vart</w:t>
      </w:r>
      <w:proofErr w:type="spellEnd"/>
      <w:r w:rsidRPr="00580C0D">
        <w:t xml:space="preserve"> sendt på </w:t>
      </w:r>
      <w:proofErr w:type="spellStart"/>
      <w:r w:rsidRPr="00580C0D">
        <w:t>høyring</w:t>
      </w:r>
      <w:proofErr w:type="spellEnd"/>
      <w:r w:rsidRPr="00580C0D">
        <w:t xml:space="preserve"> 20. januar, med frist 20. mars 2023. Regjeringa foreslo å innføre </w:t>
      </w:r>
      <w:proofErr w:type="spellStart"/>
      <w:r w:rsidRPr="00580C0D">
        <w:t>eit</w:t>
      </w:r>
      <w:proofErr w:type="spellEnd"/>
      <w:r w:rsidRPr="00580C0D">
        <w:t xml:space="preserve"> omsetningskrav for avansert biodrivstoff til sjøfart på 6 pst. </w:t>
      </w:r>
      <w:proofErr w:type="spellStart"/>
      <w:r w:rsidRPr="00580C0D">
        <w:t>frå</w:t>
      </w:r>
      <w:proofErr w:type="spellEnd"/>
      <w:r w:rsidRPr="00580C0D">
        <w:t xml:space="preserve"> 1. oktober 2023 i revidert nasjonalbudsjett som vart </w:t>
      </w:r>
      <w:proofErr w:type="spellStart"/>
      <w:r w:rsidRPr="00580C0D">
        <w:t>vedteke</w:t>
      </w:r>
      <w:proofErr w:type="spellEnd"/>
      <w:r w:rsidRPr="00580C0D">
        <w:t xml:space="preserve"> av Stortinget.</w:t>
      </w:r>
    </w:p>
    <w:p w14:paraId="62C338C2"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76655B8A" w14:textId="77777777" w:rsidR="00F7113A" w:rsidRPr="00580C0D" w:rsidRDefault="00142E5B" w:rsidP="00580C0D">
      <w:pPr>
        <w:pStyle w:val="avsnitt-tittel"/>
      </w:pPr>
      <w:proofErr w:type="spellStart"/>
      <w:r w:rsidRPr="00580C0D">
        <w:t>Utval</w:t>
      </w:r>
      <w:proofErr w:type="spellEnd"/>
      <w:r w:rsidRPr="00580C0D">
        <w:t xml:space="preserve"> for å greie ut </w:t>
      </w:r>
      <w:proofErr w:type="spellStart"/>
      <w:r w:rsidRPr="00580C0D">
        <w:t>matkastelov</w:t>
      </w:r>
      <w:proofErr w:type="spellEnd"/>
    </w:p>
    <w:p w14:paraId="2975C102" w14:textId="77777777" w:rsidR="00F7113A" w:rsidRPr="00580C0D" w:rsidRDefault="00142E5B" w:rsidP="00580C0D">
      <w:pPr>
        <w:pStyle w:val="avsnitt-undertittel"/>
      </w:pPr>
      <w:r w:rsidRPr="00580C0D">
        <w:t>Vedtak nr. 95, 1. desember 2022</w:t>
      </w:r>
    </w:p>
    <w:p w14:paraId="257A3794" w14:textId="77777777" w:rsidR="00F7113A" w:rsidRPr="00580C0D" w:rsidRDefault="00142E5B" w:rsidP="00580C0D">
      <w:pPr>
        <w:pStyle w:val="blokksit"/>
        <w:rPr>
          <w:rStyle w:val="kursiv"/>
        </w:rPr>
      </w:pPr>
      <w:r w:rsidRPr="00580C0D">
        <w:rPr>
          <w:rStyle w:val="kursiv"/>
        </w:rPr>
        <w:t xml:space="preserve">«Stortinget ber regjeringen sette ned et utvalg for å utrede </w:t>
      </w:r>
      <w:proofErr w:type="spellStart"/>
      <w:r w:rsidRPr="00580C0D">
        <w:rPr>
          <w:rStyle w:val="kursiv"/>
        </w:rPr>
        <w:t>matkastelov</w:t>
      </w:r>
      <w:proofErr w:type="spellEnd"/>
      <w:r w:rsidRPr="00580C0D">
        <w:rPr>
          <w:rStyle w:val="kursiv"/>
        </w:rPr>
        <w:t xml:space="preserve"> med mål om at loven skal tre i kraft i 2024.»</w:t>
      </w:r>
    </w:p>
    <w:p w14:paraId="5CB2F80A"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58E27837" w14:textId="77777777" w:rsidR="00F7113A" w:rsidRPr="00580C0D" w:rsidRDefault="00142E5B" w:rsidP="00580C0D">
      <w:r w:rsidRPr="00580C0D">
        <w:t xml:space="preserve">Regjeringa sette 7. februar 2023 ned </w:t>
      </w:r>
      <w:proofErr w:type="spellStart"/>
      <w:r w:rsidRPr="00580C0D">
        <w:t>eit</w:t>
      </w:r>
      <w:proofErr w:type="spellEnd"/>
      <w:r w:rsidRPr="00580C0D">
        <w:t xml:space="preserve"> </w:t>
      </w:r>
      <w:proofErr w:type="spellStart"/>
      <w:r w:rsidRPr="00580C0D">
        <w:t>utval</w:t>
      </w:r>
      <w:proofErr w:type="spellEnd"/>
      <w:r w:rsidRPr="00580C0D">
        <w:t xml:space="preserve"> som skal greie ut </w:t>
      </w:r>
      <w:proofErr w:type="spellStart"/>
      <w:r w:rsidRPr="00580C0D">
        <w:t>heilskapleg</w:t>
      </w:r>
      <w:proofErr w:type="spellEnd"/>
      <w:r w:rsidRPr="00580C0D">
        <w:t xml:space="preserve"> tiltaks- og verkemiddelbruk for å nå målet om 50 pst. reduksjon av matsvinnet </w:t>
      </w:r>
      <w:proofErr w:type="spellStart"/>
      <w:r w:rsidRPr="00580C0D">
        <w:t>innan</w:t>
      </w:r>
      <w:proofErr w:type="spellEnd"/>
      <w:r w:rsidRPr="00580C0D">
        <w:t xml:space="preserve"> 2030 og korleis ei </w:t>
      </w:r>
      <w:proofErr w:type="spellStart"/>
      <w:r w:rsidRPr="00580C0D">
        <w:t>matkastelov</w:t>
      </w:r>
      <w:proofErr w:type="spellEnd"/>
      <w:r w:rsidRPr="00580C0D">
        <w:t xml:space="preserve"> skal inngå i </w:t>
      </w:r>
      <w:proofErr w:type="spellStart"/>
      <w:r w:rsidRPr="00580C0D">
        <w:t>ein</w:t>
      </w:r>
      <w:proofErr w:type="spellEnd"/>
      <w:r w:rsidRPr="00580C0D">
        <w:t xml:space="preserve"> samla verkemiddelbruk. </w:t>
      </w:r>
      <w:proofErr w:type="spellStart"/>
      <w:r w:rsidRPr="00580C0D">
        <w:t>Utvalet</w:t>
      </w:r>
      <w:proofErr w:type="spellEnd"/>
      <w:r w:rsidRPr="00580C0D">
        <w:t xml:space="preserve"> skal ferdigstille utgreiinga </w:t>
      </w:r>
      <w:proofErr w:type="spellStart"/>
      <w:r w:rsidRPr="00580C0D">
        <w:t>innan</w:t>
      </w:r>
      <w:proofErr w:type="spellEnd"/>
      <w:r w:rsidRPr="00580C0D">
        <w:t xml:space="preserve"> utgangen av 2023, og deretter vil forslaga </w:t>
      </w:r>
      <w:proofErr w:type="spellStart"/>
      <w:r w:rsidRPr="00580C0D">
        <w:t>vurderast</w:t>
      </w:r>
      <w:proofErr w:type="spellEnd"/>
      <w:r w:rsidRPr="00580C0D">
        <w:t xml:space="preserve">, og det blir lagt opp </w:t>
      </w:r>
      <w:proofErr w:type="spellStart"/>
      <w:r w:rsidRPr="00580C0D">
        <w:t>ein</w:t>
      </w:r>
      <w:proofErr w:type="spellEnd"/>
      <w:r w:rsidRPr="00580C0D">
        <w:t xml:space="preserve"> prosess for korleis dette skal </w:t>
      </w:r>
      <w:proofErr w:type="spellStart"/>
      <w:r w:rsidRPr="00580C0D">
        <w:t>følgjast</w:t>
      </w:r>
      <w:proofErr w:type="spellEnd"/>
      <w:r w:rsidRPr="00580C0D">
        <w:t xml:space="preserve"> opp.</w:t>
      </w:r>
    </w:p>
    <w:p w14:paraId="032AB4FE"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186E340A" w14:textId="77777777" w:rsidR="00F7113A" w:rsidRPr="00580C0D" w:rsidRDefault="00142E5B" w:rsidP="00580C0D">
      <w:pPr>
        <w:pStyle w:val="avsnitt-tittel"/>
      </w:pPr>
      <w:r w:rsidRPr="00580C0D">
        <w:t>Gå i dialog med industrien om CO</w:t>
      </w:r>
      <w:r w:rsidRPr="00580C0D">
        <w:rPr>
          <w:rStyle w:val="skrift-senket"/>
        </w:rPr>
        <w:t>2</w:t>
      </w:r>
      <w:r w:rsidRPr="00580C0D">
        <w:t>-kompensasjonsordninga</w:t>
      </w:r>
    </w:p>
    <w:p w14:paraId="56CF2D37" w14:textId="77777777" w:rsidR="00F7113A" w:rsidRPr="00580C0D" w:rsidRDefault="00142E5B" w:rsidP="00580C0D">
      <w:pPr>
        <w:pStyle w:val="avsnitt-undertittel"/>
      </w:pPr>
      <w:r w:rsidRPr="00580C0D">
        <w:t>Vedtak nr. 98, 1. desember 2022</w:t>
      </w:r>
    </w:p>
    <w:p w14:paraId="65066FB2" w14:textId="77777777" w:rsidR="00F7113A" w:rsidRPr="00580C0D" w:rsidRDefault="00142E5B" w:rsidP="00580C0D">
      <w:pPr>
        <w:pStyle w:val="blokksit"/>
        <w:rPr>
          <w:rStyle w:val="kursiv"/>
        </w:rPr>
      </w:pPr>
      <w:r w:rsidRPr="00580C0D">
        <w:rPr>
          <w:rStyle w:val="kursiv"/>
        </w:rPr>
        <w:t>«Stortinget ber regjeringen gå i dialog med industrien om CO</w:t>
      </w:r>
      <w:r w:rsidRPr="00580C0D">
        <w:rPr>
          <w:rStyle w:val="skrift-senket"/>
        </w:rPr>
        <w:t>2</w:t>
      </w:r>
      <w:r w:rsidRPr="00580C0D">
        <w:rPr>
          <w:rStyle w:val="kursiv"/>
        </w:rPr>
        <w:t>-kompensasjonsordningen for å utvikle ordningen til å bli forpliktende for utslippskutt og energieffektivisering i tråd med nasjonale målsettinger. Aktuelle løsninger kan være krav, klimaavtale, fondsordning eller andre måter. Det må hensyntas at det er ulik økonomisk bærekraft i ulike bransjer, og at enkelte bedrifter har lave CO</w:t>
      </w:r>
      <w:r w:rsidRPr="00580C0D">
        <w:rPr>
          <w:rStyle w:val="skrift-senket"/>
        </w:rPr>
        <w:t>2</w:t>
      </w:r>
      <w:r w:rsidRPr="00580C0D">
        <w:rPr>
          <w:rStyle w:val="kursiv"/>
        </w:rPr>
        <w:t>-utslipp og lite potensial for energieffektivisering. Regjeringen bes legge frem sak om dette i statsbudsjettet for 2024.»</w:t>
      </w:r>
    </w:p>
    <w:p w14:paraId="42F7DBE7"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39BBF766" w14:textId="58D28279" w:rsidR="00F7113A" w:rsidRPr="00580C0D" w:rsidRDefault="00142E5B" w:rsidP="00580C0D">
      <w:r w:rsidRPr="00580C0D">
        <w:t>Vedtaket er under oppfølging. Regjeringa vil</w:t>
      </w:r>
      <w:r w:rsidR="00580C0D">
        <w:t xml:space="preserve"> </w:t>
      </w:r>
      <w:proofErr w:type="spellStart"/>
      <w:r w:rsidRPr="00580C0D">
        <w:t>halde</w:t>
      </w:r>
      <w:proofErr w:type="spellEnd"/>
      <w:r w:rsidRPr="00580C0D">
        <w:t xml:space="preserve"> fram med dialogen med industrien om endring av ordninga slik at han </w:t>
      </w:r>
      <w:proofErr w:type="spellStart"/>
      <w:r w:rsidRPr="00580C0D">
        <w:t>bidreg</w:t>
      </w:r>
      <w:proofErr w:type="spellEnd"/>
      <w:r w:rsidRPr="00580C0D">
        <w:t xml:space="preserve"> med </w:t>
      </w:r>
      <w:proofErr w:type="spellStart"/>
      <w:r w:rsidRPr="00580C0D">
        <w:t>utsleppsreduksjonar</w:t>
      </w:r>
      <w:proofErr w:type="spellEnd"/>
      <w:r w:rsidRPr="00580C0D">
        <w:t xml:space="preserve"> og/eller energieffektivisering. Basert på denne dialogen vil regjeringa i 2025-budsjettet foreslå ei endring av ordninga, slik at ho kan </w:t>
      </w:r>
      <w:proofErr w:type="spellStart"/>
      <w:r w:rsidRPr="00580C0D">
        <w:t>haldast</w:t>
      </w:r>
      <w:proofErr w:type="spellEnd"/>
      <w:r w:rsidRPr="00580C0D">
        <w:t xml:space="preserve"> </w:t>
      </w:r>
      <w:proofErr w:type="spellStart"/>
      <w:r w:rsidRPr="00580C0D">
        <w:t>berekraftig</w:t>
      </w:r>
      <w:proofErr w:type="spellEnd"/>
      <w:r w:rsidRPr="00580C0D">
        <w:t xml:space="preserve"> med tanke på budsjettet ut kompensasjonsperioden.</w:t>
      </w:r>
    </w:p>
    <w:p w14:paraId="7B0ECCA8" w14:textId="77777777" w:rsidR="00F7113A" w:rsidRPr="00580C0D" w:rsidRDefault="00142E5B" w:rsidP="00580C0D">
      <w:pPr>
        <w:pStyle w:val="avsnitt-tittel"/>
      </w:pPr>
      <w:proofErr w:type="spellStart"/>
      <w:r w:rsidRPr="00580C0D">
        <w:t>Framskunde</w:t>
      </w:r>
      <w:proofErr w:type="spellEnd"/>
      <w:r w:rsidRPr="00580C0D">
        <w:t xml:space="preserve"> innføringa av omsetningskravet på 10 pst. for </w:t>
      </w:r>
      <w:proofErr w:type="spellStart"/>
      <w:r w:rsidRPr="00580C0D">
        <w:t>ikkje-veggåande</w:t>
      </w:r>
      <w:proofErr w:type="spellEnd"/>
      <w:r w:rsidRPr="00580C0D">
        <w:t xml:space="preserve"> maskiner</w:t>
      </w:r>
    </w:p>
    <w:p w14:paraId="01CE499D" w14:textId="77777777" w:rsidR="00F7113A" w:rsidRPr="00580C0D" w:rsidRDefault="00142E5B" w:rsidP="00580C0D">
      <w:pPr>
        <w:pStyle w:val="avsnitt-undertittel"/>
      </w:pPr>
      <w:r w:rsidRPr="00580C0D">
        <w:t>Vedtak nr. 100, 1. desember 2022</w:t>
      </w:r>
    </w:p>
    <w:p w14:paraId="61EAB3D2" w14:textId="77777777" w:rsidR="00F7113A" w:rsidRPr="00580C0D" w:rsidRDefault="00142E5B" w:rsidP="00580C0D">
      <w:pPr>
        <w:pStyle w:val="blokksit"/>
        <w:rPr>
          <w:rStyle w:val="kursiv"/>
        </w:rPr>
      </w:pPr>
      <w:r w:rsidRPr="00580C0D">
        <w:rPr>
          <w:rStyle w:val="kursiv"/>
        </w:rPr>
        <w:t>«Stortinget ber regjeringen framskynde innføringen av det planlagte omsetningskravet på 10 pst. for ikke-</w:t>
      </w:r>
      <w:proofErr w:type="spellStart"/>
      <w:r w:rsidRPr="00580C0D">
        <w:rPr>
          <w:rStyle w:val="kursiv"/>
        </w:rPr>
        <w:t>veigående</w:t>
      </w:r>
      <w:proofErr w:type="spellEnd"/>
      <w:r w:rsidRPr="00580C0D">
        <w:rPr>
          <w:rStyle w:val="kursiv"/>
        </w:rPr>
        <w:t xml:space="preserve"> maskiner til 1. januar 2023. Biogass skal holdes utenfor kravet.»</w:t>
      </w:r>
    </w:p>
    <w:p w14:paraId="04016A71"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xml:space="preserve">. 2 S (2022–2023). </w:t>
      </w:r>
      <w:proofErr w:type="spellStart"/>
      <w:r w:rsidRPr="00580C0D">
        <w:t>Eit</w:t>
      </w:r>
      <w:proofErr w:type="spellEnd"/>
      <w:r w:rsidRPr="00580C0D">
        <w:t xml:space="preserve"> omsetningskrav for avansert biodrivstoff på 10 pst. for </w:t>
      </w:r>
      <w:proofErr w:type="spellStart"/>
      <w:r w:rsidRPr="00580C0D">
        <w:t>ikkje-veggåande</w:t>
      </w:r>
      <w:proofErr w:type="spellEnd"/>
      <w:r w:rsidRPr="00580C0D">
        <w:t xml:space="preserve"> maskiner </w:t>
      </w:r>
      <w:proofErr w:type="spellStart"/>
      <w:r w:rsidRPr="00580C0D">
        <w:t>vart</w:t>
      </w:r>
      <w:proofErr w:type="spellEnd"/>
      <w:r w:rsidRPr="00580C0D">
        <w:t xml:space="preserve"> innført 1. januar 2023.</w:t>
      </w:r>
    </w:p>
    <w:p w14:paraId="455D31CA"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234BE9D4" w14:textId="77777777" w:rsidR="00F7113A" w:rsidRPr="00580C0D" w:rsidRDefault="00142E5B" w:rsidP="00580C0D">
      <w:pPr>
        <w:pStyle w:val="avsnitt-tittel"/>
      </w:pPr>
      <w:proofErr w:type="spellStart"/>
      <w:r w:rsidRPr="00580C0D">
        <w:t>Forvaltningsplanane</w:t>
      </w:r>
      <w:proofErr w:type="spellEnd"/>
      <w:r w:rsidRPr="00580C0D">
        <w:t xml:space="preserve"> for norske havområde – vurdere varig petroleumsfrie område</w:t>
      </w:r>
    </w:p>
    <w:p w14:paraId="32561C85" w14:textId="77777777" w:rsidR="00F7113A" w:rsidRPr="00580C0D" w:rsidRDefault="00142E5B" w:rsidP="00580C0D">
      <w:pPr>
        <w:pStyle w:val="avsnitt-undertittel"/>
      </w:pPr>
      <w:r w:rsidRPr="00580C0D">
        <w:t>Vedtak nr. 101, 1. desember 2022</w:t>
      </w:r>
    </w:p>
    <w:p w14:paraId="2C90DE21" w14:textId="77777777" w:rsidR="00F7113A" w:rsidRPr="00580C0D" w:rsidRDefault="00142E5B" w:rsidP="00580C0D">
      <w:pPr>
        <w:pStyle w:val="blokksit"/>
        <w:rPr>
          <w:rStyle w:val="kursiv"/>
        </w:rPr>
      </w:pPr>
      <w:r w:rsidRPr="00580C0D">
        <w:rPr>
          <w:rStyle w:val="kursiv"/>
        </w:rPr>
        <w:t>«Stortinget ber regjeringen i forbindelse med revisjonen av forvaltningsplanen for norske havområder vurdere om deler av de områdene hvor det etter gjeldende forvaltningsplan ikke skal tildeles nye tillatelser, eller enkelte ikke-åpnede områder, bør defineres som varig petroleumsfrie områder.»</w:t>
      </w:r>
    </w:p>
    <w:p w14:paraId="4CA65A39"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24E02C6D" w14:textId="77777777" w:rsidR="00F7113A" w:rsidRPr="00580C0D" w:rsidRDefault="00142E5B" w:rsidP="00580C0D">
      <w:r w:rsidRPr="00580C0D">
        <w:t xml:space="preserve">Regjeringa vil omtale tema knytt til områdespesifikke rammer for </w:t>
      </w:r>
      <w:proofErr w:type="spellStart"/>
      <w:r w:rsidRPr="00580C0D">
        <w:t>petroleumsverksemd</w:t>
      </w:r>
      <w:proofErr w:type="spellEnd"/>
      <w:r w:rsidRPr="00580C0D">
        <w:t xml:space="preserve"> i meldinga til Stortinget om oppdatering av </w:t>
      </w:r>
      <w:proofErr w:type="spellStart"/>
      <w:r w:rsidRPr="00580C0D">
        <w:t>dei</w:t>
      </w:r>
      <w:proofErr w:type="spellEnd"/>
      <w:r w:rsidRPr="00580C0D">
        <w:t xml:space="preserve"> </w:t>
      </w:r>
      <w:proofErr w:type="spellStart"/>
      <w:r w:rsidRPr="00580C0D">
        <w:t>heilskaplege</w:t>
      </w:r>
      <w:proofErr w:type="spellEnd"/>
      <w:r w:rsidRPr="00580C0D">
        <w:t xml:space="preserve"> </w:t>
      </w:r>
      <w:proofErr w:type="spellStart"/>
      <w:r w:rsidRPr="00580C0D">
        <w:t>forvaltningsplanane</w:t>
      </w:r>
      <w:proofErr w:type="spellEnd"/>
      <w:r w:rsidRPr="00580C0D">
        <w:t xml:space="preserve"> for norske havområde våren 2024.</w:t>
      </w:r>
    </w:p>
    <w:p w14:paraId="471524C5" w14:textId="77777777" w:rsidR="00F7113A" w:rsidRPr="00580C0D" w:rsidRDefault="00142E5B" w:rsidP="00580C0D">
      <w:pPr>
        <w:pStyle w:val="avsnitt-tittel"/>
      </w:pPr>
      <w:proofErr w:type="spellStart"/>
      <w:r w:rsidRPr="00580C0D">
        <w:t>Fremje</w:t>
      </w:r>
      <w:proofErr w:type="spellEnd"/>
      <w:r w:rsidRPr="00580C0D">
        <w:t xml:space="preserve"> forslag om </w:t>
      </w:r>
      <w:proofErr w:type="spellStart"/>
      <w:r w:rsidRPr="00580C0D">
        <w:t>forbod</w:t>
      </w:r>
      <w:proofErr w:type="spellEnd"/>
      <w:r w:rsidRPr="00580C0D">
        <w:t xml:space="preserve"> mot nedbygging av myr til utbyggingsformål i 2023</w:t>
      </w:r>
    </w:p>
    <w:p w14:paraId="113064DF" w14:textId="77777777" w:rsidR="00F7113A" w:rsidRPr="00580C0D" w:rsidRDefault="00142E5B" w:rsidP="00580C0D">
      <w:pPr>
        <w:pStyle w:val="avsnitt-undertittel"/>
      </w:pPr>
      <w:r w:rsidRPr="00580C0D">
        <w:t>Vedtak nr. 108, 1. desember 2022</w:t>
      </w:r>
    </w:p>
    <w:p w14:paraId="089A878C" w14:textId="77777777" w:rsidR="00F7113A" w:rsidRPr="00580C0D" w:rsidRDefault="00142E5B" w:rsidP="00580C0D">
      <w:pPr>
        <w:pStyle w:val="blokksit"/>
        <w:rPr>
          <w:rStyle w:val="kursiv"/>
        </w:rPr>
      </w:pPr>
      <w:r w:rsidRPr="00580C0D">
        <w:rPr>
          <w:rStyle w:val="kursiv"/>
        </w:rPr>
        <w:t>«Stortinget ber regjeringen legge frem forslag om forbud mot nedbygging av myr til utbyggingsformål i løpet av 2023. Det skal utredes mulige dispensasjoner fra forbudet for å ta vare på andre arealer med høy verdi og utbygging av samfunnskritisk infrastruktur. Målet er at forbudet reelt sett skal redusere nedbyggingen av myr.»</w:t>
      </w:r>
    </w:p>
    <w:p w14:paraId="2B4EB2BE"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052BF54C" w14:textId="77777777" w:rsidR="00F7113A" w:rsidRPr="00580C0D" w:rsidRDefault="00142E5B" w:rsidP="00580C0D">
      <w:r w:rsidRPr="00580C0D">
        <w:t xml:space="preserve">Vedtaket er under oppfølging. Miljødirektoratet har fått i oppdrag å greie ut </w:t>
      </w:r>
      <w:proofErr w:type="spellStart"/>
      <w:r w:rsidRPr="00580C0D">
        <w:t>eit</w:t>
      </w:r>
      <w:proofErr w:type="spellEnd"/>
      <w:r w:rsidRPr="00580C0D">
        <w:t xml:space="preserve"> </w:t>
      </w:r>
      <w:proofErr w:type="spellStart"/>
      <w:r w:rsidRPr="00580C0D">
        <w:t>forbod</w:t>
      </w:r>
      <w:proofErr w:type="spellEnd"/>
      <w:r w:rsidRPr="00580C0D">
        <w:t xml:space="preserve"> mot nedbygging av myr og forme ut </w:t>
      </w:r>
      <w:proofErr w:type="spellStart"/>
      <w:r w:rsidRPr="00580C0D">
        <w:t>eit</w:t>
      </w:r>
      <w:proofErr w:type="spellEnd"/>
      <w:r w:rsidRPr="00580C0D">
        <w:t xml:space="preserve"> konkret forslag til lov- og eventuelt </w:t>
      </w:r>
      <w:proofErr w:type="spellStart"/>
      <w:r w:rsidRPr="00580C0D">
        <w:t>forskriftsendringar</w:t>
      </w:r>
      <w:proofErr w:type="spellEnd"/>
      <w:r w:rsidRPr="00580C0D">
        <w:t xml:space="preserve">. Fristen for oppdraget er 1. desember 2023. Det vil dermed </w:t>
      </w:r>
      <w:proofErr w:type="spellStart"/>
      <w:r w:rsidRPr="00580C0D">
        <w:t>ikkje</w:t>
      </w:r>
      <w:proofErr w:type="spellEnd"/>
      <w:r w:rsidRPr="00580C0D">
        <w:t xml:space="preserve"> </w:t>
      </w:r>
      <w:proofErr w:type="spellStart"/>
      <w:r w:rsidRPr="00580C0D">
        <w:t>vere</w:t>
      </w:r>
      <w:proofErr w:type="spellEnd"/>
      <w:r w:rsidRPr="00580C0D">
        <w:t xml:space="preserve"> </w:t>
      </w:r>
      <w:proofErr w:type="spellStart"/>
      <w:r w:rsidRPr="00580C0D">
        <w:t>mogleg</w:t>
      </w:r>
      <w:proofErr w:type="spellEnd"/>
      <w:r w:rsidRPr="00580C0D">
        <w:t xml:space="preserve"> å </w:t>
      </w:r>
      <w:proofErr w:type="spellStart"/>
      <w:r w:rsidRPr="00580C0D">
        <w:t>fremje</w:t>
      </w:r>
      <w:proofErr w:type="spellEnd"/>
      <w:r w:rsidRPr="00580C0D">
        <w:t xml:space="preserve"> lovendring for Stortinget i 2023, men regjeringa vil </w:t>
      </w:r>
      <w:proofErr w:type="spellStart"/>
      <w:r w:rsidRPr="00580C0D">
        <w:t>leggje</w:t>
      </w:r>
      <w:proofErr w:type="spellEnd"/>
      <w:r w:rsidRPr="00580C0D">
        <w:t xml:space="preserve"> fram saka for Stortinget så snart som </w:t>
      </w:r>
      <w:proofErr w:type="spellStart"/>
      <w:r w:rsidRPr="00580C0D">
        <w:t>mogleg</w:t>
      </w:r>
      <w:proofErr w:type="spellEnd"/>
      <w:r w:rsidRPr="00580C0D">
        <w:t xml:space="preserve"> i 2024.</w:t>
      </w:r>
    </w:p>
    <w:p w14:paraId="026E2906" w14:textId="77777777" w:rsidR="00F7113A" w:rsidRPr="00580C0D" w:rsidRDefault="00142E5B" w:rsidP="00580C0D">
      <w:pPr>
        <w:pStyle w:val="avsnitt-tittel"/>
      </w:pPr>
      <w:r w:rsidRPr="00580C0D">
        <w:t xml:space="preserve">Varsle </w:t>
      </w:r>
      <w:proofErr w:type="spellStart"/>
      <w:r w:rsidRPr="00580C0D">
        <w:t>eit</w:t>
      </w:r>
      <w:proofErr w:type="spellEnd"/>
      <w:r w:rsidRPr="00580C0D">
        <w:t xml:space="preserve"> </w:t>
      </w:r>
      <w:proofErr w:type="spellStart"/>
      <w:r w:rsidRPr="00580C0D">
        <w:t>forbod</w:t>
      </w:r>
      <w:proofErr w:type="spellEnd"/>
      <w:r w:rsidRPr="00580C0D">
        <w:t xml:space="preserve"> mot bruk av fossile brensel til energiformål i industrien </w:t>
      </w:r>
      <w:proofErr w:type="spellStart"/>
      <w:r w:rsidRPr="00580C0D">
        <w:t>innan</w:t>
      </w:r>
      <w:proofErr w:type="spellEnd"/>
      <w:r w:rsidRPr="00580C0D">
        <w:t xml:space="preserve"> 2030</w:t>
      </w:r>
    </w:p>
    <w:p w14:paraId="5728786F" w14:textId="77777777" w:rsidR="00F7113A" w:rsidRPr="00580C0D" w:rsidRDefault="00142E5B" w:rsidP="00580C0D">
      <w:pPr>
        <w:pStyle w:val="avsnitt-undertittel"/>
      </w:pPr>
      <w:r w:rsidRPr="00580C0D">
        <w:t>Vedtak nr. 112, 1. desember 2022</w:t>
      </w:r>
    </w:p>
    <w:p w14:paraId="46A12F70" w14:textId="77777777" w:rsidR="00F7113A" w:rsidRPr="00580C0D" w:rsidRDefault="00142E5B" w:rsidP="00580C0D">
      <w:pPr>
        <w:pStyle w:val="blokksit"/>
        <w:rPr>
          <w:rStyle w:val="kursiv"/>
        </w:rPr>
      </w:pPr>
      <w:r w:rsidRPr="00580C0D">
        <w:rPr>
          <w:rStyle w:val="kursiv"/>
        </w:rPr>
        <w:t>«Stortinget ber regjeringen i løpet av 2023 varsle et forbud mot bruk av fossile brensler til energiformål i industrien innen 2030 og utrede innretningen av forbudet. Samtidig varsles det at det utredes hva som kan være hensiktsmessige avgrensinger.»</w:t>
      </w:r>
    </w:p>
    <w:p w14:paraId="30A5C8D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63176C59" w14:textId="77777777" w:rsidR="00F7113A" w:rsidRPr="00580C0D" w:rsidRDefault="00142E5B" w:rsidP="00580C0D">
      <w:r w:rsidRPr="00580C0D">
        <w:t xml:space="preserve">Miljødirektoratet </w:t>
      </w:r>
      <w:proofErr w:type="spellStart"/>
      <w:r w:rsidRPr="00580C0D">
        <w:t>fekk</w:t>
      </w:r>
      <w:proofErr w:type="spellEnd"/>
      <w:r w:rsidRPr="00580C0D">
        <w:t xml:space="preserve"> </w:t>
      </w:r>
      <w:proofErr w:type="spellStart"/>
      <w:r w:rsidRPr="00580C0D">
        <w:t>hausten</w:t>
      </w:r>
      <w:proofErr w:type="spellEnd"/>
      <w:r w:rsidRPr="00580C0D">
        <w:t xml:space="preserve"> 2022 i oppdrag å </w:t>
      </w:r>
      <w:proofErr w:type="spellStart"/>
      <w:r w:rsidRPr="00580C0D">
        <w:t>konsekvensutgreie</w:t>
      </w:r>
      <w:proofErr w:type="spellEnd"/>
      <w:r w:rsidRPr="00580C0D">
        <w:t xml:space="preserve"> </w:t>
      </w:r>
      <w:proofErr w:type="spellStart"/>
      <w:r w:rsidRPr="00580C0D">
        <w:t>eit</w:t>
      </w:r>
      <w:proofErr w:type="spellEnd"/>
      <w:r w:rsidRPr="00580C0D">
        <w:t xml:space="preserve"> </w:t>
      </w:r>
      <w:proofErr w:type="spellStart"/>
      <w:r w:rsidRPr="00580C0D">
        <w:t>mogleg</w:t>
      </w:r>
      <w:proofErr w:type="spellEnd"/>
      <w:r w:rsidRPr="00580C0D">
        <w:t xml:space="preserve"> </w:t>
      </w:r>
      <w:proofErr w:type="spellStart"/>
      <w:r w:rsidRPr="00580C0D">
        <w:t>forbod</w:t>
      </w:r>
      <w:proofErr w:type="spellEnd"/>
      <w:r w:rsidRPr="00580C0D">
        <w:t xml:space="preserve"> mot fossil fyring til energiformål i industrien. Oppdraget har også omfatta kva som vil </w:t>
      </w:r>
      <w:proofErr w:type="spellStart"/>
      <w:r w:rsidRPr="00580C0D">
        <w:t>vere</w:t>
      </w:r>
      <w:proofErr w:type="spellEnd"/>
      <w:r w:rsidRPr="00580C0D">
        <w:t xml:space="preserve"> ei </w:t>
      </w:r>
      <w:proofErr w:type="spellStart"/>
      <w:r w:rsidRPr="00580C0D">
        <w:t>tenleg</w:t>
      </w:r>
      <w:proofErr w:type="spellEnd"/>
      <w:r w:rsidRPr="00580C0D">
        <w:t xml:space="preserve"> avgrensing av </w:t>
      </w:r>
      <w:proofErr w:type="spellStart"/>
      <w:r w:rsidRPr="00580C0D">
        <w:t>forbodet</w:t>
      </w:r>
      <w:proofErr w:type="spellEnd"/>
      <w:r w:rsidRPr="00580C0D">
        <w:t xml:space="preserve">. Miljødirektoratet leverte våren 2023 konsekvensutgreiinga </w:t>
      </w:r>
      <w:r w:rsidRPr="00580C0D">
        <w:rPr>
          <w:rStyle w:val="kursiv"/>
        </w:rPr>
        <w:t>Forbud mot bruk av fossile brensler til energiformål i industrien fra 2030</w:t>
      </w:r>
      <w:r w:rsidRPr="00580C0D">
        <w:t>.</w:t>
      </w:r>
    </w:p>
    <w:p w14:paraId="14A476AA" w14:textId="77777777" w:rsidR="00F7113A" w:rsidRPr="00580C0D" w:rsidRDefault="00142E5B" w:rsidP="00580C0D">
      <w:r w:rsidRPr="00580C0D">
        <w:t xml:space="preserve">Regjeringa vil i 2030 innføre </w:t>
      </w:r>
      <w:proofErr w:type="spellStart"/>
      <w:r w:rsidRPr="00580C0D">
        <w:t>eit</w:t>
      </w:r>
      <w:proofErr w:type="spellEnd"/>
      <w:r w:rsidRPr="00580C0D">
        <w:t xml:space="preserve"> </w:t>
      </w:r>
      <w:proofErr w:type="spellStart"/>
      <w:r w:rsidRPr="00580C0D">
        <w:t>forbod</w:t>
      </w:r>
      <w:proofErr w:type="spellEnd"/>
      <w:r w:rsidRPr="00580C0D">
        <w:t xml:space="preserve"> mot bruk av fossile brensel til indirekte fyring i industrien som </w:t>
      </w:r>
      <w:proofErr w:type="gramStart"/>
      <w:r w:rsidRPr="00580C0D">
        <w:t>gjev utslepp</w:t>
      </w:r>
      <w:proofErr w:type="gramEnd"/>
      <w:r w:rsidRPr="00580C0D">
        <w:t xml:space="preserve"> under innsatsfordelinga. Det blir gjeve høve for unntak i tilfelle der </w:t>
      </w:r>
      <w:proofErr w:type="spellStart"/>
      <w:r w:rsidRPr="00580C0D">
        <w:t>forbodet</w:t>
      </w:r>
      <w:proofErr w:type="spellEnd"/>
      <w:r w:rsidRPr="00580C0D">
        <w:t xml:space="preserve"> vil </w:t>
      </w:r>
      <w:proofErr w:type="spellStart"/>
      <w:r w:rsidRPr="00580C0D">
        <w:t>innebere</w:t>
      </w:r>
      <w:proofErr w:type="spellEnd"/>
      <w:r w:rsidRPr="00580C0D">
        <w:t xml:space="preserve"> svært høge kostnader målt opp mot nytteverdien eller andre </w:t>
      </w:r>
      <w:proofErr w:type="spellStart"/>
      <w:r w:rsidRPr="00580C0D">
        <w:t>openbert</w:t>
      </w:r>
      <w:proofErr w:type="spellEnd"/>
      <w:r w:rsidRPr="00580C0D">
        <w:t xml:space="preserve"> </w:t>
      </w:r>
      <w:proofErr w:type="spellStart"/>
      <w:r w:rsidRPr="00580C0D">
        <w:t>urimelege</w:t>
      </w:r>
      <w:proofErr w:type="spellEnd"/>
      <w:r w:rsidRPr="00580C0D">
        <w:t xml:space="preserve"> </w:t>
      </w:r>
      <w:proofErr w:type="spellStart"/>
      <w:r w:rsidRPr="00580C0D">
        <w:t>konsekvensar</w:t>
      </w:r>
      <w:proofErr w:type="spellEnd"/>
      <w:r w:rsidRPr="00580C0D">
        <w:t xml:space="preserve">, </w:t>
      </w:r>
      <w:proofErr w:type="spellStart"/>
      <w:r w:rsidRPr="00580C0D">
        <w:t>irekna</w:t>
      </w:r>
      <w:proofErr w:type="spellEnd"/>
      <w:r w:rsidRPr="00580C0D">
        <w:t xml:space="preserve"> </w:t>
      </w:r>
      <w:proofErr w:type="spellStart"/>
      <w:r w:rsidRPr="00580C0D">
        <w:t>avgrensingar</w:t>
      </w:r>
      <w:proofErr w:type="spellEnd"/>
      <w:r w:rsidRPr="00580C0D">
        <w:t xml:space="preserve"> i tilgangen på nett og kapasitet. Regjeringa vil vurdere å utvide </w:t>
      </w:r>
      <w:proofErr w:type="spellStart"/>
      <w:r w:rsidRPr="00580C0D">
        <w:t>forbodet</w:t>
      </w:r>
      <w:proofErr w:type="spellEnd"/>
      <w:r w:rsidRPr="00580C0D">
        <w:t xml:space="preserve"> til også å inkludere direkte fyring etter 2030. Miljødirektoratet har fått i oppdrag å utarbeide </w:t>
      </w:r>
      <w:proofErr w:type="spellStart"/>
      <w:r w:rsidRPr="00580C0D">
        <w:t>eit</w:t>
      </w:r>
      <w:proofErr w:type="spellEnd"/>
      <w:r w:rsidRPr="00580C0D">
        <w:t xml:space="preserve"> forslag til forskrift. Departementet ser med dette vedtaket som </w:t>
      </w:r>
      <w:proofErr w:type="spellStart"/>
      <w:r w:rsidRPr="00580C0D">
        <w:t>følgt</w:t>
      </w:r>
      <w:proofErr w:type="spellEnd"/>
      <w:r w:rsidRPr="00580C0D">
        <w:t xml:space="preserve"> opp.</w:t>
      </w:r>
    </w:p>
    <w:p w14:paraId="0469138E" w14:textId="77777777" w:rsidR="00F7113A" w:rsidRPr="00580C0D" w:rsidRDefault="00142E5B" w:rsidP="00580C0D">
      <w:pPr>
        <w:pStyle w:val="avsnitt-tittel"/>
      </w:pPr>
      <w:r w:rsidRPr="00580C0D">
        <w:t xml:space="preserve">Greie ut og </w:t>
      </w:r>
      <w:proofErr w:type="spellStart"/>
      <w:r w:rsidRPr="00580C0D">
        <w:t>fremje</w:t>
      </w:r>
      <w:proofErr w:type="spellEnd"/>
      <w:r w:rsidRPr="00580C0D">
        <w:t xml:space="preserve"> forslag om </w:t>
      </w:r>
      <w:proofErr w:type="spellStart"/>
      <w:r w:rsidRPr="00580C0D">
        <w:t>forbod</w:t>
      </w:r>
      <w:proofErr w:type="spellEnd"/>
      <w:r w:rsidRPr="00580C0D">
        <w:t xml:space="preserve"> mot bruk av fossil gass i </w:t>
      </w:r>
      <w:proofErr w:type="spellStart"/>
      <w:r w:rsidRPr="00580C0D">
        <w:t>byggvarme</w:t>
      </w:r>
      <w:proofErr w:type="spellEnd"/>
    </w:p>
    <w:p w14:paraId="4E1FE01D" w14:textId="77777777" w:rsidR="00F7113A" w:rsidRPr="00580C0D" w:rsidRDefault="00142E5B" w:rsidP="00580C0D">
      <w:pPr>
        <w:pStyle w:val="avsnitt-undertittel"/>
      </w:pPr>
      <w:r w:rsidRPr="00580C0D">
        <w:t>Vedtak nr. 113, 1. desember 2022</w:t>
      </w:r>
    </w:p>
    <w:p w14:paraId="37E594D9" w14:textId="77777777" w:rsidR="00F7113A" w:rsidRPr="00580C0D" w:rsidRDefault="00142E5B" w:rsidP="00580C0D">
      <w:pPr>
        <w:pStyle w:val="blokksit"/>
        <w:rPr>
          <w:rStyle w:val="kursiv"/>
        </w:rPr>
      </w:pPr>
      <w:r w:rsidRPr="00580C0D">
        <w:rPr>
          <w:rStyle w:val="kursiv"/>
        </w:rPr>
        <w:t xml:space="preserve">«Stortinget ber regjeringen utrede og fremme forslag om forbud mot bruk av fossil gass i </w:t>
      </w:r>
      <w:proofErr w:type="spellStart"/>
      <w:r w:rsidRPr="00580C0D">
        <w:rPr>
          <w:rStyle w:val="kursiv"/>
        </w:rPr>
        <w:t>byggvarme</w:t>
      </w:r>
      <w:proofErr w:type="spellEnd"/>
      <w:r w:rsidRPr="00580C0D">
        <w:rPr>
          <w:rStyle w:val="kursiv"/>
        </w:rPr>
        <w:t>, med sikte på ikrafttredelse i 2025.»</w:t>
      </w:r>
    </w:p>
    <w:p w14:paraId="7D8C1A47"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02D900A5" w14:textId="77777777" w:rsidR="00F7113A" w:rsidRPr="00580C0D" w:rsidRDefault="00142E5B" w:rsidP="00580C0D">
      <w:r w:rsidRPr="00580C0D">
        <w:t xml:space="preserve">Vedtaket er under oppfølging. Miljødirektoratet har levert </w:t>
      </w:r>
      <w:proofErr w:type="spellStart"/>
      <w:r w:rsidRPr="00580C0D">
        <w:t>eit</w:t>
      </w:r>
      <w:proofErr w:type="spellEnd"/>
      <w:r w:rsidRPr="00580C0D">
        <w:t xml:space="preserve"> oppdatert kunnskapsgrunnlag om </w:t>
      </w:r>
      <w:proofErr w:type="spellStart"/>
      <w:r w:rsidRPr="00580C0D">
        <w:t>barrierar</w:t>
      </w:r>
      <w:proofErr w:type="spellEnd"/>
      <w:r w:rsidRPr="00580C0D">
        <w:t xml:space="preserve"> og potensial for </w:t>
      </w:r>
      <w:proofErr w:type="spellStart"/>
      <w:r w:rsidRPr="00580C0D">
        <w:t>utsleppskutt</w:t>
      </w:r>
      <w:proofErr w:type="spellEnd"/>
      <w:r w:rsidRPr="00580C0D">
        <w:t xml:space="preserve"> i </w:t>
      </w:r>
      <w:proofErr w:type="spellStart"/>
      <w:r w:rsidRPr="00580C0D">
        <w:t>byggje</w:t>
      </w:r>
      <w:proofErr w:type="spellEnd"/>
      <w:r w:rsidRPr="00580C0D">
        <w:t xml:space="preserve">- og </w:t>
      </w:r>
      <w:proofErr w:type="spellStart"/>
      <w:r w:rsidRPr="00580C0D">
        <w:t>anleggsverksemda</w:t>
      </w:r>
      <w:proofErr w:type="spellEnd"/>
      <w:r w:rsidRPr="00580C0D">
        <w:t xml:space="preserve">. </w:t>
      </w:r>
      <w:proofErr w:type="spellStart"/>
      <w:r w:rsidRPr="00580C0D">
        <w:t>Forbod</w:t>
      </w:r>
      <w:proofErr w:type="spellEnd"/>
      <w:r w:rsidRPr="00580C0D">
        <w:t xml:space="preserve"> mot bruk av fossil gass i </w:t>
      </w:r>
      <w:proofErr w:type="spellStart"/>
      <w:r w:rsidRPr="00580C0D">
        <w:t>byggvarme</w:t>
      </w:r>
      <w:proofErr w:type="spellEnd"/>
      <w:r w:rsidRPr="00580C0D">
        <w:t xml:space="preserve"> blir </w:t>
      </w:r>
      <w:proofErr w:type="spellStart"/>
      <w:r w:rsidRPr="00580C0D">
        <w:t>trekt</w:t>
      </w:r>
      <w:proofErr w:type="spellEnd"/>
      <w:r w:rsidRPr="00580C0D">
        <w:t xml:space="preserve"> fram som </w:t>
      </w:r>
      <w:proofErr w:type="spellStart"/>
      <w:r w:rsidRPr="00580C0D">
        <w:t>eitt</w:t>
      </w:r>
      <w:proofErr w:type="spellEnd"/>
      <w:r w:rsidRPr="00580C0D">
        <w:t xml:space="preserve"> av </w:t>
      </w:r>
      <w:proofErr w:type="spellStart"/>
      <w:r w:rsidRPr="00580C0D">
        <w:t>fleire</w:t>
      </w:r>
      <w:proofErr w:type="spellEnd"/>
      <w:r w:rsidRPr="00580C0D">
        <w:t xml:space="preserve"> tiltak for å redusere utslepp </w:t>
      </w:r>
      <w:proofErr w:type="spellStart"/>
      <w:r w:rsidRPr="00580C0D">
        <w:t>frå</w:t>
      </w:r>
      <w:proofErr w:type="spellEnd"/>
      <w:r w:rsidRPr="00580C0D">
        <w:t xml:space="preserve"> </w:t>
      </w:r>
      <w:proofErr w:type="spellStart"/>
      <w:r w:rsidRPr="00580C0D">
        <w:t>byggje</w:t>
      </w:r>
      <w:proofErr w:type="spellEnd"/>
      <w:r w:rsidRPr="00580C0D">
        <w:t xml:space="preserve">- og </w:t>
      </w:r>
      <w:proofErr w:type="spellStart"/>
      <w:r w:rsidRPr="00580C0D">
        <w:t>anleggsverksemd</w:t>
      </w:r>
      <w:proofErr w:type="spellEnd"/>
      <w:r w:rsidRPr="00580C0D">
        <w:t xml:space="preserve">. Klima- og miljødepartementet har gjeve Miljødirektoratet i oppdrag å greie ut </w:t>
      </w:r>
      <w:proofErr w:type="spellStart"/>
      <w:r w:rsidRPr="00580C0D">
        <w:t>eit</w:t>
      </w:r>
      <w:proofErr w:type="spellEnd"/>
      <w:r w:rsidRPr="00580C0D">
        <w:t xml:space="preserve"> </w:t>
      </w:r>
      <w:proofErr w:type="spellStart"/>
      <w:r w:rsidRPr="00580C0D">
        <w:t>forbod</w:t>
      </w:r>
      <w:proofErr w:type="spellEnd"/>
      <w:r w:rsidRPr="00580C0D">
        <w:t xml:space="preserve"> og vil komme tilbake til Stortinget på eigna måte</w:t>
      </w:r>
    </w:p>
    <w:p w14:paraId="59FA6E51" w14:textId="77777777" w:rsidR="00F7113A" w:rsidRPr="00580C0D" w:rsidRDefault="00142E5B" w:rsidP="00580C0D">
      <w:pPr>
        <w:pStyle w:val="avsnitt-tittel"/>
      </w:pPr>
      <w:r w:rsidRPr="00580C0D">
        <w:t>Opptrapping av omsetningskrav for avansert biodrivstoff i luftfart</w:t>
      </w:r>
    </w:p>
    <w:p w14:paraId="7766F1FE" w14:textId="77777777" w:rsidR="00F7113A" w:rsidRPr="00580C0D" w:rsidRDefault="00142E5B" w:rsidP="00580C0D">
      <w:pPr>
        <w:pStyle w:val="avsnitt-undertittel"/>
      </w:pPr>
      <w:r w:rsidRPr="00580C0D">
        <w:t>Vedtak nr. 114, 1. desember 2022</w:t>
      </w:r>
    </w:p>
    <w:p w14:paraId="435E8294" w14:textId="77777777" w:rsidR="00F7113A" w:rsidRPr="00580C0D" w:rsidRDefault="00142E5B" w:rsidP="00580C0D">
      <w:pPr>
        <w:pStyle w:val="blokksit"/>
        <w:rPr>
          <w:rStyle w:val="kursiv"/>
        </w:rPr>
      </w:pPr>
      <w:r w:rsidRPr="00580C0D">
        <w:rPr>
          <w:rStyle w:val="kursiv"/>
        </w:rPr>
        <w:t>«Stortinget ber regjeringen sende forslag om opptrapping av omsetningskrav for avansert biodrivstoff i luftfart på høring, med forslag om et omsetningskrav på 2 volumprosent fra 1. juli 2023.»</w:t>
      </w:r>
    </w:p>
    <w:p w14:paraId="1BC4316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50A8C4EA" w14:textId="77777777" w:rsidR="00F7113A" w:rsidRPr="00580C0D" w:rsidRDefault="00142E5B" w:rsidP="00580C0D">
      <w:r w:rsidRPr="00580C0D">
        <w:t xml:space="preserve">Miljødirektoratet har våren 2023 hatt på </w:t>
      </w:r>
      <w:proofErr w:type="spellStart"/>
      <w:r w:rsidRPr="00580C0D">
        <w:t>alminneleg</w:t>
      </w:r>
      <w:proofErr w:type="spellEnd"/>
      <w:r w:rsidRPr="00580C0D">
        <w:t xml:space="preserve"> </w:t>
      </w:r>
      <w:proofErr w:type="spellStart"/>
      <w:r w:rsidRPr="00580C0D">
        <w:t>høyring</w:t>
      </w:r>
      <w:proofErr w:type="spellEnd"/>
      <w:r w:rsidRPr="00580C0D">
        <w:t xml:space="preserve"> </w:t>
      </w:r>
      <w:proofErr w:type="spellStart"/>
      <w:r w:rsidRPr="00580C0D">
        <w:t>eit</w:t>
      </w:r>
      <w:proofErr w:type="spellEnd"/>
      <w:r w:rsidRPr="00580C0D">
        <w:t xml:space="preserve"> forslag om opptrapping av omsetningskrav for avansert biodrivstoff til luftfart. </w:t>
      </w:r>
      <w:proofErr w:type="spellStart"/>
      <w:r w:rsidRPr="00580C0D">
        <w:t>Høyringa</w:t>
      </w:r>
      <w:proofErr w:type="spellEnd"/>
      <w:r w:rsidRPr="00580C0D">
        <w:t xml:space="preserve"> vart avslutta 9. mars 2023. </w:t>
      </w:r>
      <w:proofErr w:type="spellStart"/>
      <w:r w:rsidRPr="00580C0D">
        <w:t>Høyringsnotatet</w:t>
      </w:r>
      <w:proofErr w:type="spellEnd"/>
      <w:r w:rsidRPr="00580C0D">
        <w:t xml:space="preserve"> foreslo </w:t>
      </w:r>
      <w:proofErr w:type="spellStart"/>
      <w:r w:rsidRPr="00580C0D">
        <w:t>eit</w:t>
      </w:r>
      <w:proofErr w:type="spellEnd"/>
      <w:r w:rsidRPr="00580C0D">
        <w:t xml:space="preserve"> omsetningskrav på 2 volumprosent </w:t>
      </w:r>
      <w:proofErr w:type="spellStart"/>
      <w:r w:rsidRPr="00580C0D">
        <w:t>frå</w:t>
      </w:r>
      <w:proofErr w:type="spellEnd"/>
      <w:r w:rsidRPr="00580C0D">
        <w:t xml:space="preserve"> 1. juli 2023. Vi viser </w:t>
      </w:r>
      <w:proofErr w:type="spellStart"/>
      <w:r w:rsidRPr="00580C0D">
        <w:t>vidare</w:t>
      </w:r>
      <w:proofErr w:type="spellEnd"/>
      <w:r w:rsidRPr="00580C0D">
        <w:t xml:space="preserve"> til vedtak 916 for </w:t>
      </w:r>
      <w:proofErr w:type="spellStart"/>
      <w:r w:rsidRPr="00580C0D">
        <w:t>vidare</w:t>
      </w:r>
      <w:proofErr w:type="spellEnd"/>
      <w:r w:rsidRPr="00580C0D">
        <w:t xml:space="preserve"> vedtak om den same saka.</w:t>
      </w:r>
    </w:p>
    <w:p w14:paraId="75972630"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42A0EFD5" w14:textId="77777777" w:rsidR="00F7113A" w:rsidRPr="00580C0D" w:rsidRDefault="00142E5B" w:rsidP="00580C0D">
      <w:pPr>
        <w:pStyle w:val="avsnitt-tittel"/>
      </w:pPr>
      <w:r w:rsidRPr="00580C0D">
        <w:t>Intensivere arbeidet mot pukkellaks</w:t>
      </w:r>
    </w:p>
    <w:p w14:paraId="331D838A" w14:textId="77777777" w:rsidR="00F7113A" w:rsidRPr="00580C0D" w:rsidRDefault="00142E5B" w:rsidP="00580C0D">
      <w:pPr>
        <w:pStyle w:val="avsnitt-undertittel"/>
      </w:pPr>
      <w:r w:rsidRPr="00580C0D">
        <w:t>Vedtak nr. 118, 1. desember 2022</w:t>
      </w:r>
    </w:p>
    <w:p w14:paraId="0E4C11B6" w14:textId="77777777" w:rsidR="00F7113A" w:rsidRPr="00580C0D" w:rsidRDefault="00142E5B" w:rsidP="00580C0D">
      <w:pPr>
        <w:pStyle w:val="blokksit"/>
        <w:rPr>
          <w:rStyle w:val="kursiv"/>
        </w:rPr>
      </w:pPr>
      <w:r w:rsidRPr="00580C0D">
        <w:rPr>
          <w:rStyle w:val="kursiv"/>
        </w:rPr>
        <w:t>«Stortinget ber regjeringen intensivere arbeidet mot pukkellaks, herunder å tillate fangst av pukkellaks i sjø før sommeren 2023.»</w:t>
      </w:r>
    </w:p>
    <w:p w14:paraId="17503F06"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2 S (2022–2023).</w:t>
      </w:r>
    </w:p>
    <w:p w14:paraId="7C8E7CBA" w14:textId="77777777" w:rsidR="00F7113A" w:rsidRPr="00580C0D" w:rsidRDefault="00142E5B" w:rsidP="00580C0D">
      <w:r w:rsidRPr="00580C0D">
        <w:t xml:space="preserve">I løpet av 2022 og våren 2023 </w:t>
      </w:r>
      <w:proofErr w:type="spellStart"/>
      <w:r w:rsidRPr="00580C0D">
        <w:t>vart</w:t>
      </w:r>
      <w:proofErr w:type="spellEnd"/>
      <w:r w:rsidRPr="00580C0D">
        <w:t xml:space="preserve"> det lagt ned </w:t>
      </w:r>
      <w:proofErr w:type="spellStart"/>
      <w:r w:rsidRPr="00580C0D">
        <w:t>eit</w:t>
      </w:r>
      <w:proofErr w:type="spellEnd"/>
      <w:r w:rsidRPr="00580C0D">
        <w:t xml:space="preserve"> intensivt arbeid for å førebu store uttak av pukkellaks i vassdrag i Troms og Finnmark. I tillegg til </w:t>
      </w:r>
      <w:proofErr w:type="spellStart"/>
      <w:r w:rsidRPr="00580C0D">
        <w:t>dei</w:t>
      </w:r>
      <w:proofErr w:type="spellEnd"/>
      <w:r w:rsidRPr="00580C0D">
        <w:t xml:space="preserve"> 25,3 mill. kronene som vart sette av til å kjempe mot pukkellaks over statsbudsjettet for 2023, foreslo regjeringa </w:t>
      </w:r>
      <w:proofErr w:type="spellStart"/>
      <w:r w:rsidRPr="00580C0D">
        <w:t>ytterlegare</w:t>
      </w:r>
      <w:proofErr w:type="spellEnd"/>
      <w:r w:rsidRPr="00580C0D">
        <w:t xml:space="preserve"> 10 mill. kroner til dette formålet i revidert nasjonalbudsjett. </w:t>
      </w:r>
      <w:proofErr w:type="spellStart"/>
      <w:r w:rsidRPr="00580C0D">
        <w:t>Sommaren</w:t>
      </w:r>
      <w:proofErr w:type="spellEnd"/>
      <w:r w:rsidRPr="00580C0D">
        <w:t xml:space="preserve"> 2023 vart det iverksett pukkellaksuttak og -beredskap i rundt 60 vassdrag, og over 30 av </w:t>
      </w:r>
      <w:proofErr w:type="spellStart"/>
      <w:r w:rsidRPr="00580C0D">
        <w:t>desse</w:t>
      </w:r>
      <w:proofErr w:type="spellEnd"/>
      <w:r w:rsidRPr="00580C0D">
        <w:t xml:space="preserve"> vassdraga </w:t>
      </w:r>
      <w:proofErr w:type="spellStart"/>
      <w:r w:rsidRPr="00580C0D">
        <w:t>fekk</w:t>
      </w:r>
      <w:proofErr w:type="spellEnd"/>
      <w:r w:rsidRPr="00580C0D">
        <w:t xml:space="preserve"> installert pukkellaksfeller. I tråd med vedtaket har arbeidet mot pukkellaks blitt </w:t>
      </w:r>
      <w:proofErr w:type="spellStart"/>
      <w:r w:rsidRPr="00580C0D">
        <w:t>betydeleg</w:t>
      </w:r>
      <w:proofErr w:type="spellEnd"/>
      <w:r w:rsidRPr="00580C0D">
        <w:t xml:space="preserve"> intensivert.</w:t>
      </w:r>
    </w:p>
    <w:p w14:paraId="0153EA94" w14:textId="77777777" w:rsidR="00F7113A" w:rsidRPr="00580C0D" w:rsidRDefault="00142E5B" w:rsidP="00580C0D">
      <w:r w:rsidRPr="00580C0D">
        <w:t xml:space="preserve">I januar 2023 publiserte Vitenskapelig råd for lakseforvaltning </w:t>
      </w:r>
      <w:proofErr w:type="spellStart"/>
      <w:r w:rsidRPr="00580C0D">
        <w:t>ein</w:t>
      </w:r>
      <w:proofErr w:type="spellEnd"/>
      <w:r w:rsidRPr="00580C0D">
        <w:t xml:space="preserve"> rapport om kva </w:t>
      </w:r>
      <w:proofErr w:type="spellStart"/>
      <w:r w:rsidRPr="00580C0D">
        <w:t>konsekvensar</w:t>
      </w:r>
      <w:proofErr w:type="spellEnd"/>
      <w:r w:rsidRPr="00580C0D">
        <w:t xml:space="preserve"> </w:t>
      </w:r>
      <w:proofErr w:type="spellStart"/>
      <w:r w:rsidRPr="00580C0D">
        <w:t>eit</w:t>
      </w:r>
      <w:proofErr w:type="spellEnd"/>
      <w:r w:rsidRPr="00580C0D">
        <w:t xml:space="preserve"> fiske med ulike </w:t>
      </w:r>
      <w:proofErr w:type="spellStart"/>
      <w:r w:rsidRPr="00580C0D">
        <w:t>garnreiskapar</w:t>
      </w:r>
      <w:proofErr w:type="spellEnd"/>
      <w:r w:rsidRPr="00580C0D">
        <w:t xml:space="preserve"> etter pukkellaks i sjø kan ha for </w:t>
      </w:r>
      <w:proofErr w:type="spellStart"/>
      <w:r w:rsidRPr="00580C0D">
        <w:t>annan</w:t>
      </w:r>
      <w:proofErr w:type="spellEnd"/>
      <w:r w:rsidRPr="00580C0D">
        <w:t xml:space="preserve"> anadrom laksefisk. I rapporten kjem det fram at </w:t>
      </w:r>
      <w:proofErr w:type="spellStart"/>
      <w:r w:rsidRPr="00580C0D">
        <w:t>eit</w:t>
      </w:r>
      <w:proofErr w:type="spellEnd"/>
      <w:r w:rsidRPr="00580C0D">
        <w:t xml:space="preserve"> målretta pukkellaksfiske i sjø i tillegg til det ordinære sjølaksefisket vil føre til </w:t>
      </w:r>
      <w:proofErr w:type="spellStart"/>
      <w:r w:rsidRPr="00580C0D">
        <w:t>ein</w:t>
      </w:r>
      <w:proofErr w:type="spellEnd"/>
      <w:r w:rsidRPr="00580C0D">
        <w:t xml:space="preserve"> stor risiko for altfor stor fangst av villaks, sjøaure og sjørøye. Basert på denne rapporten gav Klima- og miljødepartementet, </w:t>
      </w:r>
      <w:proofErr w:type="spellStart"/>
      <w:r w:rsidRPr="00580C0D">
        <w:t>saman</w:t>
      </w:r>
      <w:proofErr w:type="spellEnd"/>
      <w:r w:rsidRPr="00580C0D">
        <w:t xml:space="preserve"> med Nærings- og fiskeridepartementet, </w:t>
      </w:r>
      <w:proofErr w:type="spellStart"/>
      <w:r w:rsidRPr="00580C0D">
        <w:t>eit</w:t>
      </w:r>
      <w:proofErr w:type="spellEnd"/>
      <w:r w:rsidRPr="00580C0D">
        <w:t xml:space="preserve"> oppdrag til Miljødirektoratet om å vurdere korleis </w:t>
      </w:r>
      <w:proofErr w:type="spellStart"/>
      <w:r w:rsidRPr="00580C0D">
        <w:t>eit</w:t>
      </w:r>
      <w:proofErr w:type="spellEnd"/>
      <w:r w:rsidRPr="00580C0D">
        <w:t xml:space="preserve"> fiske etter pukkellaks i sjø burde </w:t>
      </w:r>
      <w:proofErr w:type="spellStart"/>
      <w:r w:rsidRPr="00580C0D">
        <w:t>innrettast</w:t>
      </w:r>
      <w:proofErr w:type="spellEnd"/>
      <w:r w:rsidRPr="00580C0D">
        <w:t xml:space="preserve"> for at uttaket skulle bli effektivt samstundes som skaden på </w:t>
      </w:r>
      <w:proofErr w:type="spellStart"/>
      <w:r w:rsidRPr="00580C0D">
        <w:t>dei</w:t>
      </w:r>
      <w:proofErr w:type="spellEnd"/>
      <w:r w:rsidRPr="00580C0D">
        <w:t xml:space="preserve"> </w:t>
      </w:r>
      <w:proofErr w:type="spellStart"/>
      <w:r w:rsidRPr="00580C0D">
        <w:t>naturleg</w:t>
      </w:r>
      <w:proofErr w:type="spellEnd"/>
      <w:r w:rsidRPr="00580C0D">
        <w:t xml:space="preserve"> </w:t>
      </w:r>
      <w:proofErr w:type="spellStart"/>
      <w:r w:rsidRPr="00580C0D">
        <w:t>heimehøyrande</w:t>
      </w:r>
      <w:proofErr w:type="spellEnd"/>
      <w:r w:rsidRPr="00580C0D">
        <w:t xml:space="preserve"> </w:t>
      </w:r>
      <w:proofErr w:type="spellStart"/>
      <w:r w:rsidRPr="00580C0D">
        <w:t>artane</w:t>
      </w:r>
      <w:proofErr w:type="spellEnd"/>
      <w:r w:rsidRPr="00580C0D">
        <w:t xml:space="preserve"> vart minst </w:t>
      </w:r>
      <w:proofErr w:type="spellStart"/>
      <w:r w:rsidRPr="00580C0D">
        <w:t>mogleg</w:t>
      </w:r>
      <w:proofErr w:type="spellEnd"/>
      <w:r w:rsidRPr="00580C0D">
        <w:t xml:space="preserve">. Oppdraget skulle </w:t>
      </w:r>
      <w:proofErr w:type="spellStart"/>
      <w:r w:rsidRPr="00580C0D">
        <w:t>utførast</w:t>
      </w:r>
      <w:proofErr w:type="spellEnd"/>
      <w:r w:rsidRPr="00580C0D">
        <w:t xml:space="preserve"> i samråd med Fiskeridirektoratet.</w:t>
      </w:r>
    </w:p>
    <w:p w14:paraId="0B5ADEC0" w14:textId="77777777" w:rsidR="00F7113A" w:rsidRPr="00580C0D" w:rsidRDefault="00142E5B" w:rsidP="00580C0D">
      <w:r w:rsidRPr="00580C0D">
        <w:t xml:space="preserve">I svaret på oppdraget </w:t>
      </w:r>
      <w:proofErr w:type="spellStart"/>
      <w:r w:rsidRPr="00580C0D">
        <w:t>frå</w:t>
      </w:r>
      <w:proofErr w:type="spellEnd"/>
      <w:r w:rsidRPr="00580C0D">
        <w:t xml:space="preserve"> direktorata </w:t>
      </w:r>
      <w:proofErr w:type="spellStart"/>
      <w:r w:rsidRPr="00580C0D">
        <w:t>peiker</w:t>
      </w:r>
      <w:proofErr w:type="spellEnd"/>
      <w:r w:rsidRPr="00580C0D">
        <w:t xml:space="preserve"> Miljødirektoratet på at det er stor risiko for </w:t>
      </w:r>
      <w:proofErr w:type="spellStart"/>
      <w:r w:rsidRPr="00580C0D">
        <w:t>auka</w:t>
      </w:r>
      <w:proofErr w:type="spellEnd"/>
      <w:r w:rsidRPr="00580C0D">
        <w:t xml:space="preserve"> </w:t>
      </w:r>
      <w:proofErr w:type="spellStart"/>
      <w:r w:rsidRPr="00580C0D">
        <w:t>døyelegheit</w:t>
      </w:r>
      <w:proofErr w:type="spellEnd"/>
      <w:r w:rsidRPr="00580C0D">
        <w:t xml:space="preserve"> av </w:t>
      </w:r>
      <w:proofErr w:type="spellStart"/>
      <w:r w:rsidRPr="00580C0D">
        <w:t>annan</w:t>
      </w:r>
      <w:proofErr w:type="spellEnd"/>
      <w:r w:rsidRPr="00580C0D">
        <w:t xml:space="preserve"> anadrom laksefisk dersom </w:t>
      </w:r>
      <w:proofErr w:type="spellStart"/>
      <w:r w:rsidRPr="00580C0D">
        <w:t>ein</w:t>
      </w:r>
      <w:proofErr w:type="spellEnd"/>
      <w:r w:rsidRPr="00580C0D">
        <w:t xml:space="preserve"> skal fiske ut pukkellaks i sjø med </w:t>
      </w:r>
      <w:proofErr w:type="spellStart"/>
      <w:r w:rsidRPr="00580C0D">
        <w:t>alminnelege</w:t>
      </w:r>
      <w:proofErr w:type="spellEnd"/>
      <w:r w:rsidRPr="00580C0D">
        <w:t xml:space="preserve"> </w:t>
      </w:r>
      <w:proofErr w:type="spellStart"/>
      <w:r w:rsidRPr="00580C0D">
        <w:t>garnreiskapar</w:t>
      </w:r>
      <w:proofErr w:type="spellEnd"/>
      <w:r w:rsidRPr="00580C0D">
        <w:t xml:space="preserve">, og </w:t>
      </w:r>
      <w:proofErr w:type="spellStart"/>
      <w:r w:rsidRPr="00580C0D">
        <w:t>dei</w:t>
      </w:r>
      <w:proofErr w:type="spellEnd"/>
      <w:r w:rsidRPr="00580C0D">
        <w:t xml:space="preserve"> tilrår å følgje </w:t>
      </w:r>
      <w:proofErr w:type="spellStart"/>
      <w:r w:rsidRPr="00580C0D">
        <w:t>hovudstrategien</w:t>
      </w:r>
      <w:proofErr w:type="spellEnd"/>
      <w:r w:rsidRPr="00580C0D">
        <w:t xml:space="preserve"> om å ta ut pukkellaks i </w:t>
      </w:r>
      <w:proofErr w:type="spellStart"/>
      <w:r w:rsidRPr="00580C0D">
        <w:t>elvane</w:t>
      </w:r>
      <w:proofErr w:type="spellEnd"/>
      <w:r w:rsidRPr="00580C0D">
        <w:t xml:space="preserve">. Fiskeridirektoratet viser til at </w:t>
      </w:r>
      <w:proofErr w:type="spellStart"/>
      <w:r w:rsidRPr="00580C0D">
        <w:t>ein</w:t>
      </w:r>
      <w:proofErr w:type="spellEnd"/>
      <w:r w:rsidRPr="00580C0D">
        <w:t xml:space="preserve"> har liten kunnskap om uttak av pukkellaks med </w:t>
      </w:r>
      <w:proofErr w:type="spellStart"/>
      <w:r w:rsidRPr="00580C0D">
        <w:t>saltvassreiskapar</w:t>
      </w:r>
      <w:proofErr w:type="spellEnd"/>
      <w:r w:rsidRPr="00580C0D">
        <w:t xml:space="preserve">, og tilrår forsøksfiske før </w:t>
      </w:r>
      <w:proofErr w:type="spellStart"/>
      <w:r w:rsidRPr="00580C0D">
        <w:t>ein</w:t>
      </w:r>
      <w:proofErr w:type="spellEnd"/>
      <w:r w:rsidRPr="00580C0D">
        <w:t xml:space="preserve"> </w:t>
      </w:r>
      <w:proofErr w:type="spellStart"/>
      <w:r w:rsidRPr="00580C0D">
        <w:t>legg</w:t>
      </w:r>
      <w:proofErr w:type="spellEnd"/>
      <w:r w:rsidRPr="00580C0D">
        <w:t xml:space="preserve"> opp til pukkellaksuttak i sjø med slike </w:t>
      </w:r>
      <w:proofErr w:type="spellStart"/>
      <w:r w:rsidRPr="00580C0D">
        <w:t>reiskapar</w:t>
      </w:r>
      <w:proofErr w:type="spellEnd"/>
      <w:r w:rsidRPr="00580C0D">
        <w:t xml:space="preserve">. For å </w:t>
      </w:r>
      <w:proofErr w:type="spellStart"/>
      <w:r w:rsidRPr="00580C0D">
        <w:t>følgje</w:t>
      </w:r>
      <w:proofErr w:type="spellEnd"/>
      <w:r w:rsidRPr="00580C0D">
        <w:t xml:space="preserve"> opp Stortingets vedtak foreslo Klima- og miljødepartementet å </w:t>
      </w:r>
      <w:proofErr w:type="spellStart"/>
      <w:r w:rsidRPr="00580C0D">
        <w:t>leggje</w:t>
      </w:r>
      <w:proofErr w:type="spellEnd"/>
      <w:r w:rsidRPr="00580C0D">
        <w:t xml:space="preserve"> til rette for </w:t>
      </w:r>
      <w:proofErr w:type="spellStart"/>
      <w:r w:rsidRPr="00580C0D">
        <w:t>eit</w:t>
      </w:r>
      <w:proofErr w:type="spellEnd"/>
      <w:r w:rsidRPr="00580C0D">
        <w:t xml:space="preserve"> målretta fiske etter pukkellaks i sjø i det tidsrommet pukkellaksen </w:t>
      </w:r>
      <w:proofErr w:type="spellStart"/>
      <w:r w:rsidRPr="00580C0D">
        <w:t>oppheld</w:t>
      </w:r>
      <w:proofErr w:type="spellEnd"/>
      <w:r w:rsidRPr="00580C0D">
        <w:t xml:space="preserve"> seg i kyst- og fjordområda. Fisket skulle skje med små maskevidder, og det var krav om </w:t>
      </w:r>
      <w:proofErr w:type="spellStart"/>
      <w:r w:rsidRPr="00580C0D">
        <w:t>gjenutsetjing</w:t>
      </w:r>
      <w:proofErr w:type="spellEnd"/>
      <w:r w:rsidRPr="00580C0D">
        <w:t xml:space="preserve"> av all </w:t>
      </w:r>
      <w:proofErr w:type="spellStart"/>
      <w:r w:rsidRPr="00580C0D">
        <w:t>annan</w:t>
      </w:r>
      <w:proofErr w:type="spellEnd"/>
      <w:r w:rsidRPr="00580C0D">
        <w:t xml:space="preserve"> </w:t>
      </w:r>
      <w:proofErr w:type="spellStart"/>
      <w:r w:rsidRPr="00580C0D">
        <w:t>levande</w:t>
      </w:r>
      <w:proofErr w:type="spellEnd"/>
      <w:r w:rsidRPr="00580C0D">
        <w:t xml:space="preserve"> anadrom laksefisk. Det målretta pukkellaksfisket skulle erstatte det ordinære sjølaksefisket for at </w:t>
      </w:r>
      <w:proofErr w:type="spellStart"/>
      <w:r w:rsidRPr="00580C0D">
        <w:t>konsekvensane</w:t>
      </w:r>
      <w:proofErr w:type="spellEnd"/>
      <w:r w:rsidRPr="00580C0D">
        <w:t xml:space="preserve"> for </w:t>
      </w:r>
      <w:proofErr w:type="spellStart"/>
      <w:r w:rsidRPr="00580C0D">
        <w:t>annan</w:t>
      </w:r>
      <w:proofErr w:type="spellEnd"/>
      <w:r w:rsidRPr="00580C0D">
        <w:t xml:space="preserve"> laksefisk </w:t>
      </w:r>
      <w:proofErr w:type="spellStart"/>
      <w:r w:rsidRPr="00580C0D">
        <w:t>ikkje</w:t>
      </w:r>
      <w:proofErr w:type="spellEnd"/>
      <w:r w:rsidRPr="00580C0D">
        <w:t xml:space="preserve"> skulle bli for store. Forslaget </w:t>
      </w:r>
      <w:proofErr w:type="spellStart"/>
      <w:r w:rsidRPr="00580C0D">
        <w:t>fekk</w:t>
      </w:r>
      <w:proofErr w:type="spellEnd"/>
      <w:r w:rsidRPr="00580C0D">
        <w:t xml:space="preserve"> sterk kritikk, </w:t>
      </w:r>
      <w:proofErr w:type="spellStart"/>
      <w:r w:rsidRPr="00580C0D">
        <w:t>særleg</w:t>
      </w:r>
      <w:proofErr w:type="spellEnd"/>
      <w:r w:rsidRPr="00580C0D">
        <w:t xml:space="preserve"> </w:t>
      </w:r>
      <w:proofErr w:type="spellStart"/>
      <w:r w:rsidRPr="00580C0D">
        <w:t>frå</w:t>
      </w:r>
      <w:proofErr w:type="spellEnd"/>
      <w:r w:rsidRPr="00580C0D">
        <w:t xml:space="preserve"> </w:t>
      </w:r>
      <w:proofErr w:type="spellStart"/>
      <w:r w:rsidRPr="00580C0D">
        <w:t>sjølaksefiskarane</w:t>
      </w:r>
      <w:proofErr w:type="spellEnd"/>
      <w:r w:rsidRPr="00580C0D">
        <w:t xml:space="preserve">. Etter </w:t>
      </w:r>
      <w:proofErr w:type="spellStart"/>
      <w:r w:rsidRPr="00580C0D">
        <w:t>konsultasjonar</w:t>
      </w:r>
      <w:proofErr w:type="spellEnd"/>
      <w:r w:rsidRPr="00580C0D">
        <w:t xml:space="preserve"> med </w:t>
      </w:r>
      <w:proofErr w:type="spellStart"/>
      <w:r w:rsidRPr="00580C0D">
        <w:t>sjølaksefiskarorganisasjonane</w:t>
      </w:r>
      <w:proofErr w:type="spellEnd"/>
      <w:r w:rsidRPr="00580C0D">
        <w:t xml:space="preserve"> og Sametinget bestemte Klima- og miljødepartementet å </w:t>
      </w:r>
      <w:proofErr w:type="spellStart"/>
      <w:r w:rsidRPr="00580C0D">
        <w:t>skrinleggje</w:t>
      </w:r>
      <w:proofErr w:type="spellEnd"/>
      <w:r w:rsidRPr="00580C0D">
        <w:t xml:space="preserve"> forslaget og å føre </w:t>
      </w:r>
      <w:proofErr w:type="spellStart"/>
      <w:r w:rsidRPr="00580C0D">
        <w:t>vidare</w:t>
      </w:r>
      <w:proofErr w:type="spellEnd"/>
      <w:r w:rsidRPr="00580C0D">
        <w:t xml:space="preserve"> det ordinære sjølaksefisket der pukkellaks inngår som bifangst.</w:t>
      </w:r>
    </w:p>
    <w:p w14:paraId="38201AF5" w14:textId="77777777" w:rsidR="00F7113A" w:rsidRPr="00580C0D" w:rsidRDefault="00142E5B" w:rsidP="00580C0D">
      <w:r w:rsidRPr="00580C0D">
        <w:t xml:space="preserve">Klima- og miljødepartementet har gjennom denne prosessen grundig vurdert korleis Stortingets vedtak kunne </w:t>
      </w:r>
      <w:proofErr w:type="spellStart"/>
      <w:r w:rsidRPr="00580C0D">
        <w:t>gjennomførast</w:t>
      </w:r>
      <w:proofErr w:type="spellEnd"/>
      <w:r w:rsidRPr="00580C0D">
        <w:t xml:space="preserve"> på </w:t>
      </w:r>
      <w:proofErr w:type="spellStart"/>
      <w:r w:rsidRPr="00580C0D">
        <w:t>ein</w:t>
      </w:r>
      <w:proofErr w:type="spellEnd"/>
      <w:r w:rsidRPr="00580C0D">
        <w:t xml:space="preserve"> </w:t>
      </w:r>
      <w:proofErr w:type="spellStart"/>
      <w:r w:rsidRPr="00580C0D">
        <w:t>forsvarleg</w:t>
      </w:r>
      <w:proofErr w:type="spellEnd"/>
      <w:r w:rsidRPr="00580C0D">
        <w:t xml:space="preserve"> måte av omsyn til villaks og </w:t>
      </w:r>
      <w:proofErr w:type="spellStart"/>
      <w:r w:rsidRPr="00580C0D">
        <w:t>annan</w:t>
      </w:r>
      <w:proofErr w:type="spellEnd"/>
      <w:r w:rsidRPr="00580C0D">
        <w:t xml:space="preserve"> anadrom laksefisk. Samstundes var det </w:t>
      </w:r>
      <w:proofErr w:type="spellStart"/>
      <w:r w:rsidRPr="00580C0D">
        <w:t>ikkje</w:t>
      </w:r>
      <w:proofErr w:type="spellEnd"/>
      <w:r w:rsidRPr="00580C0D">
        <w:t xml:space="preserve"> </w:t>
      </w:r>
      <w:proofErr w:type="spellStart"/>
      <w:r w:rsidRPr="00580C0D">
        <w:t>ønskjeleg</w:t>
      </w:r>
      <w:proofErr w:type="spellEnd"/>
      <w:r w:rsidRPr="00580C0D">
        <w:t xml:space="preserve"> å gjennomføre det </w:t>
      </w:r>
      <w:proofErr w:type="spellStart"/>
      <w:r w:rsidRPr="00580C0D">
        <w:t>einaste</w:t>
      </w:r>
      <w:proofErr w:type="spellEnd"/>
      <w:r w:rsidRPr="00580C0D">
        <w:t xml:space="preserve"> alternativet som ville </w:t>
      </w:r>
      <w:proofErr w:type="spellStart"/>
      <w:r w:rsidRPr="00580C0D">
        <w:t>vore</w:t>
      </w:r>
      <w:proofErr w:type="spellEnd"/>
      <w:r w:rsidRPr="00580C0D">
        <w:t xml:space="preserve"> i tråd med </w:t>
      </w:r>
      <w:proofErr w:type="spellStart"/>
      <w:r w:rsidRPr="00580C0D">
        <w:t>dei</w:t>
      </w:r>
      <w:proofErr w:type="spellEnd"/>
      <w:r w:rsidRPr="00580C0D">
        <w:t xml:space="preserve"> </w:t>
      </w:r>
      <w:proofErr w:type="spellStart"/>
      <w:r w:rsidRPr="00580C0D">
        <w:t>faglege</w:t>
      </w:r>
      <w:proofErr w:type="spellEnd"/>
      <w:r w:rsidRPr="00580C0D">
        <w:t xml:space="preserve"> råda.</w:t>
      </w:r>
    </w:p>
    <w:p w14:paraId="42B6F89E" w14:textId="77777777" w:rsidR="00F7113A" w:rsidRPr="00580C0D" w:rsidRDefault="00142E5B" w:rsidP="00580C0D">
      <w:r w:rsidRPr="00580C0D">
        <w:t xml:space="preserve">I tillegg til det ordinære sjølaksefisket der pukkellaks inngår som bifangst, vart det i 2023 gjennomført forskingsfiske etter pukkellaks i sjø </w:t>
      </w:r>
      <w:proofErr w:type="spellStart"/>
      <w:r w:rsidRPr="00580C0D">
        <w:t>fleire</w:t>
      </w:r>
      <w:proofErr w:type="spellEnd"/>
      <w:r w:rsidRPr="00580C0D">
        <w:t xml:space="preserve"> </w:t>
      </w:r>
      <w:proofErr w:type="spellStart"/>
      <w:r w:rsidRPr="00580C0D">
        <w:t>stader</w:t>
      </w:r>
      <w:proofErr w:type="spellEnd"/>
      <w:r w:rsidRPr="00580C0D">
        <w:t xml:space="preserve"> i Finnmark. Resultata </w:t>
      </w:r>
      <w:proofErr w:type="spellStart"/>
      <w:r w:rsidRPr="00580C0D">
        <w:t>frå</w:t>
      </w:r>
      <w:proofErr w:type="spellEnd"/>
      <w:r w:rsidRPr="00580C0D">
        <w:t xml:space="preserve"> </w:t>
      </w:r>
      <w:proofErr w:type="spellStart"/>
      <w:r w:rsidRPr="00580C0D">
        <w:t>desse</w:t>
      </w:r>
      <w:proofErr w:type="spellEnd"/>
      <w:r w:rsidRPr="00580C0D">
        <w:t xml:space="preserve"> forskingsprosjekta vil </w:t>
      </w:r>
      <w:proofErr w:type="spellStart"/>
      <w:r w:rsidRPr="00580C0D">
        <w:t>gje</w:t>
      </w:r>
      <w:proofErr w:type="spellEnd"/>
      <w:r w:rsidRPr="00580C0D">
        <w:t xml:space="preserve"> </w:t>
      </w:r>
      <w:proofErr w:type="spellStart"/>
      <w:r w:rsidRPr="00580C0D">
        <w:t>eit</w:t>
      </w:r>
      <w:proofErr w:type="spellEnd"/>
      <w:r w:rsidRPr="00580C0D">
        <w:t xml:space="preserve"> betre kunnskapsgrunnlag for eventuell bruk av </w:t>
      </w:r>
      <w:proofErr w:type="spellStart"/>
      <w:r w:rsidRPr="00580C0D">
        <w:t>saltvassreiskapar</w:t>
      </w:r>
      <w:proofErr w:type="spellEnd"/>
      <w:r w:rsidRPr="00580C0D">
        <w:t xml:space="preserve"> under det neste forventa pukkellaksinnrykket i 2025.</w:t>
      </w:r>
    </w:p>
    <w:p w14:paraId="006C8BD6"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5F3D3A53" w14:textId="77777777" w:rsidR="00F7113A" w:rsidRPr="00580C0D" w:rsidRDefault="00142E5B" w:rsidP="00580C0D">
      <w:pPr>
        <w:pStyle w:val="avsnitt-tittel"/>
      </w:pPr>
      <w:r w:rsidRPr="00580C0D">
        <w:t xml:space="preserve">Bidraget </w:t>
      </w:r>
      <w:proofErr w:type="spellStart"/>
      <w:r w:rsidRPr="00580C0D">
        <w:t>frå</w:t>
      </w:r>
      <w:proofErr w:type="spellEnd"/>
      <w:r w:rsidRPr="00580C0D">
        <w:t xml:space="preserve"> </w:t>
      </w:r>
      <w:proofErr w:type="spellStart"/>
      <w:r w:rsidRPr="00580C0D">
        <w:t>verkemiddelapparatet</w:t>
      </w:r>
      <w:proofErr w:type="spellEnd"/>
      <w:r w:rsidRPr="00580C0D">
        <w:t xml:space="preserve"> til </w:t>
      </w:r>
      <w:proofErr w:type="spellStart"/>
      <w:r w:rsidRPr="00580C0D">
        <w:t>ein</w:t>
      </w:r>
      <w:proofErr w:type="spellEnd"/>
      <w:r w:rsidRPr="00580C0D">
        <w:t xml:space="preserve"> </w:t>
      </w:r>
      <w:proofErr w:type="spellStart"/>
      <w:r w:rsidRPr="00580C0D">
        <w:t>meir</w:t>
      </w:r>
      <w:proofErr w:type="spellEnd"/>
      <w:r w:rsidRPr="00580C0D">
        <w:t xml:space="preserve"> sirkulær økonomi</w:t>
      </w:r>
    </w:p>
    <w:p w14:paraId="4AF37B16" w14:textId="77777777" w:rsidR="00F7113A" w:rsidRPr="00580C0D" w:rsidRDefault="00142E5B" w:rsidP="00580C0D">
      <w:pPr>
        <w:pStyle w:val="avsnitt-undertittel"/>
      </w:pPr>
      <w:r w:rsidRPr="00580C0D">
        <w:t>Vedtak nr. 450, 12. januar 2023</w:t>
      </w:r>
    </w:p>
    <w:p w14:paraId="79C5E6BC" w14:textId="77777777" w:rsidR="00F7113A" w:rsidRPr="00580C0D" w:rsidRDefault="00142E5B" w:rsidP="00580C0D">
      <w:pPr>
        <w:pStyle w:val="blokksit"/>
        <w:rPr>
          <w:rStyle w:val="kursiv"/>
        </w:rPr>
      </w:pPr>
      <w:r w:rsidRPr="00580C0D">
        <w:rPr>
          <w:rStyle w:val="kursiv"/>
        </w:rPr>
        <w:t xml:space="preserve">«Stortinget ber regjeringen kartlegge hvordan virkemiddelapparatet kan innrettes slik at man i </w:t>
      </w:r>
      <w:proofErr w:type="spellStart"/>
      <w:r w:rsidRPr="00580C0D">
        <w:rPr>
          <w:rStyle w:val="kursiv"/>
        </w:rPr>
        <w:t>sterkeregrad</w:t>
      </w:r>
      <w:proofErr w:type="spellEnd"/>
      <w:r w:rsidRPr="00580C0D">
        <w:rPr>
          <w:rStyle w:val="kursiv"/>
        </w:rPr>
        <w:t xml:space="preserve"> støtter opp under deler av eller hele verdikjeder som bidrar til en overgang til mer sirkulærøkonomi.»</w:t>
      </w:r>
    </w:p>
    <w:p w14:paraId="3831C225"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Innst</w:t>
      </w:r>
      <w:proofErr w:type="spellEnd"/>
      <w:r w:rsidRPr="00580C0D">
        <w:t>. 124 S (2022–2023).</w:t>
      </w:r>
    </w:p>
    <w:p w14:paraId="67F1C50E" w14:textId="77777777" w:rsidR="00F7113A" w:rsidRPr="00580C0D" w:rsidRDefault="00142E5B" w:rsidP="00580C0D">
      <w:r w:rsidRPr="00580C0D">
        <w:t>Vedtaket er under oppfølging. Regjeringa vil komme tilbake til Stortinget på eigna måte.</w:t>
      </w:r>
    </w:p>
    <w:p w14:paraId="41218C18" w14:textId="77777777" w:rsidR="00F7113A" w:rsidRPr="00580C0D" w:rsidRDefault="00142E5B" w:rsidP="00580C0D">
      <w:pPr>
        <w:pStyle w:val="avsnitt-tittel"/>
      </w:pPr>
      <w:r w:rsidRPr="00580C0D">
        <w:t xml:space="preserve">Kompetansebehov knytt til nye sirkulære </w:t>
      </w:r>
      <w:proofErr w:type="spellStart"/>
      <w:r w:rsidRPr="00580C0D">
        <w:t>forretningsmodellar</w:t>
      </w:r>
      <w:proofErr w:type="spellEnd"/>
    </w:p>
    <w:p w14:paraId="3F083EAC" w14:textId="77777777" w:rsidR="00F7113A" w:rsidRPr="00580C0D" w:rsidRDefault="00142E5B" w:rsidP="00580C0D">
      <w:pPr>
        <w:pStyle w:val="avsnitt-undertittel"/>
      </w:pPr>
      <w:r w:rsidRPr="00580C0D">
        <w:t>Vedtak nr. 451, 12. januar 2023</w:t>
      </w:r>
    </w:p>
    <w:p w14:paraId="3A59310A" w14:textId="77777777" w:rsidR="00F7113A" w:rsidRPr="00580C0D" w:rsidRDefault="00142E5B" w:rsidP="00580C0D">
      <w:pPr>
        <w:pStyle w:val="blokksit"/>
        <w:rPr>
          <w:rStyle w:val="kursiv"/>
        </w:rPr>
      </w:pPr>
      <w:r w:rsidRPr="00580C0D">
        <w:rPr>
          <w:rStyle w:val="kursiv"/>
        </w:rPr>
        <w:t xml:space="preserve">«Stortinget ber regjeringen i samarbeid med aktuelle bransjer og næringer, å innhente oppdatert kunnskapsgrunnlag om kompetansebehovet forbundet med nye, sirkulære forretningsmodeller, og etablere flere </w:t>
      </w:r>
      <w:proofErr w:type="spellStart"/>
      <w:r w:rsidRPr="00580C0D">
        <w:rPr>
          <w:rStyle w:val="kursiv"/>
        </w:rPr>
        <w:t>treparts</w:t>
      </w:r>
      <w:proofErr w:type="spellEnd"/>
      <w:r w:rsidRPr="00580C0D">
        <w:rPr>
          <w:rStyle w:val="kursiv"/>
        </w:rPr>
        <w:t xml:space="preserve"> bransjeprogrammer.»</w:t>
      </w:r>
    </w:p>
    <w:p w14:paraId="0ABB1D56" w14:textId="77777777" w:rsidR="00F7113A" w:rsidRPr="00580C0D" w:rsidRDefault="00142E5B" w:rsidP="00580C0D">
      <w:r w:rsidRPr="00580C0D">
        <w:t xml:space="preserve">Vedtaket </w:t>
      </w:r>
      <w:proofErr w:type="spellStart"/>
      <w:r w:rsidRPr="00580C0D">
        <w:t>vart</w:t>
      </w:r>
      <w:proofErr w:type="spellEnd"/>
      <w:r w:rsidRPr="00580C0D">
        <w:t xml:space="preserve"> gjort ved behandlinga, jf. </w:t>
      </w:r>
      <w:proofErr w:type="spellStart"/>
      <w:r w:rsidRPr="00580C0D">
        <w:t>Innst</w:t>
      </w:r>
      <w:proofErr w:type="spellEnd"/>
      <w:r w:rsidRPr="00580C0D">
        <w:t>. 124 S (2022–2023).</w:t>
      </w:r>
    </w:p>
    <w:p w14:paraId="47611168" w14:textId="77777777" w:rsidR="00F7113A" w:rsidRPr="00580C0D" w:rsidRDefault="00142E5B" w:rsidP="00580C0D">
      <w:r w:rsidRPr="00580C0D">
        <w:t>Vedtaket er under oppfølging. Regjeringa vil komme tilbake til Stortinget på eigna måte.</w:t>
      </w:r>
    </w:p>
    <w:p w14:paraId="71E5A037" w14:textId="77777777" w:rsidR="00F7113A" w:rsidRPr="00580C0D" w:rsidRDefault="00142E5B" w:rsidP="00580C0D">
      <w:pPr>
        <w:pStyle w:val="avsnitt-tittel"/>
      </w:pPr>
      <w:r w:rsidRPr="00580C0D">
        <w:t xml:space="preserve">Endre </w:t>
      </w:r>
      <w:proofErr w:type="spellStart"/>
      <w:r w:rsidRPr="00580C0D">
        <w:t>Enovas</w:t>
      </w:r>
      <w:proofErr w:type="spellEnd"/>
      <w:r w:rsidRPr="00580C0D">
        <w:t xml:space="preserve"> mandat</w:t>
      </w:r>
    </w:p>
    <w:p w14:paraId="11404B3B" w14:textId="77777777" w:rsidR="00F7113A" w:rsidRPr="00580C0D" w:rsidRDefault="00142E5B" w:rsidP="00580C0D">
      <w:pPr>
        <w:pStyle w:val="avsnitt-undertittel"/>
      </w:pPr>
      <w:r w:rsidRPr="00580C0D">
        <w:t>Vedtak nr. 507, 23. februar 2023</w:t>
      </w:r>
    </w:p>
    <w:p w14:paraId="6A92C39D" w14:textId="77777777" w:rsidR="00F7113A" w:rsidRPr="00580C0D" w:rsidRDefault="00142E5B" w:rsidP="00580C0D">
      <w:pPr>
        <w:pStyle w:val="blokksit"/>
        <w:rPr>
          <w:rStyle w:val="kursiv"/>
        </w:rPr>
      </w:pPr>
      <w:r w:rsidRPr="00580C0D">
        <w:rPr>
          <w:rStyle w:val="kursiv"/>
        </w:rPr>
        <w:t xml:space="preserve">«Stortinget ber regjeringen om å endre </w:t>
      </w:r>
      <w:proofErr w:type="spellStart"/>
      <w:r w:rsidRPr="00580C0D">
        <w:rPr>
          <w:rStyle w:val="kursiv"/>
        </w:rPr>
        <w:t>Enovas</w:t>
      </w:r>
      <w:proofErr w:type="spellEnd"/>
      <w:r w:rsidRPr="00580C0D">
        <w:rPr>
          <w:rStyle w:val="kursiv"/>
        </w:rPr>
        <w:t xml:space="preserve"> mandat slik at det omfatter energieffektivisering for alle sektorer i løpet av våren 2023.»</w:t>
      </w:r>
    </w:p>
    <w:p w14:paraId="1B674C2F"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Sofie </w:t>
      </w:r>
      <w:proofErr w:type="spellStart"/>
      <w:r w:rsidRPr="00580C0D">
        <w:t>Marhaug</w:t>
      </w:r>
      <w:proofErr w:type="spellEnd"/>
      <w:r w:rsidRPr="00580C0D">
        <w:t xml:space="preserve"> og Geir Jørgensen om ei kraftfull satsing på lokal energiproduksjon og -sparing og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Lars Haltbrekken og Kim Thoresen-Vestre om </w:t>
      </w:r>
      <w:proofErr w:type="spellStart"/>
      <w:r w:rsidRPr="00580C0D">
        <w:t>ein</w:t>
      </w:r>
      <w:proofErr w:type="spellEnd"/>
      <w:r w:rsidRPr="00580C0D">
        <w:t xml:space="preserve"> plan for enøk, jf. </w:t>
      </w:r>
      <w:proofErr w:type="spellStart"/>
      <w:r w:rsidRPr="00580C0D">
        <w:t>Innst</w:t>
      </w:r>
      <w:proofErr w:type="spellEnd"/>
      <w:r w:rsidRPr="00580C0D">
        <w:t>. 192 S (2022–2023), Stortingets forretningsorden § 14 nr. 8 bokstav b.</w:t>
      </w:r>
    </w:p>
    <w:p w14:paraId="64E25AFF" w14:textId="77777777" w:rsidR="00F7113A" w:rsidRPr="00580C0D" w:rsidRDefault="00142E5B" w:rsidP="00580C0D">
      <w:r w:rsidRPr="00580C0D">
        <w:t xml:space="preserve">Mandatet til </w:t>
      </w:r>
      <w:proofErr w:type="spellStart"/>
      <w:r w:rsidRPr="00580C0D">
        <w:t>Enova</w:t>
      </w:r>
      <w:proofErr w:type="spellEnd"/>
      <w:r w:rsidRPr="00580C0D">
        <w:t xml:space="preserve"> </w:t>
      </w:r>
      <w:proofErr w:type="spellStart"/>
      <w:r w:rsidRPr="00580C0D">
        <w:t>omfattar</w:t>
      </w:r>
      <w:proofErr w:type="spellEnd"/>
      <w:r w:rsidRPr="00580C0D">
        <w:t xml:space="preserve"> </w:t>
      </w:r>
      <w:proofErr w:type="spellStart"/>
      <w:r w:rsidRPr="00580C0D">
        <w:t>no</w:t>
      </w:r>
      <w:proofErr w:type="spellEnd"/>
      <w:r w:rsidRPr="00580C0D">
        <w:t xml:space="preserve"> energieffektivisering i alle </w:t>
      </w:r>
      <w:proofErr w:type="spellStart"/>
      <w:r w:rsidRPr="00580C0D">
        <w:t>sektorar</w:t>
      </w:r>
      <w:proofErr w:type="spellEnd"/>
      <w:r w:rsidRPr="00580C0D">
        <w:t xml:space="preserve">. Regjeringa presiserte i mars 2023 mandatet til </w:t>
      </w:r>
      <w:proofErr w:type="spellStart"/>
      <w:r w:rsidRPr="00580C0D">
        <w:t>Enova</w:t>
      </w:r>
      <w:proofErr w:type="spellEnd"/>
      <w:r w:rsidRPr="00580C0D">
        <w:t xml:space="preserve"> knytt til energi, jf. tilleggsavtale av 15. februar 2023 om forvaltning av </w:t>
      </w:r>
      <w:proofErr w:type="spellStart"/>
      <w:r w:rsidRPr="00580C0D">
        <w:t>midlane</w:t>
      </w:r>
      <w:proofErr w:type="spellEnd"/>
      <w:r w:rsidRPr="00580C0D">
        <w:t xml:space="preserve"> </w:t>
      </w:r>
      <w:proofErr w:type="spellStart"/>
      <w:r w:rsidRPr="00580C0D">
        <w:t>frå</w:t>
      </w:r>
      <w:proofErr w:type="spellEnd"/>
      <w:r w:rsidRPr="00580C0D">
        <w:t xml:space="preserve"> Klima- og energifondet. Der går det fram at «</w:t>
      </w:r>
      <w:proofErr w:type="spellStart"/>
      <w:r w:rsidRPr="00580C0D">
        <w:rPr>
          <w:rStyle w:val="kursiv"/>
        </w:rPr>
        <w:t>Enova</w:t>
      </w:r>
      <w:proofErr w:type="spellEnd"/>
      <w:r w:rsidRPr="00580C0D">
        <w:rPr>
          <w:rStyle w:val="kursiv"/>
        </w:rPr>
        <w:t xml:space="preserve"> skal finne gode løsninger som tar hensyn til behovet for et effektivt energisystem. Det innebærer at </w:t>
      </w:r>
      <w:proofErr w:type="spellStart"/>
      <w:r w:rsidRPr="00580C0D">
        <w:rPr>
          <w:rStyle w:val="kursiv"/>
        </w:rPr>
        <w:t>Enova</w:t>
      </w:r>
      <w:proofErr w:type="spellEnd"/>
      <w:r w:rsidRPr="00580C0D">
        <w:rPr>
          <w:rStyle w:val="kursiv"/>
        </w:rPr>
        <w:t xml:space="preserve"> blant annet skal bidra til mer effektiv bruk av energi, mer effektiv utnyttelse av eksisterende nett og utvikling av nye energiteknologier i alle sektorer».</w:t>
      </w:r>
    </w:p>
    <w:p w14:paraId="5AC9E41E" w14:textId="77777777" w:rsidR="00F7113A" w:rsidRPr="00580C0D" w:rsidRDefault="00142E5B" w:rsidP="00580C0D">
      <w:r w:rsidRPr="00580C0D">
        <w:t>Departementet viser også til svar på oppmodingsvedtak 509 (2022–2023) og til utvida omtale under kap. 1428.50.</w:t>
      </w:r>
    </w:p>
    <w:p w14:paraId="0E4139EE"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77580991" w14:textId="77777777" w:rsidR="00F7113A" w:rsidRPr="00580C0D" w:rsidRDefault="00142E5B" w:rsidP="00580C0D">
      <w:pPr>
        <w:pStyle w:val="avsnitt-tittel"/>
      </w:pPr>
      <w:proofErr w:type="spellStart"/>
      <w:r w:rsidRPr="00580C0D">
        <w:t>Støtteordningar</w:t>
      </w:r>
      <w:proofErr w:type="spellEnd"/>
      <w:r w:rsidRPr="00580C0D">
        <w:t xml:space="preserve"> for energieffektivisering med moden teknologi</w:t>
      </w:r>
    </w:p>
    <w:p w14:paraId="07740307" w14:textId="77777777" w:rsidR="00F7113A" w:rsidRPr="00580C0D" w:rsidRDefault="00142E5B" w:rsidP="00580C0D">
      <w:pPr>
        <w:pStyle w:val="avsnitt-undertittel"/>
      </w:pPr>
      <w:r w:rsidRPr="00580C0D">
        <w:t>Vedtak nr. 508, 23. februar 2023</w:t>
      </w:r>
    </w:p>
    <w:p w14:paraId="08A4E70F" w14:textId="77777777" w:rsidR="00F7113A" w:rsidRPr="00580C0D" w:rsidRDefault="00142E5B" w:rsidP="00580C0D">
      <w:pPr>
        <w:pStyle w:val="blokksit"/>
        <w:rPr>
          <w:rStyle w:val="kursiv"/>
        </w:rPr>
      </w:pPr>
      <w:r w:rsidRPr="00580C0D">
        <w:rPr>
          <w:rStyle w:val="kursiv"/>
        </w:rPr>
        <w:t xml:space="preserve">«Stortinget ber regjeringen sørge for at </w:t>
      </w:r>
      <w:proofErr w:type="spellStart"/>
      <w:r w:rsidRPr="00580C0D">
        <w:rPr>
          <w:rStyle w:val="kursiv"/>
        </w:rPr>
        <w:t>Enova</w:t>
      </w:r>
      <w:proofErr w:type="spellEnd"/>
      <w:r w:rsidRPr="00580C0D">
        <w:rPr>
          <w:rStyle w:val="kursiv"/>
        </w:rPr>
        <w:t xml:space="preserve"> har tilgjengelig støtteordninger for energieffektivisering med moden teknologi i tråd med Vedtak 21 (2022– 2023) senest i forbindelse med revidert nasjonalbudsjett for 2023.»</w:t>
      </w:r>
    </w:p>
    <w:p w14:paraId="3940D0D0"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Sofie </w:t>
      </w:r>
      <w:proofErr w:type="spellStart"/>
      <w:r w:rsidRPr="00580C0D">
        <w:t>Marhaug</w:t>
      </w:r>
      <w:proofErr w:type="spellEnd"/>
      <w:r w:rsidRPr="00580C0D">
        <w:t xml:space="preserve"> og Geir Jørgensen om ei kraftfull satsing på lokal energiproduksjon og -sparing og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Lars Haltbrekken og Kim Thoresen-Vestre om </w:t>
      </w:r>
      <w:proofErr w:type="spellStart"/>
      <w:r w:rsidRPr="00580C0D">
        <w:t>ein</w:t>
      </w:r>
      <w:proofErr w:type="spellEnd"/>
      <w:r w:rsidRPr="00580C0D">
        <w:t xml:space="preserve"> plan for enøk, jf. </w:t>
      </w:r>
      <w:proofErr w:type="spellStart"/>
      <w:r w:rsidRPr="00580C0D">
        <w:t>Innst</w:t>
      </w:r>
      <w:proofErr w:type="spellEnd"/>
      <w:r w:rsidRPr="00580C0D">
        <w:t xml:space="preserve">. 192 S (2022–2023), </w:t>
      </w:r>
      <w:proofErr w:type="spellStart"/>
      <w:r w:rsidRPr="00580C0D">
        <w:t>romartal</w:t>
      </w:r>
      <w:proofErr w:type="spellEnd"/>
      <w:r w:rsidRPr="00580C0D">
        <w:t xml:space="preserve"> I.</w:t>
      </w:r>
    </w:p>
    <w:p w14:paraId="06979568" w14:textId="77777777" w:rsidR="00F7113A" w:rsidRPr="00580C0D" w:rsidRDefault="00142E5B" w:rsidP="00580C0D">
      <w:r w:rsidRPr="00580C0D">
        <w:t xml:space="preserve">Som ei oppfølging av presiseringa i mandatet i tilleggsavtalen styrker </w:t>
      </w:r>
      <w:proofErr w:type="spellStart"/>
      <w:r w:rsidRPr="00580C0D">
        <w:t>Enova</w:t>
      </w:r>
      <w:proofErr w:type="spellEnd"/>
      <w:r w:rsidRPr="00580C0D">
        <w:t xml:space="preserve"> satsinga på energi i breitt og energieffektivisering </w:t>
      </w:r>
      <w:proofErr w:type="spellStart"/>
      <w:r w:rsidRPr="00580C0D">
        <w:t>meir</w:t>
      </w:r>
      <w:proofErr w:type="spellEnd"/>
      <w:r w:rsidRPr="00580C0D">
        <w:t xml:space="preserve"> spesifikt. Dette </w:t>
      </w:r>
      <w:proofErr w:type="spellStart"/>
      <w:r w:rsidRPr="00580C0D">
        <w:t>inneber</w:t>
      </w:r>
      <w:proofErr w:type="spellEnd"/>
      <w:r w:rsidRPr="00580C0D">
        <w:t xml:space="preserve"> mellom anna ei ny investeringsstøtte retta mot burettslag, </w:t>
      </w:r>
      <w:proofErr w:type="spellStart"/>
      <w:r w:rsidRPr="00580C0D">
        <w:t>sameige</w:t>
      </w:r>
      <w:proofErr w:type="spellEnd"/>
      <w:r w:rsidRPr="00580C0D">
        <w:t xml:space="preserve"> og yrkesbygg som </w:t>
      </w:r>
      <w:proofErr w:type="spellStart"/>
      <w:r w:rsidRPr="00580C0D">
        <w:t>koplar</w:t>
      </w:r>
      <w:proofErr w:type="spellEnd"/>
      <w:r w:rsidRPr="00580C0D">
        <w:t xml:space="preserve"> støtta til energimerket og </w:t>
      </w:r>
      <w:proofErr w:type="spellStart"/>
      <w:r w:rsidRPr="00580C0D">
        <w:t>forbetra</w:t>
      </w:r>
      <w:proofErr w:type="spellEnd"/>
      <w:r w:rsidRPr="00580C0D">
        <w:t xml:space="preserve"> energiyting basert på ei grundig kartlegging. Formålet med investeringsstøtta er å </w:t>
      </w:r>
      <w:proofErr w:type="spellStart"/>
      <w:r w:rsidRPr="00580C0D">
        <w:t>auke</w:t>
      </w:r>
      <w:proofErr w:type="spellEnd"/>
      <w:r w:rsidRPr="00580C0D">
        <w:t xml:space="preserve"> </w:t>
      </w:r>
      <w:proofErr w:type="spellStart"/>
      <w:r w:rsidRPr="00580C0D">
        <w:t>etterspurnaden</w:t>
      </w:r>
      <w:proofErr w:type="spellEnd"/>
      <w:r w:rsidRPr="00580C0D">
        <w:t xml:space="preserve"> og gjennomføringa av energitiltak, </w:t>
      </w:r>
      <w:proofErr w:type="spellStart"/>
      <w:r w:rsidRPr="00580C0D">
        <w:t>auke</w:t>
      </w:r>
      <w:proofErr w:type="spellEnd"/>
      <w:r w:rsidRPr="00580C0D">
        <w:t xml:space="preserve"> andelen </w:t>
      </w:r>
      <w:proofErr w:type="spellStart"/>
      <w:r w:rsidRPr="00580C0D">
        <w:t>energimerkte</w:t>
      </w:r>
      <w:proofErr w:type="spellEnd"/>
      <w:r w:rsidRPr="00580C0D">
        <w:t xml:space="preserve"> næringsbygg og etablere </w:t>
      </w:r>
      <w:proofErr w:type="spellStart"/>
      <w:r w:rsidRPr="00580C0D">
        <w:t>ein</w:t>
      </w:r>
      <w:proofErr w:type="spellEnd"/>
      <w:r w:rsidRPr="00580C0D">
        <w:t xml:space="preserve"> </w:t>
      </w:r>
      <w:proofErr w:type="spellStart"/>
      <w:r w:rsidRPr="00580C0D">
        <w:t>marknad</w:t>
      </w:r>
      <w:proofErr w:type="spellEnd"/>
      <w:r w:rsidRPr="00580C0D">
        <w:t xml:space="preserve"> for </w:t>
      </w:r>
      <w:proofErr w:type="spellStart"/>
      <w:r w:rsidRPr="00580C0D">
        <w:t>energitenester</w:t>
      </w:r>
      <w:proofErr w:type="spellEnd"/>
      <w:r w:rsidRPr="00580C0D">
        <w:t xml:space="preserve">. </w:t>
      </w:r>
      <w:proofErr w:type="spellStart"/>
      <w:r w:rsidRPr="00580C0D">
        <w:t>Enova</w:t>
      </w:r>
      <w:proofErr w:type="spellEnd"/>
      <w:r w:rsidRPr="00580C0D">
        <w:t xml:space="preserve"> har </w:t>
      </w:r>
      <w:proofErr w:type="spellStart"/>
      <w:r w:rsidRPr="00580C0D">
        <w:t>dessutan</w:t>
      </w:r>
      <w:proofErr w:type="spellEnd"/>
      <w:r w:rsidRPr="00580C0D">
        <w:t xml:space="preserve"> styrkt satsinga på </w:t>
      </w:r>
      <w:proofErr w:type="spellStart"/>
      <w:r w:rsidRPr="00580C0D">
        <w:t>einebustader</w:t>
      </w:r>
      <w:proofErr w:type="spellEnd"/>
      <w:r w:rsidRPr="00580C0D">
        <w:t xml:space="preserve"> og småhus gjennom </w:t>
      </w:r>
      <w:proofErr w:type="spellStart"/>
      <w:r w:rsidRPr="00580C0D">
        <w:t>Enovatilskotet</w:t>
      </w:r>
      <w:proofErr w:type="spellEnd"/>
      <w:r w:rsidRPr="00580C0D">
        <w:t xml:space="preserve"> ved å </w:t>
      </w:r>
      <w:proofErr w:type="spellStart"/>
      <w:r w:rsidRPr="00580C0D">
        <w:t>auke</w:t>
      </w:r>
      <w:proofErr w:type="spellEnd"/>
      <w:r w:rsidRPr="00580C0D">
        <w:t xml:space="preserve"> budsjettet.</w:t>
      </w:r>
    </w:p>
    <w:p w14:paraId="004B6218" w14:textId="77777777" w:rsidR="00F7113A" w:rsidRPr="00580C0D" w:rsidRDefault="00142E5B" w:rsidP="00580C0D">
      <w:r w:rsidRPr="00580C0D">
        <w:t xml:space="preserve">Departementet viser </w:t>
      </w:r>
      <w:proofErr w:type="spellStart"/>
      <w:r w:rsidRPr="00580C0D">
        <w:t>elles</w:t>
      </w:r>
      <w:proofErr w:type="spellEnd"/>
      <w:r w:rsidRPr="00580C0D">
        <w:t xml:space="preserve"> til svar på oppmodingsvedtak 21 (2022–2023) og til utvida omtale under kap. 1428.50.</w:t>
      </w:r>
    </w:p>
    <w:p w14:paraId="66FEE5BE"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5BC09E9D" w14:textId="77777777" w:rsidR="00F7113A" w:rsidRPr="00580C0D" w:rsidRDefault="00142E5B" w:rsidP="00580C0D">
      <w:pPr>
        <w:pStyle w:val="avsnitt-tittel"/>
      </w:pPr>
      <w:r w:rsidRPr="00580C0D">
        <w:t xml:space="preserve">Støtte til energieffektivisering og lokal energiproduksjon hos </w:t>
      </w:r>
      <w:proofErr w:type="spellStart"/>
      <w:r w:rsidRPr="00580C0D">
        <w:t>hushalda</w:t>
      </w:r>
      <w:proofErr w:type="spellEnd"/>
    </w:p>
    <w:p w14:paraId="0791C72D" w14:textId="77777777" w:rsidR="00F7113A" w:rsidRPr="00580C0D" w:rsidRDefault="00142E5B" w:rsidP="00580C0D">
      <w:pPr>
        <w:pStyle w:val="avsnitt-undertittel"/>
      </w:pPr>
      <w:r w:rsidRPr="00580C0D">
        <w:t>Vedtak nr. 509, 23. februar 2023</w:t>
      </w:r>
    </w:p>
    <w:p w14:paraId="7E92D087" w14:textId="77777777" w:rsidR="00F7113A" w:rsidRPr="00580C0D" w:rsidRDefault="00142E5B" w:rsidP="00580C0D">
      <w:pPr>
        <w:pStyle w:val="blokksit"/>
        <w:rPr>
          <w:rStyle w:val="kursiv"/>
        </w:rPr>
      </w:pPr>
      <w:r w:rsidRPr="00580C0D">
        <w:rPr>
          <w:rStyle w:val="kursiv"/>
        </w:rPr>
        <w:t xml:space="preserve">«Stortinget ber regjeringen gi </w:t>
      </w:r>
      <w:proofErr w:type="spellStart"/>
      <w:r w:rsidRPr="00580C0D">
        <w:rPr>
          <w:rStyle w:val="kursiv"/>
        </w:rPr>
        <w:t>Enova</w:t>
      </w:r>
      <w:proofErr w:type="spellEnd"/>
      <w:r w:rsidRPr="00580C0D">
        <w:rPr>
          <w:rStyle w:val="kursiv"/>
        </w:rPr>
        <w:t xml:space="preserve"> et tilleggs mandat om å sørge for økt forsyningssikkerhet ved å bidra til vesentlig mer energieffektivisering og lokal energiproduksjon hos husholdninger. Dette må gjøres gjennom støtte til moden teknologi som gir raske reduksjoner i bruk av strøm fra nettet, for eksempel gjennom varmepumper, etterisolering av deler av bygningskroppen, utskiftning av vinduer, batterier, bergvarme og lignende. Det må gis støtte med samtidig utbetaling. Tilleggsmandatet til </w:t>
      </w:r>
      <w:proofErr w:type="spellStart"/>
      <w:r w:rsidRPr="00580C0D">
        <w:rPr>
          <w:rStyle w:val="kursiv"/>
        </w:rPr>
        <w:t>Enova</w:t>
      </w:r>
      <w:proofErr w:type="spellEnd"/>
      <w:r w:rsidRPr="00580C0D">
        <w:rPr>
          <w:rStyle w:val="kursiv"/>
        </w:rPr>
        <w:t xml:space="preserve"> må være på plass innen mars 2023.»</w:t>
      </w:r>
    </w:p>
    <w:p w14:paraId="6156BA4F"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Sofie </w:t>
      </w:r>
      <w:proofErr w:type="spellStart"/>
      <w:r w:rsidRPr="00580C0D">
        <w:t>Marhaug</w:t>
      </w:r>
      <w:proofErr w:type="spellEnd"/>
      <w:r w:rsidRPr="00580C0D">
        <w:t xml:space="preserve"> og Geir Jørgensen om ei kraftfull satsing på lokal energiproduksjon og -sparing og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Lars Haltbrekken og Kim Thoresen-Vestre om </w:t>
      </w:r>
      <w:proofErr w:type="spellStart"/>
      <w:r w:rsidRPr="00580C0D">
        <w:t>ein</w:t>
      </w:r>
      <w:proofErr w:type="spellEnd"/>
      <w:r w:rsidRPr="00580C0D">
        <w:t xml:space="preserve"> plan for enøk, jf. </w:t>
      </w:r>
      <w:proofErr w:type="spellStart"/>
      <w:r w:rsidRPr="00580C0D">
        <w:t>Innst</w:t>
      </w:r>
      <w:proofErr w:type="spellEnd"/>
      <w:r w:rsidRPr="00580C0D">
        <w:t xml:space="preserve">. 192 S (2022–2023), </w:t>
      </w:r>
      <w:proofErr w:type="spellStart"/>
      <w:r w:rsidRPr="00580C0D">
        <w:t>romartal</w:t>
      </w:r>
      <w:proofErr w:type="spellEnd"/>
      <w:r w:rsidRPr="00580C0D">
        <w:t xml:space="preserve"> II.</w:t>
      </w:r>
    </w:p>
    <w:p w14:paraId="57365EDC" w14:textId="77777777" w:rsidR="00F7113A" w:rsidRPr="00580C0D" w:rsidRDefault="00142E5B" w:rsidP="00580C0D">
      <w:r w:rsidRPr="00580C0D">
        <w:t>Departementet viser til svar på oppmodingsvedtak 21, 23 og 507 (2022–2023) og til utvida omtale under kap. 1428.50.</w:t>
      </w:r>
    </w:p>
    <w:p w14:paraId="5BE208EB" w14:textId="77777777" w:rsidR="00F7113A" w:rsidRPr="00580C0D" w:rsidRDefault="00142E5B" w:rsidP="00580C0D">
      <w:r w:rsidRPr="00580C0D">
        <w:t xml:space="preserve">Departementet ser med dette vedtaket som </w:t>
      </w:r>
      <w:proofErr w:type="spellStart"/>
      <w:r w:rsidRPr="00580C0D">
        <w:t>følgt</w:t>
      </w:r>
      <w:proofErr w:type="spellEnd"/>
      <w:r w:rsidRPr="00580C0D">
        <w:t xml:space="preserve"> opp.</w:t>
      </w:r>
    </w:p>
    <w:p w14:paraId="097D07E6" w14:textId="77777777" w:rsidR="00F7113A" w:rsidRPr="00580C0D" w:rsidRDefault="00142E5B" w:rsidP="00580C0D">
      <w:pPr>
        <w:pStyle w:val="avsnitt-tittel"/>
      </w:pPr>
      <w:r w:rsidRPr="00580C0D">
        <w:t xml:space="preserve">Gamle </w:t>
      </w:r>
      <w:proofErr w:type="spellStart"/>
      <w:r w:rsidRPr="00580C0D">
        <w:t>nedlagde</w:t>
      </w:r>
      <w:proofErr w:type="spellEnd"/>
      <w:r w:rsidRPr="00580C0D">
        <w:t xml:space="preserve"> gruver i </w:t>
      </w:r>
      <w:proofErr w:type="spellStart"/>
      <w:r w:rsidRPr="00580C0D">
        <w:t>Noreg</w:t>
      </w:r>
      <w:proofErr w:type="spellEnd"/>
      <w:r w:rsidRPr="00580C0D">
        <w:t xml:space="preserve"> og </w:t>
      </w:r>
      <w:proofErr w:type="spellStart"/>
      <w:r w:rsidRPr="00580C0D">
        <w:t>forureiningsfaren</w:t>
      </w:r>
      <w:proofErr w:type="spellEnd"/>
      <w:r w:rsidRPr="00580C0D">
        <w:t xml:space="preserve"> </w:t>
      </w:r>
      <w:proofErr w:type="spellStart"/>
      <w:r w:rsidRPr="00580C0D">
        <w:t>dei</w:t>
      </w:r>
      <w:proofErr w:type="spellEnd"/>
      <w:r w:rsidRPr="00580C0D">
        <w:t xml:space="preserve"> </w:t>
      </w:r>
      <w:proofErr w:type="spellStart"/>
      <w:r w:rsidRPr="00580C0D">
        <w:t>utgjer</w:t>
      </w:r>
      <w:proofErr w:type="spellEnd"/>
    </w:p>
    <w:p w14:paraId="1CA4C4F2" w14:textId="77777777" w:rsidR="00F7113A" w:rsidRPr="00580C0D" w:rsidRDefault="00142E5B" w:rsidP="00580C0D">
      <w:pPr>
        <w:pStyle w:val="avsnitt-undertittel"/>
      </w:pPr>
      <w:r w:rsidRPr="00580C0D">
        <w:t>Vedtak 608, 18. april 2023</w:t>
      </w:r>
    </w:p>
    <w:p w14:paraId="782428D7" w14:textId="77777777" w:rsidR="00F7113A" w:rsidRPr="00580C0D" w:rsidRDefault="00142E5B" w:rsidP="00580C0D">
      <w:pPr>
        <w:pStyle w:val="blokksit"/>
        <w:rPr>
          <w:rStyle w:val="kursiv"/>
        </w:rPr>
      </w:pPr>
      <w:r w:rsidRPr="00580C0D">
        <w:rPr>
          <w:rStyle w:val="kursiv"/>
        </w:rPr>
        <w:t>«Stortinget ber regjeringen innhente en total oversikt over gamle nedlagte gruver i Norge og forurensningsfaren de utgjør ut ifra de stedegne kvalitetene til vann- og jordforekomstene, og innen utgangen av vårsesjonen 2024 komme tilbake til Stortinget på egnet måte.»</w:t>
      </w:r>
    </w:p>
    <w:p w14:paraId="1E3FB166"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Lars Haltbrekken, Birgit Oline Kjerstad og Torgeir </w:t>
      </w:r>
      <w:proofErr w:type="spellStart"/>
      <w:r w:rsidRPr="00580C0D">
        <w:t>Knag</w:t>
      </w:r>
      <w:proofErr w:type="spellEnd"/>
      <w:r w:rsidRPr="00580C0D">
        <w:t xml:space="preserve"> Fylkesnes om opprydding av </w:t>
      </w:r>
      <w:proofErr w:type="spellStart"/>
      <w:r w:rsidRPr="00580C0D">
        <w:t>nedlagde</w:t>
      </w:r>
      <w:proofErr w:type="spellEnd"/>
      <w:r w:rsidRPr="00580C0D">
        <w:t xml:space="preserve"> og </w:t>
      </w:r>
      <w:proofErr w:type="spellStart"/>
      <w:r w:rsidRPr="00580C0D">
        <w:t>forureinande</w:t>
      </w:r>
      <w:proofErr w:type="spellEnd"/>
      <w:r w:rsidRPr="00580C0D">
        <w:t xml:space="preserve"> gruver, jf. </w:t>
      </w:r>
      <w:proofErr w:type="spellStart"/>
      <w:r w:rsidRPr="00580C0D">
        <w:t>Dok</w:t>
      </w:r>
      <w:proofErr w:type="spellEnd"/>
      <w:r w:rsidRPr="00580C0D">
        <w:t xml:space="preserve">. 8:112 S (2022–2023) og </w:t>
      </w:r>
      <w:proofErr w:type="spellStart"/>
      <w:r w:rsidRPr="00580C0D">
        <w:t>Innst</w:t>
      </w:r>
      <w:proofErr w:type="spellEnd"/>
      <w:r w:rsidRPr="00580C0D">
        <w:t>. 265 S (2022–2023).</w:t>
      </w:r>
    </w:p>
    <w:p w14:paraId="0C85621C" w14:textId="77777777" w:rsidR="00F7113A" w:rsidRPr="00580C0D" w:rsidRDefault="00142E5B" w:rsidP="00580C0D">
      <w:r w:rsidRPr="00580C0D">
        <w:t>Vedtaket er under oppfølging. Regjeringa vil komme tilbake til Stortinget på eigna måte.</w:t>
      </w:r>
    </w:p>
    <w:p w14:paraId="74118DA8" w14:textId="77777777" w:rsidR="00F7113A" w:rsidRPr="00580C0D" w:rsidRDefault="00142E5B" w:rsidP="00580C0D">
      <w:pPr>
        <w:pStyle w:val="avsnitt-tittel"/>
      </w:pPr>
      <w:proofErr w:type="spellStart"/>
      <w:r w:rsidRPr="00580C0D">
        <w:t>Ein</w:t>
      </w:r>
      <w:proofErr w:type="spellEnd"/>
      <w:r w:rsidRPr="00580C0D">
        <w:t xml:space="preserve"> plan for korleis </w:t>
      </w:r>
      <w:proofErr w:type="spellStart"/>
      <w:r w:rsidRPr="00580C0D">
        <w:t>Noreg</w:t>
      </w:r>
      <w:proofErr w:type="spellEnd"/>
      <w:r w:rsidRPr="00580C0D">
        <w:t xml:space="preserve"> kan få </w:t>
      </w:r>
      <w:proofErr w:type="spellStart"/>
      <w:r w:rsidRPr="00580C0D">
        <w:t>ein</w:t>
      </w:r>
      <w:proofErr w:type="spellEnd"/>
      <w:r w:rsidRPr="00580C0D">
        <w:t xml:space="preserve"> </w:t>
      </w:r>
      <w:proofErr w:type="spellStart"/>
      <w:r w:rsidRPr="00580C0D">
        <w:t>leiande</w:t>
      </w:r>
      <w:proofErr w:type="spellEnd"/>
      <w:r w:rsidRPr="00580C0D">
        <w:t xml:space="preserve"> posisjon i produksjonen av </w:t>
      </w:r>
      <w:proofErr w:type="spellStart"/>
      <w:r w:rsidRPr="00580C0D">
        <w:t>berekraftig</w:t>
      </w:r>
      <w:proofErr w:type="spellEnd"/>
      <w:r w:rsidRPr="00580C0D">
        <w:t xml:space="preserve"> drivstoff</w:t>
      </w:r>
    </w:p>
    <w:p w14:paraId="60745CCA" w14:textId="77777777" w:rsidR="00F7113A" w:rsidRPr="00580C0D" w:rsidRDefault="00142E5B" w:rsidP="00580C0D">
      <w:pPr>
        <w:pStyle w:val="avsnitt-undertittel"/>
      </w:pPr>
      <w:r w:rsidRPr="00580C0D">
        <w:t>Vedtak nr. 632, 2. mai 2023</w:t>
      </w:r>
    </w:p>
    <w:p w14:paraId="6B18ADD6" w14:textId="77777777" w:rsidR="00F7113A" w:rsidRPr="00580C0D" w:rsidRDefault="00142E5B" w:rsidP="00580C0D">
      <w:pPr>
        <w:pStyle w:val="blokksit"/>
        <w:rPr>
          <w:rStyle w:val="kursiv"/>
        </w:rPr>
      </w:pPr>
      <w:r w:rsidRPr="00580C0D">
        <w:rPr>
          <w:rStyle w:val="kursiv"/>
        </w:rPr>
        <w:t>«Stortinget ber regjeringen legge frem en plan for hvordan Norge kan få en ledende posisjon i produksjonen av bærekraftig drivstoff, slik at Norge er godt posisjonert gjennom et industrielt miljø når innblandingskravene blir innført i EU, og komme tilbake til Stortinget på en egnet måte.»</w:t>
      </w:r>
    </w:p>
    <w:p w14:paraId="2CD1DFA2"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Liv Kari Eskeland, Trond Helleland, Erlend Larsen, Mona Fagerås og André N. Skjelstad under </w:t>
      </w:r>
      <w:proofErr w:type="spellStart"/>
      <w:r w:rsidRPr="00580C0D">
        <w:t>behandlinga</w:t>
      </w:r>
      <w:proofErr w:type="spellEnd"/>
      <w:r w:rsidRPr="00580C0D">
        <w:t xml:space="preserve"> av Meld. St. 10 (2022–2023), jf. </w:t>
      </w:r>
      <w:proofErr w:type="spellStart"/>
      <w:r w:rsidRPr="00580C0D">
        <w:t>Innst</w:t>
      </w:r>
      <w:proofErr w:type="spellEnd"/>
      <w:r w:rsidRPr="00580C0D">
        <w:t>. 301 S (2022–2023).</w:t>
      </w:r>
    </w:p>
    <w:p w14:paraId="0A7D0B1E" w14:textId="77777777" w:rsidR="00F7113A" w:rsidRPr="00580C0D" w:rsidRDefault="00142E5B" w:rsidP="00580C0D">
      <w:r w:rsidRPr="00580C0D">
        <w:t xml:space="preserve">I Hurdalsplattforma varsla regjeringa at vi vil </w:t>
      </w:r>
      <w:proofErr w:type="spellStart"/>
      <w:r w:rsidRPr="00580C0D">
        <w:t>leggje</w:t>
      </w:r>
      <w:proofErr w:type="spellEnd"/>
      <w:r w:rsidRPr="00580C0D">
        <w:t xml:space="preserve"> fram </w:t>
      </w:r>
      <w:proofErr w:type="spellStart"/>
      <w:r w:rsidRPr="00580C0D">
        <w:t>ein</w:t>
      </w:r>
      <w:proofErr w:type="spellEnd"/>
      <w:r w:rsidRPr="00580C0D">
        <w:t xml:space="preserve"> </w:t>
      </w:r>
      <w:proofErr w:type="spellStart"/>
      <w:r w:rsidRPr="00580C0D">
        <w:t>heilskapleg</w:t>
      </w:r>
      <w:proofErr w:type="spellEnd"/>
      <w:r w:rsidRPr="00580C0D">
        <w:t xml:space="preserve"> plan for norsk bioenergi. Dette vil vi </w:t>
      </w:r>
      <w:proofErr w:type="spellStart"/>
      <w:r w:rsidRPr="00580C0D">
        <w:t>gjere</w:t>
      </w:r>
      <w:proofErr w:type="spellEnd"/>
      <w:r w:rsidRPr="00580C0D">
        <w:t xml:space="preserve"> i Klimameldingen 2035, som skal </w:t>
      </w:r>
      <w:proofErr w:type="spellStart"/>
      <w:r w:rsidRPr="00580C0D">
        <w:t>leggjast</w:t>
      </w:r>
      <w:proofErr w:type="spellEnd"/>
      <w:r w:rsidRPr="00580C0D">
        <w:t xml:space="preserve"> fram </w:t>
      </w:r>
      <w:proofErr w:type="spellStart"/>
      <w:r w:rsidRPr="00580C0D">
        <w:t>hausten</w:t>
      </w:r>
      <w:proofErr w:type="spellEnd"/>
      <w:r w:rsidRPr="00580C0D">
        <w:t xml:space="preserve"> 2024. Vedtaket vil </w:t>
      </w:r>
      <w:proofErr w:type="spellStart"/>
      <w:r w:rsidRPr="00580C0D">
        <w:t>følgjast</w:t>
      </w:r>
      <w:proofErr w:type="spellEnd"/>
      <w:r w:rsidRPr="00580C0D">
        <w:t xml:space="preserve"> opp i denne planen.</w:t>
      </w:r>
    </w:p>
    <w:p w14:paraId="7A203963" w14:textId="77777777" w:rsidR="00F7113A" w:rsidRPr="00580C0D" w:rsidRDefault="00142E5B" w:rsidP="00580C0D">
      <w:pPr>
        <w:pStyle w:val="avsnitt-tittel"/>
      </w:pPr>
      <w:proofErr w:type="spellStart"/>
      <w:r w:rsidRPr="00580C0D">
        <w:t>Ein</w:t>
      </w:r>
      <w:proofErr w:type="spellEnd"/>
      <w:r w:rsidRPr="00580C0D">
        <w:t xml:space="preserve"> plan for å </w:t>
      </w:r>
      <w:proofErr w:type="spellStart"/>
      <w:r w:rsidRPr="00580C0D">
        <w:t>auke</w:t>
      </w:r>
      <w:proofErr w:type="spellEnd"/>
      <w:r w:rsidRPr="00580C0D">
        <w:t xml:space="preserve"> produksjonen av avansert biodrivstoff i </w:t>
      </w:r>
      <w:proofErr w:type="spellStart"/>
      <w:r w:rsidRPr="00580C0D">
        <w:t>Noreg</w:t>
      </w:r>
      <w:proofErr w:type="spellEnd"/>
    </w:p>
    <w:p w14:paraId="414693B6" w14:textId="77777777" w:rsidR="00F7113A" w:rsidRPr="00580C0D" w:rsidRDefault="00142E5B" w:rsidP="00580C0D">
      <w:pPr>
        <w:pStyle w:val="avsnitt-undertittel"/>
      </w:pPr>
      <w:r w:rsidRPr="00580C0D">
        <w:t>Vedtak nr. 633, 2. mai 2023</w:t>
      </w:r>
    </w:p>
    <w:p w14:paraId="4B9D73A0" w14:textId="77777777" w:rsidR="00F7113A" w:rsidRPr="00580C0D" w:rsidRDefault="00142E5B" w:rsidP="00580C0D">
      <w:pPr>
        <w:pStyle w:val="blokksit"/>
        <w:rPr>
          <w:rStyle w:val="kursiv"/>
        </w:rPr>
      </w:pPr>
      <w:r w:rsidRPr="00580C0D">
        <w:rPr>
          <w:rStyle w:val="kursiv"/>
        </w:rPr>
        <w:t>«Stortinget ber regjeringen raskt legge frem en plan for å øke produksjonen av avansert biodrivstoff i Norge.»</w:t>
      </w:r>
    </w:p>
    <w:p w14:paraId="7269980A"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Liv Kari Eskeland, Trond Helleland, Erlend Larsen, Mona Fagerås og André N. Skjelstad under </w:t>
      </w:r>
      <w:proofErr w:type="spellStart"/>
      <w:r w:rsidRPr="00580C0D">
        <w:t>behandlinga</w:t>
      </w:r>
      <w:proofErr w:type="spellEnd"/>
      <w:r w:rsidRPr="00580C0D">
        <w:t xml:space="preserve"> av Meld. St. 10 (2022–2023), jf. </w:t>
      </w:r>
      <w:proofErr w:type="spellStart"/>
      <w:r w:rsidRPr="00580C0D">
        <w:t>Innst</w:t>
      </w:r>
      <w:proofErr w:type="spellEnd"/>
      <w:r w:rsidRPr="00580C0D">
        <w:t>. 301 S (2022–2023).</w:t>
      </w:r>
    </w:p>
    <w:p w14:paraId="57FAAC72" w14:textId="77777777" w:rsidR="00F7113A" w:rsidRPr="00580C0D" w:rsidRDefault="00142E5B" w:rsidP="00580C0D">
      <w:r w:rsidRPr="00580C0D">
        <w:t xml:space="preserve">I Hurdalsplattforma varsla regjeringa at vi vil </w:t>
      </w:r>
      <w:proofErr w:type="spellStart"/>
      <w:r w:rsidRPr="00580C0D">
        <w:t>leggje</w:t>
      </w:r>
      <w:proofErr w:type="spellEnd"/>
      <w:r w:rsidRPr="00580C0D">
        <w:t xml:space="preserve"> fram </w:t>
      </w:r>
      <w:proofErr w:type="spellStart"/>
      <w:r w:rsidRPr="00580C0D">
        <w:t>ein</w:t>
      </w:r>
      <w:proofErr w:type="spellEnd"/>
      <w:r w:rsidRPr="00580C0D">
        <w:t xml:space="preserve"> </w:t>
      </w:r>
      <w:proofErr w:type="spellStart"/>
      <w:r w:rsidRPr="00580C0D">
        <w:t>heilskapleg</w:t>
      </w:r>
      <w:proofErr w:type="spellEnd"/>
      <w:r w:rsidRPr="00580C0D">
        <w:t xml:space="preserve"> plan for norsk bioenergi. Dette vil vi </w:t>
      </w:r>
      <w:proofErr w:type="spellStart"/>
      <w:r w:rsidRPr="00580C0D">
        <w:t>gjere</w:t>
      </w:r>
      <w:proofErr w:type="spellEnd"/>
      <w:r w:rsidRPr="00580C0D">
        <w:t xml:space="preserve"> i Klimameldingen 2035, som skal </w:t>
      </w:r>
      <w:proofErr w:type="spellStart"/>
      <w:r w:rsidRPr="00580C0D">
        <w:t>leggjast</w:t>
      </w:r>
      <w:proofErr w:type="spellEnd"/>
      <w:r w:rsidRPr="00580C0D">
        <w:t xml:space="preserve"> fram </w:t>
      </w:r>
      <w:proofErr w:type="spellStart"/>
      <w:r w:rsidRPr="00580C0D">
        <w:t>hausten</w:t>
      </w:r>
      <w:proofErr w:type="spellEnd"/>
      <w:r w:rsidRPr="00580C0D">
        <w:t xml:space="preserve"> 2024. Vedtaket vil </w:t>
      </w:r>
      <w:proofErr w:type="spellStart"/>
      <w:r w:rsidRPr="00580C0D">
        <w:t>følgjast</w:t>
      </w:r>
      <w:proofErr w:type="spellEnd"/>
      <w:r w:rsidRPr="00580C0D">
        <w:t xml:space="preserve"> opp i denne planen.</w:t>
      </w:r>
    </w:p>
    <w:p w14:paraId="46B67225" w14:textId="77777777" w:rsidR="00F7113A" w:rsidRPr="00580C0D" w:rsidRDefault="00142E5B" w:rsidP="00580C0D">
      <w:pPr>
        <w:pStyle w:val="avsnitt-tittel"/>
      </w:pPr>
      <w:proofErr w:type="spellStart"/>
      <w:r w:rsidRPr="00580C0D">
        <w:t>Ein</w:t>
      </w:r>
      <w:proofErr w:type="spellEnd"/>
      <w:r w:rsidRPr="00580C0D">
        <w:t xml:space="preserve"> plan for </w:t>
      </w:r>
      <w:proofErr w:type="spellStart"/>
      <w:r w:rsidRPr="00580C0D">
        <w:t>auka</w:t>
      </w:r>
      <w:proofErr w:type="spellEnd"/>
      <w:r w:rsidRPr="00580C0D">
        <w:t xml:space="preserve"> produksjon av og </w:t>
      </w:r>
      <w:proofErr w:type="spellStart"/>
      <w:r w:rsidRPr="00580C0D">
        <w:t>etterspurnad</w:t>
      </w:r>
      <w:proofErr w:type="spellEnd"/>
      <w:r w:rsidRPr="00580C0D">
        <w:t xml:space="preserve"> etter biogass</w:t>
      </w:r>
    </w:p>
    <w:p w14:paraId="6045E263" w14:textId="77777777" w:rsidR="00F7113A" w:rsidRPr="00580C0D" w:rsidRDefault="00142E5B" w:rsidP="00580C0D">
      <w:pPr>
        <w:pStyle w:val="avsnitt-undertittel"/>
      </w:pPr>
      <w:r w:rsidRPr="00580C0D">
        <w:t>Vedtak nr. 674, 23. mai 2023</w:t>
      </w:r>
    </w:p>
    <w:p w14:paraId="740ACDD9" w14:textId="77777777" w:rsidR="00F7113A" w:rsidRPr="00580C0D" w:rsidRDefault="00142E5B" w:rsidP="00580C0D">
      <w:pPr>
        <w:pStyle w:val="blokksit"/>
        <w:rPr>
          <w:rStyle w:val="kursiv"/>
        </w:rPr>
      </w:pPr>
      <w:r w:rsidRPr="00580C0D">
        <w:rPr>
          <w:rStyle w:val="kursiv"/>
        </w:rPr>
        <w:t>«Stortinget ber regjeringen legge fram en plan for økt produksjon av og etterspørsel etter biogass, og komme tilbake til Stortinget på egnet måte senest i forbindelse med revidert nasjonalbudsjett for 2024.»</w:t>
      </w:r>
    </w:p>
    <w:p w14:paraId="5D87EE86"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Lars Haltbrekken og Birgit Oline Kjerstad om </w:t>
      </w:r>
      <w:proofErr w:type="spellStart"/>
      <w:r w:rsidRPr="00580C0D">
        <w:t>utsleppskutt</w:t>
      </w:r>
      <w:proofErr w:type="spellEnd"/>
      <w:r w:rsidRPr="00580C0D">
        <w:t xml:space="preserve"> med biodrivstoff og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Rasmus Hansson, Kristoffer Robin Haug og Lan Marie Nguyen Berg om </w:t>
      </w:r>
      <w:proofErr w:type="spellStart"/>
      <w:r w:rsidRPr="00580C0D">
        <w:t>auka</w:t>
      </w:r>
      <w:proofErr w:type="spellEnd"/>
      <w:r w:rsidRPr="00580C0D">
        <w:t xml:space="preserve"> produksjon og forbruk av biogass, jf. </w:t>
      </w:r>
      <w:proofErr w:type="spellStart"/>
      <w:r w:rsidRPr="00580C0D">
        <w:t>Innst</w:t>
      </w:r>
      <w:proofErr w:type="spellEnd"/>
      <w:r w:rsidRPr="00580C0D">
        <w:t xml:space="preserve">. 312 S (2022–2023), </w:t>
      </w:r>
      <w:proofErr w:type="spellStart"/>
      <w:r w:rsidRPr="00580C0D">
        <w:t>romartal</w:t>
      </w:r>
      <w:proofErr w:type="spellEnd"/>
      <w:r w:rsidRPr="00580C0D">
        <w:t xml:space="preserve"> I. Vedtaket er til behandling i Klima- og miljødepartementet og er under oppfølging. Vedtak nr. 674 vil </w:t>
      </w:r>
      <w:proofErr w:type="spellStart"/>
      <w:r w:rsidRPr="00580C0D">
        <w:t>vere</w:t>
      </w:r>
      <w:proofErr w:type="spellEnd"/>
      <w:r w:rsidRPr="00580C0D">
        <w:t xml:space="preserve"> </w:t>
      </w:r>
      <w:proofErr w:type="spellStart"/>
      <w:r w:rsidRPr="00580C0D">
        <w:t>ein</w:t>
      </w:r>
      <w:proofErr w:type="spellEnd"/>
      <w:r w:rsidRPr="00580C0D">
        <w:t xml:space="preserve"> </w:t>
      </w:r>
      <w:proofErr w:type="spellStart"/>
      <w:r w:rsidRPr="00580C0D">
        <w:t>naturleg</w:t>
      </w:r>
      <w:proofErr w:type="spellEnd"/>
      <w:r w:rsidRPr="00580C0D">
        <w:t xml:space="preserve"> del av dette arbeidet. I Hurdalsplattforma varsla regjeringa at vi vil </w:t>
      </w:r>
      <w:proofErr w:type="spellStart"/>
      <w:r w:rsidRPr="00580C0D">
        <w:t>leggje</w:t>
      </w:r>
      <w:proofErr w:type="spellEnd"/>
      <w:r w:rsidRPr="00580C0D">
        <w:t xml:space="preserve"> fram </w:t>
      </w:r>
      <w:proofErr w:type="spellStart"/>
      <w:r w:rsidRPr="00580C0D">
        <w:t>ein</w:t>
      </w:r>
      <w:proofErr w:type="spellEnd"/>
      <w:r w:rsidRPr="00580C0D">
        <w:t xml:space="preserve"> </w:t>
      </w:r>
      <w:proofErr w:type="spellStart"/>
      <w:r w:rsidRPr="00580C0D">
        <w:t>heilskapleg</w:t>
      </w:r>
      <w:proofErr w:type="spellEnd"/>
      <w:r w:rsidRPr="00580C0D">
        <w:t xml:space="preserve"> plan for norsk bioenergi. Dette vil vi </w:t>
      </w:r>
      <w:proofErr w:type="spellStart"/>
      <w:r w:rsidRPr="00580C0D">
        <w:t>gjere</w:t>
      </w:r>
      <w:proofErr w:type="spellEnd"/>
      <w:r w:rsidRPr="00580C0D">
        <w:t xml:space="preserve"> i Klimameldingen 2035, som skal </w:t>
      </w:r>
      <w:proofErr w:type="spellStart"/>
      <w:r w:rsidRPr="00580C0D">
        <w:t>leggjast</w:t>
      </w:r>
      <w:proofErr w:type="spellEnd"/>
      <w:r w:rsidRPr="00580C0D">
        <w:t xml:space="preserve"> fram </w:t>
      </w:r>
      <w:proofErr w:type="spellStart"/>
      <w:r w:rsidRPr="00580C0D">
        <w:t>hausten</w:t>
      </w:r>
      <w:proofErr w:type="spellEnd"/>
      <w:r w:rsidRPr="00580C0D">
        <w:t xml:space="preserve"> 2024. Vedtaket vil </w:t>
      </w:r>
      <w:proofErr w:type="spellStart"/>
      <w:r w:rsidRPr="00580C0D">
        <w:t>følgjast</w:t>
      </w:r>
      <w:proofErr w:type="spellEnd"/>
      <w:r w:rsidRPr="00580C0D">
        <w:t xml:space="preserve"> opp i denne planen.</w:t>
      </w:r>
    </w:p>
    <w:p w14:paraId="42D66BB6" w14:textId="77777777" w:rsidR="00F7113A" w:rsidRPr="00580C0D" w:rsidRDefault="00142E5B" w:rsidP="00580C0D">
      <w:pPr>
        <w:pStyle w:val="avsnitt-tittel"/>
      </w:pPr>
      <w:proofErr w:type="spellStart"/>
      <w:r w:rsidRPr="00580C0D">
        <w:t>Ein</w:t>
      </w:r>
      <w:proofErr w:type="spellEnd"/>
      <w:r w:rsidRPr="00580C0D">
        <w:t xml:space="preserve"> oppdatert Klimaplan med konkrete </w:t>
      </w:r>
      <w:proofErr w:type="spellStart"/>
      <w:r w:rsidRPr="00580C0D">
        <w:t>verkemiddel</w:t>
      </w:r>
      <w:proofErr w:type="spellEnd"/>
    </w:p>
    <w:p w14:paraId="36EF0793" w14:textId="77777777" w:rsidR="00F7113A" w:rsidRPr="00580C0D" w:rsidRDefault="00142E5B" w:rsidP="00580C0D">
      <w:pPr>
        <w:pStyle w:val="avsnitt-undertittel"/>
      </w:pPr>
      <w:r w:rsidRPr="00580C0D">
        <w:t>Vedtak nr. 760, 5. juni 2023</w:t>
      </w:r>
    </w:p>
    <w:p w14:paraId="0B025FCF" w14:textId="77777777" w:rsidR="00F7113A" w:rsidRPr="00580C0D" w:rsidRDefault="00142E5B" w:rsidP="00580C0D">
      <w:pPr>
        <w:pStyle w:val="blokksit"/>
        <w:rPr>
          <w:rStyle w:val="kursiv"/>
        </w:rPr>
      </w:pPr>
      <w:r w:rsidRPr="00580C0D">
        <w:rPr>
          <w:rStyle w:val="kursiv"/>
        </w:rPr>
        <w:t>«Stortinget ber regjeringen i løpet av 2024 legge frem for Stortinget en oppdatert Klimaplan med konkrete virkemidler som viser hvordan klimamålene i 2030 skal nås.»</w:t>
      </w:r>
    </w:p>
    <w:p w14:paraId="75222DA9"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Lars Haltbrekken, Birgit Oline Kjerstad og Kari Elisabeth </w:t>
      </w:r>
      <w:proofErr w:type="spellStart"/>
      <w:r w:rsidRPr="00580C0D">
        <w:t>Kaski</w:t>
      </w:r>
      <w:proofErr w:type="spellEnd"/>
      <w:r w:rsidRPr="00580C0D">
        <w:t xml:space="preserve"> om klimatiltak som </w:t>
      </w:r>
      <w:proofErr w:type="spellStart"/>
      <w:r w:rsidRPr="00580C0D">
        <w:t>monnar</w:t>
      </w:r>
      <w:proofErr w:type="spellEnd"/>
      <w:r w:rsidRPr="00580C0D">
        <w:t xml:space="preserve">, jf. </w:t>
      </w:r>
      <w:proofErr w:type="spellStart"/>
      <w:r w:rsidRPr="00580C0D">
        <w:t>Innst</w:t>
      </w:r>
      <w:proofErr w:type="spellEnd"/>
      <w:r w:rsidRPr="00580C0D">
        <w:t>. 475 S (2022–2023).</w:t>
      </w:r>
    </w:p>
    <w:p w14:paraId="3B3EA5B4" w14:textId="77777777" w:rsidR="00F7113A" w:rsidRPr="00580C0D" w:rsidRDefault="00142E5B" w:rsidP="00580C0D">
      <w:proofErr w:type="spellStart"/>
      <w:r w:rsidRPr="00580C0D">
        <w:t>Noreg</w:t>
      </w:r>
      <w:proofErr w:type="spellEnd"/>
      <w:r w:rsidRPr="00580C0D">
        <w:t xml:space="preserve"> har meldt inn til FN under Parisavtalen at vi skal redusere klimagassutsleppa </w:t>
      </w:r>
      <w:proofErr w:type="spellStart"/>
      <w:r w:rsidRPr="00580C0D">
        <w:t>innan</w:t>
      </w:r>
      <w:proofErr w:type="spellEnd"/>
      <w:r w:rsidRPr="00580C0D">
        <w:t xml:space="preserve"> 2030 med 55 pst. </w:t>
      </w:r>
      <w:proofErr w:type="spellStart"/>
      <w:r w:rsidRPr="00580C0D">
        <w:t>samanlikna</w:t>
      </w:r>
      <w:proofErr w:type="spellEnd"/>
      <w:r w:rsidRPr="00580C0D">
        <w:t xml:space="preserve"> med 1990. Regjeringa jobbar systematisk med å </w:t>
      </w:r>
      <w:proofErr w:type="spellStart"/>
      <w:r w:rsidRPr="00580C0D">
        <w:t>følgje</w:t>
      </w:r>
      <w:proofErr w:type="spellEnd"/>
      <w:r w:rsidRPr="00580C0D">
        <w:t xml:space="preserve"> opp og sikre framgang med konkrete </w:t>
      </w:r>
      <w:proofErr w:type="spellStart"/>
      <w:r w:rsidRPr="00580C0D">
        <w:t>verkemiddel</w:t>
      </w:r>
      <w:proofErr w:type="spellEnd"/>
      <w:r w:rsidRPr="00580C0D">
        <w:t xml:space="preserve"> som vil </w:t>
      </w:r>
      <w:proofErr w:type="spellStart"/>
      <w:r w:rsidRPr="00580C0D">
        <w:t>gje</w:t>
      </w:r>
      <w:proofErr w:type="spellEnd"/>
      <w:r w:rsidRPr="00580C0D">
        <w:t xml:space="preserve"> </w:t>
      </w:r>
      <w:proofErr w:type="spellStart"/>
      <w:r w:rsidRPr="00580C0D">
        <w:t>utsleppskutt</w:t>
      </w:r>
      <w:proofErr w:type="spellEnd"/>
      <w:r w:rsidRPr="00580C0D">
        <w:t xml:space="preserve">. Klimastatus og -plan blir lagd fram </w:t>
      </w:r>
      <w:proofErr w:type="spellStart"/>
      <w:r w:rsidRPr="00580C0D">
        <w:t>årleg</w:t>
      </w:r>
      <w:proofErr w:type="spellEnd"/>
      <w:r w:rsidRPr="00580C0D">
        <w:t xml:space="preserve"> og </w:t>
      </w:r>
      <w:proofErr w:type="spellStart"/>
      <w:r w:rsidRPr="00580C0D">
        <w:t>samanfattar</w:t>
      </w:r>
      <w:proofErr w:type="spellEnd"/>
      <w:r w:rsidRPr="00580C0D">
        <w:t xml:space="preserve"> klimapolitikken til regjeringa.</w:t>
      </w:r>
    </w:p>
    <w:p w14:paraId="6D67C739" w14:textId="77777777" w:rsidR="00F7113A" w:rsidRPr="00580C0D" w:rsidRDefault="00142E5B" w:rsidP="00580C0D">
      <w:proofErr w:type="spellStart"/>
      <w:r w:rsidRPr="00580C0D">
        <w:t>Hovudverkemidla</w:t>
      </w:r>
      <w:proofErr w:type="spellEnd"/>
      <w:r w:rsidRPr="00580C0D">
        <w:t xml:space="preserve"> i klimapolitikken som prising av utslepp gjennom CO</w:t>
      </w:r>
      <w:r w:rsidRPr="00580C0D">
        <w:rPr>
          <w:rStyle w:val="skrift-senket"/>
        </w:rPr>
        <w:t>2</w:t>
      </w:r>
      <w:r w:rsidRPr="00580C0D">
        <w:t xml:space="preserve">-avgift og EUs kvotesystem, i tillegg til støtte til teknologiutvikling, er godt forankra gjennom </w:t>
      </w:r>
      <w:proofErr w:type="spellStart"/>
      <w:r w:rsidRPr="00580C0D">
        <w:t>tidlegare</w:t>
      </w:r>
      <w:proofErr w:type="spellEnd"/>
      <w:r w:rsidRPr="00580C0D">
        <w:t xml:space="preserve"> klimaforlik og </w:t>
      </w:r>
      <w:proofErr w:type="spellStart"/>
      <w:r w:rsidRPr="00580C0D">
        <w:t>klimameldingar</w:t>
      </w:r>
      <w:proofErr w:type="spellEnd"/>
      <w:r w:rsidRPr="00580C0D">
        <w:t xml:space="preserve">. Regjeringa vil </w:t>
      </w:r>
      <w:proofErr w:type="spellStart"/>
      <w:r w:rsidRPr="00580C0D">
        <w:t>auke</w:t>
      </w:r>
      <w:proofErr w:type="spellEnd"/>
      <w:r w:rsidRPr="00580C0D">
        <w:t xml:space="preserve"> avgiftene på </w:t>
      </w:r>
      <w:proofErr w:type="spellStart"/>
      <w:r w:rsidRPr="00580C0D">
        <w:t>ikkje</w:t>
      </w:r>
      <w:proofErr w:type="spellEnd"/>
      <w:r w:rsidRPr="00580C0D">
        <w:t>-kvotepliktige utslepp fram mot 2030 til 2 000 2020-kroner per tonn CO</w:t>
      </w:r>
      <w:r w:rsidRPr="00580C0D">
        <w:rPr>
          <w:rStyle w:val="skrift-senket"/>
        </w:rPr>
        <w:t>2</w:t>
      </w:r>
      <w:r w:rsidRPr="00580C0D">
        <w:t>.</w:t>
      </w:r>
    </w:p>
    <w:p w14:paraId="4152D7EF" w14:textId="77777777" w:rsidR="00F7113A" w:rsidRPr="00580C0D" w:rsidRDefault="00142E5B" w:rsidP="00580C0D">
      <w:r w:rsidRPr="00580C0D">
        <w:t xml:space="preserve">I tillegg vil regjeringa i løpet av 2024 </w:t>
      </w:r>
      <w:proofErr w:type="spellStart"/>
      <w:r w:rsidRPr="00580C0D">
        <w:t>leggje</w:t>
      </w:r>
      <w:proofErr w:type="spellEnd"/>
      <w:r w:rsidRPr="00580C0D">
        <w:t xml:space="preserve"> fram ei stortingsmelding om klima for perioden fram mot 2035. Klimapolitikken blir utvikla og styrkt over tid. Stortingsmeldinga vil </w:t>
      </w:r>
      <w:proofErr w:type="spellStart"/>
      <w:r w:rsidRPr="00580C0D">
        <w:t>byggje</w:t>
      </w:r>
      <w:proofErr w:type="spellEnd"/>
      <w:r w:rsidRPr="00580C0D">
        <w:t xml:space="preserve"> </w:t>
      </w:r>
      <w:proofErr w:type="spellStart"/>
      <w:r w:rsidRPr="00580C0D">
        <w:t>vidare</w:t>
      </w:r>
      <w:proofErr w:type="spellEnd"/>
      <w:r w:rsidRPr="00580C0D">
        <w:t xml:space="preserve"> på klimapolitikken med </w:t>
      </w:r>
      <w:proofErr w:type="spellStart"/>
      <w:r w:rsidRPr="00580C0D">
        <w:t>eit</w:t>
      </w:r>
      <w:proofErr w:type="spellEnd"/>
      <w:r w:rsidRPr="00580C0D">
        <w:t xml:space="preserve"> perspektiv mot 2035 og vil </w:t>
      </w:r>
      <w:proofErr w:type="spellStart"/>
      <w:r w:rsidRPr="00580C0D">
        <w:t>innehalde</w:t>
      </w:r>
      <w:proofErr w:type="spellEnd"/>
      <w:r w:rsidRPr="00580C0D">
        <w:t xml:space="preserve"> </w:t>
      </w:r>
      <w:proofErr w:type="spellStart"/>
      <w:r w:rsidRPr="00580C0D">
        <w:t>verkemiddel</w:t>
      </w:r>
      <w:proofErr w:type="spellEnd"/>
      <w:r w:rsidRPr="00580C0D">
        <w:t xml:space="preserve"> som også </w:t>
      </w:r>
      <w:proofErr w:type="spellStart"/>
      <w:r w:rsidRPr="00580C0D">
        <w:t>støttar</w:t>
      </w:r>
      <w:proofErr w:type="spellEnd"/>
      <w:r w:rsidRPr="00580C0D">
        <w:t xml:space="preserve"> opp under måla for 2030, og for 2050, da </w:t>
      </w:r>
      <w:proofErr w:type="spellStart"/>
      <w:r w:rsidRPr="00580C0D">
        <w:t>Noreg</w:t>
      </w:r>
      <w:proofErr w:type="spellEnd"/>
      <w:r w:rsidRPr="00580C0D">
        <w:t xml:space="preserve"> skal </w:t>
      </w:r>
      <w:proofErr w:type="spellStart"/>
      <w:r w:rsidRPr="00580C0D">
        <w:t>vere</w:t>
      </w:r>
      <w:proofErr w:type="spellEnd"/>
      <w:r w:rsidRPr="00580C0D">
        <w:t xml:space="preserve"> </w:t>
      </w:r>
      <w:proofErr w:type="spellStart"/>
      <w:r w:rsidRPr="00580C0D">
        <w:t>eit</w:t>
      </w:r>
      <w:proofErr w:type="spellEnd"/>
      <w:r w:rsidRPr="00580C0D">
        <w:t xml:space="preserve"> </w:t>
      </w:r>
      <w:proofErr w:type="spellStart"/>
      <w:r w:rsidRPr="00580C0D">
        <w:t>lågutsleppssamfunn</w:t>
      </w:r>
      <w:proofErr w:type="spellEnd"/>
      <w:r w:rsidRPr="00580C0D">
        <w:t xml:space="preserve">. Vedtaket vil </w:t>
      </w:r>
      <w:proofErr w:type="spellStart"/>
      <w:r w:rsidRPr="00580C0D">
        <w:t>følgjast</w:t>
      </w:r>
      <w:proofErr w:type="spellEnd"/>
      <w:r w:rsidRPr="00580C0D">
        <w:t xml:space="preserve"> opp i denne meldinga.</w:t>
      </w:r>
    </w:p>
    <w:p w14:paraId="2232B9FA" w14:textId="77777777" w:rsidR="00F7113A" w:rsidRPr="00580C0D" w:rsidRDefault="00142E5B" w:rsidP="00580C0D">
      <w:pPr>
        <w:pStyle w:val="avsnitt-tittel"/>
      </w:pPr>
      <w:proofErr w:type="spellStart"/>
      <w:r w:rsidRPr="00580C0D">
        <w:t>Auke</w:t>
      </w:r>
      <w:proofErr w:type="spellEnd"/>
      <w:r w:rsidRPr="00580C0D">
        <w:t xml:space="preserve"> omsetningskravet for biodrivstoff til vegtrafikken og innføre delkrav for avansert biodrivstoff basert på A-råstoff</w:t>
      </w:r>
    </w:p>
    <w:p w14:paraId="0F15709C" w14:textId="77777777" w:rsidR="00F7113A" w:rsidRPr="00580C0D" w:rsidRDefault="00142E5B" w:rsidP="00580C0D">
      <w:pPr>
        <w:pStyle w:val="avsnitt-undertittel"/>
      </w:pPr>
      <w:r w:rsidRPr="00580C0D">
        <w:t>Vedtak nr. 915, 16. juni 2023</w:t>
      </w:r>
    </w:p>
    <w:p w14:paraId="448DBA68" w14:textId="453D2048" w:rsidR="00F7113A" w:rsidRPr="00580C0D" w:rsidRDefault="00142E5B" w:rsidP="00580C0D">
      <w:pPr>
        <w:pStyle w:val="blokksit"/>
        <w:rPr>
          <w:rStyle w:val="kursiv"/>
        </w:rPr>
      </w:pPr>
      <w:r w:rsidRPr="00580C0D">
        <w:rPr>
          <w:rStyle w:val="kursiv"/>
        </w:rPr>
        <w:t>«Stortinget ber regjeringen fremme forslag om å øke omsetningskravet for biodrivstoff for veitrafikken samt å innføre et eget delkrav for avansert biodrivstoff basert på A-råstoff på høring, med sikte på innføring fra 1. januar 2024. Følgende forslag til økt omsetningskrav sendes på høring: Omsetningskravet for biodrivstoff til veitrafikk økes fra 17 til 19 pst. Delkravet for avansert biodrivstoff økes fra 12,5 til 14,5 pst. Det innføres et delkrav til avansert biodrivstoff fra A</w:t>
      </w:r>
      <w:r w:rsidR="00580C0D">
        <w:rPr>
          <w:rStyle w:val="kursiv"/>
        </w:rPr>
        <w:t>-</w:t>
      </w:r>
      <w:r w:rsidRPr="00580C0D">
        <w:rPr>
          <w:rStyle w:val="kursiv"/>
        </w:rPr>
        <w:t>råstoff på 1, 2 eller 3,5 pst.»</w:t>
      </w:r>
    </w:p>
    <w:p w14:paraId="0C35084B"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Revidert nasjonalbudsjett 2023, jf. </w:t>
      </w:r>
      <w:proofErr w:type="spellStart"/>
      <w:r w:rsidRPr="00580C0D">
        <w:t>Innst</w:t>
      </w:r>
      <w:proofErr w:type="spellEnd"/>
      <w:r w:rsidRPr="00580C0D">
        <w:t xml:space="preserve">. 490 S (2022–2023), </w:t>
      </w:r>
      <w:proofErr w:type="spellStart"/>
      <w:r w:rsidRPr="00580C0D">
        <w:t>romartal</w:t>
      </w:r>
      <w:proofErr w:type="spellEnd"/>
      <w:r w:rsidRPr="00580C0D">
        <w:t xml:space="preserve"> II.</w:t>
      </w:r>
    </w:p>
    <w:p w14:paraId="698BD6EC" w14:textId="77777777" w:rsidR="00F7113A" w:rsidRPr="00580C0D" w:rsidRDefault="00142E5B" w:rsidP="00580C0D">
      <w:r w:rsidRPr="00580C0D">
        <w:t xml:space="preserve">På vegne av Klima- og miljødepartementet utarbeidde Miljødirektoratet </w:t>
      </w:r>
      <w:proofErr w:type="spellStart"/>
      <w:r w:rsidRPr="00580C0D">
        <w:t>eit</w:t>
      </w:r>
      <w:proofErr w:type="spellEnd"/>
      <w:r w:rsidRPr="00580C0D">
        <w:t xml:space="preserve"> forslag om å </w:t>
      </w:r>
      <w:proofErr w:type="spellStart"/>
      <w:r w:rsidRPr="00580C0D">
        <w:t>auke</w:t>
      </w:r>
      <w:proofErr w:type="spellEnd"/>
      <w:r w:rsidRPr="00580C0D">
        <w:t xml:space="preserve"> omsetningskravet for vegtrafikk </w:t>
      </w:r>
      <w:proofErr w:type="spellStart"/>
      <w:r w:rsidRPr="00580C0D">
        <w:t>frå</w:t>
      </w:r>
      <w:proofErr w:type="spellEnd"/>
      <w:r w:rsidRPr="00580C0D">
        <w:t xml:space="preserve"> 17 til 19 pst. Forslaget </w:t>
      </w:r>
      <w:proofErr w:type="spellStart"/>
      <w:r w:rsidRPr="00580C0D">
        <w:t>vart</w:t>
      </w:r>
      <w:proofErr w:type="spellEnd"/>
      <w:r w:rsidRPr="00580C0D">
        <w:t xml:space="preserve"> sendt på </w:t>
      </w:r>
      <w:proofErr w:type="spellStart"/>
      <w:r w:rsidRPr="00580C0D">
        <w:t>høyring</w:t>
      </w:r>
      <w:proofErr w:type="spellEnd"/>
      <w:r w:rsidRPr="00580C0D">
        <w:t xml:space="preserve"> 23. juni 2023, foreslått å gjelde </w:t>
      </w:r>
      <w:proofErr w:type="spellStart"/>
      <w:r w:rsidRPr="00580C0D">
        <w:t>frå</w:t>
      </w:r>
      <w:proofErr w:type="spellEnd"/>
      <w:r w:rsidRPr="00580C0D">
        <w:t xml:space="preserve"> 1. januar 2024.</w:t>
      </w:r>
    </w:p>
    <w:p w14:paraId="34C105FC" w14:textId="77777777" w:rsidR="00F7113A" w:rsidRPr="00580C0D" w:rsidRDefault="00142E5B" w:rsidP="00580C0D">
      <w:r w:rsidRPr="00580C0D">
        <w:t xml:space="preserve">Regjeringa vil </w:t>
      </w:r>
      <w:proofErr w:type="spellStart"/>
      <w:r w:rsidRPr="00580C0D">
        <w:t>auke</w:t>
      </w:r>
      <w:proofErr w:type="spellEnd"/>
      <w:r w:rsidRPr="00580C0D">
        <w:t xml:space="preserve"> omsetningskravet i vegtrafikken </w:t>
      </w:r>
      <w:proofErr w:type="spellStart"/>
      <w:r w:rsidRPr="00580C0D">
        <w:t>frå</w:t>
      </w:r>
      <w:proofErr w:type="spellEnd"/>
      <w:r w:rsidRPr="00580C0D">
        <w:t xml:space="preserve"> 17 til 19 pst. </w:t>
      </w:r>
      <w:proofErr w:type="spellStart"/>
      <w:r w:rsidRPr="00580C0D">
        <w:t>frå</w:t>
      </w:r>
      <w:proofErr w:type="spellEnd"/>
      <w:r w:rsidRPr="00580C0D">
        <w:t xml:space="preserve"> 1. januar 2024. Delkravet til avansert biodrivstoff blir </w:t>
      </w:r>
      <w:proofErr w:type="spellStart"/>
      <w:r w:rsidRPr="00580C0D">
        <w:t>vidareført</w:t>
      </w:r>
      <w:proofErr w:type="spellEnd"/>
      <w:r w:rsidRPr="00580C0D">
        <w:t xml:space="preserve"> på 12,5 pst. Avansert biodrivstoff basert på A-råstoff er </w:t>
      </w:r>
      <w:proofErr w:type="spellStart"/>
      <w:r w:rsidRPr="00580C0D">
        <w:t>monaleg</w:t>
      </w:r>
      <w:proofErr w:type="spellEnd"/>
      <w:r w:rsidRPr="00580C0D">
        <w:t xml:space="preserve"> </w:t>
      </w:r>
      <w:proofErr w:type="spellStart"/>
      <w:r w:rsidRPr="00580C0D">
        <w:t>dyrare</w:t>
      </w:r>
      <w:proofErr w:type="spellEnd"/>
      <w:r w:rsidRPr="00580C0D">
        <w:t xml:space="preserve"> enn konvensjonelt biodrivstoff. </w:t>
      </w:r>
      <w:proofErr w:type="spellStart"/>
      <w:r w:rsidRPr="00580C0D">
        <w:t>Fleire</w:t>
      </w:r>
      <w:proofErr w:type="spellEnd"/>
      <w:r w:rsidRPr="00580C0D">
        <w:t xml:space="preserve"> </w:t>
      </w:r>
      <w:proofErr w:type="spellStart"/>
      <w:r w:rsidRPr="00580C0D">
        <w:t>høyringsinnstansar</w:t>
      </w:r>
      <w:proofErr w:type="spellEnd"/>
      <w:r w:rsidRPr="00580C0D">
        <w:t xml:space="preserve"> meinte det var for </w:t>
      </w:r>
      <w:proofErr w:type="spellStart"/>
      <w:r w:rsidRPr="00580C0D">
        <w:t>tidleg</w:t>
      </w:r>
      <w:proofErr w:type="spellEnd"/>
      <w:r w:rsidRPr="00580C0D">
        <w:t xml:space="preserve"> å innføre delkrav til A-råstoff </w:t>
      </w:r>
      <w:proofErr w:type="spellStart"/>
      <w:r w:rsidRPr="00580C0D">
        <w:t>allereie</w:t>
      </w:r>
      <w:proofErr w:type="spellEnd"/>
      <w:r w:rsidRPr="00580C0D">
        <w:t xml:space="preserve"> i 2024. Det blir av den grunn </w:t>
      </w:r>
      <w:proofErr w:type="spellStart"/>
      <w:r w:rsidRPr="00580C0D">
        <w:t>ikkje</w:t>
      </w:r>
      <w:proofErr w:type="spellEnd"/>
      <w:r w:rsidRPr="00580C0D">
        <w:t xml:space="preserve"> innført </w:t>
      </w:r>
      <w:proofErr w:type="spellStart"/>
      <w:r w:rsidRPr="00580C0D">
        <w:t>eit</w:t>
      </w:r>
      <w:proofErr w:type="spellEnd"/>
      <w:r w:rsidRPr="00580C0D">
        <w:t xml:space="preserve"> delkrav til avansert drivstoff basert på A-råstoff. Vedtaket blir </w:t>
      </w:r>
      <w:proofErr w:type="spellStart"/>
      <w:r w:rsidRPr="00580C0D">
        <w:t>rekna</w:t>
      </w:r>
      <w:proofErr w:type="spellEnd"/>
      <w:r w:rsidRPr="00580C0D">
        <w:t xml:space="preserve"> som </w:t>
      </w:r>
      <w:proofErr w:type="spellStart"/>
      <w:r w:rsidRPr="00580C0D">
        <w:t>utkvittert</w:t>
      </w:r>
      <w:proofErr w:type="spellEnd"/>
      <w:r w:rsidRPr="00580C0D">
        <w:t>.</w:t>
      </w:r>
    </w:p>
    <w:p w14:paraId="6C0F5DC0" w14:textId="77777777" w:rsidR="00F7113A" w:rsidRPr="00580C0D" w:rsidRDefault="00142E5B" w:rsidP="00580C0D">
      <w:pPr>
        <w:pStyle w:val="avsnitt-tittel"/>
      </w:pPr>
      <w:proofErr w:type="spellStart"/>
      <w:r w:rsidRPr="00580C0D">
        <w:t>Auke</w:t>
      </w:r>
      <w:proofErr w:type="spellEnd"/>
      <w:r w:rsidRPr="00580C0D">
        <w:t xml:space="preserve"> omsetningskravet for biodrivstoff i luftfarten og varsle framtidig opptrapping</w:t>
      </w:r>
    </w:p>
    <w:p w14:paraId="248C7A59" w14:textId="77777777" w:rsidR="00F7113A" w:rsidRPr="00580C0D" w:rsidRDefault="00142E5B" w:rsidP="00580C0D">
      <w:pPr>
        <w:pStyle w:val="avsnitt-undertittel"/>
      </w:pPr>
      <w:r w:rsidRPr="00580C0D">
        <w:t>Vedtak nr. 916, 16. juni 2023</w:t>
      </w:r>
    </w:p>
    <w:p w14:paraId="3C3E7BE1" w14:textId="77777777" w:rsidR="00F7113A" w:rsidRPr="00580C0D" w:rsidRDefault="00142E5B" w:rsidP="00580C0D">
      <w:pPr>
        <w:pStyle w:val="blokksit"/>
        <w:rPr>
          <w:rStyle w:val="kursiv"/>
        </w:rPr>
      </w:pPr>
      <w:r w:rsidRPr="00580C0D">
        <w:rPr>
          <w:rStyle w:val="kursiv"/>
        </w:rPr>
        <w:t>«Stortinget ber regjeringen fremme forslag om å øke omsetningskravet for biodrivstoff i luftfarten til 2 pst. med ikrafttredelse fra 1. januar 2024. Samtidig skal det i statsbudsjettet for 2024 varsles fremtidig opptrapping.»</w:t>
      </w:r>
    </w:p>
    <w:p w14:paraId="44232E85"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Revidert nasjonalbudsjett 2023, jf. </w:t>
      </w:r>
      <w:proofErr w:type="spellStart"/>
      <w:r w:rsidRPr="00580C0D">
        <w:t>Innst</w:t>
      </w:r>
      <w:proofErr w:type="spellEnd"/>
      <w:r w:rsidRPr="00580C0D">
        <w:t xml:space="preserve">. 490 S (2022–2023), </w:t>
      </w:r>
      <w:proofErr w:type="spellStart"/>
      <w:r w:rsidRPr="00580C0D">
        <w:t>romartal</w:t>
      </w:r>
      <w:proofErr w:type="spellEnd"/>
      <w:r w:rsidRPr="00580C0D">
        <w:t xml:space="preserve"> III.</w:t>
      </w:r>
    </w:p>
    <w:p w14:paraId="14BC7E9C" w14:textId="77777777" w:rsidR="00F7113A" w:rsidRPr="00580C0D" w:rsidRDefault="00142E5B" w:rsidP="00580C0D">
      <w:r w:rsidRPr="00580C0D">
        <w:t xml:space="preserve">Miljødirektoratet har på oppdrag </w:t>
      </w:r>
      <w:proofErr w:type="spellStart"/>
      <w:r w:rsidRPr="00580C0D">
        <w:t>frå</w:t>
      </w:r>
      <w:proofErr w:type="spellEnd"/>
      <w:r w:rsidRPr="00580C0D">
        <w:t xml:space="preserve"> Klima- og miljødepartementet hatt på </w:t>
      </w:r>
      <w:proofErr w:type="spellStart"/>
      <w:r w:rsidRPr="00580C0D">
        <w:t>høyring</w:t>
      </w:r>
      <w:proofErr w:type="spellEnd"/>
      <w:r w:rsidRPr="00580C0D">
        <w:t xml:space="preserve"> </w:t>
      </w:r>
      <w:proofErr w:type="spellStart"/>
      <w:r w:rsidRPr="00580C0D">
        <w:t>eit</w:t>
      </w:r>
      <w:proofErr w:type="spellEnd"/>
      <w:r w:rsidRPr="00580C0D">
        <w:t xml:space="preserve"> forslag om å </w:t>
      </w:r>
      <w:proofErr w:type="spellStart"/>
      <w:r w:rsidRPr="00580C0D">
        <w:t>auke</w:t>
      </w:r>
      <w:proofErr w:type="spellEnd"/>
      <w:r w:rsidRPr="00580C0D">
        <w:t xml:space="preserve"> omsetningskravet for avansert biodrivstoff til luftfart </w:t>
      </w:r>
      <w:proofErr w:type="spellStart"/>
      <w:r w:rsidRPr="00580C0D">
        <w:t>frå</w:t>
      </w:r>
      <w:proofErr w:type="spellEnd"/>
      <w:r w:rsidRPr="00580C0D">
        <w:t xml:space="preserve"> 0,5 til 2 pst. med foreslått </w:t>
      </w:r>
      <w:proofErr w:type="spellStart"/>
      <w:r w:rsidRPr="00580C0D">
        <w:t>ikraftsetjing</w:t>
      </w:r>
      <w:proofErr w:type="spellEnd"/>
      <w:r w:rsidRPr="00580C0D">
        <w:t xml:space="preserve"> 1. juli 2023. Frist for fråsegner var 9. mars 2023.</w:t>
      </w:r>
    </w:p>
    <w:p w14:paraId="1E51D56E" w14:textId="77777777" w:rsidR="00F7113A" w:rsidRPr="00580C0D" w:rsidRDefault="00142E5B" w:rsidP="00580C0D">
      <w:r w:rsidRPr="00580C0D">
        <w:t xml:space="preserve">Det har komme </w:t>
      </w:r>
      <w:proofErr w:type="spellStart"/>
      <w:r w:rsidRPr="00580C0D">
        <w:t>atskilleg</w:t>
      </w:r>
      <w:proofErr w:type="spellEnd"/>
      <w:r w:rsidRPr="00580C0D">
        <w:t xml:space="preserve"> med </w:t>
      </w:r>
      <w:proofErr w:type="spellStart"/>
      <w:r w:rsidRPr="00580C0D">
        <w:t>innvendingar</w:t>
      </w:r>
      <w:proofErr w:type="spellEnd"/>
      <w:r w:rsidRPr="00580C0D">
        <w:t xml:space="preserve"> i </w:t>
      </w:r>
      <w:proofErr w:type="spellStart"/>
      <w:r w:rsidRPr="00580C0D">
        <w:t>høyringsrunden</w:t>
      </w:r>
      <w:proofErr w:type="spellEnd"/>
      <w:r w:rsidRPr="00580C0D">
        <w:t xml:space="preserve">. Dei fleste </w:t>
      </w:r>
      <w:proofErr w:type="spellStart"/>
      <w:r w:rsidRPr="00580C0D">
        <w:t>høyringsinnspela</w:t>
      </w:r>
      <w:proofErr w:type="spellEnd"/>
      <w:r w:rsidRPr="00580C0D">
        <w:t xml:space="preserve"> er kritiske til </w:t>
      </w:r>
      <w:proofErr w:type="spellStart"/>
      <w:r w:rsidRPr="00580C0D">
        <w:t>ein</w:t>
      </w:r>
      <w:proofErr w:type="spellEnd"/>
      <w:r w:rsidRPr="00580C0D">
        <w:t xml:space="preserve"> </w:t>
      </w:r>
      <w:proofErr w:type="spellStart"/>
      <w:r w:rsidRPr="00580C0D">
        <w:t>auke</w:t>
      </w:r>
      <w:proofErr w:type="spellEnd"/>
      <w:r w:rsidRPr="00580C0D">
        <w:t xml:space="preserve"> i omsetningskravet og </w:t>
      </w:r>
      <w:proofErr w:type="spellStart"/>
      <w:r w:rsidRPr="00580C0D">
        <w:t>ønskjer</w:t>
      </w:r>
      <w:proofErr w:type="spellEnd"/>
      <w:r w:rsidRPr="00580C0D">
        <w:t xml:space="preserve"> at </w:t>
      </w:r>
      <w:proofErr w:type="spellStart"/>
      <w:r w:rsidRPr="00580C0D">
        <w:t>auken</w:t>
      </w:r>
      <w:proofErr w:type="spellEnd"/>
      <w:r w:rsidRPr="00580C0D">
        <w:t xml:space="preserve"> blir utsett. </w:t>
      </w:r>
      <w:proofErr w:type="spellStart"/>
      <w:r w:rsidRPr="00580C0D">
        <w:t>Høyringsinstansane</w:t>
      </w:r>
      <w:proofErr w:type="spellEnd"/>
      <w:r w:rsidRPr="00580C0D">
        <w:t xml:space="preserve"> ber om ei </w:t>
      </w:r>
      <w:proofErr w:type="spellStart"/>
      <w:r w:rsidRPr="00580C0D">
        <w:t>utsetjing</w:t>
      </w:r>
      <w:proofErr w:type="spellEnd"/>
      <w:r w:rsidRPr="00580C0D">
        <w:t xml:space="preserve"> av </w:t>
      </w:r>
      <w:proofErr w:type="spellStart"/>
      <w:r w:rsidRPr="00580C0D">
        <w:t>auken</w:t>
      </w:r>
      <w:proofErr w:type="spellEnd"/>
      <w:r w:rsidRPr="00580C0D">
        <w:t xml:space="preserve"> i omsetningskravet til det felleseuropeiske omsetningskravet blir innført, som er foreslått å gjelde i EU </w:t>
      </w:r>
      <w:proofErr w:type="spellStart"/>
      <w:r w:rsidRPr="00580C0D">
        <w:t>frå</w:t>
      </w:r>
      <w:proofErr w:type="spellEnd"/>
      <w:r w:rsidRPr="00580C0D">
        <w:t xml:space="preserve"> 2025. Dette er grunngjeve med at </w:t>
      </w:r>
      <w:proofErr w:type="spellStart"/>
      <w:r w:rsidRPr="00580C0D">
        <w:t>eit</w:t>
      </w:r>
      <w:proofErr w:type="spellEnd"/>
      <w:r w:rsidRPr="00580C0D">
        <w:t xml:space="preserve"> </w:t>
      </w:r>
      <w:proofErr w:type="spellStart"/>
      <w:r w:rsidRPr="00580C0D">
        <w:t>auka</w:t>
      </w:r>
      <w:proofErr w:type="spellEnd"/>
      <w:r w:rsidRPr="00580C0D">
        <w:t xml:space="preserve"> nasjonalt krav vil forsterke konkurranseulempa norske </w:t>
      </w:r>
      <w:proofErr w:type="spellStart"/>
      <w:r w:rsidRPr="00580C0D">
        <w:t>aktørar</w:t>
      </w:r>
      <w:proofErr w:type="spellEnd"/>
      <w:r w:rsidRPr="00580C0D">
        <w:t xml:space="preserve"> har </w:t>
      </w:r>
      <w:proofErr w:type="spellStart"/>
      <w:r w:rsidRPr="00580C0D">
        <w:t>samanlikna</w:t>
      </w:r>
      <w:proofErr w:type="spellEnd"/>
      <w:r w:rsidRPr="00580C0D">
        <w:t xml:space="preserve"> med europeiske </w:t>
      </w:r>
      <w:proofErr w:type="spellStart"/>
      <w:r w:rsidRPr="00580C0D">
        <w:t>aktørar</w:t>
      </w:r>
      <w:proofErr w:type="spellEnd"/>
      <w:r w:rsidRPr="00580C0D">
        <w:t xml:space="preserve">. Før vi </w:t>
      </w:r>
      <w:proofErr w:type="spellStart"/>
      <w:r w:rsidRPr="00580C0D">
        <w:t>fremjar</w:t>
      </w:r>
      <w:proofErr w:type="spellEnd"/>
      <w:r w:rsidRPr="00580C0D">
        <w:t xml:space="preserve"> forslag om å </w:t>
      </w:r>
      <w:proofErr w:type="spellStart"/>
      <w:r w:rsidRPr="00580C0D">
        <w:t>auke</w:t>
      </w:r>
      <w:proofErr w:type="spellEnd"/>
      <w:r w:rsidRPr="00580C0D">
        <w:t xml:space="preserve"> omsetningskravet i luftfarten, må vi sikre at norske flyselskap får godskrive bruken av biodrivstoff i kvotesystemet, slik at insentivet og </w:t>
      </w:r>
      <w:proofErr w:type="spellStart"/>
      <w:r w:rsidRPr="00580C0D">
        <w:t>hensikta</w:t>
      </w:r>
      <w:proofErr w:type="spellEnd"/>
      <w:r w:rsidRPr="00580C0D">
        <w:t xml:space="preserve"> til </w:t>
      </w:r>
      <w:proofErr w:type="spellStart"/>
      <w:r w:rsidRPr="00580C0D">
        <w:t>verkemiddelet</w:t>
      </w:r>
      <w:proofErr w:type="spellEnd"/>
      <w:r w:rsidRPr="00580C0D">
        <w:t xml:space="preserve"> blir </w:t>
      </w:r>
      <w:proofErr w:type="spellStart"/>
      <w:r w:rsidRPr="00580C0D">
        <w:t>varetekne</w:t>
      </w:r>
      <w:proofErr w:type="spellEnd"/>
      <w:r w:rsidRPr="00580C0D">
        <w:t xml:space="preserve"> i størst </w:t>
      </w:r>
      <w:proofErr w:type="spellStart"/>
      <w:r w:rsidRPr="00580C0D">
        <w:t>mogleg</w:t>
      </w:r>
      <w:proofErr w:type="spellEnd"/>
      <w:r w:rsidRPr="00580C0D">
        <w:t xml:space="preserve"> grad. </w:t>
      </w:r>
      <w:proofErr w:type="spellStart"/>
      <w:r w:rsidRPr="00580C0D">
        <w:t>Frå</w:t>
      </w:r>
      <w:proofErr w:type="spellEnd"/>
      <w:r w:rsidRPr="00580C0D">
        <w:t xml:space="preserve"> 2025 vil omsetningskravet for luftfart følgje </w:t>
      </w:r>
      <w:proofErr w:type="spellStart"/>
      <w:r w:rsidRPr="00580C0D">
        <w:t>ein</w:t>
      </w:r>
      <w:proofErr w:type="spellEnd"/>
      <w:r w:rsidRPr="00580C0D">
        <w:t xml:space="preserve"> opptrappingsplan på same nivået som </w:t>
      </w:r>
      <w:proofErr w:type="spellStart"/>
      <w:r w:rsidRPr="00580C0D">
        <w:t>opptrappingsplanane</w:t>
      </w:r>
      <w:proofErr w:type="spellEnd"/>
      <w:r w:rsidRPr="00580C0D">
        <w:t xml:space="preserve"> i EU </w:t>
      </w:r>
      <w:proofErr w:type="spellStart"/>
      <w:r w:rsidRPr="00580C0D">
        <w:t>frå</w:t>
      </w:r>
      <w:proofErr w:type="spellEnd"/>
      <w:r w:rsidRPr="00580C0D">
        <w:t xml:space="preserve"> </w:t>
      </w:r>
      <w:proofErr w:type="spellStart"/>
      <w:r w:rsidRPr="00580C0D">
        <w:t>RefuelEU</w:t>
      </w:r>
      <w:proofErr w:type="spellEnd"/>
      <w:r w:rsidRPr="00580C0D">
        <w:t xml:space="preserve"> </w:t>
      </w:r>
      <w:proofErr w:type="spellStart"/>
      <w:r w:rsidRPr="00580C0D">
        <w:t>Aviation</w:t>
      </w:r>
      <w:proofErr w:type="spellEnd"/>
      <w:r w:rsidRPr="00580C0D">
        <w:t xml:space="preserve">. Omsetningskravet for luftfart blir </w:t>
      </w:r>
      <w:proofErr w:type="spellStart"/>
      <w:r w:rsidRPr="00580C0D">
        <w:t>ikkje</w:t>
      </w:r>
      <w:proofErr w:type="spellEnd"/>
      <w:r w:rsidRPr="00580C0D">
        <w:t xml:space="preserve"> endra i 2024. Vedtaket blir </w:t>
      </w:r>
      <w:proofErr w:type="spellStart"/>
      <w:r w:rsidRPr="00580C0D">
        <w:t>rekna</w:t>
      </w:r>
      <w:proofErr w:type="spellEnd"/>
      <w:r w:rsidRPr="00580C0D">
        <w:t xml:space="preserve"> som </w:t>
      </w:r>
      <w:proofErr w:type="spellStart"/>
      <w:r w:rsidRPr="00580C0D">
        <w:t>utkvittert</w:t>
      </w:r>
      <w:proofErr w:type="spellEnd"/>
      <w:r w:rsidRPr="00580C0D">
        <w:t>.</w:t>
      </w:r>
    </w:p>
    <w:p w14:paraId="44759DA0" w14:textId="77777777" w:rsidR="00F7113A" w:rsidRPr="00580C0D" w:rsidRDefault="00142E5B" w:rsidP="00580C0D">
      <w:pPr>
        <w:pStyle w:val="avsnitt-tittel"/>
      </w:pPr>
      <w:proofErr w:type="spellStart"/>
      <w:r w:rsidRPr="00580C0D">
        <w:t>Auke</w:t>
      </w:r>
      <w:proofErr w:type="spellEnd"/>
      <w:r w:rsidRPr="00580C0D">
        <w:t xml:space="preserve"> omsetningskravet for biodrivstoff for </w:t>
      </w:r>
      <w:proofErr w:type="spellStart"/>
      <w:r w:rsidRPr="00580C0D">
        <w:t>ikkje-veggåande</w:t>
      </w:r>
      <w:proofErr w:type="spellEnd"/>
      <w:r w:rsidRPr="00580C0D">
        <w:t xml:space="preserve"> maskiner</w:t>
      </w:r>
    </w:p>
    <w:p w14:paraId="6F2CD398" w14:textId="77777777" w:rsidR="00F7113A" w:rsidRPr="00580C0D" w:rsidRDefault="00142E5B" w:rsidP="00580C0D">
      <w:pPr>
        <w:pStyle w:val="avsnitt-undertittel"/>
      </w:pPr>
      <w:r w:rsidRPr="00580C0D">
        <w:t>Vedtak nr. 917, 16. juni 2023</w:t>
      </w:r>
    </w:p>
    <w:p w14:paraId="25BE7192" w14:textId="77777777" w:rsidR="00F7113A" w:rsidRPr="00580C0D" w:rsidRDefault="00142E5B" w:rsidP="00580C0D">
      <w:pPr>
        <w:pStyle w:val="blokksit"/>
        <w:rPr>
          <w:rStyle w:val="kursiv"/>
        </w:rPr>
      </w:pPr>
      <w:r w:rsidRPr="00580C0D">
        <w:rPr>
          <w:rStyle w:val="kursiv"/>
        </w:rPr>
        <w:t>«Stortinget ber regjeringen fremme forslag om å øke omsetningskravet for biodrivstoff for ikke-</w:t>
      </w:r>
      <w:proofErr w:type="spellStart"/>
      <w:r w:rsidRPr="00580C0D">
        <w:rPr>
          <w:rStyle w:val="kursiv"/>
        </w:rPr>
        <w:t>veigående</w:t>
      </w:r>
      <w:proofErr w:type="spellEnd"/>
      <w:r w:rsidRPr="00580C0D">
        <w:rPr>
          <w:rStyle w:val="kursiv"/>
        </w:rPr>
        <w:t xml:space="preserve"> maskiner på høring med sikte på innføring fra 1. januar 2024. Følgende omsetningskrav sendes på høring: 12 pst., 15 pst. og 19 pst.»</w:t>
      </w:r>
    </w:p>
    <w:p w14:paraId="1617B18D"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Revidert nasjonalbudsjett 2023, jf. </w:t>
      </w:r>
      <w:proofErr w:type="spellStart"/>
      <w:r w:rsidRPr="00580C0D">
        <w:t>Innst</w:t>
      </w:r>
      <w:proofErr w:type="spellEnd"/>
      <w:r w:rsidRPr="00580C0D">
        <w:t xml:space="preserve">. 490 S (2022–2023), </w:t>
      </w:r>
      <w:proofErr w:type="spellStart"/>
      <w:r w:rsidRPr="00580C0D">
        <w:t>romartal</w:t>
      </w:r>
      <w:proofErr w:type="spellEnd"/>
      <w:r w:rsidRPr="00580C0D">
        <w:t xml:space="preserve"> IV.</w:t>
      </w:r>
    </w:p>
    <w:p w14:paraId="26033AF3" w14:textId="77777777" w:rsidR="00F7113A" w:rsidRPr="00580C0D" w:rsidRDefault="00142E5B" w:rsidP="00580C0D">
      <w:r w:rsidRPr="00580C0D">
        <w:t xml:space="preserve">Opptrapping av omsetningskravet for </w:t>
      </w:r>
      <w:proofErr w:type="spellStart"/>
      <w:r w:rsidRPr="00580C0D">
        <w:t>ikkje-veggåande</w:t>
      </w:r>
      <w:proofErr w:type="spellEnd"/>
      <w:r w:rsidRPr="00580C0D">
        <w:t xml:space="preserve"> maskiner som skissert i vedtak 917 </w:t>
      </w:r>
      <w:proofErr w:type="spellStart"/>
      <w:r w:rsidRPr="00580C0D">
        <w:t>føreset</w:t>
      </w:r>
      <w:proofErr w:type="spellEnd"/>
      <w:r w:rsidRPr="00580C0D">
        <w:t xml:space="preserve"> nye, større </w:t>
      </w:r>
      <w:proofErr w:type="spellStart"/>
      <w:r w:rsidRPr="00580C0D">
        <w:t>konsekvensutgreiingar</w:t>
      </w:r>
      <w:proofErr w:type="spellEnd"/>
      <w:r w:rsidRPr="00580C0D">
        <w:t xml:space="preserve">. For </w:t>
      </w:r>
      <w:proofErr w:type="spellStart"/>
      <w:r w:rsidRPr="00580C0D">
        <w:t>dei</w:t>
      </w:r>
      <w:proofErr w:type="spellEnd"/>
      <w:r w:rsidRPr="00580C0D">
        <w:t xml:space="preserve"> </w:t>
      </w:r>
      <w:proofErr w:type="spellStart"/>
      <w:r w:rsidRPr="00580C0D">
        <w:t>omfattande</w:t>
      </w:r>
      <w:proofErr w:type="spellEnd"/>
      <w:r w:rsidRPr="00580C0D">
        <w:t xml:space="preserve"> </w:t>
      </w:r>
      <w:proofErr w:type="spellStart"/>
      <w:r w:rsidRPr="00580C0D">
        <w:t>aukane</w:t>
      </w:r>
      <w:proofErr w:type="spellEnd"/>
      <w:r w:rsidRPr="00580C0D">
        <w:t xml:space="preserve"> i kravet slik vedtaket ber om for </w:t>
      </w:r>
      <w:proofErr w:type="spellStart"/>
      <w:r w:rsidRPr="00580C0D">
        <w:t>ikkje-veggåande</w:t>
      </w:r>
      <w:proofErr w:type="spellEnd"/>
      <w:r w:rsidRPr="00580C0D">
        <w:t xml:space="preserve"> maskiner, bør mellom anna avgrensing mot landbasert kvotepliktig industri </w:t>
      </w:r>
      <w:proofErr w:type="spellStart"/>
      <w:r w:rsidRPr="00580C0D">
        <w:t>vurderast</w:t>
      </w:r>
      <w:proofErr w:type="spellEnd"/>
      <w:r w:rsidRPr="00580C0D">
        <w:t xml:space="preserve">, i tillegg til at </w:t>
      </w:r>
      <w:proofErr w:type="spellStart"/>
      <w:r w:rsidRPr="00580C0D">
        <w:t>konsekvensar</w:t>
      </w:r>
      <w:proofErr w:type="spellEnd"/>
      <w:r w:rsidRPr="00580C0D">
        <w:t xml:space="preserve"> for </w:t>
      </w:r>
      <w:proofErr w:type="spellStart"/>
      <w:r w:rsidRPr="00580C0D">
        <w:t>aktørane</w:t>
      </w:r>
      <w:proofErr w:type="spellEnd"/>
      <w:r w:rsidRPr="00580C0D">
        <w:t xml:space="preserve"> </w:t>
      </w:r>
      <w:proofErr w:type="spellStart"/>
      <w:r w:rsidRPr="00580C0D">
        <w:t>innanfor</w:t>
      </w:r>
      <w:proofErr w:type="spellEnd"/>
      <w:r w:rsidRPr="00580C0D">
        <w:t xml:space="preserve"> jordbruk og skogbruk bør </w:t>
      </w:r>
      <w:proofErr w:type="spellStart"/>
      <w:r w:rsidRPr="00580C0D">
        <w:t>belysast</w:t>
      </w:r>
      <w:proofErr w:type="spellEnd"/>
      <w:r w:rsidRPr="00580C0D">
        <w:t xml:space="preserve"> </w:t>
      </w:r>
      <w:proofErr w:type="spellStart"/>
      <w:r w:rsidRPr="00580C0D">
        <w:t>nærmare</w:t>
      </w:r>
      <w:proofErr w:type="spellEnd"/>
      <w:r w:rsidRPr="00580C0D">
        <w:t xml:space="preserve">. Omsetningskravet for biodrivstoff på 10 pst. for </w:t>
      </w:r>
      <w:proofErr w:type="spellStart"/>
      <w:r w:rsidRPr="00580C0D">
        <w:t>ikkje-veggåande</w:t>
      </w:r>
      <w:proofErr w:type="spellEnd"/>
      <w:r w:rsidRPr="00580C0D">
        <w:t xml:space="preserve"> maskiner </w:t>
      </w:r>
      <w:proofErr w:type="spellStart"/>
      <w:r w:rsidRPr="00580C0D">
        <w:t>vart</w:t>
      </w:r>
      <w:proofErr w:type="spellEnd"/>
      <w:r w:rsidRPr="00580C0D">
        <w:t xml:space="preserve"> innført 1. januar 2023, og vi har </w:t>
      </w:r>
      <w:proofErr w:type="spellStart"/>
      <w:r w:rsidRPr="00580C0D">
        <w:t>ikkje</w:t>
      </w:r>
      <w:proofErr w:type="spellEnd"/>
      <w:r w:rsidRPr="00580C0D">
        <w:t xml:space="preserve"> hatt tid til å erfare korleis kravet fungerer i praksis. Før omsetningskravet blir </w:t>
      </w:r>
      <w:proofErr w:type="spellStart"/>
      <w:r w:rsidRPr="00580C0D">
        <w:t>auka</w:t>
      </w:r>
      <w:proofErr w:type="spellEnd"/>
      <w:r w:rsidRPr="00580C0D">
        <w:t xml:space="preserve"> </w:t>
      </w:r>
      <w:proofErr w:type="spellStart"/>
      <w:r w:rsidRPr="00580C0D">
        <w:t>ytterlegare</w:t>
      </w:r>
      <w:proofErr w:type="spellEnd"/>
      <w:r w:rsidRPr="00580C0D">
        <w:t xml:space="preserve">, bør vi </w:t>
      </w:r>
      <w:proofErr w:type="spellStart"/>
      <w:r w:rsidRPr="00580C0D">
        <w:t>trekkje</w:t>
      </w:r>
      <w:proofErr w:type="spellEnd"/>
      <w:r w:rsidRPr="00580C0D">
        <w:t xml:space="preserve"> inn </w:t>
      </w:r>
      <w:proofErr w:type="spellStart"/>
      <w:r w:rsidRPr="00580C0D">
        <w:t>erfaringar</w:t>
      </w:r>
      <w:proofErr w:type="spellEnd"/>
      <w:r w:rsidRPr="00580C0D">
        <w:t xml:space="preserve"> med det </w:t>
      </w:r>
      <w:proofErr w:type="spellStart"/>
      <w:r w:rsidRPr="00580C0D">
        <w:t>nyleg</w:t>
      </w:r>
      <w:proofErr w:type="spellEnd"/>
      <w:r w:rsidRPr="00580C0D">
        <w:t xml:space="preserve"> innførte kravet og sjå på om dokumentasjonskrava er </w:t>
      </w:r>
      <w:proofErr w:type="spellStart"/>
      <w:r w:rsidRPr="00580C0D">
        <w:t>tilfredsstillande</w:t>
      </w:r>
      <w:proofErr w:type="spellEnd"/>
      <w:r w:rsidRPr="00580C0D">
        <w:t>.</w:t>
      </w:r>
    </w:p>
    <w:p w14:paraId="64F9561D" w14:textId="77777777" w:rsidR="00F7113A" w:rsidRPr="00580C0D" w:rsidRDefault="00142E5B" w:rsidP="00580C0D">
      <w:r w:rsidRPr="00580C0D">
        <w:t xml:space="preserve">For å sikre </w:t>
      </w:r>
      <w:proofErr w:type="spellStart"/>
      <w:r w:rsidRPr="00580C0D">
        <w:t>forsvarlege</w:t>
      </w:r>
      <w:proofErr w:type="spellEnd"/>
      <w:r w:rsidRPr="00580C0D">
        <w:t xml:space="preserve"> </w:t>
      </w:r>
      <w:proofErr w:type="spellStart"/>
      <w:r w:rsidRPr="00580C0D">
        <w:t>utgreiingar</w:t>
      </w:r>
      <w:proofErr w:type="spellEnd"/>
      <w:r w:rsidRPr="00580C0D">
        <w:t xml:space="preserve">, stabilitet og </w:t>
      </w:r>
      <w:proofErr w:type="spellStart"/>
      <w:r w:rsidRPr="00580C0D">
        <w:t>føreseielege</w:t>
      </w:r>
      <w:proofErr w:type="spellEnd"/>
      <w:r w:rsidRPr="00580C0D">
        <w:t xml:space="preserve"> rammevilkår er det </w:t>
      </w:r>
      <w:proofErr w:type="spellStart"/>
      <w:r w:rsidRPr="00580C0D">
        <w:t>ikkje</w:t>
      </w:r>
      <w:proofErr w:type="spellEnd"/>
      <w:r w:rsidRPr="00580C0D">
        <w:t xml:space="preserve"> </w:t>
      </w:r>
      <w:proofErr w:type="spellStart"/>
      <w:r w:rsidRPr="00580C0D">
        <w:t>mogleg</w:t>
      </w:r>
      <w:proofErr w:type="spellEnd"/>
      <w:r w:rsidRPr="00580C0D">
        <w:t xml:space="preserve"> med tidslinja som vedtaket </w:t>
      </w:r>
      <w:proofErr w:type="spellStart"/>
      <w:r w:rsidRPr="00580C0D">
        <w:t>legg</w:t>
      </w:r>
      <w:proofErr w:type="spellEnd"/>
      <w:r w:rsidRPr="00580C0D">
        <w:t xml:space="preserve"> opp til. </w:t>
      </w:r>
      <w:proofErr w:type="spellStart"/>
      <w:r w:rsidRPr="00580C0D">
        <w:t>Innkjøparane</w:t>
      </w:r>
      <w:proofErr w:type="spellEnd"/>
      <w:r w:rsidRPr="00580C0D">
        <w:t xml:space="preserve"> må få tid til og </w:t>
      </w:r>
      <w:proofErr w:type="spellStart"/>
      <w:r w:rsidRPr="00580C0D">
        <w:t>føreseielege</w:t>
      </w:r>
      <w:proofErr w:type="spellEnd"/>
      <w:r w:rsidRPr="00580C0D">
        <w:t xml:space="preserve"> vilkår for å </w:t>
      </w:r>
      <w:proofErr w:type="spellStart"/>
      <w:r w:rsidRPr="00580C0D">
        <w:t>planleggje</w:t>
      </w:r>
      <w:proofErr w:type="spellEnd"/>
      <w:r w:rsidRPr="00580C0D">
        <w:t xml:space="preserve"> innkjøpa sine. Det vil </w:t>
      </w:r>
      <w:proofErr w:type="spellStart"/>
      <w:r w:rsidRPr="00580C0D">
        <w:t>dei</w:t>
      </w:r>
      <w:proofErr w:type="spellEnd"/>
      <w:r w:rsidRPr="00580C0D">
        <w:t xml:space="preserve"> </w:t>
      </w:r>
      <w:proofErr w:type="spellStart"/>
      <w:r w:rsidRPr="00580C0D">
        <w:t>ikkje</w:t>
      </w:r>
      <w:proofErr w:type="spellEnd"/>
      <w:r w:rsidRPr="00580C0D">
        <w:t xml:space="preserve"> få med </w:t>
      </w:r>
      <w:proofErr w:type="spellStart"/>
      <w:r w:rsidRPr="00580C0D">
        <w:t>auka</w:t>
      </w:r>
      <w:proofErr w:type="spellEnd"/>
      <w:r w:rsidRPr="00580C0D">
        <w:t xml:space="preserve"> krav </w:t>
      </w:r>
      <w:proofErr w:type="spellStart"/>
      <w:r w:rsidRPr="00580C0D">
        <w:t>frå</w:t>
      </w:r>
      <w:proofErr w:type="spellEnd"/>
      <w:r w:rsidRPr="00580C0D">
        <w:t xml:space="preserve"> 1. januar 2024 og varsling av </w:t>
      </w:r>
      <w:proofErr w:type="spellStart"/>
      <w:r w:rsidRPr="00580C0D">
        <w:t>desse</w:t>
      </w:r>
      <w:proofErr w:type="spellEnd"/>
      <w:r w:rsidRPr="00580C0D">
        <w:t xml:space="preserve"> i statsbudsjettet </w:t>
      </w:r>
      <w:proofErr w:type="spellStart"/>
      <w:r w:rsidRPr="00580C0D">
        <w:t>hausten</w:t>
      </w:r>
      <w:proofErr w:type="spellEnd"/>
      <w:r w:rsidRPr="00580C0D">
        <w:t xml:space="preserve"> 2023. Det vil </w:t>
      </w:r>
      <w:proofErr w:type="spellStart"/>
      <w:r w:rsidRPr="00580C0D">
        <w:t>tidlegast</w:t>
      </w:r>
      <w:proofErr w:type="spellEnd"/>
      <w:r w:rsidRPr="00580C0D">
        <w:t xml:space="preserve"> </w:t>
      </w:r>
      <w:proofErr w:type="spellStart"/>
      <w:r w:rsidRPr="00580C0D">
        <w:t>vere</w:t>
      </w:r>
      <w:proofErr w:type="spellEnd"/>
      <w:r w:rsidRPr="00580C0D">
        <w:t xml:space="preserve"> </w:t>
      </w:r>
      <w:proofErr w:type="spellStart"/>
      <w:r w:rsidRPr="00580C0D">
        <w:t>mogleg</w:t>
      </w:r>
      <w:proofErr w:type="spellEnd"/>
      <w:r w:rsidRPr="00580C0D">
        <w:t xml:space="preserve"> å </w:t>
      </w:r>
      <w:proofErr w:type="spellStart"/>
      <w:r w:rsidRPr="00580C0D">
        <w:t>auke</w:t>
      </w:r>
      <w:proofErr w:type="spellEnd"/>
      <w:r w:rsidRPr="00580C0D">
        <w:t xml:space="preserve"> omsetningskrava for </w:t>
      </w:r>
      <w:proofErr w:type="spellStart"/>
      <w:r w:rsidRPr="00580C0D">
        <w:t>ikkje-veggåande</w:t>
      </w:r>
      <w:proofErr w:type="spellEnd"/>
      <w:r w:rsidRPr="00580C0D">
        <w:t xml:space="preserve"> maskiner </w:t>
      </w:r>
      <w:proofErr w:type="spellStart"/>
      <w:r w:rsidRPr="00580C0D">
        <w:t>innan</w:t>
      </w:r>
      <w:proofErr w:type="spellEnd"/>
      <w:r w:rsidRPr="00580C0D">
        <w:t xml:space="preserve"> 1. januar 2025. Dette avheng av om ei slik opptrapping er fornuftig i </w:t>
      </w:r>
      <w:proofErr w:type="spellStart"/>
      <w:r w:rsidRPr="00580C0D">
        <w:t>eit</w:t>
      </w:r>
      <w:proofErr w:type="spellEnd"/>
      <w:r w:rsidRPr="00580C0D">
        <w:t xml:space="preserve"> </w:t>
      </w:r>
      <w:proofErr w:type="spellStart"/>
      <w:r w:rsidRPr="00580C0D">
        <w:t>heilskapleg</w:t>
      </w:r>
      <w:proofErr w:type="spellEnd"/>
      <w:r w:rsidRPr="00580C0D">
        <w:t xml:space="preserve"> perspektiv, </w:t>
      </w:r>
      <w:proofErr w:type="spellStart"/>
      <w:r w:rsidRPr="00580C0D">
        <w:t>noko</w:t>
      </w:r>
      <w:proofErr w:type="spellEnd"/>
      <w:r w:rsidRPr="00580C0D">
        <w:t xml:space="preserve"> som vi </w:t>
      </w:r>
      <w:proofErr w:type="spellStart"/>
      <w:r w:rsidRPr="00580C0D">
        <w:t>ikkje</w:t>
      </w:r>
      <w:proofErr w:type="spellEnd"/>
      <w:r w:rsidRPr="00580C0D">
        <w:t xml:space="preserve"> har svar på før dette er greidd ut. Det skal </w:t>
      </w:r>
      <w:proofErr w:type="spellStart"/>
      <w:r w:rsidRPr="00580C0D">
        <w:t>innførast</w:t>
      </w:r>
      <w:proofErr w:type="spellEnd"/>
      <w:r w:rsidRPr="00580C0D">
        <w:t xml:space="preserve"> faste kontrollpunkt for </w:t>
      </w:r>
      <w:proofErr w:type="spellStart"/>
      <w:r w:rsidRPr="00580C0D">
        <w:t>heilskaplege</w:t>
      </w:r>
      <w:proofErr w:type="spellEnd"/>
      <w:r w:rsidRPr="00580C0D">
        <w:t xml:space="preserve"> </w:t>
      </w:r>
      <w:proofErr w:type="spellStart"/>
      <w:r w:rsidRPr="00580C0D">
        <w:t>evalueringar</w:t>
      </w:r>
      <w:proofErr w:type="spellEnd"/>
      <w:r w:rsidRPr="00580C0D">
        <w:t xml:space="preserve"> av total biodrivstoffbruk, og med ei slik evaluering vil det òg </w:t>
      </w:r>
      <w:proofErr w:type="spellStart"/>
      <w:r w:rsidRPr="00580C0D">
        <w:t>vere</w:t>
      </w:r>
      <w:proofErr w:type="spellEnd"/>
      <w:r w:rsidRPr="00580C0D">
        <w:t xml:space="preserve"> </w:t>
      </w:r>
      <w:proofErr w:type="spellStart"/>
      <w:r w:rsidRPr="00580C0D">
        <w:t>naturleg</w:t>
      </w:r>
      <w:proofErr w:type="spellEnd"/>
      <w:r w:rsidRPr="00580C0D">
        <w:t xml:space="preserve"> å vurdere opptrapping for </w:t>
      </w:r>
      <w:proofErr w:type="spellStart"/>
      <w:r w:rsidRPr="00580C0D">
        <w:t>ikkje-veggåande</w:t>
      </w:r>
      <w:proofErr w:type="spellEnd"/>
      <w:r w:rsidRPr="00580C0D">
        <w:t xml:space="preserve"> maskiner. Saka er til behandling i departementet. Regjeringa vil komme tilbake til Stortinget på eigna måte.</w:t>
      </w:r>
    </w:p>
    <w:p w14:paraId="4C698E92" w14:textId="77777777" w:rsidR="00F7113A" w:rsidRPr="00580C0D" w:rsidRDefault="00142E5B" w:rsidP="00580C0D">
      <w:pPr>
        <w:pStyle w:val="avsnitt-tittel"/>
      </w:pPr>
      <w:proofErr w:type="spellStart"/>
      <w:r w:rsidRPr="00580C0D">
        <w:t>Auke</w:t>
      </w:r>
      <w:proofErr w:type="spellEnd"/>
      <w:r w:rsidRPr="00580C0D">
        <w:t xml:space="preserve"> omsetningskravet for biodrivstoff til sjøfart</w:t>
      </w:r>
    </w:p>
    <w:p w14:paraId="088F506F" w14:textId="77777777" w:rsidR="00F7113A" w:rsidRPr="00580C0D" w:rsidRDefault="00142E5B" w:rsidP="00580C0D">
      <w:pPr>
        <w:pStyle w:val="avsnitt-undertittel"/>
      </w:pPr>
      <w:r w:rsidRPr="00580C0D">
        <w:t>Vedtak nr. 918, 16. juni 2023</w:t>
      </w:r>
    </w:p>
    <w:p w14:paraId="7D0D5A2F" w14:textId="77777777" w:rsidR="00F7113A" w:rsidRPr="00580C0D" w:rsidRDefault="00142E5B" w:rsidP="00580C0D">
      <w:pPr>
        <w:pStyle w:val="blokksit"/>
        <w:rPr>
          <w:rStyle w:val="kursiv"/>
        </w:rPr>
      </w:pPr>
      <w:r w:rsidRPr="00580C0D">
        <w:rPr>
          <w:rStyle w:val="kursiv"/>
        </w:rPr>
        <w:t>«Stortinget ber regjeringen høsten 2023 sende på høring et forslag om å øke omsetningskravet for biodrivstoff til sjøfart. Det sendes på høring forslag om økning til 8 pst., 10 pst. og 12 pst.»</w:t>
      </w:r>
    </w:p>
    <w:p w14:paraId="0449AF32"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Revidert nasjonalbudsjett 2023, jf. </w:t>
      </w:r>
      <w:proofErr w:type="spellStart"/>
      <w:r w:rsidRPr="00580C0D">
        <w:t>Innst</w:t>
      </w:r>
      <w:proofErr w:type="spellEnd"/>
      <w:r w:rsidRPr="00580C0D">
        <w:t xml:space="preserve">. 490 S (2022–2023), </w:t>
      </w:r>
      <w:proofErr w:type="spellStart"/>
      <w:r w:rsidRPr="00580C0D">
        <w:t>romartal</w:t>
      </w:r>
      <w:proofErr w:type="spellEnd"/>
      <w:r w:rsidRPr="00580C0D">
        <w:t xml:space="preserve"> V.</w:t>
      </w:r>
    </w:p>
    <w:p w14:paraId="19D2B6DB" w14:textId="77777777" w:rsidR="00F7113A" w:rsidRPr="00580C0D" w:rsidRDefault="00142E5B" w:rsidP="00580C0D">
      <w:r w:rsidRPr="00580C0D">
        <w:t xml:space="preserve">Omsetningskravet for sjøfart blir innført på 6 pst. </w:t>
      </w:r>
      <w:proofErr w:type="spellStart"/>
      <w:r w:rsidRPr="00580C0D">
        <w:t>frå</w:t>
      </w:r>
      <w:proofErr w:type="spellEnd"/>
      <w:r w:rsidRPr="00580C0D">
        <w:t xml:space="preserve"> 1. oktober 2023. Dette er </w:t>
      </w:r>
      <w:proofErr w:type="spellStart"/>
      <w:r w:rsidRPr="00580C0D">
        <w:t>eit</w:t>
      </w:r>
      <w:proofErr w:type="spellEnd"/>
      <w:r w:rsidRPr="00580C0D">
        <w:t xml:space="preserve"> heilt nytt krav i </w:t>
      </w:r>
      <w:proofErr w:type="spellStart"/>
      <w:r w:rsidRPr="00580C0D">
        <w:t>ein</w:t>
      </w:r>
      <w:proofErr w:type="spellEnd"/>
      <w:r w:rsidRPr="00580C0D">
        <w:t xml:space="preserve"> </w:t>
      </w:r>
      <w:proofErr w:type="spellStart"/>
      <w:r w:rsidRPr="00580C0D">
        <w:t>annan</w:t>
      </w:r>
      <w:proofErr w:type="spellEnd"/>
      <w:r w:rsidRPr="00580C0D">
        <w:t xml:space="preserve"> </w:t>
      </w:r>
      <w:proofErr w:type="spellStart"/>
      <w:r w:rsidRPr="00580C0D">
        <w:t>marknad</w:t>
      </w:r>
      <w:proofErr w:type="spellEnd"/>
      <w:r w:rsidRPr="00580C0D">
        <w:t xml:space="preserve"> der det i dag </w:t>
      </w:r>
      <w:proofErr w:type="spellStart"/>
      <w:r w:rsidRPr="00580C0D">
        <w:t>ikkje</w:t>
      </w:r>
      <w:proofErr w:type="spellEnd"/>
      <w:r w:rsidRPr="00580C0D">
        <w:t xml:space="preserve"> </w:t>
      </w:r>
      <w:proofErr w:type="spellStart"/>
      <w:r w:rsidRPr="00580C0D">
        <w:t>finst</w:t>
      </w:r>
      <w:proofErr w:type="spellEnd"/>
      <w:r w:rsidRPr="00580C0D">
        <w:t xml:space="preserve"> infrastruktur for biodrivstoff. Det er </w:t>
      </w:r>
      <w:proofErr w:type="spellStart"/>
      <w:r w:rsidRPr="00580C0D">
        <w:t>følgjeleg</w:t>
      </w:r>
      <w:proofErr w:type="spellEnd"/>
      <w:r w:rsidRPr="00580C0D">
        <w:t xml:space="preserve"> også her behov for å </w:t>
      </w:r>
      <w:proofErr w:type="spellStart"/>
      <w:r w:rsidRPr="00580C0D">
        <w:t>trekkje</w:t>
      </w:r>
      <w:proofErr w:type="spellEnd"/>
      <w:r w:rsidRPr="00580C0D">
        <w:t xml:space="preserve"> inn </w:t>
      </w:r>
      <w:proofErr w:type="spellStart"/>
      <w:r w:rsidRPr="00580C0D">
        <w:t>erfaringar</w:t>
      </w:r>
      <w:proofErr w:type="spellEnd"/>
      <w:r w:rsidRPr="00580C0D">
        <w:t xml:space="preserve"> før kravet blir </w:t>
      </w:r>
      <w:proofErr w:type="spellStart"/>
      <w:r w:rsidRPr="00580C0D">
        <w:t>auka</w:t>
      </w:r>
      <w:proofErr w:type="spellEnd"/>
      <w:r w:rsidRPr="00580C0D">
        <w:t xml:space="preserve">. Vedtaket </w:t>
      </w:r>
      <w:proofErr w:type="spellStart"/>
      <w:r w:rsidRPr="00580C0D">
        <w:t>inneber</w:t>
      </w:r>
      <w:proofErr w:type="spellEnd"/>
      <w:r w:rsidRPr="00580C0D">
        <w:t xml:space="preserve"> </w:t>
      </w:r>
      <w:proofErr w:type="spellStart"/>
      <w:r w:rsidRPr="00580C0D">
        <w:t>vidare</w:t>
      </w:r>
      <w:proofErr w:type="spellEnd"/>
      <w:r w:rsidRPr="00580C0D">
        <w:t xml:space="preserve"> </w:t>
      </w:r>
      <w:proofErr w:type="spellStart"/>
      <w:r w:rsidRPr="00580C0D">
        <w:t>ein</w:t>
      </w:r>
      <w:proofErr w:type="spellEnd"/>
      <w:r w:rsidRPr="00580C0D">
        <w:t xml:space="preserve"> </w:t>
      </w:r>
      <w:proofErr w:type="spellStart"/>
      <w:r w:rsidRPr="00580C0D">
        <w:t>vesentleg</w:t>
      </w:r>
      <w:proofErr w:type="spellEnd"/>
      <w:r w:rsidRPr="00580C0D">
        <w:t xml:space="preserve"> </w:t>
      </w:r>
      <w:proofErr w:type="spellStart"/>
      <w:r w:rsidRPr="00580C0D">
        <w:t>auke</w:t>
      </w:r>
      <w:proofErr w:type="spellEnd"/>
      <w:r w:rsidRPr="00580C0D">
        <w:t xml:space="preserve"> i omsetningskravet. Dette </w:t>
      </w:r>
      <w:proofErr w:type="spellStart"/>
      <w:r w:rsidRPr="00580C0D">
        <w:t>inneber</w:t>
      </w:r>
      <w:proofErr w:type="spellEnd"/>
      <w:r w:rsidRPr="00580C0D">
        <w:t xml:space="preserve"> at </w:t>
      </w:r>
      <w:proofErr w:type="spellStart"/>
      <w:r w:rsidRPr="00580C0D">
        <w:t>konsekvensane</w:t>
      </w:r>
      <w:proofErr w:type="spellEnd"/>
      <w:r w:rsidRPr="00580C0D">
        <w:t xml:space="preserve"> av </w:t>
      </w:r>
      <w:proofErr w:type="spellStart"/>
      <w:r w:rsidRPr="00580C0D">
        <w:t>auken</w:t>
      </w:r>
      <w:proofErr w:type="spellEnd"/>
      <w:r w:rsidRPr="00580C0D">
        <w:t xml:space="preserve"> må </w:t>
      </w:r>
      <w:proofErr w:type="spellStart"/>
      <w:r w:rsidRPr="00580C0D">
        <w:t>greiast</w:t>
      </w:r>
      <w:proofErr w:type="spellEnd"/>
      <w:r w:rsidRPr="00580C0D">
        <w:t xml:space="preserve"> ut i tråd med krava i utgreiingsinstruksen og </w:t>
      </w:r>
      <w:proofErr w:type="spellStart"/>
      <w:r w:rsidRPr="00580C0D">
        <w:t>høyrast</w:t>
      </w:r>
      <w:proofErr w:type="spellEnd"/>
      <w:r w:rsidRPr="00580C0D">
        <w:t xml:space="preserve"> i tråd med krava i forvaltningslova. For å sikre </w:t>
      </w:r>
      <w:proofErr w:type="spellStart"/>
      <w:r w:rsidRPr="00580C0D">
        <w:t>forsvarlege</w:t>
      </w:r>
      <w:proofErr w:type="spellEnd"/>
      <w:r w:rsidRPr="00580C0D">
        <w:t xml:space="preserve"> </w:t>
      </w:r>
      <w:proofErr w:type="spellStart"/>
      <w:r w:rsidRPr="00580C0D">
        <w:t>utgreiingar</w:t>
      </w:r>
      <w:proofErr w:type="spellEnd"/>
      <w:r w:rsidRPr="00580C0D">
        <w:t xml:space="preserve">, stabilitet og </w:t>
      </w:r>
      <w:proofErr w:type="spellStart"/>
      <w:r w:rsidRPr="00580C0D">
        <w:t>føreseielege</w:t>
      </w:r>
      <w:proofErr w:type="spellEnd"/>
      <w:r w:rsidRPr="00580C0D">
        <w:t xml:space="preserve"> rammevilkår er det </w:t>
      </w:r>
      <w:proofErr w:type="spellStart"/>
      <w:r w:rsidRPr="00580C0D">
        <w:t>ikkje</w:t>
      </w:r>
      <w:proofErr w:type="spellEnd"/>
      <w:r w:rsidRPr="00580C0D">
        <w:t xml:space="preserve"> </w:t>
      </w:r>
      <w:proofErr w:type="spellStart"/>
      <w:r w:rsidRPr="00580C0D">
        <w:t>mogleg</w:t>
      </w:r>
      <w:proofErr w:type="spellEnd"/>
      <w:r w:rsidRPr="00580C0D">
        <w:t xml:space="preserve"> med tidslinja som vedtaket </w:t>
      </w:r>
      <w:proofErr w:type="spellStart"/>
      <w:r w:rsidRPr="00580C0D">
        <w:t>legg</w:t>
      </w:r>
      <w:proofErr w:type="spellEnd"/>
      <w:r w:rsidRPr="00580C0D">
        <w:t xml:space="preserve"> opp til. </w:t>
      </w:r>
      <w:proofErr w:type="spellStart"/>
      <w:r w:rsidRPr="00580C0D">
        <w:t>Høyringa</w:t>
      </w:r>
      <w:proofErr w:type="spellEnd"/>
      <w:r w:rsidRPr="00580C0D">
        <w:t xml:space="preserve"> avheng av om ei slik opptrapping er fornuftig i </w:t>
      </w:r>
      <w:proofErr w:type="spellStart"/>
      <w:r w:rsidRPr="00580C0D">
        <w:t>eit</w:t>
      </w:r>
      <w:proofErr w:type="spellEnd"/>
      <w:r w:rsidRPr="00580C0D">
        <w:t xml:space="preserve"> </w:t>
      </w:r>
      <w:proofErr w:type="spellStart"/>
      <w:r w:rsidRPr="00580C0D">
        <w:t>heilskapleg</w:t>
      </w:r>
      <w:proofErr w:type="spellEnd"/>
      <w:r w:rsidRPr="00580C0D">
        <w:t xml:space="preserve"> perspektiv, </w:t>
      </w:r>
      <w:proofErr w:type="spellStart"/>
      <w:r w:rsidRPr="00580C0D">
        <w:t>noko</w:t>
      </w:r>
      <w:proofErr w:type="spellEnd"/>
      <w:r w:rsidRPr="00580C0D">
        <w:t xml:space="preserve"> som vi </w:t>
      </w:r>
      <w:proofErr w:type="spellStart"/>
      <w:r w:rsidRPr="00580C0D">
        <w:t>ikkje</w:t>
      </w:r>
      <w:proofErr w:type="spellEnd"/>
      <w:r w:rsidRPr="00580C0D">
        <w:t xml:space="preserve"> har svar på før dette er greidd ut. Det skal </w:t>
      </w:r>
      <w:proofErr w:type="spellStart"/>
      <w:r w:rsidRPr="00580C0D">
        <w:t>innførast</w:t>
      </w:r>
      <w:proofErr w:type="spellEnd"/>
      <w:r w:rsidRPr="00580C0D">
        <w:t xml:space="preserve"> faste kontrollpunkt for </w:t>
      </w:r>
      <w:proofErr w:type="spellStart"/>
      <w:r w:rsidRPr="00580C0D">
        <w:t>heilskaplege</w:t>
      </w:r>
      <w:proofErr w:type="spellEnd"/>
      <w:r w:rsidRPr="00580C0D">
        <w:t xml:space="preserve"> </w:t>
      </w:r>
      <w:proofErr w:type="spellStart"/>
      <w:r w:rsidRPr="00580C0D">
        <w:t>evalueringar</w:t>
      </w:r>
      <w:proofErr w:type="spellEnd"/>
      <w:r w:rsidRPr="00580C0D">
        <w:t xml:space="preserve"> av total biodrivstoffbruk, og med ei slik evaluering vil det òg </w:t>
      </w:r>
      <w:proofErr w:type="spellStart"/>
      <w:r w:rsidRPr="00580C0D">
        <w:t>vere</w:t>
      </w:r>
      <w:proofErr w:type="spellEnd"/>
      <w:r w:rsidRPr="00580C0D">
        <w:t xml:space="preserve"> </w:t>
      </w:r>
      <w:proofErr w:type="spellStart"/>
      <w:r w:rsidRPr="00580C0D">
        <w:t>naturleg</w:t>
      </w:r>
      <w:proofErr w:type="spellEnd"/>
      <w:r w:rsidRPr="00580C0D">
        <w:t xml:space="preserve"> å vurdere opptrapping for </w:t>
      </w:r>
      <w:proofErr w:type="spellStart"/>
      <w:r w:rsidRPr="00580C0D">
        <w:t>ikkje-veggåande</w:t>
      </w:r>
      <w:proofErr w:type="spellEnd"/>
      <w:r w:rsidRPr="00580C0D">
        <w:t xml:space="preserve"> maskiner. Saka er til behandling i departementet.</w:t>
      </w:r>
    </w:p>
    <w:p w14:paraId="43BDB10C" w14:textId="77777777" w:rsidR="00F7113A" w:rsidRPr="00580C0D" w:rsidRDefault="00142E5B" w:rsidP="00580C0D">
      <w:r w:rsidRPr="00580C0D">
        <w:t>Regjeringa vil komme tilbake til Stortinget på eigna måte.</w:t>
      </w:r>
    </w:p>
    <w:p w14:paraId="5F3DE9C1" w14:textId="77777777" w:rsidR="00F7113A" w:rsidRPr="00580C0D" w:rsidRDefault="00142E5B" w:rsidP="00580C0D">
      <w:pPr>
        <w:pStyle w:val="avsnitt-tittel"/>
      </w:pPr>
      <w:r w:rsidRPr="00580C0D">
        <w:t>Rett prising av negative utslepp</w:t>
      </w:r>
    </w:p>
    <w:p w14:paraId="653D8D7E" w14:textId="77777777" w:rsidR="00F7113A" w:rsidRPr="00580C0D" w:rsidRDefault="00142E5B" w:rsidP="00580C0D">
      <w:pPr>
        <w:pStyle w:val="avsnitt-undertittel"/>
      </w:pPr>
      <w:r w:rsidRPr="00580C0D">
        <w:t>Vedtak nr. 919, 16. juni 2023</w:t>
      </w:r>
    </w:p>
    <w:p w14:paraId="056A08B2" w14:textId="77777777" w:rsidR="00F7113A" w:rsidRPr="00580C0D" w:rsidRDefault="00142E5B" w:rsidP="00580C0D">
      <w:pPr>
        <w:pStyle w:val="blokksit"/>
        <w:rPr>
          <w:rStyle w:val="kursiv"/>
        </w:rPr>
      </w:pPr>
      <w:r w:rsidRPr="00580C0D">
        <w:rPr>
          <w:rStyle w:val="kursiv"/>
        </w:rPr>
        <w:t>«Stortinget ber regjeringen gjennomføre en ekstern utredning av virkemidler for samfunnsøkonomisk riktig prising av negative utslipp, slik som negativ CO</w:t>
      </w:r>
      <w:r w:rsidRPr="00580C0D">
        <w:rPr>
          <w:rStyle w:val="skrift-senket"/>
        </w:rPr>
        <w:t>2</w:t>
      </w:r>
      <w:r w:rsidRPr="00580C0D">
        <w:rPr>
          <w:rStyle w:val="kursiv"/>
        </w:rPr>
        <w:t>-avgift eller omvendte auksjoner, og vurdere muligheten for at støtte til CO</w:t>
      </w:r>
      <w:r w:rsidRPr="00580C0D">
        <w:rPr>
          <w:rStyle w:val="skrift-senket"/>
        </w:rPr>
        <w:t>2</w:t>
      </w:r>
      <w:r w:rsidRPr="00580C0D">
        <w:rPr>
          <w:rStyle w:val="kursiv"/>
        </w:rPr>
        <w:t>-fjerning (negative utslipp) kan kombineres med salg av klimakreditter.»</w:t>
      </w:r>
    </w:p>
    <w:p w14:paraId="4FDC5A0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Revidert nasjonalbudsjett 2023, jf. </w:t>
      </w:r>
      <w:proofErr w:type="spellStart"/>
      <w:r w:rsidRPr="00580C0D">
        <w:t>Innst</w:t>
      </w:r>
      <w:proofErr w:type="spellEnd"/>
      <w:r w:rsidRPr="00580C0D">
        <w:t xml:space="preserve">. 490 S (2022–2023), </w:t>
      </w:r>
      <w:proofErr w:type="spellStart"/>
      <w:r w:rsidRPr="00580C0D">
        <w:t>romartal</w:t>
      </w:r>
      <w:proofErr w:type="spellEnd"/>
      <w:r w:rsidRPr="00580C0D">
        <w:t xml:space="preserve"> VI.</w:t>
      </w:r>
    </w:p>
    <w:p w14:paraId="53775FD7" w14:textId="77777777" w:rsidR="00F7113A" w:rsidRPr="00580C0D" w:rsidRDefault="00142E5B" w:rsidP="00580C0D">
      <w:r w:rsidRPr="00580C0D">
        <w:t xml:space="preserve">I rapporten </w:t>
      </w:r>
      <w:r w:rsidRPr="00580C0D">
        <w:rPr>
          <w:rStyle w:val="kursiv"/>
        </w:rPr>
        <w:t xml:space="preserve">Klimatiltak i Norge fram mot 2030 </w:t>
      </w:r>
      <w:r w:rsidRPr="00580C0D">
        <w:t xml:space="preserve">viser Miljødirektoratet at karbonfjerning i form av </w:t>
      </w:r>
      <w:proofErr w:type="spellStart"/>
      <w:r w:rsidRPr="00580C0D">
        <w:t>bio</w:t>
      </w:r>
      <w:proofErr w:type="spellEnd"/>
      <w:r w:rsidRPr="00580C0D">
        <w:t xml:space="preserve">-CCS og DAC kan ha </w:t>
      </w:r>
      <w:proofErr w:type="spellStart"/>
      <w:r w:rsidRPr="00580C0D">
        <w:t>eit</w:t>
      </w:r>
      <w:proofErr w:type="spellEnd"/>
      <w:r w:rsidRPr="00580C0D">
        <w:t xml:space="preserve"> stort utsleppsreduksjonspotensial fram mot 2030. Regjeringa arbeider med å vurdere korleis vedtaket kan </w:t>
      </w:r>
      <w:proofErr w:type="spellStart"/>
      <w:r w:rsidRPr="00580C0D">
        <w:t>følgjast</w:t>
      </w:r>
      <w:proofErr w:type="spellEnd"/>
      <w:r w:rsidRPr="00580C0D">
        <w:t xml:space="preserve"> opp på mest </w:t>
      </w:r>
      <w:proofErr w:type="spellStart"/>
      <w:r w:rsidRPr="00580C0D">
        <w:t>mogleg</w:t>
      </w:r>
      <w:proofErr w:type="spellEnd"/>
      <w:r w:rsidRPr="00580C0D">
        <w:t xml:space="preserve"> effektiv måte. Oppfølginga vil skje i samarbeid med Olje- og energidepartementet og Miljødirektoratet.</w:t>
      </w:r>
    </w:p>
    <w:p w14:paraId="25A4A103" w14:textId="77777777" w:rsidR="00F7113A" w:rsidRPr="00580C0D" w:rsidRDefault="00142E5B" w:rsidP="00580C0D">
      <w:r w:rsidRPr="00580C0D">
        <w:t>Regjeringa vil komme tilbake til Stortinget på eigna måte.</w:t>
      </w:r>
    </w:p>
    <w:p w14:paraId="37C1A4C4" w14:textId="77777777" w:rsidR="00F7113A" w:rsidRPr="00580C0D" w:rsidRDefault="00142E5B" w:rsidP="00580C0D">
      <w:pPr>
        <w:pStyle w:val="Overskrift2"/>
      </w:pPr>
      <w:r w:rsidRPr="00580C0D">
        <w:t>Stortingssesjon 2021–2022</w:t>
      </w:r>
    </w:p>
    <w:p w14:paraId="1ADAC148" w14:textId="77777777" w:rsidR="00F7113A" w:rsidRPr="00580C0D" w:rsidRDefault="00142E5B" w:rsidP="00580C0D">
      <w:pPr>
        <w:pStyle w:val="avsnitt-tittel"/>
      </w:pPr>
      <w:proofErr w:type="spellStart"/>
      <w:r w:rsidRPr="00580C0D">
        <w:t>Verkemiddel</w:t>
      </w:r>
      <w:proofErr w:type="spellEnd"/>
      <w:r w:rsidRPr="00580C0D">
        <w:t xml:space="preserve"> for raske </w:t>
      </w:r>
      <w:proofErr w:type="spellStart"/>
      <w:r w:rsidRPr="00580C0D">
        <w:t>utsleppskutt</w:t>
      </w:r>
      <w:proofErr w:type="spellEnd"/>
      <w:r w:rsidRPr="00580C0D">
        <w:t xml:space="preserve"> for store punktutslepp</w:t>
      </w:r>
    </w:p>
    <w:p w14:paraId="5535A4F9" w14:textId="77777777" w:rsidR="00F7113A" w:rsidRPr="00580C0D" w:rsidRDefault="00142E5B" w:rsidP="00580C0D">
      <w:pPr>
        <w:pStyle w:val="avsnitt-undertittel"/>
      </w:pPr>
      <w:r w:rsidRPr="00580C0D">
        <w:t>Vedtak nr. 35.4, 2. desember 2021</w:t>
      </w:r>
    </w:p>
    <w:p w14:paraId="0606B8AE" w14:textId="77777777" w:rsidR="00F7113A" w:rsidRPr="00580C0D" w:rsidRDefault="00142E5B" w:rsidP="00580C0D">
      <w:pPr>
        <w:pStyle w:val="blokksit"/>
        <w:rPr>
          <w:rStyle w:val="kursiv"/>
        </w:rPr>
      </w:pPr>
      <w:r w:rsidRPr="00580C0D">
        <w:rPr>
          <w:rStyle w:val="kursiv"/>
        </w:rPr>
        <w:t xml:space="preserve">«Stortinget ber regjeringa vurdere ulike </w:t>
      </w:r>
      <w:proofErr w:type="spellStart"/>
      <w:r w:rsidRPr="00580C0D">
        <w:rPr>
          <w:rStyle w:val="kursiv"/>
        </w:rPr>
        <w:t>verkemiddel</w:t>
      </w:r>
      <w:proofErr w:type="spellEnd"/>
      <w:r w:rsidRPr="00580C0D">
        <w:rPr>
          <w:rStyle w:val="kursiv"/>
        </w:rPr>
        <w:t xml:space="preserve"> som kan bidra til raske </w:t>
      </w:r>
      <w:proofErr w:type="spellStart"/>
      <w:r w:rsidRPr="00580C0D">
        <w:rPr>
          <w:rStyle w:val="kursiv"/>
        </w:rPr>
        <w:t>utsleppskutt</w:t>
      </w:r>
      <w:proofErr w:type="spellEnd"/>
      <w:r w:rsidRPr="00580C0D">
        <w:rPr>
          <w:rStyle w:val="kursiv"/>
        </w:rPr>
        <w:t xml:space="preserve"> for store industrielle punktutslepp, </w:t>
      </w:r>
      <w:proofErr w:type="spellStart"/>
      <w:r w:rsidRPr="00580C0D">
        <w:rPr>
          <w:rStyle w:val="kursiv"/>
        </w:rPr>
        <w:t>irekna</w:t>
      </w:r>
      <w:proofErr w:type="spellEnd"/>
      <w:r w:rsidRPr="00580C0D">
        <w:rPr>
          <w:rStyle w:val="kursiv"/>
        </w:rPr>
        <w:t xml:space="preserve"> system for </w:t>
      </w:r>
      <w:proofErr w:type="spellStart"/>
      <w:r w:rsidRPr="00580C0D">
        <w:rPr>
          <w:rStyle w:val="kursiv"/>
        </w:rPr>
        <w:t>differansekontraktar</w:t>
      </w:r>
      <w:proofErr w:type="spellEnd"/>
      <w:r w:rsidRPr="00580C0D">
        <w:rPr>
          <w:rStyle w:val="kursiv"/>
        </w:rPr>
        <w:t>.»</w:t>
      </w:r>
    </w:p>
    <w:p w14:paraId="4AE7A4FB"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2022 og forslaget til statsbudsjett for 2022, jf. </w:t>
      </w:r>
      <w:proofErr w:type="spellStart"/>
      <w:r w:rsidRPr="00580C0D">
        <w:t>Innst</w:t>
      </w:r>
      <w:proofErr w:type="spellEnd"/>
      <w:r w:rsidRPr="00580C0D">
        <w:t>. 2 S (2021–2022).</w:t>
      </w:r>
    </w:p>
    <w:p w14:paraId="33B10CBF" w14:textId="77777777" w:rsidR="00F7113A" w:rsidRPr="00580C0D" w:rsidRDefault="00142E5B" w:rsidP="00580C0D">
      <w:proofErr w:type="spellStart"/>
      <w:r w:rsidRPr="00580C0D">
        <w:t>Enova</w:t>
      </w:r>
      <w:proofErr w:type="spellEnd"/>
      <w:r w:rsidRPr="00580C0D">
        <w:t xml:space="preserve"> har lansert punktutsleppsprogrammet Industri 2050 der </w:t>
      </w:r>
      <w:proofErr w:type="spellStart"/>
      <w:r w:rsidRPr="00580C0D">
        <w:t>dei</w:t>
      </w:r>
      <w:proofErr w:type="spellEnd"/>
      <w:r w:rsidRPr="00580C0D">
        <w:t xml:space="preserve"> </w:t>
      </w:r>
      <w:proofErr w:type="spellStart"/>
      <w:r w:rsidRPr="00580C0D">
        <w:t>støttar</w:t>
      </w:r>
      <w:proofErr w:type="spellEnd"/>
      <w:r w:rsidRPr="00580C0D">
        <w:t xml:space="preserve"> utvikling og realisering av teknologisprang som </w:t>
      </w:r>
      <w:proofErr w:type="spellStart"/>
      <w:r w:rsidRPr="00580C0D">
        <w:t>bidreg</w:t>
      </w:r>
      <w:proofErr w:type="spellEnd"/>
      <w:r w:rsidRPr="00580C0D">
        <w:t xml:space="preserve"> til </w:t>
      </w:r>
      <w:proofErr w:type="spellStart"/>
      <w:r w:rsidRPr="00580C0D">
        <w:t>ein</w:t>
      </w:r>
      <w:proofErr w:type="spellEnd"/>
      <w:r w:rsidRPr="00580C0D">
        <w:t xml:space="preserve"> industri tilpassa </w:t>
      </w:r>
      <w:proofErr w:type="spellStart"/>
      <w:r w:rsidRPr="00580C0D">
        <w:t>lågutsleppssamfunnet</w:t>
      </w:r>
      <w:proofErr w:type="spellEnd"/>
      <w:r w:rsidRPr="00580C0D">
        <w:t xml:space="preserve">. Dei </w:t>
      </w:r>
      <w:proofErr w:type="spellStart"/>
      <w:r w:rsidRPr="00580C0D">
        <w:t>støttar</w:t>
      </w:r>
      <w:proofErr w:type="spellEnd"/>
      <w:r w:rsidRPr="00580C0D">
        <w:t xml:space="preserve"> reduksjon av bruk av fossile </w:t>
      </w:r>
      <w:proofErr w:type="spellStart"/>
      <w:r w:rsidRPr="00580C0D">
        <w:t>energiberarar</w:t>
      </w:r>
      <w:proofErr w:type="spellEnd"/>
      <w:r w:rsidRPr="00580C0D">
        <w:t xml:space="preserve"> til oppvarming og mekaniske </w:t>
      </w:r>
      <w:proofErr w:type="spellStart"/>
      <w:r w:rsidRPr="00580C0D">
        <w:t>arbeidsprosessar</w:t>
      </w:r>
      <w:proofErr w:type="spellEnd"/>
      <w:r w:rsidRPr="00580C0D">
        <w:t xml:space="preserve">, reduksjon av klimagassutslepp </w:t>
      </w:r>
      <w:proofErr w:type="spellStart"/>
      <w:r w:rsidRPr="00580C0D">
        <w:t>frå</w:t>
      </w:r>
      <w:proofErr w:type="spellEnd"/>
      <w:r w:rsidRPr="00580C0D">
        <w:t xml:space="preserve"> </w:t>
      </w:r>
      <w:proofErr w:type="spellStart"/>
      <w:r w:rsidRPr="00580C0D">
        <w:t>produksjonsprosessar</w:t>
      </w:r>
      <w:proofErr w:type="spellEnd"/>
      <w:r w:rsidRPr="00580C0D">
        <w:t xml:space="preserve"> og fangst og permanent lagring av CO</w:t>
      </w:r>
      <w:r w:rsidRPr="00580C0D">
        <w:rPr>
          <w:rStyle w:val="skrift-senket"/>
        </w:rPr>
        <w:t>2</w:t>
      </w:r>
      <w:r w:rsidRPr="00580C0D">
        <w:t>-utslepp. Vedtaket er under oppfølging. Regjeringa vil komme tilbake til Stortinget på eigna måte.</w:t>
      </w:r>
    </w:p>
    <w:p w14:paraId="2A42D3E1" w14:textId="77777777" w:rsidR="00F7113A" w:rsidRPr="00580C0D" w:rsidRDefault="00142E5B" w:rsidP="00580C0D">
      <w:pPr>
        <w:pStyle w:val="avsnitt-tittel"/>
      </w:pPr>
      <w:r w:rsidRPr="00580C0D">
        <w:t xml:space="preserve">Krav om nullutslepp og fossilfrie </w:t>
      </w:r>
      <w:proofErr w:type="spellStart"/>
      <w:r w:rsidRPr="00580C0D">
        <w:t>byggje</w:t>
      </w:r>
      <w:proofErr w:type="spellEnd"/>
      <w:r w:rsidRPr="00580C0D">
        <w:t xml:space="preserve">- og </w:t>
      </w:r>
      <w:proofErr w:type="spellStart"/>
      <w:r w:rsidRPr="00580C0D">
        <w:t>anleggsplassar</w:t>
      </w:r>
      <w:proofErr w:type="spellEnd"/>
      <w:r w:rsidRPr="00580C0D">
        <w:t xml:space="preserve"> i </w:t>
      </w:r>
      <w:proofErr w:type="spellStart"/>
      <w:r w:rsidRPr="00580C0D">
        <w:t>offentlege</w:t>
      </w:r>
      <w:proofErr w:type="spellEnd"/>
      <w:r w:rsidRPr="00580C0D">
        <w:t xml:space="preserve"> </w:t>
      </w:r>
      <w:proofErr w:type="spellStart"/>
      <w:r w:rsidRPr="00580C0D">
        <w:t>anbod</w:t>
      </w:r>
      <w:proofErr w:type="spellEnd"/>
    </w:p>
    <w:p w14:paraId="60C72611" w14:textId="77777777" w:rsidR="00F7113A" w:rsidRPr="00580C0D" w:rsidRDefault="00142E5B" w:rsidP="00580C0D">
      <w:pPr>
        <w:pStyle w:val="avsnitt-undertittel"/>
      </w:pPr>
      <w:r w:rsidRPr="00580C0D">
        <w:t>Vedtak nr. 35.10, 2. desember 2021</w:t>
      </w:r>
    </w:p>
    <w:p w14:paraId="530C5761" w14:textId="77777777" w:rsidR="00F7113A" w:rsidRPr="00580C0D" w:rsidRDefault="00142E5B" w:rsidP="00580C0D">
      <w:pPr>
        <w:pStyle w:val="blokksit"/>
      </w:pPr>
      <w:r w:rsidRPr="00580C0D">
        <w:rPr>
          <w:rStyle w:val="kursiv"/>
        </w:rPr>
        <w:t>«Stortinget ber regjeringen utrede forslag om krav om nullutslipp og fossilfrie bygge- og anleggsplasser i offentlige anbud i løpet av 2022.»</w:t>
      </w:r>
    </w:p>
    <w:p w14:paraId="1B811216"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2022 og forslaget til statsbudsjett for 2022, jf. </w:t>
      </w:r>
      <w:proofErr w:type="spellStart"/>
      <w:r w:rsidRPr="00580C0D">
        <w:t>Innst</w:t>
      </w:r>
      <w:proofErr w:type="spellEnd"/>
      <w:r w:rsidRPr="00580C0D">
        <w:t>. 2 S (2021–2022).</w:t>
      </w:r>
    </w:p>
    <w:p w14:paraId="419F9468" w14:textId="77777777" w:rsidR="00F7113A" w:rsidRPr="00580C0D" w:rsidRDefault="00142E5B" w:rsidP="00580C0D">
      <w:r w:rsidRPr="00580C0D">
        <w:t xml:space="preserve">Som </w:t>
      </w:r>
      <w:proofErr w:type="spellStart"/>
      <w:r w:rsidRPr="00580C0D">
        <w:t>ein</w:t>
      </w:r>
      <w:proofErr w:type="spellEnd"/>
      <w:r w:rsidRPr="00580C0D">
        <w:t xml:space="preserve"> del av oppfølginga av dette oppmodingsvedtaket har Klima- og miljødepartementet bestilt </w:t>
      </w:r>
      <w:proofErr w:type="spellStart"/>
      <w:r w:rsidRPr="00580C0D">
        <w:t>eit</w:t>
      </w:r>
      <w:proofErr w:type="spellEnd"/>
      <w:r w:rsidRPr="00580C0D">
        <w:t xml:space="preserve"> oppdatert kunnskapsgrunnlag </w:t>
      </w:r>
      <w:proofErr w:type="spellStart"/>
      <w:r w:rsidRPr="00580C0D">
        <w:t>frå</w:t>
      </w:r>
      <w:proofErr w:type="spellEnd"/>
      <w:r w:rsidRPr="00580C0D">
        <w:t xml:space="preserve"> Miljødirektoratet om </w:t>
      </w:r>
      <w:proofErr w:type="spellStart"/>
      <w:r w:rsidRPr="00580C0D">
        <w:t>barrierar</w:t>
      </w:r>
      <w:proofErr w:type="spellEnd"/>
      <w:r w:rsidRPr="00580C0D">
        <w:t xml:space="preserve"> og potensial for </w:t>
      </w:r>
      <w:proofErr w:type="spellStart"/>
      <w:r w:rsidRPr="00580C0D">
        <w:t>utsleppskutt</w:t>
      </w:r>
      <w:proofErr w:type="spellEnd"/>
      <w:r w:rsidRPr="00580C0D">
        <w:t xml:space="preserve"> i </w:t>
      </w:r>
      <w:proofErr w:type="spellStart"/>
      <w:r w:rsidRPr="00580C0D">
        <w:t>byggje</w:t>
      </w:r>
      <w:proofErr w:type="spellEnd"/>
      <w:r w:rsidRPr="00580C0D">
        <w:t xml:space="preserve">- og </w:t>
      </w:r>
      <w:proofErr w:type="spellStart"/>
      <w:r w:rsidRPr="00580C0D">
        <w:t>anleggsverksemda</w:t>
      </w:r>
      <w:proofErr w:type="spellEnd"/>
      <w:r w:rsidRPr="00580C0D">
        <w:t xml:space="preserve">. Dette kunnskapsgrunnlaget </w:t>
      </w:r>
      <w:proofErr w:type="spellStart"/>
      <w:r w:rsidRPr="00580C0D">
        <w:t>vart</w:t>
      </w:r>
      <w:proofErr w:type="spellEnd"/>
      <w:r w:rsidRPr="00580C0D">
        <w:t xml:space="preserve"> levert 26. mai 2023. I rapporten er </w:t>
      </w:r>
      <w:proofErr w:type="spellStart"/>
      <w:r w:rsidRPr="00580C0D">
        <w:t>offentleg</w:t>
      </w:r>
      <w:proofErr w:type="spellEnd"/>
      <w:r w:rsidRPr="00580C0D">
        <w:t xml:space="preserve"> </w:t>
      </w:r>
      <w:proofErr w:type="spellStart"/>
      <w:r w:rsidRPr="00580C0D">
        <w:t>anbod</w:t>
      </w:r>
      <w:proofErr w:type="spellEnd"/>
      <w:r w:rsidRPr="00580C0D">
        <w:t xml:space="preserve"> </w:t>
      </w:r>
      <w:proofErr w:type="spellStart"/>
      <w:r w:rsidRPr="00580C0D">
        <w:t>eit</w:t>
      </w:r>
      <w:proofErr w:type="spellEnd"/>
      <w:r w:rsidRPr="00580C0D">
        <w:t xml:space="preserve"> av </w:t>
      </w:r>
      <w:proofErr w:type="spellStart"/>
      <w:r w:rsidRPr="00580C0D">
        <w:t>fleire</w:t>
      </w:r>
      <w:proofErr w:type="spellEnd"/>
      <w:r w:rsidRPr="00580C0D">
        <w:t xml:space="preserve"> </w:t>
      </w:r>
      <w:proofErr w:type="spellStart"/>
      <w:r w:rsidRPr="00580C0D">
        <w:t>verkemiddel</w:t>
      </w:r>
      <w:proofErr w:type="spellEnd"/>
      <w:r w:rsidRPr="00580C0D">
        <w:t xml:space="preserve"> som kan bidra til å redusere </w:t>
      </w:r>
      <w:proofErr w:type="spellStart"/>
      <w:r w:rsidRPr="00580C0D">
        <w:t>barrierar</w:t>
      </w:r>
      <w:proofErr w:type="spellEnd"/>
      <w:r w:rsidRPr="00580C0D">
        <w:t xml:space="preserve"> for omstillinga av </w:t>
      </w:r>
      <w:proofErr w:type="spellStart"/>
      <w:r w:rsidRPr="00580C0D">
        <w:t>byggje</w:t>
      </w:r>
      <w:proofErr w:type="spellEnd"/>
      <w:r w:rsidRPr="00580C0D">
        <w:t xml:space="preserve">- og anleggsnæringa. Klima- og miljødepartementet har gjeve Miljødirektoratet i oppdrag å greie ut krav i </w:t>
      </w:r>
      <w:proofErr w:type="spellStart"/>
      <w:r w:rsidRPr="00580C0D">
        <w:t>offentlege</w:t>
      </w:r>
      <w:proofErr w:type="spellEnd"/>
      <w:r w:rsidRPr="00580C0D">
        <w:t xml:space="preserve"> </w:t>
      </w:r>
      <w:proofErr w:type="spellStart"/>
      <w:r w:rsidRPr="00580C0D">
        <w:t>anskaffingar</w:t>
      </w:r>
      <w:proofErr w:type="spellEnd"/>
      <w:r w:rsidRPr="00580C0D">
        <w:t xml:space="preserve"> og vil komme tilbake til Stortinget på eigna måte.</w:t>
      </w:r>
    </w:p>
    <w:p w14:paraId="220D3F63" w14:textId="77777777" w:rsidR="00F7113A" w:rsidRPr="00580C0D" w:rsidRDefault="00142E5B" w:rsidP="00580C0D">
      <w:pPr>
        <w:pStyle w:val="avsnitt-tittel"/>
      </w:pPr>
      <w:proofErr w:type="spellStart"/>
      <w:r w:rsidRPr="00580C0D">
        <w:t>Forbod</w:t>
      </w:r>
      <w:proofErr w:type="spellEnd"/>
      <w:r w:rsidRPr="00580C0D">
        <w:t xml:space="preserve"> mot bruk av fossile brensel på </w:t>
      </w:r>
      <w:proofErr w:type="spellStart"/>
      <w:r w:rsidRPr="00580C0D">
        <w:t>byggjeplassar</w:t>
      </w:r>
      <w:proofErr w:type="spellEnd"/>
    </w:p>
    <w:p w14:paraId="71457820" w14:textId="77777777" w:rsidR="00F7113A" w:rsidRPr="00580C0D" w:rsidRDefault="00142E5B" w:rsidP="00580C0D">
      <w:pPr>
        <w:pStyle w:val="avsnitt-undertittel"/>
      </w:pPr>
      <w:r w:rsidRPr="00580C0D">
        <w:t>Vedtak nr. 35.11, 2. desember 2021</w:t>
      </w:r>
    </w:p>
    <w:p w14:paraId="111E688D" w14:textId="77777777" w:rsidR="00F7113A" w:rsidRPr="00580C0D" w:rsidRDefault="00142E5B" w:rsidP="00580C0D">
      <w:pPr>
        <w:pStyle w:val="blokksit"/>
        <w:rPr>
          <w:rStyle w:val="kursiv"/>
        </w:rPr>
      </w:pPr>
      <w:r w:rsidRPr="00580C0D">
        <w:rPr>
          <w:rStyle w:val="kursiv"/>
        </w:rPr>
        <w:t>«Stortinget ber regjeringen utrede forbud mot bruk av fossile brensler på byggeplasser og melde tilbake til Stortinget senest i forbindelse med revidert nasjonalbudsjett 2022.»</w:t>
      </w:r>
    </w:p>
    <w:p w14:paraId="569DA5B0"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2022 og forslaget til statsbudsjett for 2022, jf. </w:t>
      </w:r>
      <w:proofErr w:type="spellStart"/>
      <w:r w:rsidRPr="00580C0D">
        <w:t>Innst</w:t>
      </w:r>
      <w:proofErr w:type="spellEnd"/>
      <w:r w:rsidRPr="00580C0D">
        <w:t>. 2 S (2021–2022).</w:t>
      </w:r>
    </w:p>
    <w:p w14:paraId="78EA412D" w14:textId="77777777" w:rsidR="00F7113A" w:rsidRPr="00580C0D" w:rsidRDefault="00142E5B" w:rsidP="00580C0D">
      <w:r w:rsidRPr="00580C0D">
        <w:t xml:space="preserve">Som </w:t>
      </w:r>
      <w:proofErr w:type="spellStart"/>
      <w:r w:rsidRPr="00580C0D">
        <w:t>ein</w:t>
      </w:r>
      <w:proofErr w:type="spellEnd"/>
      <w:r w:rsidRPr="00580C0D">
        <w:t xml:space="preserve"> del av oppfølginga av dette oppmodingsvedtaket har Klima- og miljødepartementet bestilt </w:t>
      </w:r>
      <w:proofErr w:type="spellStart"/>
      <w:r w:rsidRPr="00580C0D">
        <w:t>eit</w:t>
      </w:r>
      <w:proofErr w:type="spellEnd"/>
      <w:r w:rsidRPr="00580C0D">
        <w:t xml:space="preserve"> oppdatert kunnskapsgrunnlag </w:t>
      </w:r>
      <w:proofErr w:type="spellStart"/>
      <w:r w:rsidRPr="00580C0D">
        <w:t>frå</w:t>
      </w:r>
      <w:proofErr w:type="spellEnd"/>
      <w:r w:rsidRPr="00580C0D">
        <w:t xml:space="preserve"> Miljødirektoratet om </w:t>
      </w:r>
      <w:proofErr w:type="spellStart"/>
      <w:r w:rsidRPr="00580C0D">
        <w:t>barrierar</w:t>
      </w:r>
      <w:proofErr w:type="spellEnd"/>
      <w:r w:rsidRPr="00580C0D">
        <w:t xml:space="preserve"> og potensial for </w:t>
      </w:r>
      <w:proofErr w:type="spellStart"/>
      <w:r w:rsidRPr="00580C0D">
        <w:t>utsleppskutt</w:t>
      </w:r>
      <w:proofErr w:type="spellEnd"/>
      <w:r w:rsidRPr="00580C0D">
        <w:t xml:space="preserve"> i </w:t>
      </w:r>
      <w:proofErr w:type="spellStart"/>
      <w:r w:rsidRPr="00580C0D">
        <w:t>byggje</w:t>
      </w:r>
      <w:proofErr w:type="spellEnd"/>
      <w:r w:rsidRPr="00580C0D">
        <w:t xml:space="preserve">- og </w:t>
      </w:r>
      <w:proofErr w:type="spellStart"/>
      <w:r w:rsidRPr="00580C0D">
        <w:t>anleggsverksemda</w:t>
      </w:r>
      <w:proofErr w:type="spellEnd"/>
      <w:r w:rsidRPr="00580C0D">
        <w:t xml:space="preserve">. Dette kunnskapsgrunnlaget </w:t>
      </w:r>
      <w:proofErr w:type="spellStart"/>
      <w:r w:rsidRPr="00580C0D">
        <w:t>vart</w:t>
      </w:r>
      <w:proofErr w:type="spellEnd"/>
      <w:r w:rsidRPr="00580C0D">
        <w:t xml:space="preserve"> levert 26. mai 2023. </w:t>
      </w:r>
      <w:proofErr w:type="spellStart"/>
      <w:r w:rsidRPr="00580C0D">
        <w:t>Fordelane</w:t>
      </w:r>
      <w:proofErr w:type="spellEnd"/>
      <w:r w:rsidRPr="00580C0D">
        <w:t xml:space="preserve"> og ulempene ved å varsle </w:t>
      </w:r>
      <w:proofErr w:type="spellStart"/>
      <w:r w:rsidRPr="00580C0D">
        <w:t>eit</w:t>
      </w:r>
      <w:proofErr w:type="spellEnd"/>
      <w:r w:rsidRPr="00580C0D">
        <w:t xml:space="preserve"> </w:t>
      </w:r>
      <w:proofErr w:type="spellStart"/>
      <w:r w:rsidRPr="00580C0D">
        <w:t>forbod</w:t>
      </w:r>
      <w:proofErr w:type="spellEnd"/>
      <w:r w:rsidRPr="00580C0D">
        <w:t xml:space="preserve"> mot fossile brensel langt fram i tid er </w:t>
      </w:r>
      <w:proofErr w:type="spellStart"/>
      <w:r w:rsidRPr="00580C0D">
        <w:t>eit</w:t>
      </w:r>
      <w:proofErr w:type="spellEnd"/>
      <w:r w:rsidRPr="00580C0D">
        <w:t xml:space="preserve"> </w:t>
      </w:r>
      <w:proofErr w:type="spellStart"/>
      <w:r w:rsidRPr="00580C0D">
        <w:t>verkemiddel</w:t>
      </w:r>
      <w:proofErr w:type="spellEnd"/>
      <w:r w:rsidRPr="00580C0D">
        <w:t xml:space="preserve"> som må </w:t>
      </w:r>
      <w:proofErr w:type="spellStart"/>
      <w:r w:rsidRPr="00580C0D">
        <w:t>greiast</w:t>
      </w:r>
      <w:proofErr w:type="spellEnd"/>
      <w:r w:rsidRPr="00580C0D">
        <w:t xml:space="preserve"> ut </w:t>
      </w:r>
      <w:proofErr w:type="spellStart"/>
      <w:r w:rsidRPr="00580C0D">
        <w:t>nærmare</w:t>
      </w:r>
      <w:proofErr w:type="spellEnd"/>
      <w:r w:rsidRPr="00580C0D">
        <w:t xml:space="preserve">. </w:t>
      </w:r>
      <w:proofErr w:type="spellStart"/>
      <w:r w:rsidRPr="00580C0D">
        <w:t>Difor</w:t>
      </w:r>
      <w:proofErr w:type="spellEnd"/>
      <w:r w:rsidRPr="00580C0D">
        <w:t xml:space="preserve"> har Klima- og miljødepartementet gjeve Miljødirektoratet i oppdrag å greie ut </w:t>
      </w:r>
      <w:proofErr w:type="spellStart"/>
      <w:r w:rsidRPr="00580C0D">
        <w:t>eit</w:t>
      </w:r>
      <w:proofErr w:type="spellEnd"/>
      <w:r w:rsidRPr="00580C0D">
        <w:t xml:space="preserve"> </w:t>
      </w:r>
      <w:proofErr w:type="spellStart"/>
      <w:r w:rsidRPr="00580C0D">
        <w:t>forbod</w:t>
      </w:r>
      <w:proofErr w:type="spellEnd"/>
      <w:r w:rsidRPr="00580C0D">
        <w:t xml:space="preserve"> mot fossile brensel på </w:t>
      </w:r>
      <w:proofErr w:type="spellStart"/>
      <w:r w:rsidRPr="00580C0D">
        <w:t>byggjeplassar</w:t>
      </w:r>
      <w:proofErr w:type="spellEnd"/>
      <w:r w:rsidRPr="00580C0D">
        <w:t xml:space="preserve"> og vil komme tilbake til Stortinget på eigna måte.</w:t>
      </w:r>
    </w:p>
    <w:p w14:paraId="4DD35F4C" w14:textId="77777777" w:rsidR="00F7113A" w:rsidRPr="00580C0D" w:rsidRDefault="00142E5B" w:rsidP="00580C0D">
      <w:pPr>
        <w:pStyle w:val="avsnitt-tittel"/>
      </w:pPr>
      <w:r w:rsidRPr="00580C0D">
        <w:t>Erstatte fossile brensel i industrien</w:t>
      </w:r>
    </w:p>
    <w:p w14:paraId="40FBBB81" w14:textId="77777777" w:rsidR="00F7113A" w:rsidRPr="00580C0D" w:rsidRDefault="00142E5B" w:rsidP="00580C0D">
      <w:pPr>
        <w:pStyle w:val="avsnitt-undertittel"/>
      </w:pPr>
      <w:r w:rsidRPr="00580C0D">
        <w:t>Vedtak nr. 35.16, 2. desember 2021</w:t>
      </w:r>
    </w:p>
    <w:p w14:paraId="145515FD" w14:textId="77777777" w:rsidR="00F7113A" w:rsidRPr="00580C0D" w:rsidRDefault="00142E5B" w:rsidP="00580C0D">
      <w:pPr>
        <w:pStyle w:val="blokksit"/>
      </w:pPr>
      <w:r w:rsidRPr="00580C0D">
        <w:rPr>
          <w:rStyle w:val="kursiv"/>
        </w:rPr>
        <w:t>«Stortinget ber regjeringen utrede hvordan man kan erstatte fossile brensler i industrien og komme tilbake til Stortinget i løpet av 2022.»</w:t>
      </w:r>
    </w:p>
    <w:p w14:paraId="1F394163"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2022 og forslaget til statsbudsjett for 2022, jf. </w:t>
      </w:r>
      <w:proofErr w:type="spellStart"/>
      <w:r w:rsidRPr="00580C0D">
        <w:t>Innst</w:t>
      </w:r>
      <w:proofErr w:type="spellEnd"/>
      <w:r w:rsidRPr="00580C0D">
        <w:t>. 2 S (2021–2022).</w:t>
      </w:r>
    </w:p>
    <w:p w14:paraId="728E2876" w14:textId="77777777" w:rsidR="00F7113A" w:rsidRPr="00580C0D" w:rsidRDefault="00142E5B" w:rsidP="00580C0D">
      <w:r w:rsidRPr="00580C0D">
        <w:t xml:space="preserve">På bakgrunn av oppmodingsvedtaket </w:t>
      </w:r>
      <w:proofErr w:type="spellStart"/>
      <w:r w:rsidRPr="00580C0D">
        <w:t>fekk</w:t>
      </w:r>
      <w:proofErr w:type="spellEnd"/>
      <w:r w:rsidRPr="00580C0D">
        <w:t xml:space="preserve"> Miljødirektoratet våren 2022 i oppdrag å utarbeide </w:t>
      </w:r>
      <w:proofErr w:type="gramStart"/>
      <w:r w:rsidRPr="00580C0D">
        <w:t>ei oversikt</w:t>
      </w:r>
      <w:proofErr w:type="gramEnd"/>
      <w:r w:rsidRPr="00580C0D">
        <w:t xml:space="preserve"> over </w:t>
      </w:r>
      <w:proofErr w:type="spellStart"/>
      <w:r w:rsidRPr="00580C0D">
        <w:t>moglegheitene</w:t>
      </w:r>
      <w:proofErr w:type="spellEnd"/>
      <w:r w:rsidRPr="00580C0D">
        <w:t xml:space="preserve"> for å erstatte fossile brensel i fastlandsindustrien. For </w:t>
      </w:r>
      <w:proofErr w:type="spellStart"/>
      <w:r w:rsidRPr="00580C0D">
        <w:t>ikkje</w:t>
      </w:r>
      <w:proofErr w:type="spellEnd"/>
      <w:r w:rsidRPr="00580C0D">
        <w:t xml:space="preserve">-kvotepliktige utslepp skulle det </w:t>
      </w:r>
      <w:proofErr w:type="spellStart"/>
      <w:r w:rsidRPr="00580C0D">
        <w:t>gjerast</w:t>
      </w:r>
      <w:proofErr w:type="spellEnd"/>
      <w:r w:rsidRPr="00580C0D">
        <w:t xml:space="preserve"> ei oppdatert vurdering av underlaget </w:t>
      </w:r>
      <w:proofErr w:type="spellStart"/>
      <w:r w:rsidRPr="00580C0D">
        <w:t>frå</w:t>
      </w:r>
      <w:proofErr w:type="spellEnd"/>
      <w:r w:rsidRPr="00580C0D">
        <w:t xml:space="preserve"> </w:t>
      </w:r>
      <w:proofErr w:type="spellStart"/>
      <w:r w:rsidRPr="00580C0D">
        <w:t>Klimakur</w:t>
      </w:r>
      <w:proofErr w:type="spellEnd"/>
      <w:r w:rsidRPr="00580C0D">
        <w:t xml:space="preserve"> 2030-rapporten og ei </w:t>
      </w:r>
      <w:proofErr w:type="spellStart"/>
      <w:r w:rsidRPr="00580C0D">
        <w:t>ytterlegare</w:t>
      </w:r>
      <w:proofErr w:type="spellEnd"/>
      <w:r w:rsidRPr="00580C0D">
        <w:t xml:space="preserve"> vurdering av </w:t>
      </w:r>
      <w:proofErr w:type="spellStart"/>
      <w:r w:rsidRPr="00580C0D">
        <w:t>moglege</w:t>
      </w:r>
      <w:proofErr w:type="spellEnd"/>
      <w:r w:rsidRPr="00580C0D">
        <w:t xml:space="preserve"> </w:t>
      </w:r>
      <w:proofErr w:type="spellStart"/>
      <w:r w:rsidRPr="00580C0D">
        <w:t>verkemiddel</w:t>
      </w:r>
      <w:proofErr w:type="spellEnd"/>
      <w:r w:rsidRPr="00580C0D">
        <w:t xml:space="preserve"> for å erstatte fossil fyring, som effekten av avgift til 2 000 kroner i 2030 og </w:t>
      </w:r>
      <w:proofErr w:type="spellStart"/>
      <w:r w:rsidRPr="00580C0D">
        <w:t>mogleg</w:t>
      </w:r>
      <w:proofErr w:type="spellEnd"/>
      <w:r w:rsidRPr="00580C0D">
        <w:t xml:space="preserve"> </w:t>
      </w:r>
      <w:proofErr w:type="spellStart"/>
      <w:r w:rsidRPr="00580C0D">
        <w:t>forbod</w:t>
      </w:r>
      <w:proofErr w:type="spellEnd"/>
      <w:r w:rsidRPr="00580C0D">
        <w:t xml:space="preserve"> </w:t>
      </w:r>
      <w:proofErr w:type="spellStart"/>
      <w:r w:rsidRPr="00580C0D">
        <w:t>frå</w:t>
      </w:r>
      <w:proofErr w:type="spellEnd"/>
      <w:r w:rsidRPr="00580C0D">
        <w:t xml:space="preserve"> 2030, eventuelt i kombinasjon med </w:t>
      </w:r>
      <w:proofErr w:type="spellStart"/>
      <w:r w:rsidRPr="00580C0D">
        <w:t>støtteordningar</w:t>
      </w:r>
      <w:proofErr w:type="spellEnd"/>
      <w:r w:rsidRPr="00580C0D">
        <w:t xml:space="preserve">. For </w:t>
      </w:r>
      <w:proofErr w:type="spellStart"/>
      <w:r w:rsidRPr="00580C0D">
        <w:t>dei</w:t>
      </w:r>
      <w:proofErr w:type="spellEnd"/>
      <w:r w:rsidRPr="00580C0D">
        <w:t xml:space="preserve"> kvotepliktige utsleppa skulle svaret </w:t>
      </w:r>
      <w:proofErr w:type="spellStart"/>
      <w:r w:rsidRPr="00580C0D">
        <w:t>gje</w:t>
      </w:r>
      <w:proofErr w:type="spellEnd"/>
      <w:r w:rsidRPr="00580C0D">
        <w:t xml:space="preserve"> </w:t>
      </w:r>
      <w:proofErr w:type="gramStart"/>
      <w:r w:rsidRPr="00580C0D">
        <w:t>ei oversikt</w:t>
      </w:r>
      <w:proofErr w:type="gramEnd"/>
      <w:r w:rsidRPr="00580C0D">
        <w:t xml:space="preserve"> over </w:t>
      </w:r>
      <w:proofErr w:type="spellStart"/>
      <w:r w:rsidRPr="00580C0D">
        <w:t>moglege</w:t>
      </w:r>
      <w:proofErr w:type="spellEnd"/>
      <w:r w:rsidRPr="00580C0D">
        <w:t xml:space="preserve"> tiltak og </w:t>
      </w:r>
      <w:proofErr w:type="spellStart"/>
      <w:r w:rsidRPr="00580C0D">
        <w:t>barrierar</w:t>
      </w:r>
      <w:proofErr w:type="spellEnd"/>
      <w:r w:rsidRPr="00580C0D">
        <w:t xml:space="preserve"> for å redusere utslepp </w:t>
      </w:r>
      <w:proofErr w:type="spellStart"/>
      <w:r w:rsidRPr="00580C0D">
        <w:t>frå</w:t>
      </w:r>
      <w:proofErr w:type="spellEnd"/>
      <w:r w:rsidRPr="00580C0D">
        <w:t xml:space="preserve"> forbrenning. Oppdraget </w:t>
      </w:r>
      <w:proofErr w:type="spellStart"/>
      <w:r w:rsidRPr="00580C0D">
        <w:t>vart</w:t>
      </w:r>
      <w:proofErr w:type="spellEnd"/>
      <w:r w:rsidRPr="00580C0D">
        <w:t xml:space="preserve"> levert i juni 2022. Miljødirektoratet </w:t>
      </w:r>
      <w:proofErr w:type="spellStart"/>
      <w:r w:rsidRPr="00580C0D">
        <w:t>peiker</w:t>
      </w:r>
      <w:proofErr w:type="spellEnd"/>
      <w:r w:rsidRPr="00580C0D">
        <w:t xml:space="preserve"> i leveransen sin på at </w:t>
      </w:r>
      <w:proofErr w:type="spellStart"/>
      <w:r w:rsidRPr="00580C0D">
        <w:t>eit</w:t>
      </w:r>
      <w:proofErr w:type="spellEnd"/>
      <w:r w:rsidRPr="00580C0D">
        <w:t xml:space="preserve"> </w:t>
      </w:r>
      <w:proofErr w:type="spellStart"/>
      <w:r w:rsidRPr="00580C0D">
        <w:t>forbod</w:t>
      </w:r>
      <w:proofErr w:type="spellEnd"/>
      <w:r w:rsidRPr="00580C0D">
        <w:t xml:space="preserve"> mot fossil fyring vil måtte </w:t>
      </w:r>
      <w:proofErr w:type="spellStart"/>
      <w:r w:rsidRPr="00580C0D">
        <w:t>greiast</w:t>
      </w:r>
      <w:proofErr w:type="spellEnd"/>
      <w:r w:rsidRPr="00580C0D">
        <w:t xml:space="preserve"> ut i tråd med utgreiingsinstruksen, med ei fullstendig konsekvensutgreiing. På bakgrunn av dette har Miljødirektoratet gjennomført konsekvensanalysen </w:t>
      </w:r>
      <w:r w:rsidRPr="00580C0D">
        <w:rPr>
          <w:rStyle w:val="kursiv"/>
        </w:rPr>
        <w:t>Forbud mot bruk av fossile brensler til energiformål i industrien fra 2030</w:t>
      </w:r>
      <w:r w:rsidRPr="00580C0D">
        <w:t xml:space="preserve"> som </w:t>
      </w:r>
      <w:proofErr w:type="spellStart"/>
      <w:r w:rsidRPr="00580C0D">
        <w:t>vart</w:t>
      </w:r>
      <w:proofErr w:type="spellEnd"/>
      <w:r w:rsidRPr="00580C0D">
        <w:t xml:space="preserve"> levert våren 2023.</w:t>
      </w:r>
    </w:p>
    <w:p w14:paraId="52B32B3B" w14:textId="77777777" w:rsidR="00F7113A" w:rsidRPr="00580C0D" w:rsidRDefault="00142E5B" w:rsidP="00580C0D">
      <w:r w:rsidRPr="00580C0D">
        <w:t xml:space="preserve">Miljødirektoratet tilrår at </w:t>
      </w:r>
      <w:proofErr w:type="spellStart"/>
      <w:r w:rsidRPr="00580C0D">
        <w:t>eit</w:t>
      </w:r>
      <w:proofErr w:type="spellEnd"/>
      <w:r w:rsidRPr="00580C0D">
        <w:t xml:space="preserve"> </w:t>
      </w:r>
      <w:proofErr w:type="spellStart"/>
      <w:r w:rsidRPr="00580C0D">
        <w:t>forbod</w:t>
      </w:r>
      <w:proofErr w:type="spellEnd"/>
      <w:r w:rsidRPr="00580C0D">
        <w:t xml:space="preserve"> i første omgang blir avgrensa til </w:t>
      </w:r>
      <w:proofErr w:type="spellStart"/>
      <w:r w:rsidRPr="00580C0D">
        <w:t>berre</w:t>
      </w:r>
      <w:proofErr w:type="spellEnd"/>
      <w:r w:rsidRPr="00580C0D">
        <w:t xml:space="preserve"> å gjelde indirekte bruk av fossile brensel. </w:t>
      </w:r>
      <w:proofErr w:type="spellStart"/>
      <w:r w:rsidRPr="00580C0D">
        <w:t>Forbodet</w:t>
      </w:r>
      <w:proofErr w:type="spellEnd"/>
      <w:r w:rsidRPr="00580C0D">
        <w:t xml:space="preserve"> vil da i all </w:t>
      </w:r>
      <w:proofErr w:type="spellStart"/>
      <w:r w:rsidRPr="00580C0D">
        <w:t>hovudsak</w:t>
      </w:r>
      <w:proofErr w:type="spellEnd"/>
      <w:r w:rsidRPr="00580C0D">
        <w:t xml:space="preserve"> omfatte utsleppskjelder som det vil </w:t>
      </w:r>
      <w:proofErr w:type="spellStart"/>
      <w:r w:rsidRPr="00580C0D">
        <w:t>vere</w:t>
      </w:r>
      <w:proofErr w:type="spellEnd"/>
      <w:r w:rsidRPr="00580C0D">
        <w:t xml:space="preserve"> relativt enkelt, teknisk sett, å elektrifisere. Direktoratet vurderer at det mest </w:t>
      </w:r>
      <w:proofErr w:type="spellStart"/>
      <w:r w:rsidRPr="00580C0D">
        <w:t>tenlege</w:t>
      </w:r>
      <w:proofErr w:type="spellEnd"/>
      <w:r w:rsidRPr="00580C0D">
        <w:t xml:space="preserve"> er å varsle </w:t>
      </w:r>
      <w:proofErr w:type="spellStart"/>
      <w:r w:rsidRPr="00580C0D">
        <w:t>eit</w:t>
      </w:r>
      <w:proofErr w:type="spellEnd"/>
      <w:r w:rsidRPr="00580C0D">
        <w:t xml:space="preserve"> </w:t>
      </w:r>
      <w:proofErr w:type="spellStart"/>
      <w:r w:rsidRPr="00580C0D">
        <w:t>forbod</w:t>
      </w:r>
      <w:proofErr w:type="spellEnd"/>
      <w:r w:rsidRPr="00580C0D">
        <w:t xml:space="preserve"> i både kvotepliktig og </w:t>
      </w:r>
      <w:proofErr w:type="spellStart"/>
      <w:r w:rsidRPr="00580C0D">
        <w:t>ikkje</w:t>
      </w:r>
      <w:proofErr w:type="spellEnd"/>
      <w:r w:rsidRPr="00580C0D">
        <w:t xml:space="preserve">-kvotepliktig industri for å sikre likebehandling for små bedrifter </w:t>
      </w:r>
      <w:proofErr w:type="spellStart"/>
      <w:r w:rsidRPr="00580C0D">
        <w:t>innanfor</w:t>
      </w:r>
      <w:proofErr w:type="spellEnd"/>
      <w:r w:rsidRPr="00580C0D">
        <w:t xml:space="preserve"> og </w:t>
      </w:r>
      <w:proofErr w:type="spellStart"/>
      <w:r w:rsidRPr="00580C0D">
        <w:t>utanfor</w:t>
      </w:r>
      <w:proofErr w:type="spellEnd"/>
      <w:r w:rsidRPr="00580C0D">
        <w:t xml:space="preserve"> kvotesystemet.</w:t>
      </w:r>
    </w:p>
    <w:p w14:paraId="3E8E53B8" w14:textId="77777777" w:rsidR="00F7113A" w:rsidRPr="00580C0D" w:rsidRDefault="00142E5B" w:rsidP="00580C0D">
      <w:r w:rsidRPr="00580C0D">
        <w:t>Det blir vist til vedtak nr. 112 for omtale av oppfølginga av vedtaket.</w:t>
      </w:r>
    </w:p>
    <w:p w14:paraId="752E9926" w14:textId="77777777" w:rsidR="00F7113A" w:rsidRPr="00580C0D" w:rsidRDefault="00142E5B" w:rsidP="00580C0D">
      <w:pPr>
        <w:pStyle w:val="avsnitt-tittel"/>
      </w:pPr>
      <w:r w:rsidRPr="00580C0D">
        <w:t xml:space="preserve">Oppfylle mål om 10 pst. vern av kyst- og havområde og </w:t>
      </w:r>
      <w:proofErr w:type="spellStart"/>
      <w:r w:rsidRPr="00580C0D">
        <w:t>fremje</w:t>
      </w:r>
      <w:proofErr w:type="spellEnd"/>
      <w:r w:rsidRPr="00580C0D">
        <w:t xml:space="preserve"> nasjonal plan for marint vern</w:t>
      </w:r>
    </w:p>
    <w:p w14:paraId="17B648CF" w14:textId="77777777" w:rsidR="00F7113A" w:rsidRPr="00580C0D" w:rsidRDefault="00142E5B" w:rsidP="00580C0D">
      <w:pPr>
        <w:pStyle w:val="avsnitt-undertittel"/>
      </w:pPr>
      <w:r w:rsidRPr="00580C0D">
        <w:t>Vedtak nr. 35.20, 2. desember 2021</w:t>
      </w:r>
    </w:p>
    <w:p w14:paraId="4713E65F" w14:textId="77777777" w:rsidR="00F7113A" w:rsidRPr="00580C0D" w:rsidRDefault="00142E5B" w:rsidP="00580C0D">
      <w:pPr>
        <w:pStyle w:val="blokksit"/>
      </w:pPr>
      <w:r w:rsidRPr="00580C0D">
        <w:rPr>
          <w:rStyle w:val="kursiv"/>
        </w:rPr>
        <w:t>«Stortinget ber regjeringen oppfylle målet om 10 pst. vern av kyst- og havområder innen 2030, og fremme nasjonal plan for marint vern».</w:t>
      </w:r>
    </w:p>
    <w:p w14:paraId="617994B0"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finanskomiteen om nasjonalbudsjettet for 2022 og forslaget til statsbudsjett for 2022, jf. </w:t>
      </w:r>
      <w:proofErr w:type="spellStart"/>
      <w:r w:rsidRPr="00580C0D">
        <w:t>Innst</w:t>
      </w:r>
      <w:proofErr w:type="spellEnd"/>
      <w:r w:rsidRPr="00580C0D">
        <w:t>. 2 S (2021–2022).</w:t>
      </w:r>
    </w:p>
    <w:p w14:paraId="104A1D66" w14:textId="77777777" w:rsidR="00F7113A" w:rsidRPr="00580C0D" w:rsidRDefault="00142E5B" w:rsidP="00580C0D">
      <w:r w:rsidRPr="00580C0D">
        <w:t xml:space="preserve">Oppfølginga av tiltaka i Meld. St. 29 (2020–2021) </w:t>
      </w:r>
      <w:proofErr w:type="spellStart"/>
      <w:r w:rsidRPr="00580C0D">
        <w:rPr>
          <w:rStyle w:val="kursiv"/>
        </w:rPr>
        <w:t>Heilskapleg</w:t>
      </w:r>
      <w:proofErr w:type="spellEnd"/>
      <w:r w:rsidRPr="00580C0D">
        <w:rPr>
          <w:rStyle w:val="kursiv"/>
        </w:rPr>
        <w:t xml:space="preserve"> nasjonal plan for bevaring av viktige område for marin natur</w:t>
      </w:r>
      <w:r w:rsidRPr="00580C0D">
        <w:t xml:space="preserve"> står sentralt i det </w:t>
      </w:r>
      <w:proofErr w:type="spellStart"/>
      <w:r w:rsidRPr="00580C0D">
        <w:t>vidare</w:t>
      </w:r>
      <w:proofErr w:type="spellEnd"/>
      <w:r w:rsidRPr="00580C0D">
        <w:t xml:space="preserve"> arbeidet med vern av kyst- og havområde. Regjeringa vil komme tilbake til Stortinget på eigna måte med status for arbeidet.</w:t>
      </w:r>
    </w:p>
    <w:p w14:paraId="06569665" w14:textId="77777777" w:rsidR="00F7113A" w:rsidRPr="00580C0D" w:rsidRDefault="00142E5B" w:rsidP="00580C0D">
      <w:pPr>
        <w:pStyle w:val="avsnitt-tittel"/>
      </w:pPr>
      <w:r w:rsidRPr="00580C0D">
        <w:t xml:space="preserve">Greie ut produsentansvarsordning for </w:t>
      </w:r>
      <w:proofErr w:type="spellStart"/>
      <w:r w:rsidRPr="00580C0D">
        <w:t>tekstilar</w:t>
      </w:r>
      <w:proofErr w:type="spellEnd"/>
    </w:p>
    <w:p w14:paraId="42D446FB" w14:textId="77777777" w:rsidR="00F7113A" w:rsidRPr="00580C0D" w:rsidRDefault="00142E5B" w:rsidP="00580C0D">
      <w:pPr>
        <w:pStyle w:val="avsnitt-undertittel"/>
      </w:pPr>
      <w:r w:rsidRPr="00580C0D">
        <w:t>Vedtak nr. 512, 3. mai 2022</w:t>
      </w:r>
    </w:p>
    <w:p w14:paraId="64B3DE0D" w14:textId="77777777" w:rsidR="00F7113A" w:rsidRPr="00580C0D" w:rsidRDefault="00142E5B" w:rsidP="00580C0D">
      <w:pPr>
        <w:pStyle w:val="blokksit"/>
        <w:rPr>
          <w:rStyle w:val="kursiv"/>
        </w:rPr>
      </w:pPr>
      <w:r w:rsidRPr="00580C0D">
        <w:rPr>
          <w:rStyle w:val="kursiv"/>
        </w:rPr>
        <w:t>«Stortinget ber regjeringen utrede en produsentansvarsordning for tekstiler».</w:t>
      </w:r>
    </w:p>
    <w:p w14:paraId="635A94E1"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8:111 S (2021–2022) </w:t>
      </w:r>
      <w:r w:rsidRPr="00580C0D">
        <w:rPr>
          <w:rStyle w:val="kursiv"/>
        </w:rPr>
        <w:t>Representantforslag om en mer bærekraftig og sirkulær tekstilindustri</w:t>
      </w:r>
      <w:r w:rsidRPr="00580C0D">
        <w:t xml:space="preserve">, jf. </w:t>
      </w:r>
      <w:proofErr w:type="spellStart"/>
      <w:r w:rsidRPr="00580C0D">
        <w:t>Inns</w:t>
      </w:r>
      <w:proofErr w:type="spellEnd"/>
      <w:r w:rsidRPr="00580C0D">
        <w:t xml:space="preserve">. 259 S (2021–2022), tilråding </w:t>
      </w:r>
      <w:proofErr w:type="spellStart"/>
      <w:r w:rsidRPr="00580C0D">
        <w:t>romartal</w:t>
      </w:r>
      <w:proofErr w:type="spellEnd"/>
      <w:r w:rsidRPr="00580C0D">
        <w:t xml:space="preserve"> I </w:t>
      </w:r>
      <w:proofErr w:type="spellStart"/>
      <w:r w:rsidRPr="00580C0D">
        <w:t>i</w:t>
      </w:r>
      <w:proofErr w:type="spellEnd"/>
      <w:r w:rsidRPr="00580C0D">
        <w:t xml:space="preserve"> innstillinga.</w:t>
      </w:r>
    </w:p>
    <w:p w14:paraId="250E54C1" w14:textId="77777777" w:rsidR="00F7113A" w:rsidRPr="00580C0D" w:rsidRDefault="00142E5B" w:rsidP="00580C0D">
      <w:r w:rsidRPr="00580C0D">
        <w:t xml:space="preserve">Departementet sette </w:t>
      </w:r>
      <w:proofErr w:type="spellStart"/>
      <w:r w:rsidRPr="00580C0D">
        <w:t>hausten</w:t>
      </w:r>
      <w:proofErr w:type="spellEnd"/>
      <w:r w:rsidRPr="00580C0D">
        <w:t xml:space="preserve"> 2022 ned ei arbeidsgruppe for å greie ut produsentansvarsordning for </w:t>
      </w:r>
      <w:proofErr w:type="spellStart"/>
      <w:r w:rsidRPr="00580C0D">
        <w:t>tekstilar</w:t>
      </w:r>
      <w:proofErr w:type="spellEnd"/>
      <w:r w:rsidRPr="00580C0D">
        <w:t xml:space="preserve">. Arbeidsgruppa leverte i september 2023 tilrådinga si om korleis ei produsentansvarsordning for </w:t>
      </w:r>
      <w:proofErr w:type="spellStart"/>
      <w:r w:rsidRPr="00580C0D">
        <w:t>tekstilar</w:t>
      </w:r>
      <w:proofErr w:type="spellEnd"/>
      <w:r w:rsidRPr="00580C0D">
        <w:t xml:space="preserve"> bør </w:t>
      </w:r>
      <w:proofErr w:type="spellStart"/>
      <w:r w:rsidRPr="00580C0D">
        <w:t>innrettast</w:t>
      </w:r>
      <w:proofErr w:type="spellEnd"/>
      <w:r w:rsidRPr="00580C0D">
        <w:t xml:space="preserve">. Forslaget er </w:t>
      </w:r>
      <w:proofErr w:type="spellStart"/>
      <w:r w:rsidRPr="00580C0D">
        <w:t>no</w:t>
      </w:r>
      <w:proofErr w:type="spellEnd"/>
      <w:r w:rsidRPr="00580C0D">
        <w:t xml:space="preserve"> til vurdering hos Klima- og miljødepartementet. Til orientering foreslo EU-kommisjonen </w:t>
      </w:r>
      <w:proofErr w:type="spellStart"/>
      <w:r w:rsidRPr="00580C0D">
        <w:t>sommaren</w:t>
      </w:r>
      <w:proofErr w:type="spellEnd"/>
      <w:r w:rsidRPr="00580C0D">
        <w:t xml:space="preserve"> 2023 å innføre utvida produsentansvar for </w:t>
      </w:r>
      <w:proofErr w:type="spellStart"/>
      <w:r w:rsidRPr="00580C0D">
        <w:t>tekstilar</w:t>
      </w:r>
      <w:proofErr w:type="spellEnd"/>
      <w:r w:rsidRPr="00580C0D">
        <w:t xml:space="preserve"> som </w:t>
      </w:r>
      <w:proofErr w:type="spellStart"/>
      <w:r w:rsidRPr="00580C0D">
        <w:t>no</w:t>
      </w:r>
      <w:proofErr w:type="spellEnd"/>
      <w:r w:rsidRPr="00580C0D">
        <w:t xml:space="preserve"> blir behandla i EU.</w:t>
      </w:r>
    </w:p>
    <w:p w14:paraId="31D641DC" w14:textId="77777777" w:rsidR="00F7113A" w:rsidRPr="00580C0D" w:rsidRDefault="00142E5B" w:rsidP="00580C0D">
      <w:r w:rsidRPr="00580C0D">
        <w:t xml:space="preserve">Departementet ser på vedtaket som </w:t>
      </w:r>
      <w:proofErr w:type="spellStart"/>
      <w:r w:rsidRPr="00580C0D">
        <w:t>følgt</w:t>
      </w:r>
      <w:proofErr w:type="spellEnd"/>
      <w:r w:rsidRPr="00580C0D">
        <w:t xml:space="preserve"> opp.</w:t>
      </w:r>
    </w:p>
    <w:p w14:paraId="03A97549" w14:textId="77777777" w:rsidR="00F7113A" w:rsidRPr="00580C0D" w:rsidRDefault="00142E5B" w:rsidP="00580C0D">
      <w:pPr>
        <w:pStyle w:val="avsnitt-tittel"/>
      </w:pPr>
      <w:r w:rsidRPr="00580C0D">
        <w:t xml:space="preserve">Gjennomgå regelverk og vurdere </w:t>
      </w:r>
      <w:proofErr w:type="spellStart"/>
      <w:r w:rsidRPr="00580C0D">
        <w:t>endringar</w:t>
      </w:r>
      <w:proofErr w:type="spellEnd"/>
      <w:r w:rsidRPr="00580C0D">
        <w:t xml:space="preserve"> for å sikre at klesbransjen bruker </w:t>
      </w:r>
      <w:proofErr w:type="spellStart"/>
      <w:r w:rsidRPr="00580C0D">
        <w:t>uselde</w:t>
      </w:r>
      <w:proofErr w:type="spellEnd"/>
      <w:r w:rsidRPr="00580C0D">
        <w:t xml:space="preserve"> tekstilvarer om att</w:t>
      </w:r>
    </w:p>
    <w:p w14:paraId="17051543" w14:textId="77777777" w:rsidR="00F7113A" w:rsidRPr="00580C0D" w:rsidRDefault="00142E5B" w:rsidP="00580C0D">
      <w:pPr>
        <w:pStyle w:val="avsnitt-undertittel"/>
      </w:pPr>
      <w:r w:rsidRPr="00580C0D">
        <w:t>Vedtak nr. 513, 3. mai 2022</w:t>
      </w:r>
    </w:p>
    <w:p w14:paraId="390D7778" w14:textId="77777777" w:rsidR="00F7113A" w:rsidRPr="00580C0D" w:rsidRDefault="00142E5B" w:rsidP="00580C0D">
      <w:pPr>
        <w:pStyle w:val="blokksit"/>
        <w:rPr>
          <w:rStyle w:val="kursiv"/>
        </w:rPr>
      </w:pPr>
      <w:r w:rsidRPr="00580C0D">
        <w:rPr>
          <w:rStyle w:val="kursiv"/>
        </w:rPr>
        <w:t>«Stortinget ber regjeringen gjennomgå regelverket og vurdere endringer for å sikre at klesbransjen i større grad gjenbruker usolgte tekstilvarer i stedet for å destruere dem, og komme tilbake til Stortinget på egnet måte.»</w:t>
      </w:r>
    </w:p>
    <w:p w14:paraId="54ACFF0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8:111 S (2021–2022) </w:t>
      </w:r>
      <w:r w:rsidRPr="00580C0D">
        <w:rPr>
          <w:rStyle w:val="kursiv"/>
        </w:rPr>
        <w:t>Representantforslag om en mer bærekraftig og sirkulær tekstilindustri</w:t>
      </w:r>
      <w:r w:rsidRPr="00580C0D">
        <w:t xml:space="preserve">, jf. </w:t>
      </w:r>
      <w:proofErr w:type="spellStart"/>
      <w:r w:rsidRPr="00580C0D">
        <w:t>Inns</w:t>
      </w:r>
      <w:proofErr w:type="spellEnd"/>
      <w:r w:rsidRPr="00580C0D">
        <w:t xml:space="preserve">. 259 S (2021–2022), tilråding </w:t>
      </w:r>
      <w:proofErr w:type="spellStart"/>
      <w:r w:rsidRPr="00580C0D">
        <w:t>romartal</w:t>
      </w:r>
      <w:proofErr w:type="spellEnd"/>
      <w:r w:rsidRPr="00580C0D">
        <w:t xml:space="preserve"> II i innstillinga.</w:t>
      </w:r>
    </w:p>
    <w:p w14:paraId="0BC16201" w14:textId="77777777" w:rsidR="00F7113A" w:rsidRPr="00580C0D" w:rsidRDefault="00142E5B" w:rsidP="00580C0D">
      <w:r w:rsidRPr="00580C0D">
        <w:t xml:space="preserve">Finansdepartementet har gjeve Skattedirektoratet i oppdrag å vurdere </w:t>
      </w:r>
      <w:proofErr w:type="spellStart"/>
      <w:r w:rsidRPr="00580C0D">
        <w:t>endringar</w:t>
      </w:r>
      <w:proofErr w:type="spellEnd"/>
      <w:r w:rsidRPr="00580C0D">
        <w:t xml:space="preserve"> av skatteregelverket for varer som blir </w:t>
      </w:r>
      <w:proofErr w:type="spellStart"/>
      <w:r w:rsidRPr="00580C0D">
        <w:t>gjevne</w:t>
      </w:r>
      <w:proofErr w:type="spellEnd"/>
      <w:r w:rsidRPr="00580C0D">
        <w:t xml:space="preserve"> til </w:t>
      </w:r>
      <w:proofErr w:type="spellStart"/>
      <w:r w:rsidRPr="00580C0D">
        <w:t>velgjerande</w:t>
      </w:r>
      <w:proofErr w:type="spellEnd"/>
      <w:r w:rsidRPr="00580C0D">
        <w:t xml:space="preserve"> formål, og som </w:t>
      </w:r>
      <w:proofErr w:type="spellStart"/>
      <w:r w:rsidRPr="00580C0D">
        <w:t>elles</w:t>
      </w:r>
      <w:proofErr w:type="spellEnd"/>
      <w:r w:rsidRPr="00580C0D">
        <w:t xml:space="preserve"> ville blitt kasta. Skattedirektoratet har foreslått </w:t>
      </w:r>
      <w:proofErr w:type="spellStart"/>
      <w:r w:rsidRPr="00580C0D">
        <w:t>endringar</w:t>
      </w:r>
      <w:proofErr w:type="spellEnd"/>
      <w:r w:rsidRPr="00580C0D">
        <w:t xml:space="preserve"> som er til vurdering hos Finansdepartementet. Som del av den nye økodesignforordninga foreslår EU-kommisjonen at store selskap må </w:t>
      </w:r>
      <w:proofErr w:type="spellStart"/>
      <w:r w:rsidRPr="00580C0D">
        <w:t>offentleggjere</w:t>
      </w:r>
      <w:proofErr w:type="spellEnd"/>
      <w:r w:rsidRPr="00580C0D">
        <w:t xml:space="preserve"> </w:t>
      </w:r>
      <w:proofErr w:type="spellStart"/>
      <w:r w:rsidRPr="00580C0D">
        <w:t>talet</w:t>
      </w:r>
      <w:proofErr w:type="spellEnd"/>
      <w:r w:rsidRPr="00580C0D">
        <w:t xml:space="preserve"> på </w:t>
      </w:r>
      <w:proofErr w:type="spellStart"/>
      <w:r w:rsidRPr="00580C0D">
        <w:t>uselde</w:t>
      </w:r>
      <w:proofErr w:type="spellEnd"/>
      <w:r w:rsidRPr="00580C0D">
        <w:t xml:space="preserve"> produkt </w:t>
      </w:r>
      <w:proofErr w:type="spellStart"/>
      <w:r w:rsidRPr="00580C0D">
        <w:t>dei</w:t>
      </w:r>
      <w:proofErr w:type="spellEnd"/>
      <w:r w:rsidRPr="00580C0D">
        <w:t xml:space="preserve"> </w:t>
      </w:r>
      <w:proofErr w:type="spellStart"/>
      <w:r w:rsidRPr="00580C0D">
        <w:t>kastar</w:t>
      </w:r>
      <w:proofErr w:type="spellEnd"/>
      <w:r w:rsidRPr="00580C0D">
        <w:t xml:space="preserve">, og korleis </w:t>
      </w:r>
      <w:proofErr w:type="spellStart"/>
      <w:r w:rsidRPr="00580C0D">
        <w:t>overskotsvarer</w:t>
      </w:r>
      <w:proofErr w:type="spellEnd"/>
      <w:r w:rsidRPr="00580C0D">
        <w:t xml:space="preserve"> (inkludert </w:t>
      </w:r>
      <w:proofErr w:type="spellStart"/>
      <w:r w:rsidRPr="00580C0D">
        <w:t>tekstilar</w:t>
      </w:r>
      <w:proofErr w:type="spellEnd"/>
      <w:r w:rsidRPr="00580C0D">
        <w:t xml:space="preserve">) blir handterte med tanke på ombruk, materialattvinning eller </w:t>
      </w:r>
      <w:proofErr w:type="spellStart"/>
      <w:r w:rsidRPr="00580C0D">
        <w:t>liknande</w:t>
      </w:r>
      <w:proofErr w:type="spellEnd"/>
      <w:r w:rsidRPr="00580C0D">
        <w:t xml:space="preserve">. EU-landa (Rådet) og EU-parlamentet </w:t>
      </w:r>
      <w:proofErr w:type="spellStart"/>
      <w:r w:rsidRPr="00580C0D">
        <w:t>ønskjer</w:t>
      </w:r>
      <w:proofErr w:type="spellEnd"/>
      <w:r w:rsidRPr="00580C0D">
        <w:t xml:space="preserve"> </w:t>
      </w:r>
      <w:proofErr w:type="spellStart"/>
      <w:r w:rsidRPr="00580C0D">
        <w:t>eit</w:t>
      </w:r>
      <w:proofErr w:type="spellEnd"/>
      <w:r w:rsidRPr="00580C0D">
        <w:t xml:space="preserve"> </w:t>
      </w:r>
      <w:proofErr w:type="spellStart"/>
      <w:r w:rsidRPr="00580C0D">
        <w:t>forbod</w:t>
      </w:r>
      <w:proofErr w:type="spellEnd"/>
      <w:r w:rsidRPr="00580C0D">
        <w:t xml:space="preserve"> mot at store selskap kan destruere </w:t>
      </w:r>
      <w:proofErr w:type="spellStart"/>
      <w:r w:rsidRPr="00580C0D">
        <w:t>uselde</w:t>
      </w:r>
      <w:proofErr w:type="spellEnd"/>
      <w:r w:rsidRPr="00580C0D">
        <w:t xml:space="preserve"> </w:t>
      </w:r>
      <w:proofErr w:type="spellStart"/>
      <w:r w:rsidRPr="00580C0D">
        <w:t>tekstilar</w:t>
      </w:r>
      <w:proofErr w:type="spellEnd"/>
      <w:r w:rsidRPr="00580C0D">
        <w:t xml:space="preserve">, direkte i forordninga, </w:t>
      </w:r>
      <w:proofErr w:type="spellStart"/>
      <w:r w:rsidRPr="00580C0D">
        <w:t>medan</w:t>
      </w:r>
      <w:proofErr w:type="spellEnd"/>
      <w:r w:rsidRPr="00580C0D">
        <w:t xml:space="preserve"> EU-kommisjonen hadde foreslått </w:t>
      </w:r>
      <w:proofErr w:type="spellStart"/>
      <w:r w:rsidRPr="00580C0D">
        <w:t>ein</w:t>
      </w:r>
      <w:proofErr w:type="spellEnd"/>
      <w:r w:rsidRPr="00580C0D">
        <w:t xml:space="preserve"> lovheimel for å </w:t>
      </w:r>
      <w:proofErr w:type="spellStart"/>
      <w:r w:rsidRPr="00580C0D">
        <w:t>fastsetje</w:t>
      </w:r>
      <w:proofErr w:type="spellEnd"/>
      <w:r w:rsidRPr="00580C0D">
        <w:t xml:space="preserve"> slike </w:t>
      </w:r>
      <w:proofErr w:type="spellStart"/>
      <w:r w:rsidRPr="00580C0D">
        <w:t>forbod</w:t>
      </w:r>
      <w:proofErr w:type="spellEnd"/>
      <w:r w:rsidRPr="00580C0D">
        <w:t xml:space="preserve"> i </w:t>
      </w:r>
      <w:proofErr w:type="spellStart"/>
      <w:r w:rsidRPr="00580C0D">
        <w:t>utfyllande</w:t>
      </w:r>
      <w:proofErr w:type="spellEnd"/>
      <w:r w:rsidRPr="00580C0D">
        <w:t xml:space="preserve"> rettsakter. Regelverket er </w:t>
      </w:r>
      <w:proofErr w:type="spellStart"/>
      <w:r w:rsidRPr="00580C0D">
        <w:t>no</w:t>
      </w:r>
      <w:proofErr w:type="spellEnd"/>
      <w:r w:rsidRPr="00580C0D">
        <w:t xml:space="preserve"> under forhandling i EU. Regjeringa har sendt </w:t>
      </w:r>
      <w:proofErr w:type="spellStart"/>
      <w:r w:rsidRPr="00580C0D">
        <w:t>eit</w:t>
      </w:r>
      <w:proofErr w:type="spellEnd"/>
      <w:r w:rsidRPr="00580C0D">
        <w:t xml:space="preserve"> forslag til ny lov om </w:t>
      </w:r>
      <w:proofErr w:type="spellStart"/>
      <w:r w:rsidRPr="00580C0D">
        <w:t>berekraftige</w:t>
      </w:r>
      <w:proofErr w:type="spellEnd"/>
      <w:r w:rsidRPr="00580C0D">
        <w:t xml:space="preserve"> produkt og verdikjeder på </w:t>
      </w:r>
      <w:proofErr w:type="spellStart"/>
      <w:r w:rsidRPr="00580C0D">
        <w:t>høyring</w:t>
      </w:r>
      <w:proofErr w:type="spellEnd"/>
      <w:r w:rsidRPr="00580C0D">
        <w:t>, som foreslår å gjennomføre forslaget til ny økodesignforordning i norsk rett, og vil i samband med det komme tilbake til Stortinget.</w:t>
      </w:r>
    </w:p>
    <w:p w14:paraId="14D97065" w14:textId="77777777" w:rsidR="00F7113A" w:rsidRPr="00580C0D" w:rsidRDefault="00142E5B" w:rsidP="00580C0D">
      <w:r w:rsidRPr="00580C0D">
        <w:t xml:space="preserve">Departementet ser på vedtaket som </w:t>
      </w:r>
      <w:proofErr w:type="spellStart"/>
      <w:r w:rsidRPr="00580C0D">
        <w:t>følgt</w:t>
      </w:r>
      <w:proofErr w:type="spellEnd"/>
      <w:r w:rsidRPr="00580C0D">
        <w:t xml:space="preserve"> opp.</w:t>
      </w:r>
    </w:p>
    <w:p w14:paraId="74B996B9" w14:textId="77777777" w:rsidR="00F7113A" w:rsidRPr="00580C0D" w:rsidRDefault="00142E5B" w:rsidP="00580C0D">
      <w:pPr>
        <w:pStyle w:val="avsnitt-tittel"/>
      </w:pPr>
      <w:proofErr w:type="spellStart"/>
      <w:r w:rsidRPr="00580C0D">
        <w:t>Verkemiddel</w:t>
      </w:r>
      <w:proofErr w:type="spellEnd"/>
      <w:r w:rsidRPr="00580C0D">
        <w:t xml:space="preserve"> som kan bidra til å </w:t>
      </w:r>
      <w:proofErr w:type="spellStart"/>
      <w:r w:rsidRPr="00580C0D">
        <w:t>gjere</w:t>
      </w:r>
      <w:proofErr w:type="spellEnd"/>
      <w:r w:rsidRPr="00580C0D">
        <w:t xml:space="preserve"> direkte karbonfangst </w:t>
      </w:r>
      <w:proofErr w:type="spellStart"/>
      <w:r w:rsidRPr="00580C0D">
        <w:t>frå</w:t>
      </w:r>
      <w:proofErr w:type="spellEnd"/>
      <w:r w:rsidRPr="00580C0D">
        <w:t xml:space="preserve"> luft (DAC) </w:t>
      </w:r>
      <w:proofErr w:type="spellStart"/>
      <w:r w:rsidRPr="00580C0D">
        <w:t>lønnsamt</w:t>
      </w:r>
      <w:proofErr w:type="spellEnd"/>
    </w:p>
    <w:p w14:paraId="0ED834B7" w14:textId="77777777" w:rsidR="00F7113A" w:rsidRPr="00580C0D" w:rsidRDefault="00142E5B" w:rsidP="00580C0D">
      <w:pPr>
        <w:pStyle w:val="avsnitt-undertittel"/>
      </w:pPr>
      <w:r w:rsidRPr="00580C0D">
        <w:t>Vedtak nr. 713, 10. juni 2022</w:t>
      </w:r>
    </w:p>
    <w:p w14:paraId="176B0D8D" w14:textId="77777777" w:rsidR="00F7113A" w:rsidRPr="00580C0D" w:rsidRDefault="00142E5B" w:rsidP="00580C0D">
      <w:pPr>
        <w:pStyle w:val="blokksit"/>
        <w:rPr>
          <w:rStyle w:val="kursiv"/>
        </w:rPr>
      </w:pPr>
      <w:r w:rsidRPr="00580C0D">
        <w:rPr>
          <w:rStyle w:val="kursiv"/>
        </w:rPr>
        <w:t>«Stortinget ber regjeringen vurdere virkemidler som kan bidra til å gjøre direkte karbonfangst fra luft (DAC) lønnsomt, herunder hvordan CO</w:t>
      </w:r>
      <w:r w:rsidRPr="00580C0D">
        <w:rPr>
          <w:rStyle w:val="skrift-senket"/>
        </w:rPr>
        <w:t>2</w:t>
      </w:r>
      <w:r w:rsidRPr="00580C0D">
        <w:rPr>
          <w:rStyle w:val="kursiv"/>
        </w:rPr>
        <w:t>-avgiften og handlingsrommet innenfor kvotehandelssystemet kan innrettes for å få til dette.»</w:t>
      </w:r>
    </w:p>
    <w:p w14:paraId="00F38F20" w14:textId="77777777" w:rsidR="00F7113A" w:rsidRPr="00580C0D" w:rsidRDefault="00142E5B" w:rsidP="00580C0D">
      <w:r w:rsidRPr="00580C0D">
        <w:t xml:space="preserve">Vedtaket </w:t>
      </w:r>
      <w:proofErr w:type="spellStart"/>
      <w:r w:rsidRPr="00580C0D">
        <w:t>vart</w:t>
      </w:r>
      <w:proofErr w:type="spellEnd"/>
      <w:r w:rsidRPr="00580C0D">
        <w:t xml:space="preserve"> gjort i </w:t>
      </w:r>
      <w:proofErr w:type="spellStart"/>
      <w:r w:rsidRPr="00580C0D">
        <w:t>behandlinga</w:t>
      </w:r>
      <w:proofErr w:type="spellEnd"/>
      <w:r w:rsidRPr="00580C0D">
        <w:t xml:space="preserve"> av Meld. St. 11 (2021–2022), tilleggsmelding til Meld. St. 36 (2020–2021), jf. </w:t>
      </w:r>
      <w:proofErr w:type="spellStart"/>
      <w:r w:rsidRPr="00580C0D">
        <w:t>Innst</w:t>
      </w:r>
      <w:proofErr w:type="spellEnd"/>
      <w:r w:rsidRPr="00580C0D">
        <w:t xml:space="preserve">. 446 S (2021–2022), tilråding </w:t>
      </w:r>
      <w:proofErr w:type="spellStart"/>
      <w:r w:rsidRPr="00580C0D">
        <w:t>romartal</w:t>
      </w:r>
      <w:proofErr w:type="spellEnd"/>
      <w:r w:rsidRPr="00580C0D">
        <w:t xml:space="preserve"> XLIV i innstillinga.</w:t>
      </w:r>
    </w:p>
    <w:p w14:paraId="1AC67B3F" w14:textId="77777777" w:rsidR="00F7113A" w:rsidRPr="00580C0D" w:rsidRDefault="00142E5B" w:rsidP="00580C0D">
      <w:r w:rsidRPr="00580C0D">
        <w:t xml:space="preserve">Vedtaket er under oppfølging. Miljødirektoratet har levert </w:t>
      </w:r>
      <w:proofErr w:type="spellStart"/>
      <w:r w:rsidRPr="00580C0D">
        <w:t>eit</w:t>
      </w:r>
      <w:proofErr w:type="spellEnd"/>
      <w:r w:rsidRPr="00580C0D">
        <w:t xml:space="preserve"> notat til Klima- og miljødepartementet om potensial, kostnader og </w:t>
      </w:r>
      <w:proofErr w:type="spellStart"/>
      <w:r w:rsidRPr="00580C0D">
        <w:t>moglege</w:t>
      </w:r>
      <w:proofErr w:type="spellEnd"/>
      <w:r w:rsidRPr="00580C0D">
        <w:t xml:space="preserve"> </w:t>
      </w:r>
      <w:proofErr w:type="spellStart"/>
      <w:r w:rsidRPr="00580C0D">
        <w:t>verkemiddel</w:t>
      </w:r>
      <w:proofErr w:type="spellEnd"/>
      <w:r w:rsidRPr="00580C0D">
        <w:t xml:space="preserve"> for industriell karbonfjerning. </w:t>
      </w:r>
      <w:proofErr w:type="spellStart"/>
      <w:r w:rsidRPr="00580C0D">
        <w:t>Vidare</w:t>
      </w:r>
      <w:proofErr w:type="spellEnd"/>
      <w:r w:rsidRPr="00580C0D">
        <w:t xml:space="preserve"> oppfølging av vedtaket vil </w:t>
      </w:r>
      <w:proofErr w:type="spellStart"/>
      <w:r w:rsidRPr="00580C0D">
        <w:t>sjåast</w:t>
      </w:r>
      <w:proofErr w:type="spellEnd"/>
      <w:r w:rsidRPr="00580C0D">
        <w:t xml:space="preserve"> i </w:t>
      </w:r>
      <w:proofErr w:type="spellStart"/>
      <w:r w:rsidRPr="00580C0D">
        <w:t>samanheng</w:t>
      </w:r>
      <w:proofErr w:type="spellEnd"/>
      <w:r w:rsidRPr="00580C0D">
        <w:t xml:space="preserve"> med Stortingets vedtak nr. 919, 16. juni 2023, om rett prising av CO</w:t>
      </w:r>
      <w:r w:rsidRPr="00580C0D">
        <w:rPr>
          <w:rStyle w:val="skrift-senket"/>
        </w:rPr>
        <w:t>2</w:t>
      </w:r>
      <w:r w:rsidRPr="00580C0D">
        <w:t>-fjerning.</w:t>
      </w:r>
    </w:p>
    <w:p w14:paraId="4B72D157" w14:textId="77777777" w:rsidR="00F7113A" w:rsidRPr="00580C0D" w:rsidRDefault="00142E5B" w:rsidP="00580C0D">
      <w:r w:rsidRPr="00580C0D">
        <w:t>Regjeringa vil komme tilbake til Stortinget på eigna måte med status for arbeidet.</w:t>
      </w:r>
    </w:p>
    <w:p w14:paraId="0ED5D774" w14:textId="77777777" w:rsidR="00F7113A" w:rsidRPr="00580C0D" w:rsidRDefault="00142E5B" w:rsidP="00580C0D">
      <w:pPr>
        <w:pStyle w:val="avsnitt-tittel"/>
      </w:pPr>
      <w:r w:rsidRPr="00580C0D">
        <w:t xml:space="preserve">Levere </w:t>
      </w:r>
      <w:proofErr w:type="spellStart"/>
      <w:r w:rsidRPr="00580C0D">
        <w:t>ein</w:t>
      </w:r>
      <w:proofErr w:type="spellEnd"/>
      <w:r w:rsidRPr="00580C0D">
        <w:t xml:space="preserve"> plan for harmonisering av rammeverk for biogass i Norden</w:t>
      </w:r>
    </w:p>
    <w:p w14:paraId="3CB73B08" w14:textId="77777777" w:rsidR="00F7113A" w:rsidRPr="00580C0D" w:rsidRDefault="00142E5B" w:rsidP="00580C0D">
      <w:pPr>
        <w:pStyle w:val="avsnitt-undertittel"/>
      </w:pPr>
      <w:r w:rsidRPr="00580C0D">
        <w:t>Vedtak nr. 753, 10. juni 2022</w:t>
      </w:r>
    </w:p>
    <w:p w14:paraId="5C607D18" w14:textId="77777777" w:rsidR="00F7113A" w:rsidRPr="00580C0D" w:rsidRDefault="00142E5B" w:rsidP="00580C0D">
      <w:pPr>
        <w:pStyle w:val="blokksit"/>
        <w:rPr>
          <w:rStyle w:val="kursiv"/>
        </w:rPr>
      </w:pPr>
      <w:r w:rsidRPr="00580C0D">
        <w:rPr>
          <w:rStyle w:val="kursiv"/>
        </w:rPr>
        <w:t>«Stortinget ber regjeringen om å følge opp initiativ til å harmonisere rammevilkårene for biogassproduksjon i Norden og komme tilbake til Stortinget med en plan for dette i forbindelse med budsjett for 2023, samtidig gjennomgå virkemidler for biogass i andre nordiske land og vurdere endringer for å sikre at norske biogassprodusenter er mer konkurransedyktige i møte med utenlandsk gassproduksjon.»</w:t>
      </w:r>
    </w:p>
    <w:p w14:paraId="7CABDDBA" w14:textId="77777777" w:rsidR="00F7113A" w:rsidRPr="00580C0D" w:rsidRDefault="00142E5B" w:rsidP="00580C0D">
      <w:r w:rsidRPr="00580C0D">
        <w:t xml:space="preserve">Vedtaket </w:t>
      </w:r>
      <w:proofErr w:type="spellStart"/>
      <w:r w:rsidRPr="00580C0D">
        <w:t>vart</w:t>
      </w:r>
      <w:proofErr w:type="spellEnd"/>
      <w:r w:rsidRPr="00580C0D">
        <w:t xml:space="preserve"> gjort i </w:t>
      </w:r>
      <w:proofErr w:type="spellStart"/>
      <w:r w:rsidRPr="00580C0D">
        <w:t>behandlinga</w:t>
      </w:r>
      <w:proofErr w:type="spellEnd"/>
      <w:r w:rsidRPr="00580C0D">
        <w:t xml:space="preserve"> av Meld. St. 11 (2021–2022), tilleggsmelding til Meld. St. 36 (2020–2021), jf. </w:t>
      </w:r>
      <w:proofErr w:type="spellStart"/>
      <w:r w:rsidRPr="00580C0D">
        <w:t>Innst</w:t>
      </w:r>
      <w:proofErr w:type="spellEnd"/>
      <w:r w:rsidRPr="00580C0D">
        <w:t xml:space="preserve">. 446 S (2021–2022), tilråding </w:t>
      </w:r>
      <w:proofErr w:type="spellStart"/>
      <w:r w:rsidRPr="00580C0D">
        <w:t>romartal</w:t>
      </w:r>
      <w:proofErr w:type="spellEnd"/>
      <w:r w:rsidRPr="00580C0D">
        <w:t xml:space="preserve"> XLV i innstillinga.</w:t>
      </w:r>
    </w:p>
    <w:p w14:paraId="68662ADE" w14:textId="77777777" w:rsidR="00F7113A" w:rsidRPr="00580C0D" w:rsidRDefault="00142E5B" w:rsidP="00580C0D">
      <w:r w:rsidRPr="00580C0D">
        <w:t xml:space="preserve">Miljødirektoratet har, på oppdrag </w:t>
      </w:r>
      <w:proofErr w:type="spellStart"/>
      <w:r w:rsidRPr="00580C0D">
        <w:t>frå</w:t>
      </w:r>
      <w:proofErr w:type="spellEnd"/>
      <w:r w:rsidRPr="00580C0D">
        <w:t xml:space="preserve"> departementet, levert </w:t>
      </w:r>
      <w:proofErr w:type="spellStart"/>
      <w:r w:rsidRPr="00580C0D">
        <w:t>ein</w:t>
      </w:r>
      <w:proofErr w:type="spellEnd"/>
      <w:r w:rsidRPr="00580C0D">
        <w:t xml:space="preserve"> rapport som gjennomgår </w:t>
      </w:r>
      <w:proofErr w:type="spellStart"/>
      <w:r w:rsidRPr="00580C0D">
        <w:t>verkemidla</w:t>
      </w:r>
      <w:proofErr w:type="spellEnd"/>
      <w:r w:rsidRPr="00580C0D">
        <w:t xml:space="preserve"> for biogass i </w:t>
      </w:r>
      <w:proofErr w:type="spellStart"/>
      <w:r w:rsidRPr="00580C0D">
        <w:t>Noreg</w:t>
      </w:r>
      <w:proofErr w:type="spellEnd"/>
      <w:r w:rsidRPr="00580C0D">
        <w:t xml:space="preserve">, Sverige og Danmark. Miljødirektoratet kom </w:t>
      </w:r>
      <w:proofErr w:type="spellStart"/>
      <w:r w:rsidRPr="00580C0D">
        <w:t>ikkje</w:t>
      </w:r>
      <w:proofErr w:type="spellEnd"/>
      <w:r w:rsidRPr="00580C0D">
        <w:t xml:space="preserve"> med </w:t>
      </w:r>
      <w:proofErr w:type="spellStart"/>
      <w:r w:rsidRPr="00580C0D">
        <w:t>tilrådingar</w:t>
      </w:r>
      <w:proofErr w:type="spellEnd"/>
      <w:r w:rsidRPr="00580C0D">
        <w:t xml:space="preserve"> til korleis eller om rammevilkåra i </w:t>
      </w:r>
      <w:proofErr w:type="spellStart"/>
      <w:r w:rsidRPr="00580C0D">
        <w:t>Noreg</w:t>
      </w:r>
      <w:proofErr w:type="spellEnd"/>
      <w:r w:rsidRPr="00580C0D">
        <w:t xml:space="preserve"> bør </w:t>
      </w:r>
      <w:proofErr w:type="spellStart"/>
      <w:r w:rsidRPr="00580C0D">
        <w:t>endrast</w:t>
      </w:r>
      <w:proofErr w:type="spellEnd"/>
      <w:r w:rsidRPr="00580C0D">
        <w:t>.</w:t>
      </w:r>
    </w:p>
    <w:p w14:paraId="3287820E" w14:textId="77777777" w:rsidR="00F7113A" w:rsidRPr="00580C0D" w:rsidRDefault="00142E5B" w:rsidP="00580C0D">
      <w:r w:rsidRPr="00580C0D">
        <w:t xml:space="preserve">Rapporten viser at </w:t>
      </w:r>
      <w:proofErr w:type="spellStart"/>
      <w:r w:rsidRPr="00580C0D">
        <w:t>Noreg</w:t>
      </w:r>
      <w:proofErr w:type="spellEnd"/>
      <w:r w:rsidRPr="00580C0D">
        <w:t xml:space="preserve">, Sverige og Danmark alle har </w:t>
      </w:r>
      <w:proofErr w:type="spellStart"/>
      <w:r w:rsidRPr="00580C0D">
        <w:t>verkemiddel</w:t>
      </w:r>
      <w:proofErr w:type="spellEnd"/>
      <w:r w:rsidRPr="00580C0D">
        <w:t xml:space="preserve"> for produksjon og bruk av biogass, men </w:t>
      </w:r>
      <w:proofErr w:type="spellStart"/>
      <w:r w:rsidRPr="00580C0D">
        <w:t>verkemidla</w:t>
      </w:r>
      <w:proofErr w:type="spellEnd"/>
      <w:r w:rsidRPr="00580C0D">
        <w:t xml:space="preserve"> treffer ulike </w:t>
      </w:r>
      <w:proofErr w:type="spellStart"/>
      <w:r w:rsidRPr="00580C0D">
        <w:t>delar</w:t>
      </w:r>
      <w:proofErr w:type="spellEnd"/>
      <w:r w:rsidRPr="00580C0D">
        <w:t xml:space="preserve"> av </w:t>
      </w:r>
      <w:proofErr w:type="spellStart"/>
      <w:r w:rsidRPr="00580C0D">
        <w:t>verdikjeda</w:t>
      </w:r>
      <w:proofErr w:type="spellEnd"/>
      <w:r w:rsidRPr="00580C0D">
        <w:t xml:space="preserve"> til biogassen og har ulik storleik. Gjennom </w:t>
      </w:r>
      <w:proofErr w:type="spellStart"/>
      <w:r w:rsidRPr="00580C0D">
        <w:t>Enova</w:t>
      </w:r>
      <w:proofErr w:type="spellEnd"/>
      <w:r w:rsidRPr="00580C0D">
        <w:t xml:space="preserve"> har den norske staten over </w:t>
      </w:r>
      <w:proofErr w:type="spellStart"/>
      <w:r w:rsidRPr="00580C0D">
        <w:t>fleire</w:t>
      </w:r>
      <w:proofErr w:type="spellEnd"/>
      <w:r w:rsidRPr="00580C0D">
        <w:t xml:space="preserve"> år gjeve </w:t>
      </w:r>
      <w:proofErr w:type="spellStart"/>
      <w:r w:rsidRPr="00580C0D">
        <w:t>mykje</w:t>
      </w:r>
      <w:proofErr w:type="spellEnd"/>
      <w:r w:rsidRPr="00580C0D">
        <w:t xml:space="preserve"> støtte til produksjon av biogass. Ser </w:t>
      </w:r>
      <w:proofErr w:type="spellStart"/>
      <w:r w:rsidRPr="00580C0D">
        <w:t>ein</w:t>
      </w:r>
      <w:proofErr w:type="spellEnd"/>
      <w:r w:rsidRPr="00580C0D">
        <w:t xml:space="preserve"> </w:t>
      </w:r>
      <w:proofErr w:type="spellStart"/>
      <w:r w:rsidRPr="00580C0D">
        <w:t>berre</w:t>
      </w:r>
      <w:proofErr w:type="spellEnd"/>
      <w:r w:rsidRPr="00580C0D">
        <w:t xml:space="preserve"> på investeringsstøtte, gjev det </w:t>
      </w:r>
      <w:proofErr w:type="spellStart"/>
      <w:r w:rsidRPr="00580C0D">
        <w:t>ikkje</w:t>
      </w:r>
      <w:proofErr w:type="spellEnd"/>
      <w:r w:rsidRPr="00580C0D">
        <w:t xml:space="preserve"> </w:t>
      </w:r>
      <w:proofErr w:type="spellStart"/>
      <w:r w:rsidRPr="00580C0D">
        <w:t>eit</w:t>
      </w:r>
      <w:proofErr w:type="spellEnd"/>
      <w:r w:rsidRPr="00580C0D">
        <w:t xml:space="preserve"> fullstendig </w:t>
      </w:r>
      <w:proofErr w:type="spellStart"/>
      <w:r w:rsidRPr="00580C0D">
        <w:t>bilete</w:t>
      </w:r>
      <w:proofErr w:type="spellEnd"/>
      <w:r w:rsidRPr="00580C0D">
        <w:t xml:space="preserve"> av rammevilkåra for biogassproduksjon i </w:t>
      </w:r>
      <w:proofErr w:type="spellStart"/>
      <w:r w:rsidRPr="00580C0D">
        <w:t>Noreg</w:t>
      </w:r>
      <w:proofErr w:type="spellEnd"/>
      <w:r w:rsidRPr="00580C0D">
        <w:t xml:space="preserve">, Sverige og Danmark. Landa har strukturelle skilnader som </w:t>
      </w:r>
      <w:proofErr w:type="spellStart"/>
      <w:r w:rsidRPr="00580C0D">
        <w:t>gjer</w:t>
      </w:r>
      <w:proofErr w:type="spellEnd"/>
      <w:r w:rsidRPr="00580C0D">
        <w:t xml:space="preserve"> det </w:t>
      </w:r>
      <w:proofErr w:type="spellStart"/>
      <w:r w:rsidRPr="00580C0D">
        <w:t>vanskeleg</w:t>
      </w:r>
      <w:proofErr w:type="spellEnd"/>
      <w:r w:rsidRPr="00580C0D">
        <w:t xml:space="preserve"> å </w:t>
      </w:r>
      <w:proofErr w:type="spellStart"/>
      <w:r w:rsidRPr="00580C0D">
        <w:t>samanlikne</w:t>
      </w:r>
      <w:proofErr w:type="spellEnd"/>
      <w:r w:rsidRPr="00580C0D">
        <w:t xml:space="preserve"> effekten av ulike </w:t>
      </w:r>
      <w:proofErr w:type="spellStart"/>
      <w:r w:rsidRPr="00580C0D">
        <w:t>verkemiddel</w:t>
      </w:r>
      <w:proofErr w:type="spellEnd"/>
      <w:r w:rsidRPr="00580C0D">
        <w:t xml:space="preserve"> på tvers av landa. </w:t>
      </w:r>
      <w:proofErr w:type="spellStart"/>
      <w:r w:rsidRPr="00580C0D">
        <w:t>Noreg</w:t>
      </w:r>
      <w:proofErr w:type="spellEnd"/>
      <w:r w:rsidRPr="00580C0D">
        <w:t xml:space="preserve"> har til dømes det største samla avgiftsfritaket.</w:t>
      </w:r>
    </w:p>
    <w:p w14:paraId="13953326" w14:textId="77777777" w:rsidR="00F7113A" w:rsidRPr="00580C0D" w:rsidRDefault="00142E5B" w:rsidP="00580C0D">
      <w:r w:rsidRPr="00580C0D">
        <w:t xml:space="preserve">På bakgrunn av kunnskapen som kom fram i rapporten </w:t>
      </w:r>
      <w:proofErr w:type="spellStart"/>
      <w:r w:rsidRPr="00580C0D">
        <w:t>frå</w:t>
      </w:r>
      <w:proofErr w:type="spellEnd"/>
      <w:r w:rsidRPr="00580C0D">
        <w:t xml:space="preserve"> Miljødirektoratet, har Klima- og miljødepartementet drøfta problemstillinga for Nordisk råd. Landa skal </w:t>
      </w:r>
      <w:proofErr w:type="spellStart"/>
      <w:r w:rsidRPr="00580C0D">
        <w:t>no</w:t>
      </w:r>
      <w:proofErr w:type="spellEnd"/>
      <w:r w:rsidRPr="00580C0D">
        <w:t xml:space="preserve"> belyse </w:t>
      </w:r>
      <w:proofErr w:type="spellStart"/>
      <w:r w:rsidRPr="00580C0D">
        <w:t>problemstillingane</w:t>
      </w:r>
      <w:proofErr w:type="spellEnd"/>
      <w:r w:rsidRPr="00580C0D">
        <w:t xml:space="preserve"> som oppstår ved ulik verkemiddelbruk, og har gjeve embetskomiteen under Nordisk råd (EK-MK) i oppdrag å vurdere korleis saka kan </w:t>
      </w:r>
      <w:proofErr w:type="spellStart"/>
      <w:r w:rsidRPr="00580C0D">
        <w:t>følgjast</w:t>
      </w:r>
      <w:proofErr w:type="spellEnd"/>
      <w:r w:rsidRPr="00580C0D">
        <w:t xml:space="preserve"> opp </w:t>
      </w:r>
      <w:proofErr w:type="spellStart"/>
      <w:r w:rsidRPr="00580C0D">
        <w:t>vidare</w:t>
      </w:r>
      <w:proofErr w:type="spellEnd"/>
      <w:r w:rsidRPr="00580C0D">
        <w:t xml:space="preserve"> i det nordiske samarbeidet. Vedtaket er under oppfølging og vil </w:t>
      </w:r>
      <w:proofErr w:type="spellStart"/>
      <w:r w:rsidRPr="00580C0D">
        <w:t>følgjast</w:t>
      </w:r>
      <w:proofErr w:type="spellEnd"/>
      <w:r w:rsidRPr="00580C0D">
        <w:t xml:space="preserve"> opp som </w:t>
      </w:r>
      <w:proofErr w:type="spellStart"/>
      <w:r w:rsidRPr="00580C0D">
        <w:t>ein</w:t>
      </w:r>
      <w:proofErr w:type="spellEnd"/>
      <w:r w:rsidRPr="00580C0D">
        <w:t xml:space="preserve"> del av </w:t>
      </w:r>
      <w:proofErr w:type="spellStart"/>
      <w:r w:rsidRPr="00580C0D">
        <w:t>ein</w:t>
      </w:r>
      <w:proofErr w:type="spellEnd"/>
      <w:r w:rsidRPr="00580C0D">
        <w:t xml:space="preserve"> </w:t>
      </w:r>
      <w:proofErr w:type="spellStart"/>
      <w:r w:rsidRPr="00580C0D">
        <w:t>heilskapleg</w:t>
      </w:r>
      <w:proofErr w:type="spellEnd"/>
      <w:r w:rsidRPr="00580C0D">
        <w:t xml:space="preserve"> plan for norske </w:t>
      </w:r>
      <w:proofErr w:type="spellStart"/>
      <w:r w:rsidRPr="00580C0D">
        <w:t>bioressursar</w:t>
      </w:r>
      <w:proofErr w:type="spellEnd"/>
      <w:r w:rsidRPr="00580C0D">
        <w:t>.</w:t>
      </w:r>
    </w:p>
    <w:p w14:paraId="5DD7E709" w14:textId="77777777" w:rsidR="00F7113A" w:rsidRPr="00580C0D" w:rsidRDefault="00142E5B" w:rsidP="00580C0D">
      <w:r w:rsidRPr="00580C0D">
        <w:t>Regjeringa vil komme tilbake til Stortinget på eigna måte.</w:t>
      </w:r>
    </w:p>
    <w:p w14:paraId="3EC720E2" w14:textId="77777777" w:rsidR="00F7113A" w:rsidRPr="00580C0D" w:rsidRDefault="00142E5B" w:rsidP="00580C0D">
      <w:pPr>
        <w:pStyle w:val="avsnitt-tittel"/>
      </w:pPr>
      <w:r w:rsidRPr="00580C0D">
        <w:t xml:space="preserve">Utarbeide rapporteringssystem for bruk av </w:t>
      </w:r>
      <w:proofErr w:type="spellStart"/>
      <w:r w:rsidRPr="00580C0D">
        <w:t>berekraftig</w:t>
      </w:r>
      <w:proofErr w:type="spellEnd"/>
      <w:r w:rsidRPr="00580C0D">
        <w:t xml:space="preserve"> biodrivstoff </w:t>
      </w:r>
      <w:proofErr w:type="spellStart"/>
      <w:r w:rsidRPr="00580C0D">
        <w:t>utanfor</w:t>
      </w:r>
      <w:proofErr w:type="spellEnd"/>
      <w:r w:rsidRPr="00580C0D">
        <w:t xml:space="preserve"> omsetningskravet</w:t>
      </w:r>
    </w:p>
    <w:p w14:paraId="7845450E" w14:textId="77777777" w:rsidR="00F7113A" w:rsidRPr="00580C0D" w:rsidRDefault="00142E5B" w:rsidP="00580C0D">
      <w:pPr>
        <w:pStyle w:val="avsnitt-undertittel"/>
      </w:pPr>
      <w:r w:rsidRPr="00580C0D">
        <w:t>Vedtak nr. 837, 17. juni 2022</w:t>
      </w:r>
    </w:p>
    <w:p w14:paraId="14772AD1" w14:textId="77777777" w:rsidR="00F7113A" w:rsidRPr="00580C0D" w:rsidRDefault="00142E5B" w:rsidP="00580C0D">
      <w:pPr>
        <w:pStyle w:val="blokksit"/>
        <w:rPr>
          <w:rStyle w:val="kursiv"/>
        </w:rPr>
      </w:pPr>
      <w:r w:rsidRPr="00580C0D">
        <w:rPr>
          <w:rStyle w:val="kursiv"/>
        </w:rPr>
        <w:t xml:space="preserve">«Stortinget ber regjeringen komme tilbake til Stortinget med tilsvarende modell som Sverige for Norge for avansert biodrivstoff, og snarest mulig utarbeide et rapporteringssystem for bruk av bærekraftig biodrivstoff utover omsetningskravet, som oppfyller </w:t>
      </w:r>
      <w:proofErr w:type="spellStart"/>
      <w:r w:rsidRPr="00580C0D">
        <w:rPr>
          <w:rStyle w:val="kursiv"/>
        </w:rPr>
        <w:t>bærekraftskriteriene</w:t>
      </w:r>
      <w:proofErr w:type="spellEnd"/>
      <w:r w:rsidRPr="00580C0D">
        <w:rPr>
          <w:rStyle w:val="kursiv"/>
        </w:rPr>
        <w:t xml:space="preserve"> for biodrivstoff, og som ikke inneholder biodrivstoff med avskogingsrisiko. Dersom Sverige i prosessen med EU-kommisjonen ikke får gjennomslag for den foreslåtte modellen, bes regjeringen komme tilbake til Stortinget med forslag til ny modell.»</w:t>
      </w:r>
    </w:p>
    <w:p w14:paraId="3AB249CD"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2 (2021–2022), revidert nasjonalbudsjett, jf. </w:t>
      </w:r>
      <w:proofErr w:type="spellStart"/>
      <w:r w:rsidRPr="00580C0D">
        <w:t>Innst</w:t>
      </w:r>
      <w:proofErr w:type="spellEnd"/>
      <w:r w:rsidRPr="00580C0D">
        <w:t>. 450 S (2021–2022).</w:t>
      </w:r>
    </w:p>
    <w:p w14:paraId="64C607F3" w14:textId="77777777" w:rsidR="00F7113A" w:rsidRPr="00580C0D" w:rsidRDefault="00142E5B" w:rsidP="00580C0D">
      <w:r w:rsidRPr="00580C0D">
        <w:t xml:space="preserve">Klima- og miljødepartementet er </w:t>
      </w:r>
      <w:proofErr w:type="spellStart"/>
      <w:r w:rsidRPr="00580C0D">
        <w:t>ansvarleg</w:t>
      </w:r>
      <w:proofErr w:type="spellEnd"/>
      <w:r w:rsidRPr="00580C0D">
        <w:t xml:space="preserve"> for den delen av vedtaket som går ut på </w:t>
      </w:r>
      <w:proofErr w:type="spellStart"/>
      <w:r w:rsidRPr="00580C0D">
        <w:t>eit</w:t>
      </w:r>
      <w:proofErr w:type="spellEnd"/>
      <w:r w:rsidRPr="00580C0D">
        <w:t xml:space="preserve"> rapporteringssystem for biodrivstoff </w:t>
      </w:r>
      <w:proofErr w:type="spellStart"/>
      <w:r w:rsidRPr="00580C0D">
        <w:t>utanfor</w:t>
      </w:r>
      <w:proofErr w:type="spellEnd"/>
      <w:r w:rsidRPr="00580C0D">
        <w:t xml:space="preserve"> omsetningskravet. Departementet har i mars 2023 fått </w:t>
      </w:r>
      <w:proofErr w:type="spellStart"/>
      <w:r w:rsidRPr="00580C0D">
        <w:t>ein</w:t>
      </w:r>
      <w:proofErr w:type="spellEnd"/>
      <w:r w:rsidRPr="00580C0D">
        <w:t xml:space="preserve"> rapport </w:t>
      </w:r>
      <w:proofErr w:type="spellStart"/>
      <w:r w:rsidRPr="00580C0D">
        <w:t>frå</w:t>
      </w:r>
      <w:proofErr w:type="spellEnd"/>
      <w:r w:rsidRPr="00580C0D">
        <w:t xml:space="preserve"> Miljødirektoratet om «</w:t>
      </w:r>
      <w:r w:rsidRPr="00580C0D">
        <w:rPr>
          <w:rStyle w:val="kursiv"/>
        </w:rPr>
        <w:t>System for flytende biodrivstoff utover omsetningskrav – Svar på oppdrag om å utrede og vurdere system for bruk av biodrivstoff utover statlige omsetningskrav</w:t>
      </w:r>
      <w:r w:rsidRPr="00580C0D">
        <w:t>».</w:t>
      </w:r>
      <w:r w:rsidRPr="00580C0D">
        <w:rPr>
          <w:rStyle w:val="kursiv"/>
        </w:rPr>
        <w:t xml:space="preserve"> </w:t>
      </w:r>
      <w:r w:rsidRPr="00580C0D">
        <w:t xml:space="preserve">Vi har fått </w:t>
      </w:r>
      <w:proofErr w:type="spellStart"/>
      <w:r w:rsidRPr="00580C0D">
        <w:t>ein</w:t>
      </w:r>
      <w:proofErr w:type="spellEnd"/>
      <w:r w:rsidRPr="00580C0D">
        <w:t xml:space="preserve"> rapport om system for bruk av </w:t>
      </w:r>
      <w:proofErr w:type="spellStart"/>
      <w:r w:rsidRPr="00580C0D">
        <w:t>berekraftig</w:t>
      </w:r>
      <w:proofErr w:type="spellEnd"/>
      <w:r w:rsidRPr="00580C0D">
        <w:t xml:space="preserve"> biodrivstoff utover omsetningskravet og følgjer opp </w:t>
      </w:r>
      <w:proofErr w:type="spellStart"/>
      <w:r w:rsidRPr="00580C0D">
        <w:t>tilrådingane</w:t>
      </w:r>
      <w:proofErr w:type="spellEnd"/>
      <w:r w:rsidRPr="00580C0D">
        <w:t xml:space="preserve"> i rapporten </w:t>
      </w:r>
      <w:proofErr w:type="spellStart"/>
      <w:r w:rsidRPr="00580C0D">
        <w:t>frå</w:t>
      </w:r>
      <w:proofErr w:type="spellEnd"/>
      <w:r w:rsidRPr="00580C0D">
        <w:t xml:space="preserve"> Miljødirektoratet.</w:t>
      </w:r>
    </w:p>
    <w:p w14:paraId="1C2BE440" w14:textId="77777777" w:rsidR="00F7113A" w:rsidRPr="00580C0D" w:rsidRDefault="00142E5B" w:rsidP="00580C0D">
      <w:r w:rsidRPr="00580C0D">
        <w:t xml:space="preserve">I oppmodingsvedtaket ber Stortinget regjeringa også om å komme tilbake til Stortinget med </w:t>
      </w:r>
      <w:proofErr w:type="spellStart"/>
      <w:r w:rsidRPr="00580C0D">
        <w:t>ein</w:t>
      </w:r>
      <w:proofErr w:type="spellEnd"/>
      <w:r w:rsidRPr="00580C0D">
        <w:t xml:space="preserve"> </w:t>
      </w:r>
      <w:proofErr w:type="spellStart"/>
      <w:r w:rsidRPr="00580C0D">
        <w:t>tilsvarande</w:t>
      </w:r>
      <w:proofErr w:type="spellEnd"/>
      <w:r w:rsidRPr="00580C0D">
        <w:t xml:space="preserve"> modell som Sverige for </w:t>
      </w:r>
      <w:proofErr w:type="spellStart"/>
      <w:r w:rsidRPr="00580C0D">
        <w:t>Noreg</w:t>
      </w:r>
      <w:proofErr w:type="spellEnd"/>
      <w:r w:rsidRPr="00580C0D">
        <w:t xml:space="preserve"> for avansert biodrivstoff. Dette er </w:t>
      </w:r>
      <w:proofErr w:type="spellStart"/>
      <w:r w:rsidRPr="00580C0D">
        <w:t>nærmare</w:t>
      </w:r>
      <w:proofErr w:type="spellEnd"/>
      <w:r w:rsidRPr="00580C0D">
        <w:t xml:space="preserve"> omtalt i </w:t>
      </w:r>
      <w:proofErr w:type="spellStart"/>
      <w:r w:rsidRPr="00580C0D">
        <w:t>Prop</w:t>
      </w:r>
      <w:proofErr w:type="spellEnd"/>
      <w:r w:rsidRPr="00580C0D">
        <w:t xml:space="preserve">. 1 LS (2023–2024) </w:t>
      </w:r>
      <w:r w:rsidRPr="00580C0D">
        <w:rPr>
          <w:rStyle w:val="kursiv"/>
        </w:rPr>
        <w:t>Skatter, avgifter og toll 2024</w:t>
      </w:r>
      <w:r w:rsidRPr="00580C0D">
        <w:t>.</w:t>
      </w:r>
    </w:p>
    <w:p w14:paraId="5AE01F19" w14:textId="77777777" w:rsidR="00F7113A" w:rsidRPr="00580C0D" w:rsidRDefault="00142E5B" w:rsidP="00580C0D">
      <w:r w:rsidRPr="00580C0D">
        <w:t xml:space="preserve">Regjeringa ser vedtaket som </w:t>
      </w:r>
      <w:proofErr w:type="spellStart"/>
      <w:r w:rsidRPr="00580C0D">
        <w:t>utkvittert</w:t>
      </w:r>
      <w:proofErr w:type="spellEnd"/>
      <w:r w:rsidRPr="00580C0D">
        <w:t>.</w:t>
      </w:r>
    </w:p>
    <w:p w14:paraId="6315F698" w14:textId="77777777" w:rsidR="00F7113A" w:rsidRPr="00580C0D" w:rsidRDefault="00142E5B" w:rsidP="00580C0D">
      <w:pPr>
        <w:pStyle w:val="Overskrift2"/>
      </w:pPr>
      <w:r w:rsidRPr="00580C0D">
        <w:t>Stortingssesjon 2020–2021</w:t>
      </w:r>
    </w:p>
    <w:p w14:paraId="5CA2105D" w14:textId="77777777" w:rsidR="00F7113A" w:rsidRPr="00580C0D" w:rsidRDefault="00142E5B" w:rsidP="00580C0D">
      <w:pPr>
        <w:pStyle w:val="avsnitt-tittel"/>
      </w:pPr>
      <w:r w:rsidRPr="00580C0D">
        <w:t>Bidra til gjennomføring av tiltak initierte av lokale og regionale styresmakter som reduserer utslepp i </w:t>
      </w:r>
      <w:proofErr w:type="spellStart"/>
      <w:r w:rsidRPr="00580C0D">
        <w:t>verdsarvfjordane</w:t>
      </w:r>
      <w:proofErr w:type="spellEnd"/>
    </w:p>
    <w:p w14:paraId="505AB63F" w14:textId="77777777" w:rsidR="00F7113A" w:rsidRPr="00580C0D" w:rsidRDefault="00142E5B" w:rsidP="00580C0D">
      <w:pPr>
        <w:pStyle w:val="avsnitt-undertittel"/>
      </w:pPr>
      <w:r w:rsidRPr="00580C0D">
        <w:t>Vedtak nr. 690, 25. februar 2021</w:t>
      </w:r>
    </w:p>
    <w:p w14:paraId="430E6F65" w14:textId="77777777" w:rsidR="00F7113A" w:rsidRPr="00580C0D" w:rsidRDefault="00142E5B" w:rsidP="00580C0D">
      <w:pPr>
        <w:pStyle w:val="blokksit"/>
        <w:rPr>
          <w:rStyle w:val="kursiv"/>
        </w:rPr>
      </w:pPr>
      <w:r w:rsidRPr="00580C0D">
        <w:rPr>
          <w:rStyle w:val="kursiv"/>
        </w:rPr>
        <w:t>«Stortinget ber regjeringen bidra til gjennomføring av tiltak initiert av lokale og regionale myndigheter, som reduserer utslipp i verdensarvfjordene.»</w:t>
      </w:r>
    </w:p>
    <w:p w14:paraId="1BD44DB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8:23 S (2020–2021) </w:t>
      </w:r>
      <w:r w:rsidRPr="00580C0D">
        <w:rPr>
          <w:rStyle w:val="kursiv"/>
        </w:rPr>
        <w:t>Representantforslag om utsettelse av kravet om nullutslipp i verdensarvfjordene fra 2026</w:t>
      </w:r>
      <w:r w:rsidRPr="00580C0D">
        <w:t xml:space="preserve">, jf. </w:t>
      </w:r>
      <w:proofErr w:type="spellStart"/>
      <w:r w:rsidRPr="00580C0D">
        <w:t>Innst</w:t>
      </w:r>
      <w:proofErr w:type="spellEnd"/>
      <w:r w:rsidRPr="00580C0D">
        <w:t>. 251 S (2020–2021).</w:t>
      </w:r>
    </w:p>
    <w:p w14:paraId="3AB6E92F" w14:textId="77777777" w:rsidR="00F7113A" w:rsidRPr="00580C0D" w:rsidRDefault="00142E5B" w:rsidP="00580C0D">
      <w:r w:rsidRPr="00580C0D">
        <w:t xml:space="preserve">Oppmodingsvedtaket vil bli </w:t>
      </w:r>
      <w:proofErr w:type="spellStart"/>
      <w:r w:rsidRPr="00580C0D">
        <w:t>følgt</w:t>
      </w:r>
      <w:proofErr w:type="spellEnd"/>
      <w:r w:rsidRPr="00580C0D">
        <w:t xml:space="preserve"> opp i samband med oppfølginga av vedtak nr. 691, 25. februar 2021, og vedtak nr. 672, 3. mai 2018.</w:t>
      </w:r>
    </w:p>
    <w:p w14:paraId="161C7948" w14:textId="77777777" w:rsidR="00F7113A" w:rsidRPr="00580C0D" w:rsidRDefault="00142E5B" w:rsidP="00580C0D">
      <w:r w:rsidRPr="00580C0D">
        <w:t>Regjeringa vil komme tilbake til Stortinget på eigna måte.</w:t>
      </w:r>
    </w:p>
    <w:p w14:paraId="5D658463" w14:textId="77777777" w:rsidR="00F7113A" w:rsidRPr="00580C0D" w:rsidRDefault="00142E5B" w:rsidP="00580C0D">
      <w:pPr>
        <w:pStyle w:val="avsnitt-tittel"/>
      </w:pPr>
      <w:r w:rsidRPr="00580C0D">
        <w:t xml:space="preserve">Tiltak som </w:t>
      </w:r>
      <w:proofErr w:type="spellStart"/>
      <w:r w:rsidRPr="00580C0D">
        <w:t>sikrar</w:t>
      </w:r>
      <w:proofErr w:type="spellEnd"/>
      <w:r w:rsidRPr="00580C0D">
        <w:t xml:space="preserve"> </w:t>
      </w:r>
      <w:proofErr w:type="spellStart"/>
      <w:r w:rsidRPr="00580C0D">
        <w:t>verdsarvfjordane</w:t>
      </w:r>
      <w:proofErr w:type="spellEnd"/>
      <w:r w:rsidRPr="00580C0D">
        <w:t xml:space="preserve"> som </w:t>
      </w:r>
      <w:proofErr w:type="spellStart"/>
      <w:r w:rsidRPr="00580C0D">
        <w:t>anløpshamn</w:t>
      </w:r>
      <w:proofErr w:type="spellEnd"/>
      <w:r w:rsidRPr="00580C0D">
        <w:t xml:space="preserve"> for </w:t>
      </w:r>
      <w:proofErr w:type="spellStart"/>
      <w:r w:rsidRPr="00580C0D">
        <w:t>cruisebåtar</w:t>
      </w:r>
      <w:proofErr w:type="spellEnd"/>
      <w:r w:rsidRPr="00580C0D">
        <w:t xml:space="preserve"> også etter 2026 – etablering av </w:t>
      </w:r>
      <w:proofErr w:type="spellStart"/>
      <w:r w:rsidRPr="00580C0D">
        <w:t>landstraum</w:t>
      </w:r>
      <w:proofErr w:type="spellEnd"/>
      <w:r w:rsidRPr="00580C0D">
        <w:t xml:space="preserve"> i Flåm mv.</w:t>
      </w:r>
    </w:p>
    <w:p w14:paraId="1A94C3E0" w14:textId="77777777" w:rsidR="00F7113A" w:rsidRPr="00580C0D" w:rsidRDefault="00142E5B" w:rsidP="00580C0D">
      <w:pPr>
        <w:pStyle w:val="avsnitt-undertittel"/>
      </w:pPr>
      <w:r w:rsidRPr="00580C0D">
        <w:t>Vedtak nr. 691, 25. februar 2021</w:t>
      </w:r>
    </w:p>
    <w:p w14:paraId="582B3028" w14:textId="77777777" w:rsidR="00F7113A" w:rsidRPr="00580C0D" w:rsidRDefault="00142E5B" w:rsidP="00580C0D">
      <w:pPr>
        <w:pStyle w:val="blokksit"/>
        <w:rPr>
          <w:rStyle w:val="kursiv"/>
        </w:rPr>
      </w:pPr>
      <w:r w:rsidRPr="00580C0D">
        <w:rPr>
          <w:rStyle w:val="kursiv"/>
        </w:rPr>
        <w:t xml:space="preserve">«Stortinget ber regjeringen foreslå tiltak som sikrer verdensarvfjordene som anløpshavn for cruisebåter også etter 2026, blant annet ved at staten sikrer etablering av </w:t>
      </w:r>
      <w:proofErr w:type="spellStart"/>
      <w:r w:rsidRPr="00580C0D">
        <w:rPr>
          <w:rStyle w:val="kursiv"/>
        </w:rPr>
        <w:t>landstrøm</w:t>
      </w:r>
      <w:proofErr w:type="spellEnd"/>
      <w:r w:rsidRPr="00580C0D">
        <w:rPr>
          <w:rStyle w:val="kursiv"/>
        </w:rPr>
        <w:t xml:space="preserve"> i Flåm som planlagt innen 2022.»</w:t>
      </w:r>
    </w:p>
    <w:p w14:paraId="0BE348D3"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8:23 S (2020–2021)</w:t>
      </w:r>
      <w:r w:rsidRPr="00580C0D">
        <w:rPr>
          <w:rStyle w:val="kursiv"/>
        </w:rPr>
        <w:t xml:space="preserve"> Representantforslag om utsettelse av kravet om nullutslipp i verdensarvfjordene fra 2026</w:t>
      </w:r>
      <w:r w:rsidRPr="00580C0D">
        <w:t xml:space="preserve">, jf. </w:t>
      </w:r>
      <w:proofErr w:type="spellStart"/>
      <w:r w:rsidRPr="00580C0D">
        <w:t>Innst</w:t>
      </w:r>
      <w:proofErr w:type="spellEnd"/>
      <w:r w:rsidRPr="00580C0D">
        <w:t>. 251 S (2020–2021).</w:t>
      </w:r>
    </w:p>
    <w:p w14:paraId="296D7569" w14:textId="77777777" w:rsidR="00F7113A" w:rsidRPr="00580C0D" w:rsidRDefault="00142E5B" w:rsidP="00580C0D">
      <w:r w:rsidRPr="00580C0D">
        <w:t xml:space="preserve">Oppmodingsvedtaket vil bli </w:t>
      </w:r>
      <w:proofErr w:type="spellStart"/>
      <w:r w:rsidRPr="00580C0D">
        <w:t>følgt</w:t>
      </w:r>
      <w:proofErr w:type="spellEnd"/>
      <w:r w:rsidRPr="00580C0D">
        <w:t xml:space="preserve"> opp i samband med oppfølginga av vedtak nr. 690, 25. februar 2021, og vedtak nr. 672, 3. mai 2018.</w:t>
      </w:r>
    </w:p>
    <w:p w14:paraId="673DFDCE" w14:textId="77777777" w:rsidR="00F7113A" w:rsidRPr="00580C0D" w:rsidRDefault="00142E5B" w:rsidP="00580C0D">
      <w:r w:rsidRPr="00580C0D">
        <w:t>Regjeringa vil komme tilbake til Stortinget på eigna måte.</w:t>
      </w:r>
    </w:p>
    <w:p w14:paraId="503EBEAC" w14:textId="77777777" w:rsidR="00F7113A" w:rsidRPr="00580C0D" w:rsidRDefault="00142E5B" w:rsidP="00580C0D">
      <w:pPr>
        <w:pStyle w:val="avsnitt-tittel"/>
      </w:pPr>
      <w:proofErr w:type="spellStart"/>
      <w:r w:rsidRPr="00580C0D">
        <w:t>Verkemiddel</w:t>
      </w:r>
      <w:proofErr w:type="spellEnd"/>
      <w:r w:rsidRPr="00580C0D">
        <w:t xml:space="preserve"> for </w:t>
      </w:r>
      <w:proofErr w:type="spellStart"/>
      <w:r w:rsidRPr="00580C0D">
        <w:t>meir</w:t>
      </w:r>
      <w:proofErr w:type="spellEnd"/>
      <w:r w:rsidRPr="00580C0D">
        <w:t xml:space="preserve"> effektiv og </w:t>
      </w:r>
      <w:proofErr w:type="spellStart"/>
      <w:r w:rsidRPr="00580C0D">
        <w:t>einskapleg</w:t>
      </w:r>
      <w:proofErr w:type="spellEnd"/>
      <w:r w:rsidRPr="00580C0D">
        <w:t xml:space="preserve"> skadefelling av rovvilt</w:t>
      </w:r>
    </w:p>
    <w:p w14:paraId="1225A979" w14:textId="77777777" w:rsidR="00F7113A" w:rsidRPr="00580C0D" w:rsidRDefault="00142E5B" w:rsidP="00580C0D">
      <w:pPr>
        <w:pStyle w:val="avsnitt-undertittel"/>
      </w:pPr>
      <w:r w:rsidRPr="00580C0D">
        <w:t>Vedtak nr. 751, 11. mars 2021</w:t>
      </w:r>
    </w:p>
    <w:p w14:paraId="49E34A64" w14:textId="77777777" w:rsidR="00F7113A" w:rsidRPr="00580C0D" w:rsidRDefault="00142E5B" w:rsidP="00580C0D">
      <w:pPr>
        <w:pStyle w:val="blokksit"/>
        <w:rPr>
          <w:rStyle w:val="kursiv"/>
        </w:rPr>
      </w:pPr>
      <w:r w:rsidRPr="00580C0D">
        <w:rPr>
          <w:rStyle w:val="kursiv"/>
        </w:rPr>
        <w:t>«Stortinget ber regjeringen fremme forslag om egnede virkemidler som gjør skadefelling av rovvilt mer effektivt og enhetlig.»</w:t>
      </w:r>
    </w:p>
    <w:p w14:paraId="2FA9CA73"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8:86 S (2020–2021), </w:t>
      </w:r>
      <w:r w:rsidRPr="00580C0D">
        <w:rPr>
          <w:rStyle w:val="kursiv"/>
        </w:rPr>
        <w:t>Representantforslag om mer effektiv skadefelling av store rovdyr</w:t>
      </w:r>
      <w:r w:rsidRPr="00580C0D">
        <w:t xml:space="preserve">, jf. </w:t>
      </w:r>
      <w:proofErr w:type="spellStart"/>
      <w:r w:rsidRPr="00580C0D">
        <w:t>Innst</w:t>
      </w:r>
      <w:proofErr w:type="spellEnd"/>
      <w:r w:rsidRPr="00580C0D">
        <w:t xml:space="preserve">. 255 S (2020–2021). Klima- og miljødepartementet har fått ei </w:t>
      </w:r>
      <w:proofErr w:type="spellStart"/>
      <w:r w:rsidRPr="00580C0D">
        <w:t>fagleg</w:t>
      </w:r>
      <w:proofErr w:type="spellEnd"/>
      <w:r w:rsidRPr="00580C0D">
        <w:t xml:space="preserve"> vurdering og tilråding om </w:t>
      </w:r>
      <w:proofErr w:type="spellStart"/>
      <w:r w:rsidRPr="00580C0D">
        <w:t>vidare</w:t>
      </w:r>
      <w:proofErr w:type="spellEnd"/>
      <w:r w:rsidRPr="00580C0D">
        <w:t xml:space="preserve"> oppfølging av oppmodingsvedtaket </w:t>
      </w:r>
      <w:proofErr w:type="spellStart"/>
      <w:r w:rsidRPr="00580C0D">
        <w:t>frå</w:t>
      </w:r>
      <w:proofErr w:type="spellEnd"/>
      <w:r w:rsidRPr="00580C0D">
        <w:t xml:space="preserve"> Miljødirektoratet, og departementet har gjeve direktoratet beskjed om å </w:t>
      </w:r>
      <w:proofErr w:type="spellStart"/>
      <w:r w:rsidRPr="00580C0D">
        <w:t>følgje</w:t>
      </w:r>
      <w:proofErr w:type="spellEnd"/>
      <w:r w:rsidRPr="00580C0D">
        <w:t xml:space="preserve"> opp i tråd med tilrådinga. Dei sentrale punkta </w:t>
      </w:r>
      <w:proofErr w:type="spellStart"/>
      <w:r w:rsidRPr="00580C0D">
        <w:t>gjeld</w:t>
      </w:r>
      <w:proofErr w:type="spellEnd"/>
      <w:r w:rsidRPr="00580C0D">
        <w:t xml:space="preserve"> bruk av tekniske hjelpemiddel for </w:t>
      </w:r>
      <w:proofErr w:type="spellStart"/>
      <w:r w:rsidRPr="00580C0D">
        <w:t>raskare</w:t>
      </w:r>
      <w:proofErr w:type="spellEnd"/>
      <w:r w:rsidRPr="00580C0D">
        <w:t xml:space="preserve"> oppdaging av </w:t>
      </w:r>
      <w:proofErr w:type="spellStart"/>
      <w:r w:rsidRPr="00580C0D">
        <w:t>skadar</w:t>
      </w:r>
      <w:proofErr w:type="spellEnd"/>
      <w:r w:rsidRPr="00580C0D">
        <w:t xml:space="preserve"> og betre </w:t>
      </w:r>
      <w:proofErr w:type="spellStart"/>
      <w:r w:rsidRPr="00580C0D">
        <w:t>varslingsrutinar</w:t>
      </w:r>
      <w:proofErr w:type="spellEnd"/>
      <w:r w:rsidRPr="00580C0D">
        <w:t xml:space="preserve"> og </w:t>
      </w:r>
      <w:proofErr w:type="spellStart"/>
      <w:r w:rsidRPr="00580C0D">
        <w:t>vidare</w:t>
      </w:r>
      <w:proofErr w:type="spellEnd"/>
      <w:r w:rsidRPr="00580C0D">
        <w:t xml:space="preserve"> arbeid med spesialiserte </w:t>
      </w:r>
      <w:proofErr w:type="spellStart"/>
      <w:r w:rsidRPr="00580C0D">
        <w:t>rovvilthundar</w:t>
      </w:r>
      <w:proofErr w:type="spellEnd"/>
      <w:r w:rsidRPr="00580C0D">
        <w:t xml:space="preserve">. Når det </w:t>
      </w:r>
      <w:proofErr w:type="spellStart"/>
      <w:r w:rsidRPr="00580C0D">
        <w:t>gjeld</w:t>
      </w:r>
      <w:proofErr w:type="spellEnd"/>
      <w:r w:rsidRPr="00580C0D">
        <w:t xml:space="preserve"> hund, vil det i samband med revisjonen av viltlova </w:t>
      </w:r>
      <w:proofErr w:type="spellStart"/>
      <w:r w:rsidRPr="00580C0D">
        <w:t>gjerast</w:t>
      </w:r>
      <w:proofErr w:type="spellEnd"/>
      <w:r w:rsidRPr="00580C0D">
        <w:t xml:space="preserve"> ei </w:t>
      </w:r>
      <w:proofErr w:type="spellStart"/>
      <w:r w:rsidRPr="00580C0D">
        <w:t>nærmare</w:t>
      </w:r>
      <w:proofErr w:type="spellEnd"/>
      <w:r w:rsidRPr="00580C0D">
        <w:t xml:space="preserve"> vurdering av dette. I RNB 2023 vart det også gjeve 10 mill. kroner ekstra for arbeid med effektiv skadefelling i </w:t>
      </w:r>
      <w:proofErr w:type="spellStart"/>
      <w:r w:rsidRPr="00580C0D">
        <w:t>kommunane</w:t>
      </w:r>
      <w:proofErr w:type="spellEnd"/>
      <w:r w:rsidRPr="00580C0D">
        <w:t>, til dømes til oppgradering av tekniske hjelpemiddel.</w:t>
      </w:r>
    </w:p>
    <w:p w14:paraId="1FC87BBD" w14:textId="77777777" w:rsidR="00F7113A" w:rsidRPr="00580C0D" w:rsidRDefault="00142E5B" w:rsidP="00580C0D">
      <w:r w:rsidRPr="00580C0D">
        <w:t xml:space="preserve">Departementet ser på vedtaket som </w:t>
      </w:r>
      <w:proofErr w:type="spellStart"/>
      <w:r w:rsidRPr="00580C0D">
        <w:t>utkvittert</w:t>
      </w:r>
      <w:proofErr w:type="spellEnd"/>
      <w:r w:rsidRPr="00580C0D">
        <w:t>.</w:t>
      </w:r>
    </w:p>
    <w:p w14:paraId="693FD2F5" w14:textId="77777777" w:rsidR="00F7113A" w:rsidRPr="00580C0D" w:rsidRDefault="00142E5B" w:rsidP="00580C0D">
      <w:pPr>
        <w:pStyle w:val="avsnitt-tittel"/>
      </w:pPr>
      <w:r w:rsidRPr="00580C0D">
        <w:t>Kompetanseoverføringsprosjekt om skadefelling</w:t>
      </w:r>
    </w:p>
    <w:p w14:paraId="508CDDEA" w14:textId="77777777" w:rsidR="00F7113A" w:rsidRPr="00580C0D" w:rsidRDefault="00142E5B" w:rsidP="00580C0D">
      <w:pPr>
        <w:pStyle w:val="avsnitt-undertittel"/>
      </w:pPr>
      <w:r w:rsidRPr="00580C0D">
        <w:t>Vedtak nr. 752, 11. mars 2021</w:t>
      </w:r>
    </w:p>
    <w:p w14:paraId="472A3CD7" w14:textId="77777777" w:rsidR="00F7113A" w:rsidRPr="00580C0D" w:rsidRDefault="00142E5B" w:rsidP="00580C0D">
      <w:pPr>
        <w:pStyle w:val="blokksit"/>
        <w:rPr>
          <w:rStyle w:val="kursiv"/>
        </w:rPr>
      </w:pPr>
      <w:r w:rsidRPr="00580C0D">
        <w:rPr>
          <w:rStyle w:val="kursiv"/>
        </w:rPr>
        <w:t>«Stortinget ber regjeringen iverksette et kompetanseoverføringsprosjekt for at de metodene og de erfaringene som er gjort av skadefellingslagene i Nord-Østerdal og Engerdal, blir overført til skadefellingslag andre steder i landet. Det bør utarbeides et kursopplegg og etableres et permanent nettverk som sikrer overføring av kunnskap og kompetanse.»</w:t>
      </w:r>
    </w:p>
    <w:p w14:paraId="3A6CCDF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8:86 S (2020–2021), </w:t>
      </w:r>
      <w:r w:rsidRPr="00580C0D">
        <w:rPr>
          <w:rStyle w:val="kursiv"/>
        </w:rPr>
        <w:t>Representantforslag om mer effektiv skadefelling av store rovdyr</w:t>
      </w:r>
      <w:r w:rsidRPr="00580C0D">
        <w:t xml:space="preserve">, jf. </w:t>
      </w:r>
      <w:proofErr w:type="spellStart"/>
      <w:r w:rsidRPr="00580C0D">
        <w:t>Innst</w:t>
      </w:r>
      <w:proofErr w:type="spellEnd"/>
      <w:r w:rsidRPr="00580C0D">
        <w:t xml:space="preserve">. 255 S (2020–2021). Klima- og miljødepartementet har fått ei </w:t>
      </w:r>
      <w:proofErr w:type="spellStart"/>
      <w:r w:rsidRPr="00580C0D">
        <w:t>fagleg</w:t>
      </w:r>
      <w:proofErr w:type="spellEnd"/>
      <w:r w:rsidRPr="00580C0D">
        <w:t xml:space="preserve"> vurdering og tilråding om </w:t>
      </w:r>
      <w:proofErr w:type="spellStart"/>
      <w:r w:rsidRPr="00580C0D">
        <w:t>vidare</w:t>
      </w:r>
      <w:proofErr w:type="spellEnd"/>
      <w:r w:rsidRPr="00580C0D">
        <w:t xml:space="preserve"> oppfølging av oppmodingsvedtaket </w:t>
      </w:r>
      <w:proofErr w:type="spellStart"/>
      <w:r w:rsidRPr="00580C0D">
        <w:t>frå</w:t>
      </w:r>
      <w:proofErr w:type="spellEnd"/>
      <w:r w:rsidRPr="00580C0D">
        <w:t xml:space="preserve"> Miljødirektoratet, og departementet har gjeve direktoratet beskjed om å </w:t>
      </w:r>
      <w:proofErr w:type="spellStart"/>
      <w:r w:rsidRPr="00580C0D">
        <w:t>følgje</w:t>
      </w:r>
      <w:proofErr w:type="spellEnd"/>
      <w:r w:rsidRPr="00580C0D">
        <w:t xml:space="preserve"> opp i tråd med tilrådinga. Dei sentrale punkta er å inkludere </w:t>
      </w:r>
      <w:proofErr w:type="spellStart"/>
      <w:r w:rsidRPr="00580C0D">
        <w:t>erfaringane</w:t>
      </w:r>
      <w:proofErr w:type="spellEnd"/>
      <w:r w:rsidRPr="00580C0D">
        <w:t xml:space="preserve"> </w:t>
      </w:r>
      <w:proofErr w:type="spellStart"/>
      <w:r w:rsidRPr="00580C0D">
        <w:t>frå</w:t>
      </w:r>
      <w:proofErr w:type="spellEnd"/>
      <w:r w:rsidRPr="00580C0D">
        <w:t xml:space="preserve"> Nord-Østerdal og Engerdal i </w:t>
      </w:r>
      <w:proofErr w:type="spellStart"/>
      <w:r w:rsidRPr="00580C0D">
        <w:t>eksisterande</w:t>
      </w:r>
      <w:proofErr w:type="spellEnd"/>
      <w:r w:rsidRPr="00580C0D">
        <w:t xml:space="preserve"> kursmateriell i kursinga som blir gjord i regi av NJFF, inkludere </w:t>
      </w:r>
      <w:proofErr w:type="spellStart"/>
      <w:r w:rsidRPr="00580C0D">
        <w:t>erfaringane</w:t>
      </w:r>
      <w:proofErr w:type="spellEnd"/>
      <w:r w:rsidRPr="00580C0D">
        <w:t xml:space="preserve"> i fellingsrettleiinga utarbeidd av Statens naturoppsyn mfl. og </w:t>
      </w:r>
      <w:proofErr w:type="spellStart"/>
      <w:r w:rsidRPr="00580C0D">
        <w:t>dessutan</w:t>
      </w:r>
      <w:proofErr w:type="spellEnd"/>
      <w:r w:rsidRPr="00580C0D">
        <w:t xml:space="preserve"> </w:t>
      </w:r>
      <w:proofErr w:type="spellStart"/>
      <w:r w:rsidRPr="00580C0D">
        <w:t>halde</w:t>
      </w:r>
      <w:proofErr w:type="spellEnd"/>
      <w:r w:rsidRPr="00580C0D">
        <w:t xml:space="preserve"> </w:t>
      </w:r>
      <w:proofErr w:type="spellStart"/>
      <w:r w:rsidRPr="00580C0D">
        <w:t>eit</w:t>
      </w:r>
      <w:proofErr w:type="spellEnd"/>
      <w:r w:rsidRPr="00580C0D">
        <w:t xml:space="preserve"> seminar for </w:t>
      </w:r>
      <w:proofErr w:type="spellStart"/>
      <w:r w:rsidRPr="00580C0D">
        <w:t>kommunar</w:t>
      </w:r>
      <w:proofErr w:type="spellEnd"/>
      <w:r w:rsidRPr="00580C0D">
        <w:t xml:space="preserve"> og </w:t>
      </w:r>
      <w:proofErr w:type="spellStart"/>
      <w:r w:rsidRPr="00580C0D">
        <w:t>fellingsleiarar</w:t>
      </w:r>
      <w:proofErr w:type="spellEnd"/>
      <w:r w:rsidRPr="00580C0D">
        <w:t xml:space="preserve"> der </w:t>
      </w:r>
      <w:proofErr w:type="spellStart"/>
      <w:r w:rsidRPr="00580C0D">
        <w:t>erfaringane</w:t>
      </w:r>
      <w:proofErr w:type="spellEnd"/>
      <w:r w:rsidRPr="00580C0D">
        <w:t xml:space="preserve"> blir drøfta.</w:t>
      </w:r>
    </w:p>
    <w:p w14:paraId="7B271A21" w14:textId="77777777" w:rsidR="00F7113A" w:rsidRPr="00580C0D" w:rsidRDefault="00142E5B" w:rsidP="00580C0D">
      <w:r w:rsidRPr="00580C0D">
        <w:t xml:space="preserve">Departementet ser på vedtaket som </w:t>
      </w:r>
      <w:proofErr w:type="spellStart"/>
      <w:r w:rsidRPr="00580C0D">
        <w:t>utkvittert</w:t>
      </w:r>
      <w:proofErr w:type="spellEnd"/>
      <w:r w:rsidRPr="00580C0D">
        <w:t>.</w:t>
      </w:r>
    </w:p>
    <w:p w14:paraId="26225F2C" w14:textId="77777777" w:rsidR="00F7113A" w:rsidRPr="00580C0D" w:rsidRDefault="00142E5B" w:rsidP="00580C0D">
      <w:pPr>
        <w:pStyle w:val="avsnitt-tittel"/>
      </w:pPr>
      <w:r w:rsidRPr="00580C0D">
        <w:t xml:space="preserve">Forslag om </w:t>
      </w:r>
      <w:proofErr w:type="spellStart"/>
      <w:r w:rsidRPr="00580C0D">
        <w:t>verkemiddel</w:t>
      </w:r>
      <w:proofErr w:type="spellEnd"/>
      <w:r w:rsidRPr="00580C0D">
        <w:t xml:space="preserve"> for </w:t>
      </w:r>
      <w:proofErr w:type="spellStart"/>
      <w:r w:rsidRPr="00580C0D">
        <w:t>meir</w:t>
      </w:r>
      <w:proofErr w:type="spellEnd"/>
      <w:r w:rsidRPr="00580C0D">
        <w:t xml:space="preserve"> effektiv lisensfelling</w:t>
      </w:r>
    </w:p>
    <w:p w14:paraId="0FA9E624" w14:textId="77777777" w:rsidR="00F7113A" w:rsidRPr="00580C0D" w:rsidRDefault="00142E5B" w:rsidP="00580C0D">
      <w:pPr>
        <w:pStyle w:val="avsnitt-undertittel"/>
      </w:pPr>
      <w:r w:rsidRPr="00580C0D">
        <w:t>Vedtak nr. 753, 11. mars 2021</w:t>
      </w:r>
    </w:p>
    <w:p w14:paraId="03EEADAD" w14:textId="77777777" w:rsidR="00F7113A" w:rsidRPr="00580C0D" w:rsidRDefault="00142E5B" w:rsidP="00580C0D">
      <w:pPr>
        <w:pStyle w:val="blokksit"/>
        <w:rPr>
          <w:rStyle w:val="kursiv"/>
        </w:rPr>
      </w:pPr>
      <w:r w:rsidRPr="00580C0D">
        <w:rPr>
          <w:rStyle w:val="kursiv"/>
        </w:rPr>
        <w:t>«Stortinget ber regjeringen komme tilbake til Stortinget med forslag til hvordan virkemidler knyttet til skadefelling også kan bidra til å gjøre lisensfelling mer effektiv.»</w:t>
      </w:r>
    </w:p>
    <w:p w14:paraId="76897AF8"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8:86 S (2020–2021), </w:t>
      </w:r>
      <w:r w:rsidRPr="00580C0D">
        <w:rPr>
          <w:rStyle w:val="kursiv"/>
        </w:rPr>
        <w:t>Representantforslag om mer effektiv skadefelling av store rovdyr</w:t>
      </w:r>
      <w:r w:rsidRPr="00580C0D">
        <w:t xml:space="preserve">, </w:t>
      </w:r>
      <w:proofErr w:type="spellStart"/>
      <w:r w:rsidRPr="00580C0D">
        <w:t>Innst</w:t>
      </w:r>
      <w:proofErr w:type="spellEnd"/>
      <w:r w:rsidRPr="00580C0D">
        <w:t xml:space="preserve">. 255 S (2020–2021). Klima- og miljødepartementet har fått ei </w:t>
      </w:r>
      <w:proofErr w:type="spellStart"/>
      <w:r w:rsidRPr="00580C0D">
        <w:t>fagleg</w:t>
      </w:r>
      <w:proofErr w:type="spellEnd"/>
      <w:r w:rsidRPr="00580C0D">
        <w:t xml:space="preserve"> vurdering og tilråding om </w:t>
      </w:r>
      <w:proofErr w:type="spellStart"/>
      <w:r w:rsidRPr="00580C0D">
        <w:t>vidare</w:t>
      </w:r>
      <w:proofErr w:type="spellEnd"/>
      <w:r w:rsidRPr="00580C0D">
        <w:t xml:space="preserve"> oppfølging av oppmodingsvedtaket </w:t>
      </w:r>
      <w:proofErr w:type="spellStart"/>
      <w:r w:rsidRPr="00580C0D">
        <w:t>frå</w:t>
      </w:r>
      <w:proofErr w:type="spellEnd"/>
      <w:r w:rsidRPr="00580C0D">
        <w:t xml:space="preserve"> Miljødirektoratet, og departementet har gjeve direktoratet beskjed om å </w:t>
      </w:r>
      <w:proofErr w:type="spellStart"/>
      <w:r w:rsidRPr="00580C0D">
        <w:t>følgje</w:t>
      </w:r>
      <w:proofErr w:type="spellEnd"/>
      <w:r w:rsidRPr="00580C0D">
        <w:t xml:space="preserve"> opp i tråd med tilrådinga. Bruk av spesialiserte </w:t>
      </w:r>
      <w:proofErr w:type="spellStart"/>
      <w:r w:rsidRPr="00580C0D">
        <w:t>rovvilthundar</w:t>
      </w:r>
      <w:proofErr w:type="spellEnd"/>
      <w:r w:rsidRPr="00580C0D">
        <w:t xml:space="preserve">, som ofte primært er alte opp og dresserte med tanke på skadefelling, vil samstundes kunne bidra til å </w:t>
      </w:r>
      <w:proofErr w:type="spellStart"/>
      <w:r w:rsidRPr="00580C0D">
        <w:t>gjere</w:t>
      </w:r>
      <w:proofErr w:type="spellEnd"/>
      <w:r w:rsidRPr="00580C0D">
        <w:t xml:space="preserve"> lisensfellinga </w:t>
      </w:r>
      <w:proofErr w:type="spellStart"/>
      <w:r w:rsidRPr="00580C0D">
        <w:t>meir</w:t>
      </w:r>
      <w:proofErr w:type="spellEnd"/>
      <w:r w:rsidRPr="00580C0D">
        <w:t xml:space="preserve"> effektiv. </w:t>
      </w:r>
      <w:proofErr w:type="spellStart"/>
      <w:r w:rsidRPr="00580C0D">
        <w:t>Eit</w:t>
      </w:r>
      <w:proofErr w:type="spellEnd"/>
      <w:r w:rsidRPr="00580C0D">
        <w:t xml:space="preserve"> </w:t>
      </w:r>
      <w:proofErr w:type="spellStart"/>
      <w:r w:rsidRPr="00580C0D">
        <w:t>vidare</w:t>
      </w:r>
      <w:proofErr w:type="spellEnd"/>
      <w:r w:rsidRPr="00580C0D">
        <w:t xml:space="preserve"> arbeid med spesialiserte </w:t>
      </w:r>
      <w:proofErr w:type="spellStart"/>
      <w:r w:rsidRPr="00580C0D">
        <w:t>rovvilthundar</w:t>
      </w:r>
      <w:proofErr w:type="spellEnd"/>
      <w:r w:rsidRPr="00580C0D">
        <w:t xml:space="preserve"> er vurdert som det mest aktuelle tiltaket for </w:t>
      </w:r>
      <w:proofErr w:type="spellStart"/>
      <w:r w:rsidRPr="00580C0D">
        <w:t>meir</w:t>
      </w:r>
      <w:proofErr w:type="spellEnd"/>
      <w:r w:rsidRPr="00580C0D">
        <w:t xml:space="preserve"> effektiv lisensfelling.</w:t>
      </w:r>
    </w:p>
    <w:p w14:paraId="133F73FB" w14:textId="77777777" w:rsidR="00F7113A" w:rsidRPr="00580C0D" w:rsidRDefault="00142E5B" w:rsidP="00580C0D">
      <w:r w:rsidRPr="00580C0D">
        <w:t xml:space="preserve">Departementet ser på vedtaket som </w:t>
      </w:r>
      <w:proofErr w:type="spellStart"/>
      <w:r w:rsidRPr="00580C0D">
        <w:t>utkvittert</w:t>
      </w:r>
      <w:proofErr w:type="spellEnd"/>
      <w:r w:rsidRPr="00580C0D">
        <w:t>.</w:t>
      </w:r>
    </w:p>
    <w:p w14:paraId="04512FA4" w14:textId="77777777" w:rsidR="00F7113A" w:rsidRPr="00580C0D" w:rsidRDefault="00142E5B" w:rsidP="00580C0D">
      <w:pPr>
        <w:pStyle w:val="avsnitt-tittel"/>
      </w:pPr>
      <w:r w:rsidRPr="00580C0D">
        <w:t xml:space="preserve">Nasjonal plan for å </w:t>
      </w:r>
      <w:proofErr w:type="spellStart"/>
      <w:r w:rsidRPr="00580C0D">
        <w:t>gjere</w:t>
      </w:r>
      <w:proofErr w:type="spellEnd"/>
      <w:r w:rsidRPr="00580C0D">
        <w:t xml:space="preserve"> land- og </w:t>
      </w:r>
      <w:proofErr w:type="spellStart"/>
      <w:r w:rsidRPr="00580C0D">
        <w:t>ladestraum</w:t>
      </w:r>
      <w:proofErr w:type="spellEnd"/>
      <w:r w:rsidRPr="00580C0D">
        <w:t xml:space="preserve">, hydrogen, ammoniakk og andre </w:t>
      </w:r>
      <w:proofErr w:type="spellStart"/>
      <w:r w:rsidRPr="00580C0D">
        <w:t>grøne</w:t>
      </w:r>
      <w:proofErr w:type="spellEnd"/>
      <w:r w:rsidRPr="00580C0D">
        <w:t xml:space="preserve"> drivstoff </w:t>
      </w:r>
      <w:proofErr w:type="spellStart"/>
      <w:r w:rsidRPr="00580C0D">
        <w:t>tilgjengelege</w:t>
      </w:r>
      <w:proofErr w:type="spellEnd"/>
    </w:p>
    <w:p w14:paraId="399D56AF" w14:textId="77777777" w:rsidR="00F7113A" w:rsidRPr="00580C0D" w:rsidRDefault="00142E5B" w:rsidP="00580C0D">
      <w:pPr>
        <w:pStyle w:val="avsnitt-undertittel"/>
      </w:pPr>
      <w:r w:rsidRPr="00580C0D">
        <w:t>Vedtak nr. 831, 22. april 2021</w:t>
      </w:r>
    </w:p>
    <w:p w14:paraId="64134293" w14:textId="77777777" w:rsidR="00F7113A" w:rsidRPr="00580C0D" w:rsidRDefault="00142E5B" w:rsidP="00580C0D">
      <w:pPr>
        <w:pStyle w:val="blokksit"/>
        <w:rPr>
          <w:rStyle w:val="kursiv"/>
        </w:rPr>
      </w:pPr>
      <w:r w:rsidRPr="00580C0D">
        <w:rPr>
          <w:rStyle w:val="kursiv"/>
        </w:rPr>
        <w:t>«Stortinget ber regjeringen komme tilbake til Stortinget med en nasjonal plan for å gjøre land- og ladestrøm, hydrogen, ammoniakk og andre grønne drivstoff tilgjengelig.»</w:t>
      </w:r>
    </w:p>
    <w:p w14:paraId="51EDFAC9"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10 (2020–2021) </w:t>
      </w:r>
      <w:r w:rsidRPr="00580C0D">
        <w:rPr>
          <w:rStyle w:val="kursiv"/>
        </w:rPr>
        <w:t>Grønnere og smartere – morgendagens maritime næring</w:t>
      </w:r>
      <w:r w:rsidRPr="00580C0D">
        <w:t xml:space="preserve">, jf. </w:t>
      </w:r>
      <w:proofErr w:type="spellStart"/>
      <w:r w:rsidRPr="00580C0D">
        <w:t>Innst</w:t>
      </w:r>
      <w:proofErr w:type="spellEnd"/>
      <w:r w:rsidRPr="00580C0D">
        <w:t>. 338 S (2020–2021).</w:t>
      </w:r>
    </w:p>
    <w:p w14:paraId="31BAD4C0" w14:textId="77777777" w:rsidR="00F7113A" w:rsidRPr="00580C0D" w:rsidRDefault="00142E5B" w:rsidP="00580C0D">
      <w:r w:rsidRPr="00580C0D">
        <w:t xml:space="preserve">På oppdrag </w:t>
      </w:r>
      <w:proofErr w:type="spellStart"/>
      <w:r w:rsidRPr="00580C0D">
        <w:t>frå</w:t>
      </w:r>
      <w:proofErr w:type="spellEnd"/>
      <w:r w:rsidRPr="00580C0D">
        <w:t xml:space="preserve"> Klima- og miljødepartementet har DNV levert </w:t>
      </w:r>
      <w:proofErr w:type="spellStart"/>
      <w:r w:rsidRPr="00580C0D">
        <w:t>ein</w:t>
      </w:r>
      <w:proofErr w:type="spellEnd"/>
      <w:r w:rsidRPr="00580C0D">
        <w:t xml:space="preserve"> underlagsrapport om </w:t>
      </w:r>
      <w:proofErr w:type="spellStart"/>
      <w:r w:rsidRPr="00580C0D">
        <w:t>føresetnader</w:t>
      </w:r>
      <w:proofErr w:type="spellEnd"/>
      <w:r w:rsidRPr="00580C0D">
        <w:t xml:space="preserve">, status, behov og </w:t>
      </w:r>
      <w:proofErr w:type="spellStart"/>
      <w:r w:rsidRPr="00580C0D">
        <w:t>barrierar</w:t>
      </w:r>
      <w:proofErr w:type="spellEnd"/>
      <w:r w:rsidRPr="00580C0D">
        <w:t xml:space="preserve"> for </w:t>
      </w:r>
      <w:proofErr w:type="spellStart"/>
      <w:r w:rsidRPr="00580C0D">
        <w:t>tilgjengeleggjering</w:t>
      </w:r>
      <w:proofErr w:type="spellEnd"/>
      <w:r w:rsidRPr="00580C0D">
        <w:t xml:space="preserve"> av ulike alternative </w:t>
      </w:r>
      <w:proofErr w:type="spellStart"/>
      <w:r w:rsidRPr="00580C0D">
        <w:t>berekraftige</w:t>
      </w:r>
      <w:proofErr w:type="spellEnd"/>
      <w:r w:rsidRPr="00580C0D">
        <w:t xml:space="preserve"> drivstoff til skipsfarten. Departementet arbeider </w:t>
      </w:r>
      <w:proofErr w:type="spellStart"/>
      <w:r w:rsidRPr="00580C0D">
        <w:t>no</w:t>
      </w:r>
      <w:proofErr w:type="spellEnd"/>
      <w:r w:rsidRPr="00580C0D">
        <w:t xml:space="preserve"> med utforminga av den nasjonale planen. Regjeringa vil komme tilbake til Stortinget på eigna måte.</w:t>
      </w:r>
    </w:p>
    <w:p w14:paraId="67809A85" w14:textId="77777777" w:rsidR="00F7113A" w:rsidRPr="00580C0D" w:rsidRDefault="00142E5B" w:rsidP="00580C0D">
      <w:pPr>
        <w:pStyle w:val="avsnitt-tittel"/>
      </w:pPr>
      <w:r w:rsidRPr="00580C0D">
        <w:t>Forslag om revidering av motorferdsellova</w:t>
      </w:r>
    </w:p>
    <w:p w14:paraId="4BB4D92D" w14:textId="77777777" w:rsidR="00F7113A" w:rsidRPr="00580C0D" w:rsidRDefault="00142E5B" w:rsidP="00580C0D">
      <w:pPr>
        <w:pStyle w:val="avsnitt-undertittel"/>
      </w:pPr>
      <w:r w:rsidRPr="00580C0D">
        <w:t>Vedtak nr. 973, 25. mai 2021</w:t>
      </w:r>
    </w:p>
    <w:p w14:paraId="73FC6CA9" w14:textId="77777777" w:rsidR="00F7113A" w:rsidRPr="00580C0D" w:rsidRDefault="00142E5B" w:rsidP="00580C0D">
      <w:pPr>
        <w:pStyle w:val="blokksit"/>
        <w:rPr>
          <w:rStyle w:val="kursiv"/>
        </w:rPr>
      </w:pPr>
      <w:r w:rsidRPr="00580C0D">
        <w:rPr>
          <w:rStyle w:val="kursiv"/>
        </w:rPr>
        <w:t>«Stortinget ber regjeringen fremme forslag om revidering av lov om motorferdsel i utmark og vassdrag med sikte på økt lokalt selvstyre og redusert byråkrati knyttet til praktiseringen av loven, samtidig som hensyn til natur og friluftsliv blir ivaretatt.»</w:t>
      </w:r>
    </w:p>
    <w:p w14:paraId="35E17D04"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8:155 S (2020–2021), </w:t>
      </w:r>
      <w:r w:rsidRPr="00580C0D">
        <w:rPr>
          <w:rStyle w:val="kursiv"/>
        </w:rPr>
        <w:t>Representantforslag om lokalt selvstyre over motorisert ferdsel i utmark</w:t>
      </w:r>
      <w:r w:rsidRPr="00580C0D">
        <w:t xml:space="preserve">, og Dokument 8:161 S (2020–2021), </w:t>
      </w:r>
      <w:r w:rsidRPr="00580C0D">
        <w:rPr>
          <w:rStyle w:val="kursiv"/>
        </w:rPr>
        <w:t>Representantforslag om revidering av lov om motorferdsel i utmark og vassdrag med sikte på redusert byråkrati</w:t>
      </w:r>
      <w:r w:rsidRPr="00580C0D">
        <w:t xml:space="preserve">, jf. </w:t>
      </w:r>
      <w:proofErr w:type="spellStart"/>
      <w:r w:rsidRPr="00580C0D">
        <w:t>Innst</w:t>
      </w:r>
      <w:proofErr w:type="spellEnd"/>
      <w:r w:rsidRPr="00580C0D">
        <w:t>. 429 S (2020–2021)</w:t>
      </w:r>
    </w:p>
    <w:p w14:paraId="2685D267" w14:textId="77777777" w:rsidR="00F7113A" w:rsidRPr="00580C0D" w:rsidRDefault="00142E5B" w:rsidP="00580C0D">
      <w:r w:rsidRPr="00580C0D">
        <w:t xml:space="preserve">Vedtaket </w:t>
      </w:r>
      <w:proofErr w:type="spellStart"/>
      <w:r w:rsidRPr="00580C0D">
        <w:t>frå</w:t>
      </w:r>
      <w:proofErr w:type="spellEnd"/>
      <w:r w:rsidRPr="00580C0D">
        <w:t xml:space="preserve"> Stortinget er bakgrunnen for at Kongen i statsråd 3. september 2021 sette ned </w:t>
      </w:r>
      <w:proofErr w:type="spellStart"/>
      <w:r w:rsidRPr="00580C0D">
        <w:t>eit</w:t>
      </w:r>
      <w:proofErr w:type="spellEnd"/>
      <w:r w:rsidRPr="00580C0D">
        <w:t xml:space="preserve"> </w:t>
      </w:r>
      <w:proofErr w:type="spellStart"/>
      <w:r w:rsidRPr="00580C0D">
        <w:t>offentleg</w:t>
      </w:r>
      <w:proofErr w:type="spellEnd"/>
      <w:r w:rsidRPr="00580C0D">
        <w:t xml:space="preserve"> </w:t>
      </w:r>
      <w:proofErr w:type="spellStart"/>
      <w:r w:rsidRPr="00580C0D">
        <w:t>utval</w:t>
      </w:r>
      <w:proofErr w:type="spellEnd"/>
      <w:r w:rsidRPr="00580C0D">
        <w:t xml:space="preserve"> som skal gjennomgå regelverket om motorferdsel i utmark og vassdrag og foreslå </w:t>
      </w:r>
      <w:proofErr w:type="spellStart"/>
      <w:r w:rsidRPr="00580C0D">
        <w:t>endringar</w:t>
      </w:r>
      <w:proofErr w:type="spellEnd"/>
      <w:r w:rsidRPr="00580C0D">
        <w:t xml:space="preserve"> i dette. </w:t>
      </w:r>
      <w:proofErr w:type="spellStart"/>
      <w:r w:rsidRPr="00580C0D">
        <w:t>Utvalet</w:t>
      </w:r>
      <w:proofErr w:type="spellEnd"/>
      <w:r w:rsidRPr="00580C0D">
        <w:t xml:space="preserve"> skal levere utgreiinga </w:t>
      </w:r>
      <w:proofErr w:type="spellStart"/>
      <w:r w:rsidRPr="00580C0D">
        <w:t>innan</w:t>
      </w:r>
      <w:proofErr w:type="spellEnd"/>
      <w:r w:rsidRPr="00580C0D">
        <w:t xml:space="preserve"> 1. desember 2023. Regjeringa vil komme tilbake til Stortinget med saka på eigna måte.</w:t>
      </w:r>
    </w:p>
    <w:p w14:paraId="76E58BFC" w14:textId="77777777" w:rsidR="00F7113A" w:rsidRPr="00580C0D" w:rsidRDefault="00142E5B" w:rsidP="00580C0D">
      <w:pPr>
        <w:pStyle w:val="avsnitt-tittel"/>
      </w:pPr>
      <w:r w:rsidRPr="00580C0D">
        <w:t xml:space="preserve">Oppfølging av globalt rammeverk for </w:t>
      </w:r>
      <w:proofErr w:type="spellStart"/>
      <w:r w:rsidRPr="00580C0D">
        <w:t>naturmangfald</w:t>
      </w:r>
      <w:proofErr w:type="spellEnd"/>
    </w:p>
    <w:p w14:paraId="5F384931" w14:textId="77777777" w:rsidR="00F7113A" w:rsidRPr="00580C0D" w:rsidRDefault="00142E5B" w:rsidP="00580C0D">
      <w:pPr>
        <w:pStyle w:val="avsnitt-undertittel"/>
      </w:pPr>
      <w:r w:rsidRPr="00580C0D">
        <w:t>Vedtak nr. 976, 25. mai 2021</w:t>
      </w:r>
    </w:p>
    <w:p w14:paraId="0D5CC661" w14:textId="77777777" w:rsidR="00F7113A" w:rsidRPr="00580C0D" w:rsidRDefault="00142E5B" w:rsidP="00580C0D">
      <w:pPr>
        <w:pStyle w:val="blokksit"/>
        <w:rPr>
          <w:rStyle w:val="kursiv"/>
        </w:rPr>
      </w:pPr>
      <w:r w:rsidRPr="00580C0D">
        <w:rPr>
          <w:rStyle w:val="kursiv"/>
        </w:rPr>
        <w:t>«Stortinget ber regjeringen komme tilbake til Stortinget om oppfølgingen av det globale rammeverket for naturmangfold på egnet måte så fort som mulig etter at rammeverket er på plass.»</w:t>
      </w:r>
    </w:p>
    <w:p w14:paraId="3B332818"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Dok</w:t>
      </w:r>
      <w:proofErr w:type="spellEnd"/>
      <w:r w:rsidRPr="00580C0D">
        <w:t xml:space="preserve">. 8:174 S (2020–2021), </w:t>
      </w:r>
      <w:r w:rsidRPr="00580C0D">
        <w:rPr>
          <w:rStyle w:val="kursiv"/>
        </w:rPr>
        <w:t>Representantforslag om en strategi</w:t>
      </w:r>
      <w:r w:rsidRPr="00580C0D">
        <w:t xml:space="preserve"> </w:t>
      </w:r>
      <w:r w:rsidRPr="00580C0D">
        <w:rPr>
          <w:rStyle w:val="kursiv"/>
        </w:rPr>
        <w:t>for arbeidet med FNs naturavtale</w:t>
      </w:r>
      <w:r w:rsidRPr="00580C0D">
        <w:t xml:space="preserve">, jf. </w:t>
      </w:r>
      <w:proofErr w:type="spellStart"/>
      <w:r w:rsidRPr="00580C0D">
        <w:t>Innst</w:t>
      </w:r>
      <w:proofErr w:type="spellEnd"/>
      <w:r w:rsidRPr="00580C0D">
        <w:t>. 434 S (2020–2021).</w:t>
      </w:r>
    </w:p>
    <w:p w14:paraId="3495E4AE" w14:textId="77777777" w:rsidR="00F7113A" w:rsidRPr="00580C0D" w:rsidRDefault="00142E5B" w:rsidP="00580C0D">
      <w:proofErr w:type="spellStart"/>
      <w:r w:rsidRPr="00580C0D">
        <w:t>Forhandlingane</w:t>
      </w:r>
      <w:proofErr w:type="spellEnd"/>
      <w:r w:rsidRPr="00580C0D">
        <w:t xml:space="preserve"> om </w:t>
      </w:r>
      <w:proofErr w:type="spellStart"/>
      <w:r w:rsidRPr="00580C0D">
        <w:t>eit</w:t>
      </w:r>
      <w:proofErr w:type="spellEnd"/>
      <w:r w:rsidRPr="00580C0D">
        <w:t xml:space="preserve"> globalt rammeverk for </w:t>
      </w:r>
      <w:proofErr w:type="spellStart"/>
      <w:r w:rsidRPr="00580C0D">
        <w:t>naturmangfald</w:t>
      </w:r>
      <w:proofErr w:type="spellEnd"/>
      <w:r w:rsidRPr="00580C0D">
        <w:t xml:space="preserve"> vart avslutta under COP 15 i Montreal i Canada, 7.–19. desember 2022. Regjeringa har starta arbeidet med ei stortingsmelding om korleis </w:t>
      </w:r>
      <w:proofErr w:type="spellStart"/>
      <w:r w:rsidRPr="00580C0D">
        <w:t>Noreg</w:t>
      </w:r>
      <w:proofErr w:type="spellEnd"/>
      <w:r w:rsidRPr="00580C0D">
        <w:t xml:space="preserve"> skal </w:t>
      </w:r>
      <w:proofErr w:type="spellStart"/>
      <w:r w:rsidRPr="00580C0D">
        <w:t>følgje</w:t>
      </w:r>
      <w:proofErr w:type="spellEnd"/>
      <w:r w:rsidRPr="00580C0D">
        <w:t xml:space="preserve"> opp rammeverket.</w:t>
      </w:r>
    </w:p>
    <w:p w14:paraId="7572B762" w14:textId="77777777" w:rsidR="00F7113A" w:rsidRPr="00580C0D" w:rsidRDefault="00142E5B" w:rsidP="00580C0D">
      <w:r w:rsidRPr="00580C0D">
        <w:t xml:space="preserve">Regjeringa </w:t>
      </w:r>
      <w:proofErr w:type="spellStart"/>
      <w:r w:rsidRPr="00580C0D">
        <w:t>tek</w:t>
      </w:r>
      <w:proofErr w:type="spellEnd"/>
      <w:r w:rsidRPr="00580C0D">
        <w:t xml:space="preserve"> sikte på å </w:t>
      </w:r>
      <w:proofErr w:type="spellStart"/>
      <w:r w:rsidRPr="00580C0D">
        <w:t>leggje</w:t>
      </w:r>
      <w:proofErr w:type="spellEnd"/>
      <w:r w:rsidRPr="00580C0D">
        <w:t xml:space="preserve"> fram stortingsmeldinga i løpet av 2024.</w:t>
      </w:r>
    </w:p>
    <w:p w14:paraId="4CF21214" w14:textId="77777777" w:rsidR="00F7113A" w:rsidRPr="00580C0D" w:rsidRDefault="00142E5B" w:rsidP="00580C0D">
      <w:pPr>
        <w:pStyle w:val="avsnitt-tittel"/>
      </w:pPr>
      <w:r w:rsidRPr="00580C0D">
        <w:t xml:space="preserve">Greie ut </w:t>
      </w:r>
      <w:proofErr w:type="spellStart"/>
      <w:r w:rsidRPr="00580C0D">
        <w:t>insentivordning</w:t>
      </w:r>
      <w:proofErr w:type="spellEnd"/>
      <w:r w:rsidRPr="00580C0D">
        <w:t xml:space="preserve"> for at frivillige, inkl. lag og </w:t>
      </w:r>
      <w:proofErr w:type="spellStart"/>
      <w:r w:rsidRPr="00580C0D">
        <w:t>organisasjonar</w:t>
      </w:r>
      <w:proofErr w:type="spellEnd"/>
      <w:r w:rsidRPr="00580C0D">
        <w:t>, vil bidra til rydding av plast</w:t>
      </w:r>
    </w:p>
    <w:p w14:paraId="7DAC5D42" w14:textId="77777777" w:rsidR="00F7113A" w:rsidRPr="00580C0D" w:rsidRDefault="00142E5B" w:rsidP="00580C0D">
      <w:pPr>
        <w:pStyle w:val="avsnitt-undertittel"/>
      </w:pPr>
      <w:r w:rsidRPr="00580C0D">
        <w:t>Vedtak 1001, 27. mai 2021</w:t>
      </w:r>
    </w:p>
    <w:p w14:paraId="58829E91" w14:textId="77777777" w:rsidR="00F7113A" w:rsidRPr="00580C0D" w:rsidRDefault="00142E5B" w:rsidP="00580C0D">
      <w:pPr>
        <w:pStyle w:val="blokksit"/>
        <w:rPr>
          <w:rStyle w:val="kursiv"/>
        </w:rPr>
      </w:pPr>
      <w:r w:rsidRPr="00580C0D">
        <w:rPr>
          <w:rStyle w:val="kursiv"/>
        </w:rPr>
        <w:t>«Stortinget ber regjeringen utrede en incentivordning for at flere frivillige, inkludert lag og organisasjoner, vil bidra til rydding av plast.»</w:t>
      </w:r>
    </w:p>
    <w:p w14:paraId="260A089A"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8:236 S (2020–2021) </w:t>
      </w:r>
      <w:r w:rsidRPr="00580C0D">
        <w:rPr>
          <w:rStyle w:val="kursiv"/>
        </w:rPr>
        <w:t>Representantforslag om globale og nasjonale tiltak for renere hav og håndtering av plast</w:t>
      </w:r>
      <w:r w:rsidRPr="00580C0D">
        <w:t xml:space="preserve">, jf. </w:t>
      </w:r>
      <w:proofErr w:type="spellStart"/>
      <w:r w:rsidRPr="00580C0D">
        <w:t>Innst</w:t>
      </w:r>
      <w:proofErr w:type="spellEnd"/>
      <w:r w:rsidRPr="00580C0D">
        <w:t>. 445 S (2020–2021).</w:t>
      </w:r>
    </w:p>
    <w:p w14:paraId="69F8D34F" w14:textId="77777777" w:rsidR="00F7113A" w:rsidRPr="00580C0D" w:rsidRDefault="00142E5B" w:rsidP="00580C0D">
      <w:r w:rsidRPr="00580C0D">
        <w:t>Senter mot marin forsøpling (</w:t>
      </w:r>
      <w:proofErr w:type="spellStart"/>
      <w:r w:rsidRPr="00580C0D">
        <w:t>Marfo</w:t>
      </w:r>
      <w:proofErr w:type="spellEnd"/>
      <w:r w:rsidRPr="00580C0D">
        <w:t xml:space="preserve">) har etter oppdrag </w:t>
      </w:r>
      <w:proofErr w:type="spellStart"/>
      <w:r w:rsidRPr="00580C0D">
        <w:t>frå</w:t>
      </w:r>
      <w:proofErr w:type="spellEnd"/>
      <w:r w:rsidRPr="00580C0D">
        <w:t xml:space="preserve"> Klima- og miljødepartementet evaluert ordninga for </w:t>
      </w:r>
      <w:proofErr w:type="spellStart"/>
      <w:r w:rsidRPr="00580C0D">
        <w:t>tilskot</w:t>
      </w:r>
      <w:proofErr w:type="spellEnd"/>
      <w:r w:rsidRPr="00580C0D">
        <w:t xml:space="preserve"> til tiltak mot marin forsøpling og greidd ut </w:t>
      </w:r>
      <w:proofErr w:type="spellStart"/>
      <w:r w:rsidRPr="00580C0D">
        <w:t>moglege</w:t>
      </w:r>
      <w:proofErr w:type="spellEnd"/>
      <w:r w:rsidRPr="00580C0D">
        <w:t xml:space="preserve"> tiltak for styrkt tilrettelegging og koordinering av opprydding av marin forsøpling, inkludert det frivillige oppryddingsarbeidet. Klima- og miljødepartementet har vurdert </w:t>
      </w:r>
      <w:proofErr w:type="spellStart"/>
      <w:r w:rsidRPr="00580C0D">
        <w:t>utgreiingane</w:t>
      </w:r>
      <w:proofErr w:type="spellEnd"/>
      <w:r w:rsidRPr="00580C0D">
        <w:t xml:space="preserve">, og det blir </w:t>
      </w:r>
      <w:proofErr w:type="spellStart"/>
      <w:r w:rsidRPr="00580C0D">
        <w:t>teke</w:t>
      </w:r>
      <w:proofErr w:type="spellEnd"/>
      <w:r w:rsidRPr="00580C0D">
        <w:t xml:space="preserve"> omsyn til </w:t>
      </w:r>
      <w:proofErr w:type="spellStart"/>
      <w:r w:rsidRPr="00580C0D">
        <w:t>desse</w:t>
      </w:r>
      <w:proofErr w:type="spellEnd"/>
      <w:r w:rsidRPr="00580C0D">
        <w:t xml:space="preserve"> i det </w:t>
      </w:r>
      <w:proofErr w:type="spellStart"/>
      <w:r w:rsidRPr="00580C0D">
        <w:t>vidare</w:t>
      </w:r>
      <w:proofErr w:type="spellEnd"/>
      <w:r w:rsidRPr="00580C0D">
        <w:t xml:space="preserve"> arbeidet.</w:t>
      </w:r>
    </w:p>
    <w:p w14:paraId="09CF75F6" w14:textId="77777777" w:rsidR="00F7113A" w:rsidRPr="00580C0D" w:rsidRDefault="00142E5B" w:rsidP="00580C0D">
      <w:r w:rsidRPr="00580C0D">
        <w:t xml:space="preserve">Departementet ser på vedtaket som </w:t>
      </w:r>
      <w:proofErr w:type="spellStart"/>
      <w:r w:rsidRPr="00580C0D">
        <w:t>følgt</w:t>
      </w:r>
      <w:proofErr w:type="spellEnd"/>
      <w:r w:rsidRPr="00580C0D">
        <w:t xml:space="preserve"> opp.</w:t>
      </w:r>
    </w:p>
    <w:p w14:paraId="76ED264C" w14:textId="77777777" w:rsidR="00F7113A" w:rsidRPr="00580C0D" w:rsidRDefault="00142E5B" w:rsidP="00580C0D">
      <w:pPr>
        <w:pStyle w:val="avsnitt-tittel"/>
      </w:pPr>
      <w:proofErr w:type="spellStart"/>
      <w:r w:rsidRPr="00580C0D">
        <w:t>Tilskotsordning</w:t>
      </w:r>
      <w:proofErr w:type="spellEnd"/>
      <w:r w:rsidRPr="00580C0D">
        <w:t xml:space="preserve"> som </w:t>
      </w:r>
      <w:proofErr w:type="spellStart"/>
      <w:r w:rsidRPr="00580C0D">
        <w:t>dekkjer</w:t>
      </w:r>
      <w:proofErr w:type="spellEnd"/>
      <w:r w:rsidRPr="00580C0D">
        <w:t xml:space="preserve"> kostnadene med </w:t>
      </w:r>
      <w:proofErr w:type="spellStart"/>
      <w:r w:rsidRPr="00580C0D">
        <w:t>leveransar</w:t>
      </w:r>
      <w:proofErr w:type="spellEnd"/>
      <w:r w:rsidRPr="00580C0D">
        <w:t xml:space="preserve"> av avfall etter frivillige </w:t>
      </w:r>
      <w:proofErr w:type="spellStart"/>
      <w:r w:rsidRPr="00580C0D">
        <w:t>ryddeaksjonar</w:t>
      </w:r>
      <w:proofErr w:type="spellEnd"/>
    </w:p>
    <w:p w14:paraId="02E319D7" w14:textId="77777777" w:rsidR="00F7113A" w:rsidRPr="00580C0D" w:rsidRDefault="00142E5B" w:rsidP="00580C0D">
      <w:pPr>
        <w:pStyle w:val="avsnitt-undertittel"/>
      </w:pPr>
      <w:r w:rsidRPr="00580C0D">
        <w:t>Vedtak 1004, 27. mai 2021</w:t>
      </w:r>
    </w:p>
    <w:p w14:paraId="5D62F3B1" w14:textId="77777777" w:rsidR="00F7113A" w:rsidRPr="00580C0D" w:rsidRDefault="00142E5B" w:rsidP="00580C0D">
      <w:pPr>
        <w:pStyle w:val="blokksit"/>
        <w:rPr>
          <w:rStyle w:val="kursiv"/>
        </w:rPr>
      </w:pPr>
      <w:r w:rsidRPr="00580C0D">
        <w:rPr>
          <w:rStyle w:val="kursiv"/>
        </w:rPr>
        <w:t>«Stortinget ber regjeringen vurdere å innføre en tilskuddsordning som dekker kostnadene forbundet med leveranser av avfall etter frivillige ryddeaksjoner. Stortinget ber regjeringen legge frem en sak om dette i forbindelse med statsbudsjettet for 2022.»</w:t>
      </w:r>
    </w:p>
    <w:p w14:paraId="382BBC0C"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Dok</w:t>
      </w:r>
      <w:proofErr w:type="spellEnd"/>
      <w:r w:rsidRPr="00580C0D">
        <w:t xml:space="preserve">. 8:236 S (2020–2021) </w:t>
      </w:r>
      <w:r w:rsidRPr="00580C0D">
        <w:rPr>
          <w:rStyle w:val="kursiv"/>
        </w:rPr>
        <w:t>Representantforslag om globale og nasjonale tiltak for renere hav og håndtering av plast</w:t>
      </w:r>
      <w:r w:rsidRPr="00580C0D">
        <w:t xml:space="preserve">, jf. </w:t>
      </w:r>
      <w:proofErr w:type="spellStart"/>
      <w:r w:rsidRPr="00580C0D">
        <w:t>Innst</w:t>
      </w:r>
      <w:proofErr w:type="spellEnd"/>
      <w:r w:rsidRPr="00580C0D">
        <w:t>. 445 S (2020–2021).</w:t>
      </w:r>
    </w:p>
    <w:p w14:paraId="00D9F4AD" w14:textId="77777777" w:rsidR="00F7113A" w:rsidRPr="00580C0D" w:rsidRDefault="00142E5B" w:rsidP="00580C0D">
      <w:r w:rsidRPr="00580C0D">
        <w:t xml:space="preserve">Miljøstyresmaktene </w:t>
      </w:r>
      <w:proofErr w:type="spellStart"/>
      <w:r w:rsidRPr="00580C0D">
        <w:t>forvaltar</w:t>
      </w:r>
      <w:proofErr w:type="spellEnd"/>
      <w:r w:rsidRPr="00580C0D">
        <w:t xml:space="preserve"> ei </w:t>
      </w:r>
      <w:proofErr w:type="spellStart"/>
      <w:r w:rsidRPr="00580C0D">
        <w:t>tilskotsordning</w:t>
      </w:r>
      <w:proofErr w:type="spellEnd"/>
      <w:r w:rsidRPr="00580C0D">
        <w:t xml:space="preserve"> for støtte til tiltak mot marin forsøpling. I 2023 </w:t>
      </w:r>
      <w:proofErr w:type="spellStart"/>
      <w:r w:rsidRPr="00580C0D">
        <w:t>vart</w:t>
      </w:r>
      <w:proofErr w:type="spellEnd"/>
      <w:r w:rsidRPr="00580C0D">
        <w:t xml:space="preserve"> det delt ut 33,5 mill. kroner til ulike oppryddingstiltak og </w:t>
      </w:r>
      <w:proofErr w:type="spellStart"/>
      <w:r w:rsidRPr="00580C0D">
        <w:t>nokre</w:t>
      </w:r>
      <w:proofErr w:type="spellEnd"/>
      <w:r w:rsidRPr="00580C0D">
        <w:t xml:space="preserve"> </w:t>
      </w:r>
      <w:proofErr w:type="spellStart"/>
      <w:r w:rsidRPr="00580C0D">
        <w:t>førebyggjande</w:t>
      </w:r>
      <w:proofErr w:type="spellEnd"/>
      <w:r w:rsidRPr="00580C0D">
        <w:t xml:space="preserve"> tiltak. </w:t>
      </w:r>
      <w:proofErr w:type="spellStart"/>
      <w:r w:rsidRPr="00580C0D">
        <w:t>Nokre</w:t>
      </w:r>
      <w:proofErr w:type="spellEnd"/>
      <w:r w:rsidRPr="00580C0D">
        <w:t xml:space="preserve"> </w:t>
      </w:r>
      <w:proofErr w:type="spellStart"/>
      <w:r w:rsidRPr="00580C0D">
        <w:t>kommunar</w:t>
      </w:r>
      <w:proofErr w:type="spellEnd"/>
      <w:r w:rsidRPr="00580C0D">
        <w:t xml:space="preserve"> har avfallsanlegg som </w:t>
      </w:r>
      <w:proofErr w:type="spellStart"/>
      <w:r w:rsidRPr="00580C0D">
        <w:t>tek</w:t>
      </w:r>
      <w:proofErr w:type="spellEnd"/>
      <w:r w:rsidRPr="00580C0D">
        <w:t xml:space="preserve"> imot rydda avfall gratis, </w:t>
      </w:r>
      <w:proofErr w:type="spellStart"/>
      <w:r w:rsidRPr="00580C0D">
        <w:t>medan</w:t>
      </w:r>
      <w:proofErr w:type="spellEnd"/>
      <w:r w:rsidRPr="00580C0D">
        <w:t xml:space="preserve"> andre </w:t>
      </w:r>
      <w:proofErr w:type="spellStart"/>
      <w:r w:rsidRPr="00580C0D">
        <w:t>tek</w:t>
      </w:r>
      <w:proofErr w:type="spellEnd"/>
      <w:r w:rsidRPr="00580C0D">
        <w:t xml:space="preserve"> betalt. Dekning av kostnader til levering av avfall inngår ofte i prosjekta som får støtte. </w:t>
      </w:r>
      <w:proofErr w:type="spellStart"/>
      <w:r w:rsidRPr="00580C0D">
        <w:t>Refusjonar</w:t>
      </w:r>
      <w:proofErr w:type="spellEnd"/>
      <w:r w:rsidRPr="00580C0D">
        <w:t xml:space="preserve"> til frivillige av mindre utgifter til ryddeutstyr, transport og levering av rydda avfall har i </w:t>
      </w:r>
      <w:proofErr w:type="spellStart"/>
      <w:r w:rsidRPr="00580C0D">
        <w:t>fleire</w:t>
      </w:r>
      <w:proofErr w:type="spellEnd"/>
      <w:r w:rsidRPr="00580C0D">
        <w:t xml:space="preserve"> år </w:t>
      </w:r>
      <w:proofErr w:type="spellStart"/>
      <w:r w:rsidRPr="00580C0D">
        <w:t>vore</w:t>
      </w:r>
      <w:proofErr w:type="spellEnd"/>
      <w:r w:rsidRPr="00580C0D">
        <w:t xml:space="preserve"> handterte ved Hold Norge Rents refusjonsordning. </w:t>
      </w:r>
      <w:proofErr w:type="spellStart"/>
      <w:r w:rsidRPr="00580C0D">
        <w:t>Midlar</w:t>
      </w:r>
      <w:proofErr w:type="spellEnd"/>
      <w:r w:rsidRPr="00580C0D">
        <w:t xml:space="preserve"> til refusjonsordninga har inngått i støtta Hold Norge Rent har fått </w:t>
      </w:r>
      <w:proofErr w:type="spellStart"/>
      <w:r w:rsidRPr="00580C0D">
        <w:t>frå</w:t>
      </w:r>
      <w:proofErr w:type="spellEnd"/>
      <w:r w:rsidRPr="00580C0D">
        <w:t xml:space="preserve"> </w:t>
      </w:r>
      <w:proofErr w:type="spellStart"/>
      <w:r w:rsidRPr="00580C0D">
        <w:t>tilskotsordninga</w:t>
      </w:r>
      <w:proofErr w:type="spellEnd"/>
      <w:r w:rsidRPr="00580C0D">
        <w:t xml:space="preserve">. Handelens Miljøfond har </w:t>
      </w:r>
      <w:proofErr w:type="spellStart"/>
      <w:r w:rsidRPr="00580C0D">
        <w:t>auka</w:t>
      </w:r>
      <w:proofErr w:type="spellEnd"/>
      <w:r w:rsidRPr="00580C0D">
        <w:t xml:space="preserve"> støtta til det frivillige oppryddingsarbeidet, og støtta kan òg </w:t>
      </w:r>
      <w:proofErr w:type="spellStart"/>
      <w:r w:rsidRPr="00580C0D">
        <w:t>dekkje</w:t>
      </w:r>
      <w:proofErr w:type="spellEnd"/>
      <w:r w:rsidRPr="00580C0D">
        <w:t xml:space="preserve"> slike utgifter.</w:t>
      </w:r>
    </w:p>
    <w:p w14:paraId="448C3BEE" w14:textId="77777777" w:rsidR="00F7113A" w:rsidRPr="00580C0D" w:rsidRDefault="00142E5B" w:rsidP="00580C0D">
      <w:r w:rsidRPr="00580C0D">
        <w:t xml:space="preserve">På oppdrag </w:t>
      </w:r>
      <w:proofErr w:type="spellStart"/>
      <w:r w:rsidRPr="00580C0D">
        <w:t>frå</w:t>
      </w:r>
      <w:proofErr w:type="spellEnd"/>
      <w:r w:rsidRPr="00580C0D">
        <w:t xml:space="preserve"> Klima- og miljødepartementet har </w:t>
      </w:r>
      <w:proofErr w:type="spellStart"/>
      <w:r w:rsidRPr="00580C0D">
        <w:t>Marfo</w:t>
      </w:r>
      <w:proofErr w:type="spellEnd"/>
      <w:r w:rsidRPr="00580C0D">
        <w:t xml:space="preserve"> gjennomført ei utgreiing av tiltak for styrkt tilrettelegging og koordinering av opprydding av marin forsøpling. </w:t>
      </w:r>
      <w:proofErr w:type="spellStart"/>
      <w:r w:rsidRPr="00580C0D">
        <w:t>Moglege</w:t>
      </w:r>
      <w:proofErr w:type="spellEnd"/>
      <w:r w:rsidRPr="00580C0D">
        <w:t xml:space="preserve"> andre grep knytte til dekning av utgifter til levering av avfall inngår i utgreiinga. Klima- og miljødepartementet vurderer </w:t>
      </w:r>
      <w:proofErr w:type="spellStart"/>
      <w:r w:rsidRPr="00580C0D">
        <w:t>no</w:t>
      </w:r>
      <w:proofErr w:type="spellEnd"/>
      <w:r w:rsidRPr="00580C0D">
        <w:t xml:space="preserve"> situasjonen samla. Regjeringa meiner det </w:t>
      </w:r>
      <w:proofErr w:type="spellStart"/>
      <w:r w:rsidRPr="00580C0D">
        <w:t>ikkje</w:t>
      </w:r>
      <w:proofErr w:type="spellEnd"/>
      <w:r w:rsidRPr="00580C0D">
        <w:t xml:space="preserve"> er aktuelt med ei </w:t>
      </w:r>
      <w:proofErr w:type="spellStart"/>
      <w:r w:rsidRPr="00580C0D">
        <w:t>ytterlegare</w:t>
      </w:r>
      <w:proofErr w:type="spellEnd"/>
      <w:r w:rsidRPr="00580C0D">
        <w:t xml:space="preserve"> </w:t>
      </w:r>
      <w:proofErr w:type="spellStart"/>
      <w:r w:rsidRPr="00580C0D">
        <w:t>tilskotsordning</w:t>
      </w:r>
      <w:proofErr w:type="spellEnd"/>
      <w:r w:rsidRPr="00580C0D">
        <w:t>.</w:t>
      </w:r>
    </w:p>
    <w:p w14:paraId="52E4044F" w14:textId="77777777" w:rsidR="00F7113A" w:rsidRPr="00580C0D" w:rsidRDefault="00142E5B" w:rsidP="00580C0D">
      <w:r w:rsidRPr="00580C0D">
        <w:t xml:space="preserve">Departementet ser på vedtaket som </w:t>
      </w:r>
      <w:proofErr w:type="spellStart"/>
      <w:r w:rsidRPr="00580C0D">
        <w:t>følgt</w:t>
      </w:r>
      <w:proofErr w:type="spellEnd"/>
      <w:r w:rsidRPr="00580C0D">
        <w:t xml:space="preserve"> opp.</w:t>
      </w:r>
    </w:p>
    <w:p w14:paraId="108630C1" w14:textId="77777777" w:rsidR="00F7113A" w:rsidRPr="00580C0D" w:rsidRDefault="00142E5B" w:rsidP="00580C0D">
      <w:pPr>
        <w:pStyle w:val="avsnitt-tittel"/>
      </w:pPr>
      <w:r w:rsidRPr="00580C0D">
        <w:t>Harmonisere rammevilkåra for biogassproduksjon i Norden</w:t>
      </w:r>
    </w:p>
    <w:p w14:paraId="07091EBA" w14:textId="77777777" w:rsidR="00F7113A" w:rsidRPr="00580C0D" w:rsidRDefault="00142E5B" w:rsidP="00580C0D">
      <w:pPr>
        <w:pStyle w:val="avsnitt-undertittel"/>
      </w:pPr>
      <w:r w:rsidRPr="00580C0D">
        <w:t>Vedtak 1009, 27. mai 2021</w:t>
      </w:r>
    </w:p>
    <w:p w14:paraId="03EC8B68" w14:textId="77777777" w:rsidR="00F7113A" w:rsidRPr="00580C0D" w:rsidRDefault="00142E5B" w:rsidP="00580C0D">
      <w:pPr>
        <w:pStyle w:val="blokksit"/>
        <w:rPr>
          <w:rStyle w:val="kursiv"/>
        </w:rPr>
      </w:pPr>
      <w:r w:rsidRPr="00580C0D">
        <w:rPr>
          <w:rStyle w:val="kursiv"/>
        </w:rPr>
        <w:t>«Stortinget ber regjeringen om å ta initiativ til å harmonisere rammevilkårene for biogassproduksjon i Norden og komme tilbake til Stortinget med en plan for dette for å bidra til å utvikle biogassnæringen i Norge.»</w:t>
      </w:r>
    </w:p>
    <w:p w14:paraId="24ACD359"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w:t>
      </w:r>
      <w:proofErr w:type="spellStart"/>
      <w:r w:rsidRPr="00580C0D">
        <w:t>Dok</w:t>
      </w:r>
      <w:proofErr w:type="spellEnd"/>
      <w:r w:rsidRPr="00580C0D">
        <w:t xml:space="preserve">. 8:231 S (2020–2021) </w:t>
      </w:r>
      <w:r w:rsidRPr="00580C0D">
        <w:rPr>
          <w:rStyle w:val="kursiv"/>
        </w:rPr>
        <w:t>Representantforslag om å fjerne de statlige barrierene for produksjon og bruk av biogass</w:t>
      </w:r>
      <w:r w:rsidRPr="00580C0D">
        <w:t xml:space="preserve">, jf. </w:t>
      </w:r>
      <w:proofErr w:type="spellStart"/>
      <w:r w:rsidRPr="00580C0D">
        <w:t>Innst</w:t>
      </w:r>
      <w:proofErr w:type="spellEnd"/>
      <w:r w:rsidRPr="00580C0D">
        <w:t>. 468 S (2020–2021).</w:t>
      </w:r>
    </w:p>
    <w:p w14:paraId="1534CA83" w14:textId="77777777" w:rsidR="00F7113A" w:rsidRPr="00580C0D" w:rsidRDefault="00142E5B" w:rsidP="00580C0D">
      <w:r w:rsidRPr="00580C0D">
        <w:t xml:space="preserve">Miljødirektoratet har, på oppdrag </w:t>
      </w:r>
      <w:proofErr w:type="spellStart"/>
      <w:r w:rsidRPr="00580C0D">
        <w:t>frå</w:t>
      </w:r>
      <w:proofErr w:type="spellEnd"/>
      <w:r w:rsidRPr="00580C0D">
        <w:t xml:space="preserve"> departementet, levert </w:t>
      </w:r>
      <w:proofErr w:type="spellStart"/>
      <w:r w:rsidRPr="00580C0D">
        <w:t>ein</w:t>
      </w:r>
      <w:proofErr w:type="spellEnd"/>
      <w:r w:rsidRPr="00580C0D">
        <w:t xml:space="preserve"> rapport som gjennomgår </w:t>
      </w:r>
      <w:proofErr w:type="spellStart"/>
      <w:r w:rsidRPr="00580C0D">
        <w:t>verkemidla</w:t>
      </w:r>
      <w:proofErr w:type="spellEnd"/>
      <w:r w:rsidRPr="00580C0D">
        <w:t xml:space="preserve"> for biogass i </w:t>
      </w:r>
      <w:proofErr w:type="spellStart"/>
      <w:r w:rsidRPr="00580C0D">
        <w:t>Noreg</w:t>
      </w:r>
      <w:proofErr w:type="spellEnd"/>
      <w:r w:rsidRPr="00580C0D">
        <w:t xml:space="preserve">, Sverige og Danmark. Vi viser òg til vedtak nr. 753, 10. juni 2022, om harmonisering av rammevilkåra for biogass i Norden. Sjå omtale av korleis rapporten blir </w:t>
      </w:r>
      <w:proofErr w:type="spellStart"/>
      <w:r w:rsidRPr="00580C0D">
        <w:t>følgd</w:t>
      </w:r>
      <w:proofErr w:type="spellEnd"/>
      <w:r w:rsidRPr="00580C0D">
        <w:t xml:space="preserve"> opp, under vedtak nr. 753. Vedtaket er under oppfølging, og Stortinget vil bli orientert på eigna måte.</w:t>
      </w:r>
    </w:p>
    <w:p w14:paraId="2549BA84" w14:textId="77777777" w:rsidR="00F7113A" w:rsidRPr="00580C0D" w:rsidRDefault="00142E5B" w:rsidP="00580C0D">
      <w:pPr>
        <w:pStyle w:val="Overskrift2"/>
      </w:pPr>
      <w:r w:rsidRPr="00580C0D">
        <w:t>Stortingssesjon 2019–2020</w:t>
      </w:r>
    </w:p>
    <w:p w14:paraId="188512E7" w14:textId="77777777" w:rsidR="00F7113A" w:rsidRPr="00580C0D" w:rsidRDefault="00142E5B" w:rsidP="00580C0D">
      <w:pPr>
        <w:pStyle w:val="avsnitt-tittel"/>
      </w:pPr>
      <w:r w:rsidRPr="00580C0D">
        <w:t>Nye mål i kulturmiljøpolitikken</w:t>
      </w:r>
    </w:p>
    <w:p w14:paraId="4432DD31" w14:textId="77777777" w:rsidR="00F7113A" w:rsidRPr="00580C0D" w:rsidRDefault="00142E5B" w:rsidP="00580C0D">
      <w:pPr>
        <w:pStyle w:val="avsnitt-undertittel"/>
      </w:pPr>
      <w:r w:rsidRPr="00580C0D">
        <w:t>Vedtak 708, 16. juni 2020</w:t>
      </w:r>
    </w:p>
    <w:p w14:paraId="6E5C8042" w14:textId="77777777" w:rsidR="00F7113A" w:rsidRPr="00580C0D" w:rsidRDefault="00142E5B" w:rsidP="00580C0D">
      <w:pPr>
        <w:pStyle w:val="blokksit"/>
        <w:rPr>
          <w:rStyle w:val="kursiv"/>
        </w:rPr>
      </w:pPr>
      <w:r w:rsidRPr="00580C0D">
        <w:rPr>
          <w:rStyle w:val="kursiv"/>
        </w:rPr>
        <w:t>«Stortinget ber regjeringen legge til grunn at en av de nye bevaringsstrategiene skal handle om kirker, og at det i den forbindelse legges til grunn en målsetting om at alle steinkirker fra middel-alderen skal ha ordinært vedlikeholdsnivå innen 1 000-årsjubileet for slaget på Stiklestad i 2030.»</w:t>
      </w:r>
    </w:p>
    <w:p w14:paraId="6DB14D8C" w14:textId="77777777" w:rsidR="00F7113A" w:rsidRPr="00580C0D" w:rsidRDefault="00142E5B" w:rsidP="00580C0D">
      <w:r w:rsidRPr="00580C0D">
        <w:t xml:space="preserve">Vedtaket </w:t>
      </w:r>
      <w:proofErr w:type="spellStart"/>
      <w:r w:rsidRPr="00580C0D">
        <w:t>vart</w:t>
      </w:r>
      <w:proofErr w:type="spellEnd"/>
      <w:r w:rsidRPr="00580C0D">
        <w:t xml:space="preserve"> gjort ved behandling av Meld. St. 16 (2019–2020) </w:t>
      </w:r>
      <w:r w:rsidRPr="00580C0D">
        <w:rPr>
          <w:rStyle w:val="kursiv"/>
        </w:rPr>
        <w:t>Nye mål i kulturmiljøpolitikken –</w:t>
      </w:r>
      <w:r w:rsidRPr="00580C0D">
        <w:t xml:space="preserve"> </w:t>
      </w:r>
      <w:r w:rsidRPr="00580C0D">
        <w:rPr>
          <w:rStyle w:val="kursiv"/>
        </w:rPr>
        <w:t>Engasjement, bærekraft og mangfold</w:t>
      </w:r>
      <w:r w:rsidRPr="00580C0D">
        <w:t xml:space="preserve">, jf. </w:t>
      </w:r>
      <w:proofErr w:type="spellStart"/>
      <w:r w:rsidRPr="00580C0D">
        <w:t>Innst</w:t>
      </w:r>
      <w:proofErr w:type="spellEnd"/>
      <w:r w:rsidRPr="00580C0D">
        <w:t>. 379 S (2019–2020).</w:t>
      </w:r>
    </w:p>
    <w:p w14:paraId="45F8F184" w14:textId="77777777" w:rsidR="00F7113A" w:rsidRPr="00580C0D" w:rsidRDefault="00142E5B" w:rsidP="00580C0D">
      <w:r w:rsidRPr="00580C0D">
        <w:t xml:space="preserve">Klima- og miljødepartementet arbeider med å </w:t>
      </w:r>
      <w:proofErr w:type="spellStart"/>
      <w:r w:rsidRPr="00580C0D">
        <w:t>følgje</w:t>
      </w:r>
      <w:proofErr w:type="spellEnd"/>
      <w:r w:rsidRPr="00580C0D">
        <w:t xml:space="preserve"> opp Meld. St.16 (2019–2020). </w:t>
      </w:r>
      <w:proofErr w:type="spellStart"/>
      <w:r w:rsidRPr="00580C0D">
        <w:t>Bevaringsstrategiane</w:t>
      </w:r>
      <w:proofErr w:type="spellEnd"/>
      <w:r w:rsidRPr="00580C0D">
        <w:t xml:space="preserve"> vil bli lagde fram for Stortinget i </w:t>
      </w:r>
      <w:proofErr w:type="spellStart"/>
      <w:r w:rsidRPr="00580C0D">
        <w:t>Prop</w:t>
      </w:r>
      <w:proofErr w:type="spellEnd"/>
      <w:r w:rsidRPr="00580C0D">
        <w:t xml:space="preserve">. 1 S (2023–2024). Barne- og familiedepartementet leier arbeidet med </w:t>
      </w:r>
      <w:proofErr w:type="spellStart"/>
      <w:r w:rsidRPr="00580C0D">
        <w:t>ein</w:t>
      </w:r>
      <w:proofErr w:type="spellEnd"/>
      <w:r w:rsidRPr="00580C0D">
        <w:t xml:space="preserve"> eigen bevaringsstrategi for kulturhistorisk verdifulle </w:t>
      </w:r>
      <w:proofErr w:type="spellStart"/>
      <w:r w:rsidRPr="00580C0D">
        <w:t>kyrkjer</w:t>
      </w:r>
      <w:proofErr w:type="spellEnd"/>
      <w:r w:rsidRPr="00580C0D">
        <w:t xml:space="preserve">. Klima- og miljødepartementet </w:t>
      </w:r>
      <w:proofErr w:type="spellStart"/>
      <w:r w:rsidRPr="00580C0D">
        <w:t>bidreg</w:t>
      </w:r>
      <w:proofErr w:type="spellEnd"/>
      <w:r w:rsidRPr="00580C0D">
        <w:t xml:space="preserve"> som </w:t>
      </w:r>
      <w:proofErr w:type="spellStart"/>
      <w:r w:rsidRPr="00580C0D">
        <w:t>samarbeidspartnar</w:t>
      </w:r>
      <w:proofErr w:type="spellEnd"/>
      <w:r w:rsidRPr="00580C0D">
        <w:t xml:space="preserve"> i arbeidet.</w:t>
      </w:r>
    </w:p>
    <w:p w14:paraId="7A561FF4" w14:textId="77777777" w:rsidR="00F7113A" w:rsidRPr="00580C0D" w:rsidRDefault="00142E5B" w:rsidP="00580C0D">
      <w:pPr>
        <w:pStyle w:val="Overskrift2"/>
      </w:pPr>
      <w:r w:rsidRPr="00580C0D">
        <w:t>Stortingssesjon 2018–2019</w:t>
      </w:r>
    </w:p>
    <w:p w14:paraId="5514CD06" w14:textId="77777777" w:rsidR="00F7113A" w:rsidRPr="00580C0D" w:rsidRDefault="00142E5B" w:rsidP="00580C0D">
      <w:pPr>
        <w:pStyle w:val="avsnitt-tittel"/>
      </w:pPr>
      <w:proofErr w:type="spellStart"/>
      <w:r w:rsidRPr="00580C0D">
        <w:t>Erstatningsreglane</w:t>
      </w:r>
      <w:proofErr w:type="spellEnd"/>
      <w:r w:rsidRPr="00580C0D">
        <w:t xml:space="preserve"> ved tap av beitedyr til rovvilt og kompensasjonsordninga (FKT)</w:t>
      </w:r>
    </w:p>
    <w:p w14:paraId="1A0A42E9" w14:textId="77777777" w:rsidR="00F7113A" w:rsidRPr="00580C0D" w:rsidRDefault="00142E5B" w:rsidP="00580C0D">
      <w:pPr>
        <w:pStyle w:val="avsnitt-undertittel"/>
      </w:pPr>
      <w:r w:rsidRPr="00580C0D">
        <w:t>Vedtak nr. 383, 31. januar 2019</w:t>
      </w:r>
    </w:p>
    <w:p w14:paraId="16B5B56C" w14:textId="77777777" w:rsidR="00F7113A" w:rsidRPr="00580C0D" w:rsidRDefault="00142E5B" w:rsidP="00580C0D">
      <w:pPr>
        <w:pStyle w:val="blokksit"/>
        <w:rPr>
          <w:rStyle w:val="kursiv"/>
        </w:rPr>
      </w:pPr>
      <w:r w:rsidRPr="00580C0D">
        <w:rPr>
          <w:rStyle w:val="kursiv"/>
        </w:rPr>
        <w:t>«Stortinget ber regjeringen foreta en vurdering av erstatningsordningene for tap av beitedyr til rovvilt og kompensasjonsordningen (FKT) og rapportere til Stortinget på egnet måte.»</w:t>
      </w:r>
    </w:p>
    <w:p w14:paraId="53FD9C5E"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Dokument 8:239 S (2017–2018) </w:t>
      </w:r>
      <w:r w:rsidRPr="00580C0D">
        <w:rPr>
          <w:rStyle w:val="kursiv"/>
        </w:rPr>
        <w:t>Representantforslag om</w:t>
      </w:r>
      <w:r w:rsidRPr="00580C0D">
        <w:t xml:space="preserve"> </w:t>
      </w:r>
      <w:r w:rsidRPr="00580C0D">
        <w:rPr>
          <w:rStyle w:val="kursiv"/>
        </w:rPr>
        <w:t>erstatningsreglene ved tap av beitedyr til rovvilt</w:t>
      </w:r>
      <w:r w:rsidRPr="00580C0D">
        <w:t xml:space="preserve">, jf. </w:t>
      </w:r>
      <w:proofErr w:type="spellStart"/>
      <w:r w:rsidRPr="00580C0D">
        <w:t>Innst</w:t>
      </w:r>
      <w:proofErr w:type="spellEnd"/>
      <w:r w:rsidRPr="00580C0D">
        <w:t>. 140 S (2018–2019).</w:t>
      </w:r>
    </w:p>
    <w:p w14:paraId="43649B77" w14:textId="77777777" w:rsidR="00F7113A" w:rsidRPr="00580C0D" w:rsidRDefault="00142E5B" w:rsidP="00580C0D">
      <w:r w:rsidRPr="00580C0D">
        <w:t xml:space="preserve">Departementet er i gang med oppfølginga av dette vedtaket. Når det </w:t>
      </w:r>
      <w:proofErr w:type="spellStart"/>
      <w:r w:rsidRPr="00580C0D">
        <w:t>gjeld</w:t>
      </w:r>
      <w:proofErr w:type="spellEnd"/>
      <w:r w:rsidRPr="00580C0D">
        <w:t xml:space="preserve"> erstatningsordninga for tap av tamrein til rovvilt, er departementet si </w:t>
      </w:r>
      <w:proofErr w:type="spellStart"/>
      <w:r w:rsidRPr="00580C0D">
        <w:t>førebelse</w:t>
      </w:r>
      <w:proofErr w:type="spellEnd"/>
      <w:r w:rsidRPr="00580C0D">
        <w:t xml:space="preserve"> vurdering at det er behov for å sjå på </w:t>
      </w:r>
      <w:proofErr w:type="spellStart"/>
      <w:r w:rsidRPr="00580C0D">
        <w:t>endringar</w:t>
      </w:r>
      <w:proofErr w:type="spellEnd"/>
      <w:r w:rsidRPr="00580C0D">
        <w:t xml:space="preserve"> i ordninga. Departementet arbeider for å få gjennomført dette og vil involvere aktuelle </w:t>
      </w:r>
      <w:proofErr w:type="spellStart"/>
      <w:r w:rsidRPr="00580C0D">
        <w:t>partar</w:t>
      </w:r>
      <w:proofErr w:type="spellEnd"/>
      <w:r w:rsidRPr="00580C0D">
        <w:t xml:space="preserve"> i arbeidet. Når det </w:t>
      </w:r>
      <w:proofErr w:type="spellStart"/>
      <w:r w:rsidRPr="00580C0D">
        <w:t>gjeld</w:t>
      </w:r>
      <w:proofErr w:type="spellEnd"/>
      <w:r w:rsidRPr="00580C0D">
        <w:t xml:space="preserve"> erstatningsordninga for tap av husdyr til rovvilt, er departementet </w:t>
      </w:r>
      <w:proofErr w:type="spellStart"/>
      <w:r w:rsidRPr="00580C0D">
        <w:t>si</w:t>
      </w:r>
      <w:proofErr w:type="spellEnd"/>
      <w:r w:rsidRPr="00580C0D">
        <w:t xml:space="preserve"> vurdering at det kan </w:t>
      </w:r>
      <w:proofErr w:type="spellStart"/>
      <w:r w:rsidRPr="00580C0D">
        <w:t>vere</w:t>
      </w:r>
      <w:proofErr w:type="spellEnd"/>
      <w:r w:rsidRPr="00580C0D">
        <w:t xml:space="preserve"> behov for enkelte </w:t>
      </w:r>
      <w:proofErr w:type="spellStart"/>
      <w:r w:rsidRPr="00580C0D">
        <w:t>justeringar</w:t>
      </w:r>
      <w:proofErr w:type="spellEnd"/>
      <w:r w:rsidRPr="00580C0D">
        <w:t xml:space="preserve"> i ordninga, men at det mellom anna av ressursmessige omsyn er </w:t>
      </w:r>
      <w:proofErr w:type="spellStart"/>
      <w:r w:rsidRPr="00580C0D">
        <w:t>tenleg</w:t>
      </w:r>
      <w:proofErr w:type="spellEnd"/>
      <w:r w:rsidRPr="00580C0D">
        <w:t xml:space="preserve"> at </w:t>
      </w:r>
      <w:proofErr w:type="spellStart"/>
      <w:r w:rsidRPr="00580C0D">
        <w:t>vidare</w:t>
      </w:r>
      <w:proofErr w:type="spellEnd"/>
      <w:r w:rsidRPr="00580C0D">
        <w:t xml:space="preserve"> </w:t>
      </w:r>
      <w:proofErr w:type="spellStart"/>
      <w:r w:rsidRPr="00580C0D">
        <w:t>vurderingar</w:t>
      </w:r>
      <w:proofErr w:type="spellEnd"/>
      <w:r w:rsidRPr="00580C0D">
        <w:t xml:space="preserve"> </w:t>
      </w:r>
      <w:proofErr w:type="spellStart"/>
      <w:r w:rsidRPr="00580C0D">
        <w:t>ventar</w:t>
      </w:r>
      <w:proofErr w:type="spellEnd"/>
      <w:r w:rsidRPr="00580C0D">
        <w:t xml:space="preserve"> på arbeidet med erstatningsordninga for tamrein. Når det </w:t>
      </w:r>
      <w:proofErr w:type="spellStart"/>
      <w:r w:rsidRPr="00580C0D">
        <w:t>gjeld</w:t>
      </w:r>
      <w:proofErr w:type="spellEnd"/>
      <w:r w:rsidRPr="00580C0D">
        <w:t xml:space="preserve"> ordninga med </w:t>
      </w:r>
      <w:proofErr w:type="spellStart"/>
      <w:r w:rsidRPr="00580C0D">
        <w:t>tilskot</w:t>
      </w:r>
      <w:proofErr w:type="spellEnd"/>
      <w:r w:rsidRPr="00580C0D">
        <w:t xml:space="preserve"> til </w:t>
      </w:r>
      <w:proofErr w:type="spellStart"/>
      <w:r w:rsidRPr="00580C0D">
        <w:t>førebyggjande</w:t>
      </w:r>
      <w:proofErr w:type="spellEnd"/>
      <w:r w:rsidRPr="00580C0D">
        <w:t xml:space="preserve"> tiltak mot </w:t>
      </w:r>
      <w:proofErr w:type="spellStart"/>
      <w:r w:rsidRPr="00580C0D">
        <w:t>rovviltskadar</w:t>
      </w:r>
      <w:proofErr w:type="spellEnd"/>
      <w:r w:rsidRPr="00580C0D">
        <w:t xml:space="preserve"> og </w:t>
      </w:r>
      <w:proofErr w:type="spellStart"/>
      <w:r w:rsidRPr="00580C0D">
        <w:t>konfliktdempande</w:t>
      </w:r>
      <w:proofErr w:type="spellEnd"/>
      <w:r w:rsidRPr="00580C0D">
        <w:t xml:space="preserve"> tiltak (FKT-ordninga), har Norsk institutt for bioøkonomi (NIBIO) og Norsk institutt for naturforsking (NINA) utarbeidd rapporten </w:t>
      </w:r>
      <w:r w:rsidRPr="00580C0D">
        <w:rPr>
          <w:rStyle w:val="kursiv"/>
        </w:rPr>
        <w:t>Vurdering av FKT-ordningen</w:t>
      </w:r>
      <w:r w:rsidRPr="00580C0D">
        <w:t xml:space="preserve"> (NIBIO rapport, vol. 6, nr. 130, 2020). Forvaltninga følgjer opp dette, mellom anna gjennom arbeid med forslag til revidert forskrift for </w:t>
      </w:r>
      <w:proofErr w:type="spellStart"/>
      <w:r w:rsidRPr="00580C0D">
        <w:t>tilskotsordninga</w:t>
      </w:r>
      <w:proofErr w:type="spellEnd"/>
      <w:r w:rsidRPr="00580C0D">
        <w:t xml:space="preserve">. Forslag til revidert forskrift vil bli sendt på </w:t>
      </w:r>
      <w:proofErr w:type="spellStart"/>
      <w:r w:rsidRPr="00580C0D">
        <w:t>høyring</w:t>
      </w:r>
      <w:proofErr w:type="spellEnd"/>
      <w:r w:rsidRPr="00580C0D">
        <w:t>. Regjeringa vil komme tilbake til Stortinget på eigna måte.</w:t>
      </w:r>
    </w:p>
    <w:p w14:paraId="05ACEB7E" w14:textId="77777777" w:rsidR="00F7113A" w:rsidRPr="00580C0D" w:rsidRDefault="00142E5B" w:rsidP="00580C0D">
      <w:pPr>
        <w:pStyle w:val="Overskrift2"/>
      </w:pPr>
      <w:r w:rsidRPr="00580C0D">
        <w:t>Stortingssesjon 2017–2018</w:t>
      </w:r>
    </w:p>
    <w:p w14:paraId="55D2EA48" w14:textId="77777777" w:rsidR="00F7113A" w:rsidRPr="00580C0D" w:rsidRDefault="00142E5B" w:rsidP="00580C0D">
      <w:pPr>
        <w:pStyle w:val="avsnitt-tittel"/>
      </w:pPr>
      <w:r w:rsidRPr="00580C0D">
        <w:t xml:space="preserve">Gjenbruk gjennom </w:t>
      </w:r>
      <w:proofErr w:type="spellStart"/>
      <w:r w:rsidRPr="00580C0D">
        <w:t>kommunane</w:t>
      </w:r>
      <w:proofErr w:type="spellEnd"/>
      <w:r w:rsidRPr="00580C0D">
        <w:t xml:space="preserve"> sine </w:t>
      </w:r>
      <w:proofErr w:type="spellStart"/>
      <w:r w:rsidRPr="00580C0D">
        <w:t>gjenbruksstasjonar</w:t>
      </w:r>
      <w:proofErr w:type="spellEnd"/>
    </w:p>
    <w:p w14:paraId="1772BE20" w14:textId="77777777" w:rsidR="00F7113A" w:rsidRPr="00580C0D" w:rsidRDefault="00142E5B" w:rsidP="00580C0D">
      <w:pPr>
        <w:pStyle w:val="avsnitt-undertittel"/>
      </w:pPr>
      <w:r w:rsidRPr="00580C0D">
        <w:t>Vedtak nr. 481, 27. februar 2018</w:t>
      </w:r>
    </w:p>
    <w:p w14:paraId="27F48FAB" w14:textId="77777777" w:rsidR="00F7113A" w:rsidRPr="00580C0D" w:rsidRDefault="00142E5B" w:rsidP="00580C0D">
      <w:pPr>
        <w:pStyle w:val="blokksit"/>
        <w:rPr>
          <w:rStyle w:val="kursiv"/>
        </w:rPr>
      </w:pPr>
      <w:r w:rsidRPr="00580C0D">
        <w:rPr>
          <w:rStyle w:val="kursiv"/>
        </w:rPr>
        <w:t>«Stortinget ber regjeringen gi kommunene ansvar for å legge til rette for gjenbruk gjennom kommunenes gjenbruksstasjoner.»</w:t>
      </w:r>
    </w:p>
    <w:p w14:paraId="6C3855E1"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45 (2016–2017), jf. </w:t>
      </w:r>
      <w:proofErr w:type="spellStart"/>
      <w:r w:rsidRPr="00580C0D">
        <w:t>Innst</w:t>
      </w:r>
      <w:proofErr w:type="spellEnd"/>
      <w:r w:rsidRPr="00580C0D">
        <w:t xml:space="preserve">. 127 S (2017–2018) </w:t>
      </w:r>
      <w:r w:rsidRPr="00580C0D">
        <w:rPr>
          <w:rStyle w:val="kursiv"/>
        </w:rPr>
        <w:t>om Avfall som ressurs – Avfallspolitikk og sirkulær økonomi,</w:t>
      </w:r>
      <w:r w:rsidRPr="00580C0D">
        <w:t xml:space="preserve"> jf. tilrådinga i innstillinga </w:t>
      </w:r>
      <w:proofErr w:type="spellStart"/>
      <w:r w:rsidRPr="00580C0D">
        <w:t>romartal</w:t>
      </w:r>
      <w:proofErr w:type="spellEnd"/>
      <w:r w:rsidRPr="00580C0D">
        <w:t xml:space="preserve"> II.</w:t>
      </w:r>
    </w:p>
    <w:p w14:paraId="484392DF" w14:textId="77777777" w:rsidR="00F7113A" w:rsidRPr="00580C0D" w:rsidRDefault="00142E5B" w:rsidP="00580C0D">
      <w:r w:rsidRPr="00580C0D">
        <w:t xml:space="preserve">Det er vurdert at </w:t>
      </w:r>
      <w:proofErr w:type="spellStart"/>
      <w:r w:rsidRPr="00580C0D">
        <w:t>kommunane</w:t>
      </w:r>
      <w:proofErr w:type="spellEnd"/>
      <w:r w:rsidRPr="00580C0D">
        <w:t xml:space="preserve"> </w:t>
      </w:r>
      <w:proofErr w:type="spellStart"/>
      <w:r w:rsidRPr="00580C0D">
        <w:t>allereie</w:t>
      </w:r>
      <w:proofErr w:type="spellEnd"/>
      <w:r w:rsidRPr="00580C0D">
        <w:t xml:space="preserve"> har dette ansvaret, </w:t>
      </w:r>
      <w:proofErr w:type="spellStart"/>
      <w:r w:rsidRPr="00580C0D">
        <w:t>sjølv</w:t>
      </w:r>
      <w:proofErr w:type="spellEnd"/>
      <w:r w:rsidRPr="00580C0D">
        <w:t xml:space="preserve"> om det </w:t>
      </w:r>
      <w:proofErr w:type="spellStart"/>
      <w:r w:rsidRPr="00580C0D">
        <w:t>ikkje</w:t>
      </w:r>
      <w:proofErr w:type="spellEnd"/>
      <w:r w:rsidRPr="00580C0D">
        <w:t xml:space="preserve"> går </w:t>
      </w:r>
      <w:proofErr w:type="spellStart"/>
      <w:r w:rsidRPr="00580C0D">
        <w:t>uttrykkjeleg</w:t>
      </w:r>
      <w:proofErr w:type="spellEnd"/>
      <w:r w:rsidRPr="00580C0D">
        <w:t xml:space="preserve"> fram av </w:t>
      </w:r>
      <w:proofErr w:type="spellStart"/>
      <w:r w:rsidRPr="00580C0D">
        <w:t>forureiningslova</w:t>
      </w:r>
      <w:proofErr w:type="spellEnd"/>
      <w:r w:rsidRPr="00580C0D">
        <w:t xml:space="preserve">, og at dette kan </w:t>
      </w:r>
      <w:proofErr w:type="spellStart"/>
      <w:r w:rsidRPr="00580C0D">
        <w:t>dekkjast</w:t>
      </w:r>
      <w:proofErr w:type="spellEnd"/>
      <w:r w:rsidRPr="00580C0D">
        <w:t xml:space="preserve"> over avfallsgebyret, jf. </w:t>
      </w:r>
      <w:proofErr w:type="spellStart"/>
      <w:r w:rsidRPr="00580C0D">
        <w:t>Prop</w:t>
      </w:r>
      <w:proofErr w:type="spellEnd"/>
      <w:r w:rsidRPr="00580C0D">
        <w:t xml:space="preserve">. 1 S (2018–2019). Energi- og miljøkomiteen tok regjeringa </w:t>
      </w:r>
      <w:proofErr w:type="spellStart"/>
      <w:r w:rsidRPr="00580C0D">
        <w:t>si</w:t>
      </w:r>
      <w:proofErr w:type="spellEnd"/>
      <w:r w:rsidRPr="00580C0D">
        <w:t xml:space="preserve"> vurdering til orientering og bad om ei orientering som </w:t>
      </w:r>
      <w:proofErr w:type="spellStart"/>
      <w:r w:rsidRPr="00580C0D">
        <w:t>fortel</w:t>
      </w:r>
      <w:proofErr w:type="spellEnd"/>
      <w:r w:rsidRPr="00580C0D">
        <w:t xml:space="preserve"> om </w:t>
      </w:r>
      <w:proofErr w:type="spellStart"/>
      <w:r w:rsidRPr="00580C0D">
        <w:t>kommunane</w:t>
      </w:r>
      <w:proofErr w:type="spellEnd"/>
      <w:r w:rsidRPr="00580C0D">
        <w:t xml:space="preserve"> følgjer opp dette ansvaret, jf. </w:t>
      </w:r>
      <w:proofErr w:type="spellStart"/>
      <w:r w:rsidRPr="00580C0D">
        <w:t>Innst</w:t>
      </w:r>
      <w:proofErr w:type="spellEnd"/>
      <w:r w:rsidRPr="00580C0D">
        <w:t>. 9 S (2018–2019).</w:t>
      </w:r>
    </w:p>
    <w:p w14:paraId="636651D9" w14:textId="77777777" w:rsidR="00F7113A" w:rsidRPr="00580C0D" w:rsidRDefault="00142E5B" w:rsidP="00580C0D">
      <w:r w:rsidRPr="00580C0D">
        <w:t xml:space="preserve">Regjeringa vil komme tilbake til Stortinget med ei orientering som </w:t>
      </w:r>
      <w:proofErr w:type="spellStart"/>
      <w:r w:rsidRPr="00580C0D">
        <w:t>fortel</w:t>
      </w:r>
      <w:proofErr w:type="spellEnd"/>
      <w:r w:rsidRPr="00580C0D">
        <w:t xml:space="preserve"> om </w:t>
      </w:r>
      <w:proofErr w:type="spellStart"/>
      <w:r w:rsidRPr="00580C0D">
        <w:t>kommunane</w:t>
      </w:r>
      <w:proofErr w:type="spellEnd"/>
      <w:r w:rsidRPr="00580C0D">
        <w:t xml:space="preserve"> følgjer opp.</w:t>
      </w:r>
    </w:p>
    <w:p w14:paraId="675ECDB1" w14:textId="77777777" w:rsidR="00F7113A" w:rsidRPr="00580C0D" w:rsidRDefault="00142E5B" w:rsidP="00580C0D">
      <w:pPr>
        <w:pStyle w:val="avsnitt-tittel"/>
      </w:pPr>
      <w:proofErr w:type="spellStart"/>
      <w:r w:rsidRPr="00580C0D">
        <w:t>Utleige</w:t>
      </w:r>
      <w:proofErr w:type="spellEnd"/>
      <w:r w:rsidRPr="00580C0D">
        <w:t xml:space="preserve"> av </w:t>
      </w:r>
      <w:proofErr w:type="spellStart"/>
      <w:r w:rsidRPr="00580C0D">
        <w:t>avfallskonteinarar</w:t>
      </w:r>
      <w:proofErr w:type="spellEnd"/>
      <w:r w:rsidRPr="00580C0D">
        <w:t xml:space="preserve"> </w:t>
      </w:r>
      <w:proofErr w:type="spellStart"/>
      <w:r w:rsidRPr="00580C0D">
        <w:t>frå</w:t>
      </w:r>
      <w:proofErr w:type="spellEnd"/>
      <w:r w:rsidRPr="00580C0D">
        <w:t xml:space="preserve"> </w:t>
      </w:r>
      <w:proofErr w:type="spellStart"/>
      <w:r w:rsidRPr="00580C0D">
        <w:t>godkjende</w:t>
      </w:r>
      <w:proofErr w:type="spellEnd"/>
      <w:r w:rsidRPr="00580C0D">
        <w:t xml:space="preserve"> avfallsselskap</w:t>
      </w:r>
    </w:p>
    <w:p w14:paraId="3B05F3AA" w14:textId="77777777" w:rsidR="00F7113A" w:rsidRPr="00580C0D" w:rsidRDefault="00142E5B" w:rsidP="00580C0D">
      <w:pPr>
        <w:pStyle w:val="avsnitt-undertittel"/>
      </w:pPr>
      <w:r w:rsidRPr="00580C0D">
        <w:t>Vedtak nr. 482, 27. februar 2018</w:t>
      </w:r>
    </w:p>
    <w:p w14:paraId="6E619DF7" w14:textId="77777777" w:rsidR="00F7113A" w:rsidRPr="00580C0D" w:rsidRDefault="00142E5B" w:rsidP="00580C0D">
      <w:pPr>
        <w:pStyle w:val="blokksit"/>
        <w:rPr>
          <w:rStyle w:val="kursiv"/>
        </w:rPr>
      </w:pPr>
      <w:r w:rsidRPr="00580C0D">
        <w:rPr>
          <w:rStyle w:val="kursiv"/>
        </w:rPr>
        <w:t>«Stortinget ber regjeringen gi kommunene anledning til selv å bestemme om de ønsker samtykke ved utleie av avfallskonteinere fra godkjente avfallsselskaper.»</w:t>
      </w:r>
    </w:p>
    <w:p w14:paraId="31F60B6F" w14:textId="77777777" w:rsidR="00F7113A" w:rsidRPr="00580C0D" w:rsidRDefault="00142E5B" w:rsidP="00580C0D">
      <w:r w:rsidRPr="00580C0D">
        <w:t xml:space="preserve">Vedtaket </w:t>
      </w:r>
      <w:proofErr w:type="spellStart"/>
      <w:r w:rsidRPr="00580C0D">
        <w:t>vart</w:t>
      </w:r>
      <w:proofErr w:type="spellEnd"/>
      <w:r w:rsidRPr="00580C0D">
        <w:t xml:space="preserve"> gjort ved </w:t>
      </w:r>
      <w:proofErr w:type="spellStart"/>
      <w:r w:rsidRPr="00580C0D">
        <w:t>behandlinga</w:t>
      </w:r>
      <w:proofErr w:type="spellEnd"/>
      <w:r w:rsidRPr="00580C0D">
        <w:t xml:space="preserve"> av Meld. St. 45 (2016–2017), jf. </w:t>
      </w:r>
      <w:proofErr w:type="spellStart"/>
      <w:r w:rsidRPr="00580C0D">
        <w:t>Innst</w:t>
      </w:r>
      <w:proofErr w:type="spellEnd"/>
      <w:r w:rsidRPr="00580C0D">
        <w:t xml:space="preserve">. 127 S (2017–2018) </w:t>
      </w:r>
      <w:r w:rsidRPr="00580C0D">
        <w:rPr>
          <w:rStyle w:val="kursiv"/>
        </w:rPr>
        <w:t>om Avfall som ressurs – Avfallspolitikk og sirkulær økonomi</w:t>
      </w:r>
      <w:r w:rsidRPr="00580C0D">
        <w:t xml:space="preserve">, jf. tilrådinga i innstillinga </w:t>
      </w:r>
      <w:proofErr w:type="spellStart"/>
      <w:r w:rsidRPr="00580C0D">
        <w:t>romartal</w:t>
      </w:r>
      <w:proofErr w:type="spellEnd"/>
      <w:r w:rsidRPr="00580C0D">
        <w:t xml:space="preserve"> III.</w:t>
      </w:r>
    </w:p>
    <w:p w14:paraId="47218128" w14:textId="77777777" w:rsidR="00F7113A" w:rsidRPr="00580C0D" w:rsidRDefault="00142E5B" w:rsidP="00580C0D">
      <w:r w:rsidRPr="00580C0D">
        <w:t xml:space="preserve">Departementet har gjeve i oppdrag til Miljødirektoratet å vurdere </w:t>
      </w:r>
      <w:proofErr w:type="spellStart"/>
      <w:r w:rsidRPr="00580C0D">
        <w:t>verkemiddel</w:t>
      </w:r>
      <w:proofErr w:type="spellEnd"/>
      <w:r w:rsidRPr="00580C0D">
        <w:t xml:space="preserve"> for </w:t>
      </w:r>
      <w:proofErr w:type="spellStart"/>
      <w:r w:rsidRPr="00580C0D">
        <w:t>auka</w:t>
      </w:r>
      <w:proofErr w:type="spellEnd"/>
      <w:r w:rsidRPr="00580C0D">
        <w:t xml:space="preserve"> førebuing til ombruk og materialattvinning av grovavfall som blir samla inn av private </w:t>
      </w:r>
      <w:proofErr w:type="spellStart"/>
      <w:r w:rsidRPr="00580C0D">
        <w:t>aktørar</w:t>
      </w:r>
      <w:proofErr w:type="spellEnd"/>
      <w:r w:rsidRPr="00580C0D">
        <w:t xml:space="preserve">. Dette er </w:t>
      </w:r>
      <w:proofErr w:type="spellStart"/>
      <w:r w:rsidRPr="00580C0D">
        <w:t>vurderingar</w:t>
      </w:r>
      <w:proofErr w:type="spellEnd"/>
      <w:r w:rsidRPr="00580C0D">
        <w:t xml:space="preserve"> som er relevante i oppfølginga av dette vedtaket. Miljødirektoratet har levert tilrådinga si, og dette er </w:t>
      </w:r>
      <w:proofErr w:type="spellStart"/>
      <w:r w:rsidRPr="00580C0D">
        <w:t>no</w:t>
      </w:r>
      <w:proofErr w:type="spellEnd"/>
      <w:r w:rsidRPr="00580C0D">
        <w:t xml:space="preserve"> til vurdering i departementet. Regjeringa vil komme tilbake til Stortinget på eigna måte.</w:t>
      </w:r>
    </w:p>
    <w:p w14:paraId="6B64C195" w14:textId="77777777" w:rsidR="00F7113A" w:rsidRPr="00580C0D" w:rsidRDefault="00142E5B" w:rsidP="00580C0D">
      <w:pPr>
        <w:pStyle w:val="avsnitt-tittel"/>
      </w:pPr>
      <w:proofErr w:type="spellStart"/>
      <w:r w:rsidRPr="00580C0D">
        <w:t>Matkastelov</w:t>
      </w:r>
      <w:proofErr w:type="spellEnd"/>
    </w:p>
    <w:p w14:paraId="13635A1B" w14:textId="77777777" w:rsidR="00F7113A" w:rsidRPr="00580C0D" w:rsidRDefault="00142E5B" w:rsidP="00580C0D">
      <w:pPr>
        <w:pStyle w:val="avsnitt-undertittel"/>
      </w:pPr>
      <w:r w:rsidRPr="00580C0D">
        <w:t>Vedtak nr. 489, 27. februar 2018</w:t>
      </w:r>
    </w:p>
    <w:p w14:paraId="658483B7" w14:textId="77777777" w:rsidR="00F7113A" w:rsidRPr="00580C0D" w:rsidRDefault="00142E5B" w:rsidP="00580C0D">
      <w:pPr>
        <w:pStyle w:val="blokksit"/>
        <w:rPr>
          <w:rStyle w:val="kursiv"/>
        </w:rPr>
      </w:pPr>
      <w:r w:rsidRPr="00580C0D">
        <w:rPr>
          <w:rStyle w:val="kursiv"/>
        </w:rPr>
        <w:t xml:space="preserve">«Stortinget ber regjeringen fremme forslag til en </w:t>
      </w:r>
      <w:proofErr w:type="spellStart"/>
      <w:r w:rsidRPr="00580C0D">
        <w:rPr>
          <w:rStyle w:val="kursiv"/>
        </w:rPr>
        <w:t>matkastelov</w:t>
      </w:r>
      <w:proofErr w:type="spellEnd"/>
      <w:r w:rsidRPr="00580C0D">
        <w:rPr>
          <w:rStyle w:val="kursiv"/>
        </w:rPr>
        <w:t xml:space="preserve">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27BDEF61" w14:textId="77777777" w:rsidR="00F7113A" w:rsidRPr="00580C0D" w:rsidRDefault="00142E5B" w:rsidP="00580C0D">
      <w:r w:rsidRPr="00580C0D">
        <w:t xml:space="preserve">Vedtaket </w:t>
      </w:r>
      <w:proofErr w:type="spellStart"/>
      <w:r w:rsidRPr="00580C0D">
        <w:t>vart</w:t>
      </w:r>
      <w:proofErr w:type="spellEnd"/>
      <w:r w:rsidRPr="00580C0D">
        <w:t xml:space="preserve"> gjort ved behandling av Meld. St. 45 (2016–2017), jf. </w:t>
      </w:r>
      <w:proofErr w:type="spellStart"/>
      <w:r w:rsidRPr="00580C0D">
        <w:t>Innst</w:t>
      </w:r>
      <w:proofErr w:type="spellEnd"/>
      <w:r w:rsidRPr="00580C0D">
        <w:t xml:space="preserve">. 127 S (2017–2018) </w:t>
      </w:r>
      <w:r w:rsidRPr="00580C0D">
        <w:rPr>
          <w:rStyle w:val="kursiv"/>
        </w:rPr>
        <w:t>om Avfall som ressurs – Avfallspolitikk og sirkulær økonomi</w:t>
      </w:r>
      <w:r w:rsidRPr="00580C0D">
        <w:t xml:space="preserve">, jf. tilrådinga i innstillinga </w:t>
      </w:r>
      <w:proofErr w:type="spellStart"/>
      <w:r w:rsidRPr="00580C0D">
        <w:t>romartal</w:t>
      </w:r>
      <w:proofErr w:type="spellEnd"/>
      <w:r w:rsidRPr="00580C0D">
        <w:t xml:space="preserve"> XV.</w:t>
      </w:r>
    </w:p>
    <w:p w14:paraId="3C95254B" w14:textId="77777777" w:rsidR="00F7113A" w:rsidRPr="00580C0D" w:rsidRDefault="00142E5B" w:rsidP="00580C0D">
      <w:r w:rsidRPr="00580C0D">
        <w:t xml:space="preserve">Regjeringa sette i februar 2023 ned </w:t>
      </w:r>
      <w:proofErr w:type="spellStart"/>
      <w:r w:rsidRPr="00580C0D">
        <w:t>eit</w:t>
      </w:r>
      <w:proofErr w:type="spellEnd"/>
      <w:r w:rsidRPr="00580C0D">
        <w:t xml:space="preserve"> </w:t>
      </w:r>
      <w:proofErr w:type="spellStart"/>
      <w:r w:rsidRPr="00580C0D">
        <w:t>utval</w:t>
      </w:r>
      <w:proofErr w:type="spellEnd"/>
      <w:r w:rsidRPr="00580C0D">
        <w:t xml:space="preserve"> som skal greie ut </w:t>
      </w:r>
      <w:proofErr w:type="spellStart"/>
      <w:r w:rsidRPr="00580C0D">
        <w:t>heilskapleg</w:t>
      </w:r>
      <w:proofErr w:type="spellEnd"/>
      <w:r w:rsidRPr="00580C0D">
        <w:t xml:space="preserve"> tiltaks- og verkemiddelbruk for å nå målet om 50 pst. reduksjon av matsvinnet </w:t>
      </w:r>
      <w:proofErr w:type="spellStart"/>
      <w:r w:rsidRPr="00580C0D">
        <w:t>innan</w:t>
      </w:r>
      <w:proofErr w:type="spellEnd"/>
      <w:r w:rsidRPr="00580C0D">
        <w:t xml:space="preserve"> 2030 og korleis ei </w:t>
      </w:r>
      <w:proofErr w:type="spellStart"/>
      <w:r w:rsidRPr="00580C0D">
        <w:t>matkastelov</w:t>
      </w:r>
      <w:proofErr w:type="spellEnd"/>
      <w:r w:rsidRPr="00580C0D">
        <w:t xml:space="preserve"> skal inngå i </w:t>
      </w:r>
      <w:proofErr w:type="spellStart"/>
      <w:r w:rsidRPr="00580C0D">
        <w:t>ein</w:t>
      </w:r>
      <w:proofErr w:type="spellEnd"/>
      <w:r w:rsidRPr="00580C0D">
        <w:t xml:space="preserve"> samla verkemiddelbruk. </w:t>
      </w:r>
      <w:proofErr w:type="spellStart"/>
      <w:r w:rsidRPr="00580C0D">
        <w:t>Utvalet</w:t>
      </w:r>
      <w:proofErr w:type="spellEnd"/>
      <w:r w:rsidRPr="00580C0D">
        <w:t xml:space="preserve"> skal ferdigstille utgreiinga </w:t>
      </w:r>
      <w:proofErr w:type="spellStart"/>
      <w:r w:rsidRPr="00580C0D">
        <w:t>innan</w:t>
      </w:r>
      <w:proofErr w:type="spellEnd"/>
      <w:r w:rsidRPr="00580C0D">
        <w:t xml:space="preserve"> utgangen av 2023, og deretter vil forslaga </w:t>
      </w:r>
      <w:proofErr w:type="spellStart"/>
      <w:r w:rsidRPr="00580C0D">
        <w:t>vurderast</w:t>
      </w:r>
      <w:proofErr w:type="spellEnd"/>
      <w:r w:rsidRPr="00580C0D">
        <w:t xml:space="preserve">, og det blir lagt opp </w:t>
      </w:r>
      <w:proofErr w:type="spellStart"/>
      <w:r w:rsidRPr="00580C0D">
        <w:t>ein</w:t>
      </w:r>
      <w:proofErr w:type="spellEnd"/>
      <w:r w:rsidRPr="00580C0D">
        <w:t xml:space="preserve"> prosess for korleis dette skal </w:t>
      </w:r>
      <w:proofErr w:type="spellStart"/>
      <w:r w:rsidRPr="00580C0D">
        <w:t>følgjast</w:t>
      </w:r>
      <w:proofErr w:type="spellEnd"/>
      <w:r w:rsidRPr="00580C0D">
        <w:t xml:space="preserve"> opp.</w:t>
      </w:r>
    </w:p>
    <w:p w14:paraId="40C48BE8" w14:textId="77777777" w:rsidR="00F7113A" w:rsidRPr="00580C0D" w:rsidRDefault="00142E5B" w:rsidP="00580C0D">
      <w:r w:rsidRPr="00580C0D">
        <w:t>Stortinget vil bli orientert på eigna måte.</w:t>
      </w:r>
    </w:p>
    <w:p w14:paraId="4F381F11" w14:textId="77777777" w:rsidR="00F7113A" w:rsidRPr="00580C0D" w:rsidRDefault="00142E5B" w:rsidP="00580C0D">
      <w:pPr>
        <w:pStyle w:val="avsnitt-tittel"/>
      </w:pPr>
      <w:r w:rsidRPr="00580C0D">
        <w:t xml:space="preserve">Greie ut </w:t>
      </w:r>
      <w:proofErr w:type="spellStart"/>
      <w:r w:rsidRPr="00580C0D">
        <w:t>strengare</w:t>
      </w:r>
      <w:proofErr w:type="spellEnd"/>
      <w:r w:rsidRPr="00580C0D">
        <w:t xml:space="preserve"> krav til </w:t>
      </w:r>
      <w:proofErr w:type="spellStart"/>
      <w:r w:rsidRPr="00580C0D">
        <w:t>svartvass</w:t>
      </w:r>
      <w:proofErr w:type="spellEnd"/>
      <w:r w:rsidRPr="00580C0D">
        <w:t xml:space="preserve">- og gråvassutslepp </w:t>
      </w:r>
      <w:proofErr w:type="spellStart"/>
      <w:r w:rsidRPr="00580C0D">
        <w:t>frå</w:t>
      </w:r>
      <w:proofErr w:type="spellEnd"/>
      <w:r w:rsidRPr="00580C0D">
        <w:t xml:space="preserve"> cruiseskip</w:t>
      </w:r>
    </w:p>
    <w:p w14:paraId="370CBC92" w14:textId="77777777" w:rsidR="00F7113A" w:rsidRPr="00580C0D" w:rsidRDefault="00142E5B" w:rsidP="00580C0D">
      <w:pPr>
        <w:pStyle w:val="avsnitt-undertittel"/>
      </w:pPr>
      <w:r w:rsidRPr="00580C0D">
        <w:t>Vedtak nr. 661, 3. mai 2018</w:t>
      </w:r>
    </w:p>
    <w:p w14:paraId="7EAB0E5E" w14:textId="77777777" w:rsidR="00F7113A" w:rsidRPr="00580C0D" w:rsidRDefault="00142E5B" w:rsidP="00580C0D">
      <w:pPr>
        <w:pStyle w:val="blokksit"/>
        <w:rPr>
          <w:rStyle w:val="kursiv"/>
        </w:rPr>
      </w:pPr>
      <w:r w:rsidRPr="00580C0D">
        <w:rPr>
          <w:rStyle w:val="kursiv"/>
        </w:rPr>
        <w:t>«Stortinget ber regjeringen utrede strengere krav til svartvanns- og gråvannsutslipp fra cruiseskip.»</w:t>
      </w:r>
    </w:p>
    <w:p w14:paraId="03532A7B" w14:textId="77777777" w:rsidR="00F7113A" w:rsidRPr="00580C0D" w:rsidRDefault="00142E5B" w:rsidP="00580C0D">
      <w:r w:rsidRPr="00580C0D">
        <w:t xml:space="preserve">Dokumenta som ligg til grunn for vedtaket, er Meld. St. 41 (2016–2017) </w:t>
      </w:r>
      <w:r w:rsidRPr="00580C0D">
        <w:rPr>
          <w:rStyle w:val="kursiv"/>
        </w:rPr>
        <w:t>Klimastrategi for 2030 – norsk omstilling i europeisk samarbeid</w:t>
      </w:r>
      <w:r w:rsidRPr="00580C0D">
        <w:t xml:space="preserve">,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Audun Lysbakken, Lars Haltbrekken, Kari Elisabeth </w:t>
      </w:r>
      <w:proofErr w:type="spellStart"/>
      <w:r w:rsidRPr="00580C0D">
        <w:t>Kaski</w:t>
      </w:r>
      <w:proofErr w:type="spellEnd"/>
      <w:r w:rsidRPr="00580C0D">
        <w:t xml:space="preserve">, Arne Nævra og Torgeir </w:t>
      </w:r>
      <w:proofErr w:type="spellStart"/>
      <w:r w:rsidRPr="00580C0D">
        <w:t>Knag</w:t>
      </w:r>
      <w:proofErr w:type="spellEnd"/>
      <w:r w:rsidRPr="00580C0D">
        <w:t xml:space="preserve"> Fylkesnes om å gjennomføre Stortingets mål i klimaforliket om å kutte norske klimagassutslepp fram mot 2020, jf. </w:t>
      </w:r>
      <w:proofErr w:type="spellStart"/>
      <w:r w:rsidRPr="00580C0D">
        <w:t>Dok</w:t>
      </w:r>
      <w:proofErr w:type="spellEnd"/>
      <w:r w:rsidRPr="00580C0D">
        <w:t xml:space="preserve">. 8:16 S (2017–2018) og </w:t>
      </w:r>
      <w:proofErr w:type="spellStart"/>
      <w:r w:rsidRPr="00580C0D">
        <w:t>Innst</w:t>
      </w:r>
      <w:proofErr w:type="spellEnd"/>
      <w:r w:rsidRPr="00580C0D">
        <w:t xml:space="preserve">. 253 S (2017–2018), jf. tilrådinga i innstillinga </w:t>
      </w:r>
      <w:proofErr w:type="spellStart"/>
      <w:r w:rsidRPr="00580C0D">
        <w:t>romartal</w:t>
      </w:r>
      <w:proofErr w:type="spellEnd"/>
      <w:r w:rsidRPr="00580C0D">
        <w:t xml:space="preserve"> VIII.</w:t>
      </w:r>
    </w:p>
    <w:p w14:paraId="28916DC0" w14:textId="77777777" w:rsidR="00F7113A" w:rsidRPr="00580C0D" w:rsidRDefault="00142E5B" w:rsidP="00580C0D">
      <w:r w:rsidRPr="00580C0D">
        <w:t xml:space="preserve">Sjøfartsdirektoratet har greidd ut forslag til endring i regelverket for innføring av </w:t>
      </w:r>
      <w:proofErr w:type="spellStart"/>
      <w:r w:rsidRPr="00580C0D">
        <w:t>strengare</w:t>
      </w:r>
      <w:proofErr w:type="spellEnd"/>
      <w:r w:rsidRPr="00580C0D">
        <w:t xml:space="preserve"> krav til utslepp av kloakk </w:t>
      </w:r>
      <w:proofErr w:type="spellStart"/>
      <w:r w:rsidRPr="00580C0D">
        <w:t>frå</w:t>
      </w:r>
      <w:proofErr w:type="spellEnd"/>
      <w:r w:rsidRPr="00580C0D">
        <w:t xml:space="preserve"> skip langs kysten. Ei kartlegging </w:t>
      </w:r>
      <w:proofErr w:type="spellStart"/>
      <w:r w:rsidRPr="00580C0D">
        <w:t>frå</w:t>
      </w:r>
      <w:proofErr w:type="spellEnd"/>
      <w:r w:rsidRPr="00580C0D">
        <w:t xml:space="preserve"> Miljødirektoratet om mottakskapasiteten for kloakk og kloakkslam i hamnene inngår i faggrunnlaget. Det er behov for </w:t>
      </w:r>
      <w:proofErr w:type="spellStart"/>
      <w:r w:rsidRPr="00580C0D">
        <w:t>vidare</w:t>
      </w:r>
      <w:proofErr w:type="spellEnd"/>
      <w:r w:rsidRPr="00580C0D">
        <w:t xml:space="preserve"> utgreiing.</w:t>
      </w:r>
    </w:p>
    <w:p w14:paraId="6E2C3A03" w14:textId="77777777" w:rsidR="00F7113A" w:rsidRPr="00580C0D" w:rsidRDefault="00142E5B" w:rsidP="00580C0D">
      <w:r w:rsidRPr="00580C0D">
        <w:t>Stortinget vil bli orientert på eigna måte.</w:t>
      </w:r>
    </w:p>
    <w:p w14:paraId="31BA7F13" w14:textId="77777777" w:rsidR="00F7113A" w:rsidRPr="00580C0D" w:rsidRDefault="00142E5B" w:rsidP="00580C0D">
      <w:pPr>
        <w:pStyle w:val="avsnitt-tittel"/>
      </w:pPr>
      <w:proofErr w:type="gramStart"/>
      <w:r w:rsidRPr="00580C0D">
        <w:t>Implementere</w:t>
      </w:r>
      <w:proofErr w:type="gramEnd"/>
      <w:r w:rsidRPr="00580C0D">
        <w:t xml:space="preserve"> krav og </w:t>
      </w:r>
      <w:proofErr w:type="spellStart"/>
      <w:r w:rsidRPr="00580C0D">
        <w:t>reguleringar</w:t>
      </w:r>
      <w:proofErr w:type="spellEnd"/>
      <w:r w:rsidRPr="00580C0D">
        <w:t xml:space="preserve"> til utslepp </w:t>
      </w:r>
      <w:proofErr w:type="spellStart"/>
      <w:r w:rsidRPr="00580C0D">
        <w:t>frå</w:t>
      </w:r>
      <w:proofErr w:type="spellEnd"/>
      <w:r w:rsidRPr="00580C0D">
        <w:t xml:space="preserve"> cruiseskip og </w:t>
      </w:r>
      <w:proofErr w:type="spellStart"/>
      <w:r w:rsidRPr="00580C0D">
        <w:t>annan</w:t>
      </w:r>
      <w:proofErr w:type="spellEnd"/>
      <w:r w:rsidRPr="00580C0D">
        <w:t xml:space="preserve"> skipstrafikk i </w:t>
      </w:r>
      <w:proofErr w:type="spellStart"/>
      <w:r w:rsidRPr="00580C0D">
        <w:t>turistfjordar</w:t>
      </w:r>
      <w:proofErr w:type="spellEnd"/>
      <w:r w:rsidRPr="00580C0D">
        <w:t xml:space="preserve"> m.m.</w:t>
      </w:r>
    </w:p>
    <w:p w14:paraId="5AA9CAA7" w14:textId="77777777" w:rsidR="00F7113A" w:rsidRPr="00580C0D" w:rsidRDefault="00142E5B" w:rsidP="00580C0D">
      <w:pPr>
        <w:pStyle w:val="avsnitt-undertittel"/>
      </w:pPr>
      <w:r w:rsidRPr="00580C0D">
        <w:t>Vedtak nr. 672, 3. mai 2018</w:t>
      </w:r>
    </w:p>
    <w:p w14:paraId="3ED03ED6" w14:textId="77777777" w:rsidR="00F7113A" w:rsidRPr="00580C0D" w:rsidRDefault="00142E5B" w:rsidP="00580C0D">
      <w:pPr>
        <w:pStyle w:val="blokksit"/>
        <w:rPr>
          <w:rStyle w:val="kursiv"/>
        </w:rPr>
      </w:pPr>
      <w:r w:rsidRPr="00580C0D">
        <w:rPr>
          <w:rStyle w:val="kursiv"/>
        </w:rPr>
        <w:t xml:space="preserve">«Stortinget ber regjeringen </w:t>
      </w:r>
      <w:proofErr w:type="gramStart"/>
      <w:r w:rsidRPr="00580C0D">
        <w:rPr>
          <w:rStyle w:val="kursiv"/>
        </w:rPr>
        <w:t>implementere</w:t>
      </w:r>
      <w:proofErr w:type="gramEnd"/>
      <w:r w:rsidRPr="00580C0D">
        <w:rPr>
          <w:rStyle w:val="kursiv"/>
        </w:rPr>
        <w:t xml:space="preserv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w:t>
      </w:r>
    </w:p>
    <w:p w14:paraId="56076D3C" w14:textId="77777777" w:rsidR="00F7113A" w:rsidRPr="00580C0D" w:rsidRDefault="00142E5B" w:rsidP="00580C0D">
      <w:r w:rsidRPr="00580C0D">
        <w:t xml:space="preserve">Dokumenta som ligg til grunn for vedtaket, er Meld. St. 41 (2016–2017) </w:t>
      </w:r>
      <w:r w:rsidRPr="00580C0D">
        <w:rPr>
          <w:rStyle w:val="kursiv"/>
        </w:rPr>
        <w:t>Klimastrategi for 2030 – norsk omstilling i europeisk samarbeid</w:t>
      </w:r>
      <w:r w:rsidRPr="00580C0D">
        <w:t xml:space="preserve">,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Audun Lysbakken, Lars Haltbrekken, Kari Elisabeth </w:t>
      </w:r>
      <w:proofErr w:type="spellStart"/>
      <w:r w:rsidRPr="00580C0D">
        <w:t>Kaski</w:t>
      </w:r>
      <w:proofErr w:type="spellEnd"/>
      <w:r w:rsidRPr="00580C0D">
        <w:t xml:space="preserve">, Arne Nævra og Torgeir </w:t>
      </w:r>
      <w:proofErr w:type="spellStart"/>
      <w:r w:rsidRPr="00580C0D">
        <w:t>Knag</w:t>
      </w:r>
      <w:proofErr w:type="spellEnd"/>
      <w:r w:rsidRPr="00580C0D">
        <w:t xml:space="preserve"> Fylkesnes om å gjennomføre Stortingets mål i klimaforliket om å kutte norske klimagassutslepp fram mot 2020, jf. </w:t>
      </w:r>
      <w:proofErr w:type="spellStart"/>
      <w:r w:rsidRPr="00580C0D">
        <w:t>Dok</w:t>
      </w:r>
      <w:proofErr w:type="spellEnd"/>
      <w:r w:rsidRPr="00580C0D">
        <w:t xml:space="preserve">. 8:16 S (2017–2018) og </w:t>
      </w:r>
      <w:proofErr w:type="spellStart"/>
      <w:r w:rsidRPr="00580C0D">
        <w:t>Innst</w:t>
      </w:r>
      <w:proofErr w:type="spellEnd"/>
      <w:r w:rsidRPr="00580C0D">
        <w:t>. 253 S (2017–2018).</w:t>
      </w:r>
    </w:p>
    <w:p w14:paraId="75F67A4C" w14:textId="77777777" w:rsidR="00F7113A" w:rsidRPr="00580C0D" w:rsidRDefault="00142E5B" w:rsidP="00580C0D">
      <w:r w:rsidRPr="00580C0D">
        <w:t xml:space="preserve">1. mars 2019 innførte Sjøfartsdirektoratet som </w:t>
      </w:r>
      <w:proofErr w:type="spellStart"/>
      <w:r w:rsidRPr="00580C0D">
        <w:t>eit</w:t>
      </w:r>
      <w:proofErr w:type="spellEnd"/>
      <w:r w:rsidRPr="00580C0D">
        <w:t xml:space="preserve"> første steg </w:t>
      </w:r>
      <w:proofErr w:type="spellStart"/>
      <w:r w:rsidRPr="00580C0D">
        <w:t>strengare</w:t>
      </w:r>
      <w:proofErr w:type="spellEnd"/>
      <w:r w:rsidRPr="00580C0D">
        <w:t xml:space="preserve"> </w:t>
      </w:r>
      <w:proofErr w:type="spellStart"/>
      <w:r w:rsidRPr="00580C0D">
        <w:t>utsleppskrav</w:t>
      </w:r>
      <w:proofErr w:type="spellEnd"/>
      <w:r w:rsidRPr="00580C0D">
        <w:t xml:space="preserve"> til skip i </w:t>
      </w:r>
      <w:proofErr w:type="spellStart"/>
      <w:r w:rsidRPr="00580C0D">
        <w:t>verdsarvfjordane</w:t>
      </w:r>
      <w:proofErr w:type="spellEnd"/>
      <w:r w:rsidRPr="00580C0D">
        <w:t>.</w:t>
      </w:r>
    </w:p>
    <w:p w14:paraId="0BBEBE35" w14:textId="77777777" w:rsidR="00F7113A" w:rsidRPr="00580C0D" w:rsidRDefault="00142E5B" w:rsidP="00580C0D">
      <w:r w:rsidRPr="00580C0D">
        <w:t xml:space="preserve">I 2020 greidde Sjøfartsdirektoratet ut </w:t>
      </w:r>
      <w:proofErr w:type="spellStart"/>
      <w:r w:rsidRPr="00580C0D">
        <w:t>konsekvensane</w:t>
      </w:r>
      <w:proofErr w:type="spellEnd"/>
      <w:r w:rsidRPr="00580C0D">
        <w:t xml:space="preserve"> av å innføre nullutsleppskrav for turistskip og ferjer i </w:t>
      </w:r>
      <w:proofErr w:type="spellStart"/>
      <w:r w:rsidRPr="00580C0D">
        <w:t>verdsarvfjordane</w:t>
      </w:r>
      <w:proofErr w:type="spellEnd"/>
      <w:r w:rsidRPr="00580C0D">
        <w:t xml:space="preserve"> så snart det kan </w:t>
      </w:r>
      <w:proofErr w:type="spellStart"/>
      <w:r w:rsidRPr="00580C0D">
        <w:t>gjennomførast</w:t>
      </w:r>
      <w:proofErr w:type="spellEnd"/>
      <w:r w:rsidRPr="00580C0D">
        <w:t xml:space="preserve"> teknisk, og </w:t>
      </w:r>
      <w:proofErr w:type="spellStart"/>
      <w:r w:rsidRPr="00580C0D">
        <w:t>seinast</w:t>
      </w:r>
      <w:proofErr w:type="spellEnd"/>
      <w:r w:rsidRPr="00580C0D">
        <w:t xml:space="preserve"> </w:t>
      </w:r>
      <w:proofErr w:type="spellStart"/>
      <w:r w:rsidRPr="00580C0D">
        <w:t>innan</w:t>
      </w:r>
      <w:proofErr w:type="spellEnd"/>
      <w:r w:rsidRPr="00580C0D">
        <w:t xml:space="preserve"> 2026. Utgreiinga viste mellom anna at det er teknologiske </w:t>
      </w:r>
      <w:proofErr w:type="spellStart"/>
      <w:r w:rsidRPr="00580C0D">
        <w:t>utfordringar</w:t>
      </w:r>
      <w:proofErr w:type="spellEnd"/>
      <w:r w:rsidRPr="00580C0D">
        <w:t xml:space="preserve"> med å kunne oppnå nullutslepp for større turistskip, som cruiseskip, </w:t>
      </w:r>
      <w:proofErr w:type="spellStart"/>
      <w:r w:rsidRPr="00580C0D">
        <w:t>innan</w:t>
      </w:r>
      <w:proofErr w:type="spellEnd"/>
      <w:r w:rsidRPr="00580C0D">
        <w:t xml:space="preserve"> 2026.</w:t>
      </w:r>
    </w:p>
    <w:p w14:paraId="2F93AFD3" w14:textId="77777777" w:rsidR="00F7113A" w:rsidRPr="00580C0D" w:rsidRDefault="00142E5B" w:rsidP="00580C0D">
      <w:r w:rsidRPr="00580C0D">
        <w:t xml:space="preserve">Ved Stortingets behandling 25. februar 2021 av Dokument 8:23 S (2020–2021) </w:t>
      </w:r>
      <w:r w:rsidRPr="00580C0D">
        <w:rPr>
          <w:rStyle w:val="kursiv"/>
        </w:rPr>
        <w:t xml:space="preserve">Representantforslag om utsettelse av krav om nullutslipp i </w:t>
      </w:r>
      <w:proofErr w:type="spellStart"/>
      <w:r w:rsidRPr="00580C0D">
        <w:rPr>
          <w:rStyle w:val="kursiv"/>
        </w:rPr>
        <w:t>verdsarvfjordane</w:t>
      </w:r>
      <w:proofErr w:type="spellEnd"/>
      <w:r w:rsidRPr="00580C0D">
        <w:rPr>
          <w:rStyle w:val="kursiv"/>
        </w:rPr>
        <w:t xml:space="preserve"> fra 2026 </w:t>
      </w:r>
      <w:proofErr w:type="spellStart"/>
      <w:r w:rsidRPr="00580C0D">
        <w:t>vart</w:t>
      </w:r>
      <w:proofErr w:type="spellEnd"/>
      <w:r w:rsidRPr="00580C0D">
        <w:t xml:space="preserve"> det gjort to nye oppmodingsvedtak, </w:t>
      </w:r>
      <w:proofErr w:type="spellStart"/>
      <w:r w:rsidRPr="00580C0D">
        <w:t>høvesvis</w:t>
      </w:r>
      <w:proofErr w:type="spellEnd"/>
      <w:r w:rsidRPr="00580C0D">
        <w:t xml:space="preserve"> vedtak nr. 690, 25. februar 2021, «</w:t>
      </w:r>
      <w:r w:rsidRPr="00580C0D">
        <w:rPr>
          <w:rStyle w:val="kursiv"/>
        </w:rPr>
        <w:t>Stortinget ber regjeringen bidra til gjennomføring av tiltak initiert av lokale og regionale myndigheter, som reduserer utslipp i verdensarvfjordene</w:t>
      </w:r>
      <w:r w:rsidRPr="00580C0D">
        <w:t>», og vedtak nr. 691, 25. februar 2021, «</w:t>
      </w:r>
      <w:r w:rsidRPr="00580C0D">
        <w:rPr>
          <w:rStyle w:val="kursiv"/>
        </w:rPr>
        <w:t xml:space="preserve">Stortinget ber regjeringen foreslå tiltak som sikrer verdensarvfjordene som anløpshavn for cruisebåter også etter 2026, blant annet ved at staten sikrer etablering av </w:t>
      </w:r>
      <w:proofErr w:type="spellStart"/>
      <w:r w:rsidRPr="00580C0D">
        <w:rPr>
          <w:rStyle w:val="kursiv"/>
        </w:rPr>
        <w:t>landstrøm</w:t>
      </w:r>
      <w:proofErr w:type="spellEnd"/>
      <w:r w:rsidRPr="00580C0D">
        <w:rPr>
          <w:rStyle w:val="kursiv"/>
        </w:rPr>
        <w:t xml:space="preserve"> i Flåm som planlagt innen 2022</w:t>
      </w:r>
      <w:r w:rsidRPr="00580C0D">
        <w:t>».</w:t>
      </w:r>
    </w:p>
    <w:p w14:paraId="4FCD10D0" w14:textId="77777777" w:rsidR="00F7113A" w:rsidRPr="00580C0D" w:rsidRDefault="00142E5B" w:rsidP="00580C0D">
      <w:r w:rsidRPr="00580C0D">
        <w:t xml:space="preserve">På bakgrunn av oppmodingsvedtaka sende Sjøfartsdirektoratet, på oppmoding </w:t>
      </w:r>
      <w:proofErr w:type="spellStart"/>
      <w:r w:rsidRPr="00580C0D">
        <w:t>frå</w:t>
      </w:r>
      <w:proofErr w:type="spellEnd"/>
      <w:r w:rsidRPr="00580C0D">
        <w:t xml:space="preserve"> departementet, </w:t>
      </w:r>
      <w:proofErr w:type="spellStart"/>
      <w:r w:rsidRPr="00580C0D">
        <w:t>sommaren</w:t>
      </w:r>
      <w:proofErr w:type="spellEnd"/>
      <w:r w:rsidRPr="00580C0D">
        <w:t xml:space="preserve"> 2023 forslag til </w:t>
      </w:r>
      <w:proofErr w:type="spellStart"/>
      <w:r w:rsidRPr="00580C0D">
        <w:t>eit</w:t>
      </w:r>
      <w:proofErr w:type="spellEnd"/>
      <w:r w:rsidRPr="00580C0D">
        <w:t xml:space="preserve"> regelverk for utsleppsfrie </w:t>
      </w:r>
      <w:proofErr w:type="spellStart"/>
      <w:r w:rsidRPr="00580C0D">
        <w:t>verdsarvfjordar</w:t>
      </w:r>
      <w:proofErr w:type="spellEnd"/>
      <w:r w:rsidRPr="00580C0D">
        <w:t xml:space="preserve"> på </w:t>
      </w:r>
      <w:proofErr w:type="spellStart"/>
      <w:r w:rsidRPr="00580C0D">
        <w:t>høyring</w:t>
      </w:r>
      <w:proofErr w:type="spellEnd"/>
      <w:r w:rsidRPr="00580C0D">
        <w:t xml:space="preserve"> med </w:t>
      </w:r>
      <w:proofErr w:type="spellStart"/>
      <w:r w:rsidRPr="00580C0D">
        <w:t>høyringsfrist</w:t>
      </w:r>
      <w:proofErr w:type="spellEnd"/>
      <w:r w:rsidRPr="00580C0D">
        <w:t xml:space="preserve"> 3. oktober 2023. Forslaget </w:t>
      </w:r>
      <w:proofErr w:type="spellStart"/>
      <w:r w:rsidRPr="00580C0D">
        <w:t>inneheldt</w:t>
      </w:r>
      <w:proofErr w:type="spellEnd"/>
      <w:r w:rsidRPr="00580C0D">
        <w:t xml:space="preserve"> også ei overgangsordning som skal sikre </w:t>
      </w:r>
      <w:proofErr w:type="spellStart"/>
      <w:r w:rsidRPr="00580C0D">
        <w:t>vidare</w:t>
      </w:r>
      <w:proofErr w:type="spellEnd"/>
      <w:r w:rsidRPr="00580C0D">
        <w:t xml:space="preserve"> cruiseanløp.</w:t>
      </w:r>
    </w:p>
    <w:p w14:paraId="090AC944" w14:textId="77777777" w:rsidR="00F7113A" w:rsidRPr="00580C0D" w:rsidRDefault="00142E5B" w:rsidP="00580C0D">
      <w:r w:rsidRPr="00580C0D">
        <w:t>Regjeringa vil komme tilbake til Stortinget på eigna måte.</w:t>
      </w:r>
    </w:p>
    <w:p w14:paraId="7DD7F70A" w14:textId="77777777" w:rsidR="00F7113A" w:rsidRPr="00580C0D" w:rsidRDefault="00142E5B" w:rsidP="00580C0D">
      <w:pPr>
        <w:pStyle w:val="avsnitt-tittel"/>
      </w:pPr>
      <w:r w:rsidRPr="00580C0D">
        <w:t xml:space="preserve">Nasjonalt </w:t>
      </w:r>
      <w:proofErr w:type="spellStart"/>
      <w:r w:rsidRPr="00580C0D">
        <w:t>forbod</w:t>
      </w:r>
      <w:proofErr w:type="spellEnd"/>
      <w:r w:rsidRPr="00580C0D">
        <w:t xml:space="preserve"> mot sal av </w:t>
      </w:r>
      <w:proofErr w:type="spellStart"/>
      <w:r w:rsidRPr="00580C0D">
        <w:t>heliumballongar</w:t>
      </w:r>
      <w:proofErr w:type="spellEnd"/>
    </w:p>
    <w:p w14:paraId="612D2375" w14:textId="77777777" w:rsidR="00F7113A" w:rsidRPr="00580C0D" w:rsidRDefault="00142E5B" w:rsidP="00580C0D">
      <w:pPr>
        <w:pStyle w:val="avsnitt-undertittel"/>
      </w:pPr>
      <w:r w:rsidRPr="00580C0D">
        <w:t>Vedtak nr. 674, 3. mai 2018</w:t>
      </w:r>
    </w:p>
    <w:p w14:paraId="1BB61DD7" w14:textId="77777777" w:rsidR="00F7113A" w:rsidRPr="00580C0D" w:rsidRDefault="00142E5B" w:rsidP="00580C0D">
      <w:pPr>
        <w:pStyle w:val="blokksit"/>
        <w:rPr>
          <w:rStyle w:val="kursiv"/>
        </w:rPr>
      </w:pPr>
      <w:r w:rsidRPr="00580C0D">
        <w:rPr>
          <w:rStyle w:val="kursiv"/>
        </w:rPr>
        <w:t>«Stortinget ber regjeringen snarest mulig utrede et nasjonalt forbud mot salg av heliumballonger, og komme tilbake til Stortinget på egnet måte.»</w:t>
      </w:r>
    </w:p>
    <w:p w14:paraId="34A38EE2" w14:textId="77777777" w:rsidR="00F7113A" w:rsidRPr="00580C0D" w:rsidRDefault="00142E5B" w:rsidP="00580C0D">
      <w:r w:rsidRPr="00580C0D">
        <w:t xml:space="preserve">Dokumenta som ligg til grunn for vedtaket, er Meld. St. 41 (2016–2017) </w:t>
      </w:r>
      <w:r w:rsidRPr="00580C0D">
        <w:rPr>
          <w:rStyle w:val="kursiv"/>
        </w:rPr>
        <w:t>Klimastrategi for 2030 – norsk omstilling i europeisk samarbeid</w:t>
      </w:r>
      <w:r w:rsidRPr="00580C0D">
        <w:t xml:space="preserve">,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Audun Lysbakken, Lars Haltbrekken, Kari Elisabeth </w:t>
      </w:r>
      <w:proofErr w:type="spellStart"/>
      <w:r w:rsidRPr="00580C0D">
        <w:t>Kaski</w:t>
      </w:r>
      <w:proofErr w:type="spellEnd"/>
      <w:r w:rsidRPr="00580C0D">
        <w:t xml:space="preserve">, Arne Nævra og Torgeir </w:t>
      </w:r>
      <w:proofErr w:type="spellStart"/>
      <w:r w:rsidRPr="00580C0D">
        <w:t>Knag</w:t>
      </w:r>
      <w:proofErr w:type="spellEnd"/>
      <w:r w:rsidRPr="00580C0D">
        <w:t xml:space="preserve"> Fylkesnes om å gjennomføre Stortingets mål i klimaforliket om å kutte norske klimagassutslepp fram mot 2020, jf. </w:t>
      </w:r>
      <w:proofErr w:type="spellStart"/>
      <w:r w:rsidRPr="00580C0D">
        <w:t>Dok</w:t>
      </w:r>
      <w:proofErr w:type="spellEnd"/>
      <w:r w:rsidRPr="00580C0D">
        <w:t xml:space="preserve">. 8:16 S (2017–2018) og </w:t>
      </w:r>
      <w:proofErr w:type="spellStart"/>
      <w:r w:rsidRPr="00580C0D">
        <w:t>Innst</w:t>
      </w:r>
      <w:proofErr w:type="spellEnd"/>
      <w:r w:rsidRPr="00580C0D">
        <w:t>. 253 S (2017–2018).</w:t>
      </w:r>
    </w:p>
    <w:p w14:paraId="01AD3C69" w14:textId="77777777" w:rsidR="00F7113A" w:rsidRPr="00580C0D" w:rsidRDefault="00142E5B" w:rsidP="00580C0D">
      <w:r w:rsidRPr="00580C0D">
        <w:t xml:space="preserve">På oppdrag </w:t>
      </w:r>
      <w:proofErr w:type="spellStart"/>
      <w:r w:rsidRPr="00580C0D">
        <w:t>frå</w:t>
      </w:r>
      <w:proofErr w:type="spellEnd"/>
      <w:r w:rsidRPr="00580C0D">
        <w:t xml:space="preserve"> Klima- og miljødepartementet </w:t>
      </w:r>
      <w:proofErr w:type="spellStart"/>
      <w:r w:rsidRPr="00580C0D">
        <w:t>gjer</w:t>
      </w:r>
      <w:proofErr w:type="spellEnd"/>
      <w:r w:rsidRPr="00580C0D">
        <w:t xml:space="preserve"> Miljødirektoratet </w:t>
      </w:r>
      <w:proofErr w:type="spellStart"/>
      <w:r w:rsidRPr="00580C0D">
        <w:t>ein</w:t>
      </w:r>
      <w:proofErr w:type="spellEnd"/>
      <w:r w:rsidRPr="00580C0D">
        <w:t xml:space="preserve"> større gjennomgang av </w:t>
      </w:r>
      <w:proofErr w:type="spellStart"/>
      <w:r w:rsidRPr="00580C0D">
        <w:t>produsentansvarsordningane</w:t>
      </w:r>
      <w:proofErr w:type="spellEnd"/>
      <w:r w:rsidRPr="00580C0D">
        <w:t xml:space="preserve">. Miljødirektoratet tilrår ei forskrift med krav til utvida produsentansvar for </w:t>
      </w:r>
      <w:proofErr w:type="spellStart"/>
      <w:r w:rsidRPr="00580C0D">
        <w:t>utvalde</w:t>
      </w:r>
      <w:proofErr w:type="spellEnd"/>
      <w:r w:rsidRPr="00580C0D">
        <w:t xml:space="preserve"> </w:t>
      </w:r>
      <w:proofErr w:type="spellStart"/>
      <w:r w:rsidRPr="00580C0D">
        <w:t>eingongsprodukt</w:t>
      </w:r>
      <w:proofErr w:type="spellEnd"/>
      <w:r w:rsidRPr="00580C0D">
        <w:t xml:space="preserve"> av plast, </w:t>
      </w:r>
      <w:proofErr w:type="spellStart"/>
      <w:r w:rsidRPr="00580C0D">
        <w:t>irekna</w:t>
      </w:r>
      <w:proofErr w:type="spellEnd"/>
      <w:r w:rsidRPr="00580C0D">
        <w:t xml:space="preserve"> for </w:t>
      </w:r>
      <w:proofErr w:type="spellStart"/>
      <w:r w:rsidRPr="00580C0D">
        <w:t>ballongar</w:t>
      </w:r>
      <w:proofErr w:type="spellEnd"/>
      <w:r w:rsidRPr="00580C0D">
        <w:t xml:space="preserve">. Bakgrunnen for forslaget er mellom anna EUs direktiv om plastprodukt ((EU) 2019/904) som stiller krav om at </w:t>
      </w:r>
      <w:proofErr w:type="spellStart"/>
      <w:r w:rsidRPr="00580C0D">
        <w:t>produsentar</w:t>
      </w:r>
      <w:proofErr w:type="spellEnd"/>
      <w:r w:rsidRPr="00580C0D">
        <w:t xml:space="preserve"> skal </w:t>
      </w:r>
      <w:proofErr w:type="spellStart"/>
      <w:r w:rsidRPr="00580C0D">
        <w:t>dekkje</w:t>
      </w:r>
      <w:proofErr w:type="spellEnd"/>
      <w:r w:rsidRPr="00580C0D">
        <w:t xml:space="preserve"> utgifter til handtering av forsøpling av visse </w:t>
      </w:r>
      <w:proofErr w:type="spellStart"/>
      <w:r w:rsidRPr="00580C0D">
        <w:t>typar</w:t>
      </w:r>
      <w:proofErr w:type="spellEnd"/>
      <w:r w:rsidRPr="00580C0D">
        <w:t xml:space="preserve"> plastprodukt. Miljødirektoratet har funne at det er lite forsøpling med </w:t>
      </w:r>
      <w:proofErr w:type="spellStart"/>
      <w:r w:rsidRPr="00580C0D">
        <w:t>ballongar</w:t>
      </w:r>
      <w:proofErr w:type="spellEnd"/>
      <w:r w:rsidRPr="00580C0D">
        <w:t xml:space="preserve"> i </w:t>
      </w:r>
      <w:proofErr w:type="spellStart"/>
      <w:r w:rsidRPr="00580C0D">
        <w:t>Noreg</w:t>
      </w:r>
      <w:proofErr w:type="spellEnd"/>
      <w:r w:rsidRPr="00580C0D">
        <w:t xml:space="preserve">, og tilrår at </w:t>
      </w:r>
      <w:proofErr w:type="spellStart"/>
      <w:r w:rsidRPr="00580C0D">
        <w:t>ballongprodusentar</w:t>
      </w:r>
      <w:proofErr w:type="spellEnd"/>
      <w:r w:rsidRPr="00580C0D">
        <w:t xml:space="preserve"> har plikt til å melde seg inn i </w:t>
      </w:r>
      <w:proofErr w:type="spellStart"/>
      <w:r w:rsidRPr="00580C0D">
        <w:t>eit</w:t>
      </w:r>
      <w:proofErr w:type="spellEnd"/>
      <w:r w:rsidRPr="00580C0D">
        <w:t xml:space="preserve"> produsentansvarsselskap </w:t>
      </w:r>
      <w:proofErr w:type="spellStart"/>
      <w:r w:rsidRPr="00580C0D">
        <w:t>berre</w:t>
      </w:r>
      <w:proofErr w:type="spellEnd"/>
      <w:r w:rsidRPr="00580C0D">
        <w:t xml:space="preserve"> dersom </w:t>
      </w:r>
      <w:proofErr w:type="spellStart"/>
      <w:r w:rsidRPr="00580C0D">
        <w:t>plukkanalysar</w:t>
      </w:r>
      <w:proofErr w:type="spellEnd"/>
      <w:r w:rsidRPr="00580C0D">
        <w:t xml:space="preserve"> </w:t>
      </w:r>
      <w:proofErr w:type="spellStart"/>
      <w:r w:rsidRPr="00580C0D">
        <w:t>visar</w:t>
      </w:r>
      <w:proofErr w:type="spellEnd"/>
      <w:r w:rsidRPr="00580C0D">
        <w:t xml:space="preserve"> </w:t>
      </w:r>
      <w:proofErr w:type="spellStart"/>
      <w:r w:rsidRPr="00580C0D">
        <w:t>eit</w:t>
      </w:r>
      <w:proofErr w:type="spellEnd"/>
      <w:r w:rsidRPr="00580C0D">
        <w:t xml:space="preserve"> minimum av forsøpling </w:t>
      </w:r>
      <w:proofErr w:type="spellStart"/>
      <w:r w:rsidRPr="00580C0D">
        <w:t>frå</w:t>
      </w:r>
      <w:proofErr w:type="spellEnd"/>
      <w:r w:rsidRPr="00580C0D">
        <w:t xml:space="preserve"> </w:t>
      </w:r>
      <w:proofErr w:type="spellStart"/>
      <w:r w:rsidRPr="00580C0D">
        <w:t>ballongar</w:t>
      </w:r>
      <w:proofErr w:type="spellEnd"/>
      <w:r w:rsidRPr="00580C0D">
        <w:t xml:space="preserve">. Som </w:t>
      </w:r>
      <w:proofErr w:type="spellStart"/>
      <w:r w:rsidRPr="00580C0D">
        <w:t>følgje</w:t>
      </w:r>
      <w:proofErr w:type="spellEnd"/>
      <w:r w:rsidRPr="00580C0D">
        <w:t xml:space="preserve"> av dette er det </w:t>
      </w:r>
      <w:proofErr w:type="spellStart"/>
      <w:r w:rsidRPr="00580C0D">
        <w:t>ikkje</w:t>
      </w:r>
      <w:proofErr w:type="spellEnd"/>
      <w:r w:rsidRPr="00580C0D">
        <w:t xml:space="preserve"> </w:t>
      </w:r>
      <w:proofErr w:type="spellStart"/>
      <w:r w:rsidRPr="00580C0D">
        <w:t>fagleg</w:t>
      </w:r>
      <w:proofErr w:type="spellEnd"/>
      <w:r w:rsidRPr="00580C0D">
        <w:t xml:space="preserve"> grunnlag for </w:t>
      </w:r>
      <w:proofErr w:type="spellStart"/>
      <w:r w:rsidRPr="00580C0D">
        <w:t>eit</w:t>
      </w:r>
      <w:proofErr w:type="spellEnd"/>
      <w:r w:rsidRPr="00580C0D">
        <w:t xml:space="preserve"> </w:t>
      </w:r>
      <w:proofErr w:type="spellStart"/>
      <w:r w:rsidRPr="00580C0D">
        <w:t>forbod</w:t>
      </w:r>
      <w:proofErr w:type="spellEnd"/>
      <w:r w:rsidRPr="00580C0D">
        <w:t>.</w:t>
      </w:r>
    </w:p>
    <w:p w14:paraId="6DF3467B" w14:textId="77777777" w:rsidR="00F7113A" w:rsidRPr="00580C0D" w:rsidRDefault="00142E5B" w:rsidP="00580C0D">
      <w:r w:rsidRPr="00580C0D">
        <w:t xml:space="preserve">Departementet ser på vedtaket som </w:t>
      </w:r>
      <w:proofErr w:type="spellStart"/>
      <w:r w:rsidRPr="00580C0D">
        <w:t>følgt</w:t>
      </w:r>
      <w:proofErr w:type="spellEnd"/>
      <w:r w:rsidRPr="00580C0D">
        <w:t xml:space="preserve"> opp.</w:t>
      </w:r>
    </w:p>
    <w:p w14:paraId="28E3E1AF" w14:textId="77777777" w:rsidR="00F7113A" w:rsidRPr="00580C0D" w:rsidRDefault="00142E5B" w:rsidP="00580C0D">
      <w:pPr>
        <w:pStyle w:val="Overskrift2"/>
      </w:pPr>
      <w:r w:rsidRPr="00580C0D">
        <w:t>Stortingssesjon 2016–2017</w:t>
      </w:r>
    </w:p>
    <w:p w14:paraId="4955D0DD" w14:textId="77777777" w:rsidR="00F7113A" w:rsidRPr="00580C0D" w:rsidRDefault="00142E5B" w:rsidP="00580C0D">
      <w:pPr>
        <w:pStyle w:val="avsnitt-tittel"/>
      </w:pPr>
      <w:r w:rsidRPr="00580C0D">
        <w:t>Gratis levering av marint avfall</w:t>
      </w:r>
    </w:p>
    <w:p w14:paraId="7C3A8366" w14:textId="77777777" w:rsidR="00F7113A" w:rsidRPr="00580C0D" w:rsidRDefault="00142E5B" w:rsidP="00580C0D">
      <w:pPr>
        <w:pStyle w:val="avsnitt-undertittel"/>
      </w:pPr>
      <w:r w:rsidRPr="00580C0D">
        <w:t>Vedtak nr. 529, 28. mars 2017</w:t>
      </w:r>
    </w:p>
    <w:p w14:paraId="6BCFED71" w14:textId="77777777" w:rsidR="00F7113A" w:rsidRPr="00580C0D" w:rsidRDefault="00142E5B" w:rsidP="00580C0D">
      <w:pPr>
        <w:pStyle w:val="blokksit"/>
        <w:rPr>
          <w:rStyle w:val="kursiv"/>
        </w:rPr>
      </w:pPr>
      <w:r w:rsidRPr="00580C0D">
        <w:rPr>
          <w:rStyle w:val="kursiv"/>
        </w:rPr>
        <w:t>«Stortinget ber regjeringen særskilt belyse hvordan gratis levering av marint avfall bør organiseres, og komme tilbake til dette på egnet måte.»</w:t>
      </w:r>
    </w:p>
    <w:p w14:paraId="22D4FEF7" w14:textId="77777777" w:rsidR="00F7113A" w:rsidRPr="00580C0D" w:rsidRDefault="00142E5B" w:rsidP="00580C0D">
      <w:r w:rsidRPr="00580C0D">
        <w:t xml:space="preserve">Stortinget gjorde vedtaket ved </w:t>
      </w:r>
      <w:proofErr w:type="spellStart"/>
      <w:r w:rsidRPr="00580C0D">
        <w:t>behandlinga</w:t>
      </w:r>
      <w:proofErr w:type="spellEnd"/>
      <w:r w:rsidRPr="00580C0D">
        <w:t xml:space="preserve"> av innstilling </w:t>
      </w:r>
      <w:proofErr w:type="spellStart"/>
      <w:r w:rsidRPr="00580C0D">
        <w:t>frå</w:t>
      </w:r>
      <w:proofErr w:type="spellEnd"/>
      <w:r w:rsidRPr="00580C0D">
        <w:t xml:space="preserve"> energi- og miljøkomiteen, </w:t>
      </w:r>
      <w:proofErr w:type="spellStart"/>
      <w:r w:rsidRPr="00580C0D">
        <w:t>Innst</w:t>
      </w:r>
      <w:proofErr w:type="spellEnd"/>
      <w:r w:rsidRPr="00580C0D">
        <w:t xml:space="preserve">. 213 S (2016–2017), jf. </w:t>
      </w:r>
      <w:proofErr w:type="spellStart"/>
      <w:r w:rsidRPr="00580C0D">
        <w:t>Dok</w:t>
      </w:r>
      <w:proofErr w:type="spellEnd"/>
      <w:r w:rsidRPr="00580C0D">
        <w:t xml:space="preserve">. 8:31 S (2016–2017), tilrådinga i innstillinga </w:t>
      </w:r>
      <w:proofErr w:type="spellStart"/>
      <w:r w:rsidRPr="00580C0D">
        <w:t>romartal</w:t>
      </w:r>
      <w:proofErr w:type="spellEnd"/>
      <w:r w:rsidRPr="00580C0D">
        <w:t xml:space="preserve"> I.</w:t>
      </w:r>
    </w:p>
    <w:p w14:paraId="60460765" w14:textId="77777777" w:rsidR="00F7113A" w:rsidRPr="00580C0D" w:rsidRDefault="00142E5B" w:rsidP="00580C0D">
      <w:r w:rsidRPr="00580C0D">
        <w:t xml:space="preserve">Regjeringa vedtok </w:t>
      </w:r>
      <w:proofErr w:type="spellStart"/>
      <w:r w:rsidRPr="00580C0D">
        <w:t>nyleg</w:t>
      </w:r>
      <w:proofErr w:type="spellEnd"/>
      <w:r w:rsidRPr="00580C0D">
        <w:t xml:space="preserve"> </w:t>
      </w:r>
      <w:proofErr w:type="spellStart"/>
      <w:r w:rsidRPr="00580C0D">
        <w:t>endringar</w:t>
      </w:r>
      <w:proofErr w:type="spellEnd"/>
      <w:r w:rsidRPr="00580C0D">
        <w:t xml:space="preserve"> i </w:t>
      </w:r>
      <w:proofErr w:type="spellStart"/>
      <w:r w:rsidRPr="00580C0D">
        <w:t>forureiningsforskrifta</w:t>
      </w:r>
      <w:proofErr w:type="spellEnd"/>
      <w:r w:rsidRPr="00580C0D">
        <w:t xml:space="preserve"> kapittel 20 om levering og mottak av avfall og </w:t>
      </w:r>
      <w:proofErr w:type="spellStart"/>
      <w:r w:rsidRPr="00580C0D">
        <w:t>lasterestar</w:t>
      </w:r>
      <w:proofErr w:type="spellEnd"/>
      <w:r w:rsidRPr="00580C0D">
        <w:t xml:space="preserve"> </w:t>
      </w:r>
      <w:proofErr w:type="spellStart"/>
      <w:r w:rsidRPr="00580C0D">
        <w:t>frå</w:t>
      </w:r>
      <w:proofErr w:type="spellEnd"/>
      <w:r w:rsidRPr="00580C0D">
        <w:t xml:space="preserve"> skip som gjennomførte EUs reviderte skipsavfallsdirektiv ((EU) 2019/883). </w:t>
      </w:r>
      <w:proofErr w:type="spellStart"/>
      <w:r w:rsidRPr="00580C0D">
        <w:t>Endringane</w:t>
      </w:r>
      <w:proofErr w:type="spellEnd"/>
      <w:r w:rsidRPr="00580C0D">
        <w:t xml:space="preserve"> </w:t>
      </w:r>
      <w:proofErr w:type="spellStart"/>
      <w:r w:rsidRPr="00580C0D">
        <w:t>inneber</w:t>
      </w:r>
      <w:proofErr w:type="spellEnd"/>
      <w:r w:rsidRPr="00580C0D">
        <w:t xml:space="preserve"> mellom anna at krav om avfallsgebyr i hamn skal </w:t>
      </w:r>
      <w:proofErr w:type="spellStart"/>
      <w:r w:rsidRPr="00580C0D">
        <w:t>innførast</w:t>
      </w:r>
      <w:proofErr w:type="spellEnd"/>
      <w:r w:rsidRPr="00580C0D">
        <w:t xml:space="preserve"> også for fiskefartøy og </w:t>
      </w:r>
      <w:proofErr w:type="spellStart"/>
      <w:r w:rsidRPr="00580C0D">
        <w:t>fritidsbåtar</w:t>
      </w:r>
      <w:proofErr w:type="spellEnd"/>
      <w:r w:rsidRPr="00580C0D">
        <w:t xml:space="preserve"> slik det </w:t>
      </w:r>
      <w:proofErr w:type="spellStart"/>
      <w:r w:rsidRPr="00580C0D">
        <w:t>no</w:t>
      </w:r>
      <w:proofErr w:type="spellEnd"/>
      <w:r w:rsidRPr="00580C0D">
        <w:t xml:space="preserve"> gjeld for andre </w:t>
      </w:r>
      <w:proofErr w:type="spellStart"/>
      <w:r w:rsidRPr="00580C0D">
        <w:t>typar</w:t>
      </w:r>
      <w:proofErr w:type="spellEnd"/>
      <w:r w:rsidRPr="00580C0D">
        <w:t xml:space="preserve"> fartøy. Samstundes skal også handtering av oppfiska avfall </w:t>
      </w:r>
      <w:proofErr w:type="spellStart"/>
      <w:r w:rsidRPr="00580C0D">
        <w:t>inkluderast</w:t>
      </w:r>
      <w:proofErr w:type="spellEnd"/>
      <w:r w:rsidRPr="00580C0D">
        <w:t xml:space="preserve"> i det generelle gebyret. Dette vil </w:t>
      </w:r>
      <w:proofErr w:type="spellStart"/>
      <w:r w:rsidRPr="00580C0D">
        <w:t>innebere</w:t>
      </w:r>
      <w:proofErr w:type="spellEnd"/>
      <w:r w:rsidRPr="00580C0D">
        <w:t xml:space="preserve"> at det </w:t>
      </w:r>
      <w:proofErr w:type="spellStart"/>
      <w:r w:rsidRPr="00580C0D">
        <w:t>ikkje</w:t>
      </w:r>
      <w:proofErr w:type="spellEnd"/>
      <w:r w:rsidRPr="00580C0D">
        <w:t xml:space="preserve"> blir </w:t>
      </w:r>
      <w:proofErr w:type="spellStart"/>
      <w:r w:rsidRPr="00580C0D">
        <w:t>kravd</w:t>
      </w:r>
      <w:proofErr w:type="spellEnd"/>
      <w:r w:rsidRPr="00580C0D">
        <w:t xml:space="preserve"> særskilt gebyr for innlevering av avfall som er fått opp </w:t>
      </w:r>
      <w:proofErr w:type="spellStart"/>
      <w:r w:rsidRPr="00580C0D">
        <w:t>frå</w:t>
      </w:r>
      <w:proofErr w:type="spellEnd"/>
      <w:r w:rsidRPr="00580C0D">
        <w:t xml:space="preserve"> havet. Det blir stilt krav om at hamner skal </w:t>
      </w:r>
      <w:proofErr w:type="spellStart"/>
      <w:r w:rsidRPr="00580C0D">
        <w:t>leggje</w:t>
      </w:r>
      <w:proofErr w:type="spellEnd"/>
      <w:r w:rsidRPr="00580C0D">
        <w:t xml:space="preserve"> til rette for mottak av kjeldesortert avfall </w:t>
      </w:r>
      <w:proofErr w:type="spellStart"/>
      <w:r w:rsidRPr="00580C0D">
        <w:t>frå</w:t>
      </w:r>
      <w:proofErr w:type="spellEnd"/>
      <w:r w:rsidRPr="00580C0D">
        <w:t xml:space="preserve"> skipa som </w:t>
      </w:r>
      <w:proofErr w:type="spellStart"/>
      <w:r w:rsidRPr="00580C0D">
        <w:t>nyttar</w:t>
      </w:r>
      <w:proofErr w:type="spellEnd"/>
      <w:r w:rsidRPr="00580C0D">
        <w:t xml:space="preserve"> hamna. Endringsforskrifta tek til å gjelde 1. oktober 2023.</w:t>
      </w:r>
    </w:p>
    <w:p w14:paraId="79969A56" w14:textId="77777777" w:rsidR="00F7113A" w:rsidRPr="00580C0D" w:rsidRDefault="00142E5B" w:rsidP="00580C0D">
      <w:r w:rsidRPr="00580C0D">
        <w:t xml:space="preserve">Departementet ser på vedtaket som </w:t>
      </w:r>
      <w:proofErr w:type="spellStart"/>
      <w:r w:rsidRPr="00580C0D">
        <w:t>følgt</w:t>
      </w:r>
      <w:proofErr w:type="spellEnd"/>
      <w:r w:rsidRPr="00580C0D">
        <w:t xml:space="preserve"> opp.</w:t>
      </w:r>
    </w:p>
    <w:p w14:paraId="21ABBD9F" w14:textId="77777777" w:rsidR="00F7113A" w:rsidRPr="00580C0D" w:rsidRDefault="00142E5B" w:rsidP="00580C0D">
      <w:pPr>
        <w:pStyle w:val="avsnitt-tittel"/>
      </w:pPr>
      <w:r w:rsidRPr="00580C0D">
        <w:t xml:space="preserve">Forslag til tiltak og </w:t>
      </w:r>
      <w:proofErr w:type="spellStart"/>
      <w:r w:rsidRPr="00580C0D">
        <w:t>verkemiddel</w:t>
      </w:r>
      <w:proofErr w:type="spellEnd"/>
      <w:r w:rsidRPr="00580C0D">
        <w:t xml:space="preserve"> for overvassproblematikk</w:t>
      </w:r>
    </w:p>
    <w:p w14:paraId="54963149" w14:textId="77777777" w:rsidR="00F7113A" w:rsidRPr="00580C0D" w:rsidRDefault="00142E5B" w:rsidP="00580C0D">
      <w:pPr>
        <w:pStyle w:val="avsnitt-undertittel"/>
      </w:pPr>
      <w:r w:rsidRPr="00580C0D">
        <w:t>Vedtak nr. 914, 14. juni 2017</w:t>
      </w:r>
    </w:p>
    <w:p w14:paraId="20EDA406" w14:textId="77777777" w:rsidR="00F7113A" w:rsidRPr="00580C0D" w:rsidRDefault="00142E5B" w:rsidP="00580C0D">
      <w:pPr>
        <w:pStyle w:val="blokksit"/>
        <w:rPr>
          <w:rStyle w:val="kursiv"/>
        </w:rPr>
      </w:pPr>
      <w:r w:rsidRPr="00580C0D">
        <w:rPr>
          <w:rStyle w:val="kursiv"/>
        </w:rPr>
        <w:t>«Stortinget ber regjeringen gjennomgå anbefalingene fra overvannsutvalget (NOU 2015: 6), og komme tilbake til Stortinget på egnet måte med forslag til tiltak og virkemidler for overvannsproblematikk, inkludert en vurdering av en egen sektorlov for vann- og avløp.»</w:t>
      </w:r>
    </w:p>
    <w:p w14:paraId="57BA403D" w14:textId="77777777" w:rsidR="00F7113A" w:rsidRPr="00580C0D" w:rsidRDefault="00142E5B" w:rsidP="00580C0D">
      <w:r w:rsidRPr="00580C0D">
        <w:t xml:space="preserve">Stortinget gjorde vedtaket ved behandling av </w:t>
      </w:r>
      <w:proofErr w:type="spellStart"/>
      <w:r w:rsidRPr="00580C0D">
        <w:t>Dok</w:t>
      </w:r>
      <w:proofErr w:type="spellEnd"/>
      <w:r w:rsidRPr="00580C0D">
        <w:t xml:space="preserve">. 8:78 S (2016–2017), jf. </w:t>
      </w:r>
      <w:proofErr w:type="spellStart"/>
      <w:r w:rsidRPr="00580C0D">
        <w:t>Innst</w:t>
      </w:r>
      <w:proofErr w:type="spellEnd"/>
      <w:r w:rsidRPr="00580C0D">
        <w:t xml:space="preserve">. 436 S (2016–2017), jf. tilrådinga i innstillinga </w:t>
      </w:r>
      <w:proofErr w:type="spellStart"/>
      <w:r w:rsidRPr="00580C0D">
        <w:t>romartal</w:t>
      </w:r>
      <w:proofErr w:type="spellEnd"/>
      <w:r w:rsidRPr="00580C0D">
        <w:t xml:space="preserve"> I.</w:t>
      </w:r>
    </w:p>
    <w:p w14:paraId="1F3F37A2" w14:textId="77777777" w:rsidR="00F7113A" w:rsidRPr="00580C0D" w:rsidRDefault="00142E5B" w:rsidP="00580C0D">
      <w:proofErr w:type="spellStart"/>
      <w:r w:rsidRPr="00580C0D">
        <w:t>Overvassutvalet</w:t>
      </w:r>
      <w:proofErr w:type="spellEnd"/>
      <w:r w:rsidRPr="00580C0D">
        <w:t xml:space="preserve"> foreslo </w:t>
      </w:r>
      <w:proofErr w:type="spellStart"/>
      <w:r w:rsidRPr="00580C0D">
        <w:t>ein</w:t>
      </w:r>
      <w:proofErr w:type="spellEnd"/>
      <w:r w:rsidRPr="00580C0D">
        <w:t xml:space="preserve"> pakke av </w:t>
      </w:r>
      <w:proofErr w:type="spellStart"/>
      <w:r w:rsidRPr="00580C0D">
        <w:t>verkemiddel</w:t>
      </w:r>
      <w:proofErr w:type="spellEnd"/>
      <w:r w:rsidRPr="00580C0D">
        <w:t xml:space="preserve"> som må </w:t>
      </w:r>
      <w:proofErr w:type="spellStart"/>
      <w:r w:rsidRPr="00580C0D">
        <w:t>sjåast</w:t>
      </w:r>
      <w:proofErr w:type="spellEnd"/>
      <w:r w:rsidRPr="00580C0D">
        <w:t xml:space="preserve"> i </w:t>
      </w:r>
      <w:proofErr w:type="spellStart"/>
      <w:r w:rsidRPr="00580C0D">
        <w:t>samanheng</w:t>
      </w:r>
      <w:proofErr w:type="spellEnd"/>
      <w:r w:rsidRPr="00580C0D">
        <w:t xml:space="preserve">, og som til </w:t>
      </w:r>
      <w:proofErr w:type="spellStart"/>
      <w:r w:rsidRPr="00580C0D">
        <w:t>saman</w:t>
      </w:r>
      <w:proofErr w:type="spellEnd"/>
      <w:r w:rsidRPr="00580C0D">
        <w:t xml:space="preserve"> vil </w:t>
      </w:r>
      <w:proofErr w:type="spellStart"/>
      <w:r w:rsidRPr="00580C0D">
        <w:t>medverke</w:t>
      </w:r>
      <w:proofErr w:type="spellEnd"/>
      <w:r w:rsidRPr="00580C0D">
        <w:t xml:space="preserve"> til å oppnå måla om å </w:t>
      </w:r>
      <w:proofErr w:type="spellStart"/>
      <w:r w:rsidRPr="00580C0D">
        <w:t>førebyggje</w:t>
      </w:r>
      <w:proofErr w:type="spellEnd"/>
      <w:r w:rsidRPr="00580C0D">
        <w:t xml:space="preserve"> skade på </w:t>
      </w:r>
      <w:proofErr w:type="spellStart"/>
      <w:r w:rsidRPr="00580C0D">
        <w:t>busetnad</w:t>
      </w:r>
      <w:proofErr w:type="spellEnd"/>
      <w:r w:rsidRPr="00580C0D">
        <w:t xml:space="preserve">, infrastruktur, helse og miljø. Forslag til </w:t>
      </w:r>
      <w:proofErr w:type="spellStart"/>
      <w:r w:rsidRPr="00580C0D">
        <w:t>endringar</w:t>
      </w:r>
      <w:proofErr w:type="spellEnd"/>
      <w:r w:rsidRPr="00580C0D">
        <w:t xml:space="preserve"> i </w:t>
      </w:r>
      <w:proofErr w:type="spellStart"/>
      <w:r w:rsidRPr="00580C0D">
        <w:t>forureiningslova</w:t>
      </w:r>
      <w:proofErr w:type="spellEnd"/>
      <w:r w:rsidRPr="00580C0D">
        <w:t xml:space="preserve"> og vass- og avløpsanleggslova </w:t>
      </w:r>
      <w:proofErr w:type="spellStart"/>
      <w:r w:rsidRPr="00580C0D">
        <w:t>vart</w:t>
      </w:r>
      <w:proofErr w:type="spellEnd"/>
      <w:r w:rsidRPr="00580C0D">
        <w:t xml:space="preserve"> sendt på </w:t>
      </w:r>
      <w:proofErr w:type="spellStart"/>
      <w:r w:rsidRPr="00580C0D">
        <w:t>høyring</w:t>
      </w:r>
      <w:proofErr w:type="spellEnd"/>
      <w:r w:rsidRPr="00580C0D">
        <w:t xml:space="preserve"> i mars 2020 og er til behandling i Klima- og miljødepartementet. Kommunal- og </w:t>
      </w:r>
      <w:proofErr w:type="spellStart"/>
      <w:r w:rsidRPr="00580C0D">
        <w:t>distriktsdepartementet</w:t>
      </w:r>
      <w:proofErr w:type="spellEnd"/>
      <w:r w:rsidRPr="00580C0D">
        <w:t xml:space="preserve"> </w:t>
      </w:r>
      <w:proofErr w:type="spellStart"/>
      <w:r w:rsidRPr="00580C0D">
        <w:t>fremja</w:t>
      </w:r>
      <w:proofErr w:type="spellEnd"/>
      <w:r w:rsidRPr="00580C0D">
        <w:t xml:space="preserve"> forslag til </w:t>
      </w:r>
      <w:proofErr w:type="spellStart"/>
      <w:r w:rsidRPr="00580C0D">
        <w:t>endringar</w:t>
      </w:r>
      <w:proofErr w:type="spellEnd"/>
      <w:r w:rsidRPr="00580C0D">
        <w:t xml:space="preserve"> i plan- og bygningslova om handtering av overvatn i 2022. Forslaget </w:t>
      </w:r>
      <w:proofErr w:type="spellStart"/>
      <w:r w:rsidRPr="00580C0D">
        <w:t>vart</w:t>
      </w:r>
      <w:proofErr w:type="spellEnd"/>
      <w:r w:rsidRPr="00580C0D">
        <w:t xml:space="preserve"> </w:t>
      </w:r>
      <w:proofErr w:type="spellStart"/>
      <w:r w:rsidRPr="00580C0D">
        <w:t>vedteke</w:t>
      </w:r>
      <w:proofErr w:type="spellEnd"/>
      <w:r w:rsidRPr="00580C0D">
        <w:t xml:space="preserve"> av Stortinget 27. juni 2022 og skal ta til å gjelde 1. januar 2024. Forslaget til </w:t>
      </w:r>
      <w:proofErr w:type="spellStart"/>
      <w:r w:rsidRPr="00580C0D">
        <w:t>overvassutvalet</w:t>
      </w:r>
      <w:proofErr w:type="spellEnd"/>
      <w:r w:rsidRPr="00580C0D">
        <w:t xml:space="preserve"> er også </w:t>
      </w:r>
      <w:proofErr w:type="spellStart"/>
      <w:r w:rsidRPr="00580C0D">
        <w:t>følgt</w:t>
      </w:r>
      <w:proofErr w:type="spellEnd"/>
      <w:r w:rsidRPr="00580C0D">
        <w:t xml:space="preserve"> opp i Meld. St. 26 </w:t>
      </w:r>
      <w:r w:rsidRPr="00580C0D">
        <w:rPr>
          <w:rStyle w:val="kursiv"/>
        </w:rPr>
        <w:t xml:space="preserve">Klima i endring – sammen for et </w:t>
      </w:r>
      <w:proofErr w:type="gramStart"/>
      <w:r w:rsidRPr="00580C0D">
        <w:rPr>
          <w:rStyle w:val="kursiv"/>
        </w:rPr>
        <w:t>klimarobust</w:t>
      </w:r>
      <w:proofErr w:type="gramEnd"/>
      <w:r w:rsidRPr="00580C0D">
        <w:rPr>
          <w:rStyle w:val="kursiv"/>
        </w:rPr>
        <w:t xml:space="preserve"> samfunn</w:t>
      </w:r>
      <w:r w:rsidRPr="00580C0D">
        <w:t xml:space="preserve">. Her har regjeringa sagt at </w:t>
      </w:r>
      <w:proofErr w:type="spellStart"/>
      <w:r w:rsidRPr="00580C0D">
        <w:t>dei</w:t>
      </w:r>
      <w:proofErr w:type="spellEnd"/>
      <w:r w:rsidRPr="00580C0D">
        <w:t xml:space="preserve"> vil vurdere </w:t>
      </w:r>
      <w:proofErr w:type="spellStart"/>
      <w:r w:rsidRPr="00580C0D">
        <w:t>fordelar</w:t>
      </w:r>
      <w:proofErr w:type="spellEnd"/>
      <w:r w:rsidRPr="00580C0D">
        <w:t xml:space="preserve"> og ulemper ved å innføre </w:t>
      </w:r>
      <w:proofErr w:type="spellStart"/>
      <w:r w:rsidRPr="00580C0D">
        <w:t>eit</w:t>
      </w:r>
      <w:proofErr w:type="spellEnd"/>
      <w:r w:rsidRPr="00580C0D">
        <w:t xml:space="preserve"> eige gebyr for overvatn og greie ut ulike </w:t>
      </w:r>
      <w:proofErr w:type="spellStart"/>
      <w:r w:rsidRPr="00580C0D">
        <w:t>gebyrmodellar</w:t>
      </w:r>
      <w:proofErr w:type="spellEnd"/>
      <w:r w:rsidRPr="00580C0D">
        <w:t xml:space="preserve">. Videre vil regjeringa sende forslag til nytt kapittel i </w:t>
      </w:r>
      <w:proofErr w:type="spellStart"/>
      <w:r w:rsidRPr="00580C0D">
        <w:t>forureiningsforskrifta</w:t>
      </w:r>
      <w:proofErr w:type="spellEnd"/>
      <w:r w:rsidRPr="00580C0D">
        <w:t xml:space="preserve"> med krav til etablering, tømming og </w:t>
      </w:r>
      <w:proofErr w:type="spellStart"/>
      <w:r w:rsidRPr="00580C0D">
        <w:t>vedlikehald</w:t>
      </w:r>
      <w:proofErr w:type="spellEnd"/>
      <w:r w:rsidRPr="00580C0D">
        <w:t xml:space="preserve"> av sandfang på </w:t>
      </w:r>
      <w:proofErr w:type="spellStart"/>
      <w:r w:rsidRPr="00580C0D">
        <w:t>høyring</w:t>
      </w:r>
      <w:proofErr w:type="spellEnd"/>
      <w:r w:rsidRPr="00580C0D">
        <w:t xml:space="preserve"> og greie ut behov for </w:t>
      </w:r>
      <w:proofErr w:type="spellStart"/>
      <w:r w:rsidRPr="00580C0D">
        <w:t>endringar</w:t>
      </w:r>
      <w:proofErr w:type="spellEnd"/>
      <w:r w:rsidRPr="00580C0D">
        <w:t xml:space="preserve"> i </w:t>
      </w:r>
      <w:proofErr w:type="spellStart"/>
      <w:r w:rsidRPr="00580C0D">
        <w:t>forureiningslova</w:t>
      </w:r>
      <w:proofErr w:type="spellEnd"/>
      <w:r w:rsidRPr="00580C0D">
        <w:t xml:space="preserve"> om ansvar for skade forårsaka av avløpsanlegg.</w:t>
      </w:r>
    </w:p>
    <w:p w14:paraId="574602AA" w14:textId="77777777" w:rsidR="00F7113A" w:rsidRPr="00580C0D" w:rsidRDefault="00142E5B" w:rsidP="00580C0D">
      <w:r w:rsidRPr="00580C0D">
        <w:t>Regjeringa vil komme tilbake til Stortinget på eigna måte.</w:t>
      </w:r>
    </w:p>
    <w:p w14:paraId="33E1122B" w14:textId="77777777" w:rsidR="00F7113A" w:rsidRPr="00580C0D" w:rsidRDefault="00142E5B" w:rsidP="00580C0D">
      <w:pPr>
        <w:pStyle w:val="Overskrift2"/>
      </w:pPr>
      <w:r w:rsidRPr="00580C0D">
        <w:t>Stortingssesjon 2015–2016</w:t>
      </w:r>
    </w:p>
    <w:p w14:paraId="5C82D05D" w14:textId="77777777" w:rsidR="00F7113A" w:rsidRPr="00580C0D" w:rsidRDefault="00142E5B" w:rsidP="00580C0D">
      <w:pPr>
        <w:pStyle w:val="avsnitt-tittel"/>
      </w:pPr>
      <w:r w:rsidRPr="00580C0D">
        <w:t xml:space="preserve">Handlingsplan for å </w:t>
      </w:r>
      <w:proofErr w:type="spellStart"/>
      <w:r w:rsidRPr="00580C0D">
        <w:t>betre</w:t>
      </w:r>
      <w:proofErr w:type="spellEnd"/>
      <w:r w:rsidRPr="00580C0D">
        <w:t xml:space="preserve"> situasjonen for sjøfugl</w:t>
      </w:r>
    </w:p>
    <w:p w14:paraId="21806A56" w14:textId="77777777" w:rsidR="00F7113A" w:rsidRPr="00580C0D" w:rsidRDefault="00142E5B" w:rsidP="00580C0D">
      <w:pPr>
        <w:pStyle w:val="avsnitt-undertittel"/>
      </w:pPr>
      <w:r w:rsidRPr="00580C0D">
        <w:t>Vedtak nr. 674, 23. mai 2016</w:t>
      </w:r>
    </w:p>
    <w:p w14:paraId="567C23F5" w14:textId="77777777" w:rsidR="00F7113A" w:rsidRPr="00580C0D" w:rsidRDefault="00142E5B" w:rsidP="00580C0D">
      <w:pPr>
        <w:pStyle w:val="blokksit"/>
        <w:rPr>
          <w:rStyle w:val="kursiv"/>
        </w:rPr>
      </w:pPr>
      <w:r w:rsidRPr="00580C0D">
        <w:rPr>
          <w:rStyle w:val="kursiv"/>
        </w:rPr>
        <w:t>«Stortinget ber regjeringen utarbeide en handlingsplan for å bedre situasjonen for sjøfugler. I handlingsplanen må det gjøres en vurdering av hvilke øvrige sjøfugler som bør få status som prioritert art.»</w:t>
      </w:r>
    </w:p>
    <w:p w14:paraId="737C491D" w14:textId="77777777" w:rsidR="00F7113A" w:rsidRPr="00580C0D" w:rsidRDefault="00142E5B" w:rsidP="00580C0D">
      <w:r w:rsidRPr="00580C0D">
        <w:t xml:space="preserve">Vedtaket </w:t>
      </w:r>
      <w:proofErr w:type="spellStart"/>
      <w:r w:rsidRPr="00580C0D">
        <w:t>vart</w:t>
      </w:r>
      <w:proofErr w:type="spellEnd"/>
      <w:r w:rsidRPr="00580C0D">
        <w:t xml:space="preserve"> gjort ved stortingsbehandlinga av Meld. St. 14 (2015–2016) </w:t>
      </w:r>
      <w:r w:rsidRPr="00580C0D">
        <w:rPr>
          <w:rStyle w:val="kursiv"/>
        </w:rPr>
        <w:t xml:space="preserve">Natur for livet – Norsk handlingsplan for </w:t>
      </w:r>
      <w:proofErr w:type="spellStart"/>
      <w:r w:rsidRPr="00580C0D">
        <w:rPr>
          <w:rStyle w:val="kursiv"/>
        </w:rPr>
        <w:t>naturmangfald</w:t>
      </w:r>
      <w:proofErr w:type="spellEnd"/>
      <w:r w:rsidRPr="00580C0D">
        <w:t xml:space="preserve">, jf. </w:t>
      </w:r>
      <w:proofErr w:type="spellStart"/>
      <w:r w:rsidRPr="00580C0D">
        <w:t>Innst</w:t>
      </w:r>
      <w:proofErr w:type="spellEnd"/>
      <w:r w:rsidRPr="00580C0D">
        <w:t xml:space="preserve">. 294 S (2015–2016), innstillinga </w:t>
      </w:r>
      <w:proofErr w:type="spellStart"/>
      <w:r w:rsidRPr="00580C0D">
        <w:t>romartal</w:t>
      </w:r>
      <w:proofErr w:type="spellEnd"/>
      <w:r w:rsidRPr="00580C0D">
        <w:t xml:space="preserve"> IX.</w:t>
      </w:r>
    </w:p>
    <w:p w14:paraId="020DD8F2" w14:textId="77777777" w:rsidR="00F7113A" w:rsidRPr="00580C0D" w:rsidRDefault="00142E5B" w:rsidP="00580C0D">
      <w:r w:rsidRPr="00580C0D">
        <w:t xml:space="preserve">Dette er </w:t>
      </w:r>
      <w:proofErr w:type="spellStart"/>
      <w:r w:rsidRPr="00580C0D">
        <w:t>eit</w:t>
      </w:r>
      <w:proofErr w:type="spellEnd"/>
      <w:r w:rsidRPr="00580C0D">
        <w:t xml:space="preserve"> komplekst og samansett fagområde som involverer mange ulike </w:t>
      </w:r>
      <w:proofErr w:type="spellStart"/>
      <w:r w:rsidRPr="00580C0D">
        <w:t>sektorar</w:t>
      </w:r>
      <w:proofErr w:type="spellEnd"/>
      <w:r w:rsidRPr="00580C0D">
        <w:t xml:space="preserve">. Det har vist seg </w:t>
      </w:r>
      <w:proofErr w:type="spellStart"/>
      <w:r w:rsidRPr="00580C0D">
        <w:t>vanskeleg</w:t>
      </w:r>
      <w:proofErr w:type="spellEnd"/>
      <w:r w:rsidRPr="00580C0D">
        <w:t xml:space="preserve"> å få på plass </w:t>
      </w:r>
      <w:proofErr w:type="spellStart"/>
      <w:r w:rsidRPr="00580C0D">
        <w:t>eit</w:t>
      </w:r>
      <w:proofErr w:type="spellEnd"/>
      <w:r w:rsidRPr="00580C0D">
        <w:t xml:space="preserve"> kunnskapsgrunnlag som kan </w:t>
      </w:r>
      <w:proofErr w:type="spellStart"/>
      <w:r w:rsidRPr="00580C0D">
        <w:t>gje</w:t>
      </w:r>
      <w:proofErr w:type="spellEnd"/>
      <w:r w:rsidRPr="00580C0D">
        <w:t xml:space="preserve"> grunnlag for </w:t>
      </w:r>
      <w:proofErr w:type="spellStart"/>
      <w:r w:rsidRPr="00580C0D">
        <w:t>ein</w:t>
      </w:r>
      <w:proofErr w:type="spellEnd"/>
      <w:r w:rsidRPr="00580C0D">
        <w:t xml:space="preserve"> treffsikker handlingsplan som kan </w:t>
      </w:r>
      <w:proofErr w:type="spellStart"/>
      <w:r w:rsidRPr="00580C0D">
        <w:t>betre</w:t>
      </w:r>
      <w:proofErr w:type="spellEnd"/>
      <w:r w:rsidRPr="00580C0D">
        <w:t xml:space="preserve"> situasjonen for sjøfugl. Departementet vil </w:t>
      </w:r>
      <w:proofErr w:type="spellStart"/>
      <w:r w:rsidRPr="00580C0D">
        <w:t>gjere</w:t>
      </w:r>
      <w:proofErr w:type="spellEnd"/>
      <w:r w:rsidRPr="00580C0D">
        <w:t xml:space="preserve"> ei </w:t>
      </w:r>
      <w:proofErr w:type="spellStart"/>
      <w:r w:rsidRPr="00580C0D">
        <w:t>nærare</w:t>
      </w:r>
      <w:proofErr w:type="spellEnd"/>
      <w:r w:rsidRPr="00580C0D">
        <w:t xml:space="preserve"> vurdering av korleis </w:t>
      </w:r>
      <w:proofErr w:type="spellStart"/>
      <w:r w:rsidRPr="00580C0D">
        <w:t>ein</w:t>
      </w:r>
      <w:proofErr w:type="spellEnd"/>
      <w:r w:rsidRPr="00580C0D">
        <w:t xml:space="preserve"> best kan </w:t>
      </w:r>
      <w:proofErr w:type="spellStart"/>
      <w:r w:rsidRPr="00580C0D">
        <w:t>betre</w:t>
      </w:r>
      <w:proofErr w:type="spellEnd"/>
      <w:r w:rsidRPr="00580C0D">
        <w:t xml:space="preserve"> situasjonen for sjøfugl. Vi vil og sjå dette i </w:t>
      </w:r>
      <w:proofErr w:type="spellStart"/>
      <w:r w:rsidRPr="00580C0D">
        <w:t>samanheng</w:t>
      </w:r>
      <w:proofErr w:type="spellEnd"/>
      <w:r w:rsidRPr="00580C0D">
        <w:t xml:space="preserve"> med det </w:t>
      </w:r>
      <w:proofErr w:type="spellStart"/>
      <w:r w:rsidRPr="00580C0D">
        <w:t>igangverande</w:t>
      </w:r>
      <w:proofErr w:type="spellEnd"/>
      <w:r w:rsidRPr="00580C0D">
        <w:t xml:space="preserve"> arbeidet i OSPAR med </w:t>
      </w:r>
      <w:proofErr w:type="spellStart"/>
      <w:r w:rsidRPr="00580C0D">
        <w:t>ein</w:t>
      </w:r>
      <w:proofErr w:type="spellEnd"/>
      <w:r w:rsidRPr="00580C0D">
        <w:t xml:space="preserve"> regional handlingsplan for sjøfugl for Nordaust-Atlanteren.</w:t>
      </w:r>
    </w:p>
    <w:p w14:paraId="684875AF" w14:textId="77777777" w:rsidR="00F7113A" w:rsidRPr="00580C0D" w:rsidRDefault="00142E5B" w:rsidP="00580C0D">
      <w:r w:rsidRPr="00580C0D">
        <w:t>Stortinget vil bli orientert på eigna måte.</w:t>
      </w:r>
    </w:p>
    <w:p w14:paraId="3ED79624" w14:textId="77777777" w:rsidR="00F7113A" w:rsidRPr="00580C0D" w:rsidRDefault="00142E5B" w:rsidP="00580C0D">
      <w:pPr>
        <w:pStyle w:val="avsnitt-tittel"/>
      </w:pPr>
      <w:proofErr w:type="spellStart"/>
      <w:r w:rsidRPr="00580C0D">
        <w:t>Forbod</w:t>
      </w:r>
      <w:proofErr w:type="spellEnd"/>
      <w:r w:rsidRPr="00580C0D">
        <w:t xml:space="preserve"> mot mikroplast i kroppspleieprodukt</w:t>
      </w:r>
    </w:p>
    <w:p w14:paraId="6FA7AC35" w14:textId="77777777" w:rsidR="00F7113A" w:rsidRPr="00580C0D" w:rsidRDefault="00142E5B" w:rsidP="00580C0D">
      <w:pPr>
        <w:pStyle w:val="avsnitt-undertittel"/>
      </w:pPr>
      <w:r w:rsidRPr="00580C0D">
        <w:t>Vedtak nr. 681, 23. mai 2016</w:t>
      </w:r>
    </w:p>
    <w:p w14:paraId="0E8651E3" w14:textId="77777777" w:rsidR="00F7113A" w:rsidRPr="00580C0D" w:rsidRDefault="00142E5B" w:rsidP="00580C0D">
      <w:pPr>
        <w:pStyle w:val="blokksit"/>
        <w:rPr>
          <w:rStyle w:val="kursiv"/>
        </w:rPr>
      </w:pPr>
      <w:r w:rsidRPr="00580C0D">
        <w:rPr>
          <w:rStyle w:val="kursiv"/>
        </w:rPr>
        <w:t>«Stortinget ber regjeringen om fremme forslag med sikte på å forby mikroplast i kroppspleieprodukter.»</w:t>
      </w:r>
    </w:p>
    <w:p w14:paraId="520022D8" w14:textId="77777777" w:rsidR="00F7113A" w:rsidRPr="00580C0D" w:rsidRDefault="00142E5B" w:rsidP="00580C0D">
      <w:r w:rsidRPr="00580C0D">
        <w:t xml:space="preserve">Stortinget gjorde vedtaket ved </w:t>
      </w:r>
      <w:proofErr w:type="spellStart"/>
      <w:r w:rsidRPr="00580C0D">
        <w:t>behandlinga</w:t>
      </w:r>
      <w:proofErr w:type="spellEnd"/>
      <w:r w:rsidRPr="00580C0D">
        <w:t xml:space="preserve"> av </w:t>
      </w:r>
      <w:proofErr w:type="spellStart"/>
      <w:r w:rsidRPr="00580C0D">
        <w:t>Dok</w:t>
      </w:r>
      <w:proofErr w:type="spellEnd"/>
      <w:r w:rsidRPr="00580C0D">
        <w:t xml:space="preserve">. 8:44 S (2015–2016), jf. </w:t>
      </w:r>
      <w:proofErr w:type="spellStart"/>
      <w:r w:rsidRPr="00580C0D">
        <w:t>Innst</w:t>
      </w:r>
      <w:proofErr w:type="spellEnd"/>
      <w:r w:rsidRPr="00580C0D">
        <w:t xml:space="preserve">. 282 S (2015–2016), tilrådinga i innstillinga </w:t>
      </w:r>
      <w:proofErr w:type="spellStart"/>
      <w:r w:rsidRPr="00580C0D">
        <w:t>romartal</w:t>
      </w:r>
      <w:proofErr w:type="spellEnd"/>
      <w:r w:rsidRPr="00580C0D">
        <w:t xml:space="preserve"> I.</w:t>
      </w:r>
    </w:p>
    <w:p w14:paraId="6A4586D7" w14:textId="77777777" w:rsidR="00F7113A" w:rsidRPr="00580C0D" w:rsidRDefault="00142E5B" w:rsidP="00580C0D">
      <w:proofErr w:type="spellStart"/>
      <w:r w:rsidRPr="00580C0D">
        <w:t>Eit</w:t>
      </w:r>
      <w:proofErr w:type="spellEnd"/>
      <w:r w:rsidRPr="00580C0D">
        <w:t xml:space="preserve"> forslag til restriksjon </w:t>
      </w:r>
      <w:proofErr w:type="spellStart"/>
      <w:r w:rsidRPr="00580C0D">
        <w:t>frå</w:t>
      </w:r>
      <w:proofErr w:type="spellEnd"/>
      <w:r w:rsidRPr="00580C0D">
        <w:t xml:space="preserve"> EUs kjemikaliebyrå under EU/EØS-regelverket REACH mot mikroplast tilsett i produkt som blir </w:t>
      </w:r>
      <w:proofErr w:type="spellStart"/>
      <w:r w:rsidRPr="00580C0D">
        <w:t>marknadsførte</w:t>
      </w:r>
      <w:proofErr w:type="spellEnd"/>
      <w:r w:rsidRPr="00580C0D">
        <w:t xml:space="preserve"> i Europa, </w:t>
      </w:r>
      <w:proofErr w:type="spellStart"/>
      <w:r w:rsidRPr="00580C0D">
        <w:t>vart</w:t>
      </w:r>
      <w:proofErr w:type="spellEnd"/>
      <w:r w:rsidRPr="00580C0D">
        <w:t xml:space="preserve"> ferdigstilt i 2019. EU-kommisjonen la den 31. august 2022 fram forslag til endring av regelverket. Dette </w:t>
      </w:r>
      <w:proofErr w:type="spellStart"/>
      <w:r w:rsidRPr="00580C0D">
        <w:t>omfattar</w:t>
      </w:r>
      <w:proofErr w:type="spellEnd"/>
      <w:r w:rsidRPr="00580C0D">
        <w:t xml:space="preserve"> mellom anna </w:t>
      </w:r>
      <w:proofErr w:type="spellStart"/>
      <w:r w:rsidRPr="00580C0D">
        <w:t>forbod</w:t>
      </w:r>
      <w:proofErr w:type="spellEnd"/>
      <w:r w:rsidRPr="00580C0D">
        <w:t xml:space="preserve"> mot å </w:t>
      </w:r>
      <w:proofErr w:type="spellStart"/>
      <w:r w:rsidRPr="00580C0D">
        <w:t>omsetje</w:t>
      </w:r>
      <w:proofErr w:type="spellEnd"/>
      <w:r w:rsidRPr="00580C0D">
        <w:t xml:space="preserve"> produkt med tilsett mikroplast. Dette vil òg gjelde kroppspleieprodukt. Forslaget </w:t>
      </w:r>
      <w:proofErr w:type="spellStart"/>
      <w:r w:rsidRPr="00580C0D">
        <w:t>fekk</w:t>
      </w:r>
      <w:proofErr w:type="spellEnd"/>
      <w:r w:rsidRPr="00580C0D">
        <w:t xml:space="preserve"> </w:t>
      </w:r>
      <w:proofErr w:type="spellStart"/>
      <w:r w:rsidRPr="00580C0D">
        <w:t>fleirtal</w:t>
      </w:r>
      <w:proofErr w:type="spellEnd"/>
      <w:r w:rsidRPr="00580C0D">
        <w:t xml:space="preserve"> i EU og er </w:t>
      </w:r>
      <w:proofErr w:type="spellStart"/>
      <w:r w:rsidRPr="00580C0D">
        <w:t>no</w:t>
      </w:r>
      <w:proofErr w:type="spellEnd"/>
      <w:r w:rsidRPr="00580C0D">
        <w:t xml:space="preserve"> til vurdering i Rådet og EU-parlamentet før det blir </w:t>
      </w:r>
      <w:proofErr w:type="spellStart"/>
      <w:r w:rsidRPr="00580C0D">
        <w:t>vedteke</w:t>
      </w:r>
      <w:proofErr w:type="spellEnd"/>
      <w:r w:rsidRPr="00580C0D">
        <w:t xml:space="preserve">. Dette kan </w:t>
      </w:r>
      <w:proofErr w:type="spellStart"/>
      <w:r w:rsidRPr="00580C0D">
        <w:t>tidlegast</w:t>
      </w:r>
      <w:proofErr w:type="spellEnd"/>
      <w:r w:rsidRPr="00580C0D">
        <w:t xml:space="preserve"> skje </w:t>
      </w:r>
      <w:proofErr w:type="spellStart"/>
      <w:r w:rsidRPr="00580C0D">
        <w:t>hausten</w:t>
      </w:r>
      <w:proofErr w:type="spellEnd"/>
      <w:r w:rsidRPr="00580C0D">
        <w:t xml:space="preserve"> 2023. Deretter vil regelverket kunne </w:t>
      </w:r>
      <w:proofErr w:type="spellStart"/>
      <w:r w:rsidRPr="00580C0D">
        <w:t>takast</w:t>
      </w:r>
      <w:proofErr w:type="spellEnd"/>
      <w:r w:rsidRPr="00580C0D">
        <w:t xml:space="preserve"> inn i EØS-avtalen og </w:t>
      </w:r>
      <w:proofErr w:type="spellStart"/>
      <w:r w:rsidRPr="00580C0D">
        <w:t>gjennomførast</w:t>
      </w:r>
      <w:proofErr w:type="spellEnd"/>
      <w:r w:rsidRPr="00580C0D">
        <w:t xml:space="preserve"> i norsk rett. Stortinget vil bli orientert på eigna måte.</w:t>
      </w:r>
    </w:p>
    <w:p w14:paraId="6F5476A1" w14:textId="77777777" w:rsidR="00F7113A" w:rsidRPr="00580C0D" w:rsidRDefault="00142E5B" w:rsidP="00580C0D">
      <w:pPr>
        <w:pStyle w:val="Overskrift1"/>
      </w:pPr>
      <w:r w:rsidRPr="00580C0D">
        <w:t xml:space="preserve">Kommunal- og </w:t>
      </w:r>
      <w:proofErr w:type="spellStart"/>
      <w:r w:rsidRPr="00580C0D">
        <w:t>distriktsdepartementet</w:t>
      </w:r>
      <w:proofErr w:type="spellEnd"/>
    </w:p>
    <w:p w14:paraId="1657E01F" w14:textId="48773CAD" w:rsidR="00F7113A" w:rsidRDefault="00142E5B" w:rsidP="00580C0D">
      <w:proofErr w:type="spellStart"/>
      <w:r w:rsidRPr="00580C0D">
        <w:t>Nedanfor</w:t>
      </w:r>
      <w:proofErr w:type="spellEnd"/>
      <w:r w:rsidRPr="00580C0D">
        <w:t xml:space="preserve"> er </w:t>
      </w:r>
      <w:proofErr w:type="gramStart"/>
      <w:r w:rsidRPr="00580C0D">
        <w:t>ei oversikt</w:t>
      </w:r>
      <w:proofErr w:type="gramEnd"/>
      <w:r w:rsidRPr="00580C0D">
        <w:t xml:space="preserve"> over oppfølging av oppmodingsvedtak under Kommunal- og </w:t>
      </w:r>
      <w:proofErr w:type="spellStart"/>
      <w:r w:rsidRPr="00580C0D">
        <w:t>distriktsdepartementet</w:t>
      </w:r>
      <w:proofErr w:type="spellEnd"/>
      <w:r w:rsidRPr="00580C0D">
        <w:t xml:space="preserve">. </w:t>
      </w:r>
      <w:proofErr w:type="spellStart"/>
      <w:r w:rsidRPr="00580C0D">
        <w:t>Oversikta</w:t>
      </w:r>
      <w:proofErr w:type="spellEnd"/>
      <w:r w:rsidRPr="00580C0D">
        <w:t xml:space="preserve"> </w:t>
      </w:r>
      <w:proofErr w:type="spellStart"/>
      <w:r w:rsidRPr="00580C0D">
        <w:t>omfattar</w:t>
      </w:r>
      <w:proofErr w:type="spellEnd"/>
      <w:r w:rsidRPr="00580C0D">
        <w:t xml:space="preserve"> alle vedtak </w:t>
      </w:r>
      <w:proofErr w:type="spellStart"/>
      <w:r w:rsidRPr="00580C0D">
        <w:t>frå</w:t>
      </w:r>
      <w:proofErr w:type="spellEnd"/>
      <w:r w:rsidRPr="00580C0D">
        <w:t xml:space="preserve"> stortingssesjonen 2022–2023 og alle vedtak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sesjonar</w:t>
      </w:r>
      <w:proofErr w:type="spellEnd"/>
      <w:r w:rsidRPr="00580C0D">
        <w:t xml:space="preserve"> som kontroll- og konstitusjonskomiteen i </w:t>
      </w:r>
      <w:proofErr w:type="spellStart"/>
      <w:r w:rsidRPr="00580C0D">
        <w:t>Innst</w:t>
      </w:r>
      <w:proofErr w:type="spellEnd"/>
      <w:r w:rsidRPr="00580C0D">
        <w:t xml:space="preserve">. 186 S (2022–2023) meinte </w:t>
      </w:r>
      <w:proofErr w:type="spellStart"/>
      <w:r w:rsidRPr="00580C0D">
        <w:t>ikkje</w:t>
      </w:r>
      <w:proofErr w:type="spellEnd"/>
      <w:r w:rsidRPr="00580C0D">
        <w:t xml:space="preserve"> var </w:t>
      </w:r>
      <w:proofErr w:type="spellStart"/>
      <w:r w:rsidRPr="00580C0D">
        <w:t>følgde</w:t>
      </w:r>
      <w:proofErr w:type="spellEnd"/>
      <w:r w:rsidRPr="00580C0D">
        <w:t xml:space="preserve"> opp ferdig. I tabellen </w:t>
      </w:r>
      <w:proofErr w:type="spellStart"/>
      <w:r w:rsidRPr="00580C0D">
        <w:t>nedanfor</w:t>
      </w:r>
      <w:proofErr w:type="spellEnd"/>
      <w:r w:rsidRPr="00580C0D">
        <w:t xml:space="preserve"> blir det og opplyst om departementet planlegg at rapporteringa knytt til oppmodingsvedtaket </w:t>
      </w:r>
      <w:proofErr w:type="spellStart"/>
      <w:r w:rsidRPr="00580C0D">
        <w:t>no</w:t>
      </w:r>
      <w:proofErr w:type="spellEnd"/>
      <w:r w:rsidRPr="00580C0D">
        <w:t xml:space="preserve"> blir avslutta eller om departementet òg vil rapportere konkret på vedtaket i budsjettproposisjonen for neste år.</w:t>
      </w:r>
    </w:p>
    <w:p w14:paraId="215FA040" w14:textId="6C938433" w:rsidR="001231A3" w:rsidRPr="00580C0D" w:rsidRDefault="001231A3" w:rsidP="001231A3">
      <w:pPr>
        <w:pStyle w:val="tabell-tittel"/>
      </w:pPr>
      <w:r w:rsidRPr="00580C0D">
        <w:t>Oversikt over oppmodingsvedtak, ordna etter sesjon og nummer</w:t>
      </w:r>
    </w:p>
    <w:p w14:paraId="443DD2D0" w14:textId="77777777" w:rsidR="00F7113A" w:rsidRPr="00580C0D" w:rsidRDefault="00142E5B" w:rsidP="00580C0D">
      <w:pPr>
        <w:pStyle w:val="Tabellnavn"/>
      </w:pPr>
      <w:r w:rsidRPr="00580C0D">
        <w:t>04J1xx2</w:t>
      </w:r>
    </w:p>
    <w:tbl>
      <w:tblPr>
        <w:tblW w:w="9540" w:type="dxa"/>
        <w:tblInd w:w="43" w:type="dxa"/>
        <w:tblLayout w:type="fixed"/>
        <w:tblCellMar>
          <w:top w:w="100" w:type="dxa"/>
          <w:left w:w="43" w:type="dxa"/>
          <w:bottom w:w="43" w:type="dxa"/>
          <w:right w:w="43" w:type="dxa"/>
        </w:tblCellMar>
        <w:tblLook w:val="0000" w:firstRow="0" w:lastRow="0" w:firstColumn="0" w:lastColumn="0" w:noHBand="0" w:noVBand="0"/>
      </w:tblPr>
      <w:tblGrid>
        <w:gridCol w:w="1380"/>
        <w:gridCol w:w="1120"/>
        <w:gridCol w:w="5360"/>
        <w:gridCol w:w="1680"/>
      </w:tblGrid>
      <w:tr w:rsidR="00F7113A" w:rsidRPr="00580C0D" w14:paraId="1A18230B" w14:textId="77777777" w:rsidTr="001231A3">
        <w:trPr>
          <w:trHeight w:val="580"/>
        </w:trPr>
        <w:tc>
          <w:tcPr>
            <w:tcW w:w="138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F3985DA" w14:textId="77777777" w:rsidR="00F7113A" w:rsidRPr="00580C0D" w:rsidRDefault="00142E5B" w:rsidP="001231A3">
            <w:r w:rsidRPr="00580C0D">
              <w:t>Sesjon</w:t>
            </w:r>
          </w:p>
        </w:tc>
        <w:tc>
          <w:tcPr>
            <w:tcW w:w="112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5CD0F068" w14:textId="77777777" w:rsidR="00F7113A" w:rsidRPr="00580C0D" w:rsidRDefault="00142E5B" w:rsidP="001231A3">
            <w:pPr>
              <w:jc w:val="center"/>
            </w:pPr>
            <w:r w:rsidRPr="00580C0D">
              <w:t>Vedtak nr.</w:t>
            </w:r>
          </w:p>
        </w:tc>
        <w:tc>
          <w:tcPr>
            <w:tcW w:w="536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56A3BB7E" w14:textId="77777777" w:rsidR="00F7113A" w:rsidRPr="00580C0D" w:rsidRDefault="00142E5B" w:rsidP="001231A3">
            <w:r w:rsidRPr="00580C0D">
              <w:t>Stikkord</w:t>
            </w:r>
          </w:p>
        </w:tc>
        <w:tc>
          <w:tcPr>
            <w:tcW w:w="168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625CB853" w14:textId="77777777" w:rsidR="00F7113A" w:rsidRPr="00580C0D" w:rsidRDefault="00142E5B" w:rsidP="001231A3">
            <w:pPr>
              <w:jc w:val="right"/>
            </w:pPr>
            <w:r w:rsidRPr="00580C0D">
              <w:t>Rapporteringa blir avslutta (Ja/Nei)</w:t>
            </w:r>
          </w:p>
        </w:tc>
      </w:tr>
      <w:tr w:rsidR="00F7113A" w:rsidRPr="00580C0D" w14:paraId="4CEB5D96" w14:textId="77777777" w:rsidTr="001231A3">
        <w:trPr>
          <w:trHeight w:val="600"/>
        </w:trPr>
        <w:tc>
          <w:tcPr>
            <w:tcW w:w="1380" w:type="dxa"/>
            <w:tcBorders>
              <w:top w:val="single" w:sz="4" w:space="0" w:color="000000"/>
              <w:left w:val="nil"/>
              <w:bottom w:val="nil"/>
              <w:right w:val="nil"/>
            </w:tcBorders>
            <w:tcMar>
              <w:top w:w="100" w:type="dxa"/>
              <w:left w:w="43" w:type="dxa"/>
              <w:bottom w:w="43" w:type="dxa"/>
              <w:right w:w="43" w:type="dxa"/>
            </w:tcMar>
          </w:tcPr>
          <w:p w14:paraId="2B051D23" w14:textId="77777777" w:rsidR="00F7113A" w:rsidRPr="00580C0D" w:rsidRDefault="00142E5B" w:rsidP="001231A3">
            <w:r w:rsidRPr="00580C0D">
              <w:t>2022–2023</w:t>
            </w:r>
          </w:p>
        </w:tc>
        <w:tc>
          <w:tcPr>
            <w:tcW w:w="1120" w:type="dxa"/>
            <w:tcBorders>
              <w:top w:val="single" w:sz="4" w:space="0" w:color="000000"/>
              <w:left w:val="nil"/>
              <w:bottom w:val="nil"/>
              <w:right w:val="nil"/>
            </w:tcBorders>
            <w:tcMar>
              <w:top w:w="100" w:type="dxa"/>
              <w:left w:w="43" w:type="dxa"/>
              <w:bottom w:w="43" w:type="dxa"/>
              <w:right w:w="43" w:type="dxa"/>
            </w:tcMar>
          </w:tcPr>
          <w:p w14:paraId="7E3B8DC5" w14:textId="77777777" w:rsidR="00F7113A" w:rsidRPr="00580C0D" w:rsidRDefault="00142E5B" w:rsidP="001231A3">
            <w:pPr>
              <w:ind w:right="170"/>
              <w:jc w:val="right"/>
            </w:pPr>
            <w:r w:rsidRPr="00580C0D">
              <w:t>14</w:t>
            </w:r>
          </w:p>
        </w:tc>
        <w:tc>
          <w:tcPr>
            <w:tcW w:w="5360" w:type="dxa"/>
            <w:tcBorders>
              <w:top w:val="single" w:sz="4" w:space="0" w:color="000000"/>
              <w:left w:val="nil"/>
              <w:bottom w:val="nil"/>
              <w:right w:val="nil"/>
            </w:tcBorders>
            <w:tcMar>
              <w:top w:w="100" w:type="dxa"/>
              <w:left w:w="43" w:type="dxa"/>
              <w:bottom w:w="43" w:type="dxa"/>
              <w:right w:w="43" w:type="dxa"/>
            </w:tcMar>
          </w:tcPr>
          <w:p w14:paraId="4DBAB866" w14:textId="77777777" w:rsidR="00F7113A" w:rsidRPr="00580C0D" w:rsidRDefault="00142E5B" w:rsidP="001231A3">
            <w:r w:rsidRPr="00580C0D">
              <w:t xml:space="preserve">Husbankens arbeid med energitiltak for </w:t>
            </w:r>
            <w:proofErr w:type="spellStart"/>
            <w:r w:rsidRPr="00580C0D">
              <w:t>låginntektshushaldningar</w:t>
            </w:r>
            <w:proofErr w:type="spellEnd"/>
          </w:p>
        </w:tc>
        <w:tc>
          <w:tcPr>
            <w:tcW w:w="1680" w:type="dxa"/>
            <w:tcBorders>
              <w:top w:val="single" w:sz="4" w:space="0" w:color="000000"/>
              <w:left w:val="nil"/>
              <w:bottom w:val="nil"/>
              <w:right w:val="nil"/>
            </w:tcBorders>
            <w:tcMar>
              <w:top w:w="100" w:type="dxa"/>
              <w:left w:w="43" w:type="dxa"/>
              <w:bottom w:w="43" w:type="dxa"/>
              <w:right w:w="43" w:type="dxa"/>
            </w:tcMar>
          </w:tcPr>
          <w:p w14:paraId="0F410862" w14:textId="77777777" w:rsidR="00F7113A" w:rsidRPr="00580C0D" w:rsidRDefault="00142E5B" w:rsidP="001231A3">
            <w:pPr>
              <w:jc w:val="right"/>
            </w:pPr>
            <w:r w:rsidRPr="00580C0D">
              <w:t>Ja</w:t>
            </w:r>
          </w:p>
        </w:tc>
      </w:tr>
      <w:tr w:rsidR="00F7113A" w:rsidRPr="00580C0D" w14:paraId="5495B469"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C720FFE"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3EDC6E92" w14:textId="77777777" w:rsidR="00F7113A" w:rsidRPr="00580C0D" w:rsidRDefault="00142E5B" w:rsidP="001231A3">
            <w:pPr>
              <w:ind w:right="170"/>
              <w:jc w:val="right"/>
            </w:pPr>
            <w:r w:rsidRPr="00580C0D">
              <w:t>15</w:t>
            </w:r>
          </w:p>
        </w:tc>
        <w:tc>
          <w:tcPr>
            <w:tcW w:w="5360" w:type="dxa"/>
            <w:tcBorders>
              <w:top w:val="nil"/>
              <w:left w:val="nil"/>
              <w:bottom w:val="nil"/>
              <w:right w:val="nil"/>
            </w:tcBorders>
            <w:tcMar>
              <w:top w:w="100" w:type="dxa"/>
              <w:left w:w="43" w:type="dxa"/>
              <w:bottom w:w="43" w:type="dxa"/>
              <w:right w:w="43" w:type="dxa"/>
            </w:tcMar>
          </w:tcPr>
          <w:p w14:paraId="298AB513" w14:textId="77777777" w:rsidR="00F7113A" w:rsidRPr="00580C0D" w:rsidRDefault="00142E5B" w:rsidP="001231A3">
            <w:r w:rsidRPr="00580C0D">
              <w:t>Gebyrfri søknad om byggesak for energioppgradering</w:t>
            </w:r>
          </w:p>
        </w:tc>
        <w:tc>
          <w:tcPr>
            <w:tcW w:w="1680" w:type="dxa"/>
            <w:tcBorders>
              <w:top w:val="nil"/>
              <w:left w:val="nil"/>
              <w:bottom w:val="nil"/>
              <w:right w:val="nil"/>
            </w:tcBorders>
            <w:tcMar>
              <w:top w:w="100" w:type="dxa"/>
              <w:left w:w="43" w:type="dxa"/>
              <w:bottom w:w="43" w:type="dxa"/>
              <w:right w:w="43" w:type="dxa"/>
            </w:tcMar>
          </w:tcPr>
          <w:p w14:paraId="4951722B" w14:textId="77777777" w:rsidR="00F7113A" w:rsidRPr="00580C0D" w:rsidRDefault="00142E5B" w:rsidP="001231A3">
            <w:pPr>
              <w:jc w:val="right"/>
            </w:pPr>
            <w:r w:rsidRPr="00580C0D">
              <w:t>Ja</w:t>
            </w:r>
          </w:p>
        </w:tc>
      </w:tr>
      <w:tr w:rsidR="00F7113A" w:rsidRPr="00580C0D" w14:paraId="73D9B24C"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0E37035A"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6F885A0D" w14:textId="77777777" w:rsidR="00F7113A" w:rsidRPr="00580C0D" w:rsidRDefault="00142E5B" w:rsidP="001231A3">
            <w:pPr>
              <w:ind w:right="170"/>
              <w:jc w:val="right"/>
            </w:pPr>
            <w:r w:rsidRPr="00580C0D">
              <w:t>24</w:t>
            </w:r>
          </w:p>
        </w:tc>
        <w:tc>
          <w:tcPr>
            <w:tcW w:w="5360" w:type="dxa"/>
            <w:tcBorders>
              <w:top w:val="nil"/>
              <w:left w:val="nil"/>
              <w:bottom w:val="nil"/>
              <w:right w:val="nil"/>
            </w:tcBorders>
            <w:tcMar>
              <w:top w:w="100" w:type="dxa"/>
              <w:left w:w="43" w:type="dxa"/>
              <w:bottom w:w="43" w:type="dxa"/>
              <w:right w:w="43" w:type="dxa"/>
            </w:tcMar>
          </w:tcPr>
          <w:p w14:paraId="5CF39411" w14:textId="77777777" w:rsidR="00F7113A" w:rsidRPr="00580C0D" w:rsidRDefault="00142E5B" w:rsidP="001231A3">
            <w:r w:rsidRPr="00580C0D">
              <w:t xml:space="preserve">Unntak </w:t>
            </w:r>
            <w:proofErr w:type="spellStart"/>
            <w:r w:rsidRPr="00580C0D">
              <w:t>frå</w:t>
            </w:r>
            <w:proofErr w:type="spellEnd"/>
            <w:r w:rsidRPr="00580C0D">
              <w:t xml:space="preserve"> søknadsplikta etter plan- og bygningslova for mindre solenergianlegg</w:t>
            </w:r>
          </w:p>
        </w:tc>
        <w:tc>
          <w:tcPr>
            <w:tcW w:w="1680" w:type="dxa"/>
            <w:tcBorders>
              <w:top w:val="nil"/>
              <w:left w:val="nil"/>
              <w:bottom w:val="nil"/>
              <w:right w:val="nil"/>
            </w:tcBorders>
            <w:tcMar>
              <w:top w:w="100" w:type="dxa"/>
              <w:left w:w="43" w:type="dxa"/>
              <w:bottom w:w="43" w:type="dxa"/>
              <w:right w:w="43" w:type="dxa"/>
            </w:tcMar>
          </w:tcPr>
          <w:p w14:paraId="07842705" w14:textId="77777777" w:rsidR="00F7113A" w:rsidRPr="00580C0D" w:rsidRDefault="00142E5B" w:rsidP="001231A3">
            <w:pPr>
              <w:jc w:val="right"/>
            </w:pPr>
            <w:r w:rsidRPr="00580C0D">
              <w:t>Nei</w:t>
            </w:r>
          </w:p>
        </w:tc>
      </w:tr>
      <w:tr w:rsidR="00F7113A" w:rsidRPr="00580C0D" w14:paraId="17B9E8D0"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0199F264"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09F4A5A5" w14:textId="77777777" w:rsidR="00F7113A" w:rsidRPr="00580C0D" w:rsidRDefault="00142E5B" w:rsidP="001231A3">
            <w:pPr>
              <w:ind w:right="170"/>
              <w:jc w:val="right"/>
            </w:pPr>
            <w:r w:rsidRPr="00580C0D">
              <w:t>88</w:t>
            </w:r>
          </w:p>
        </w:tc>
        <w:tc>
          <w:tcPr>
            <w:tcW w:w="5360" w:type="dxa"/>
            <w:tcBorders>
              <w:top w:val="nil"/>
              <w:left w:val="nil"/>
              <w:bottom w:val="nil"/>
              <w:right w:val="nil"/>
            </w:tcBorders>
            <w:tcMar>
              <w:top w:w="100" w:type="dxa"/>
              <w:left w:w="43" w:type="dxa"/>
              <w:bottom w:w="43" w:type="dxa"/>
              <w:right w:w="43" w:type="dxa"/>
            </w:tcMar>
          </w:tcPr>
          <w:p w14:paraId="09837114" w14:textId="77777777" w:rsidR="00F7113A" w:rsidRPr="00580C0D" w:rsidRDefault="00142E5B" w:rsidP="001231A3">
            <w:proofErr w:type="spellStart"/>
            <w:r w:rsidRPr="00580C0D">
              <w:t>Husleigelovutval</w:t>
            </w:r>
            <w:proofErr w:type="spellEnd"/>
          </w:p>
        </w:tc>
        <w:tc>
          <w:tcPr>
            <w:tcW w:w="1680" w:type="dxa"/>
            <w:tcBorders>
              <w:top w:val="nil"/>
              <w:left w:val="nil"/>
              <w:bottom w:val="nil"/>
              <w:right w:val="nil"/>
            </w:tcBorders>
            <w:tcMar>
              <w:top w:w="100" w:type="dxa"/>
              <w:left w:w="43" w:type="dxa"/>
              <w:bottom w:w="43" w:type="dxa"/>
              <w:right w:w="43" w:type="dxa"/>
            </w:tcMar>
          </w:tcPr>
          <w:p w14:paraId="1295CBD8" w14:textId="77777777" w:rsidR="00F7113A" w:rsidRPr="00580C0D" w:rsidRDefault="00142E5B" w:rsidP="001231A3">
            <w:pPr>
              <w:jc w:val="right"/>
            </w:pPr>
            <w:r w:rsidRPr="00580C0D">
              <w:t>Ja</w:t>
            </w:r>
          </w:p>
        </w:tc>
      </w:tr>
      <w:tr w:rsidR="00F7113A" w:rsidRPr="00580C0D" w14:paraId="1C6725CD"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52252C65"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7725030E" w14:textId="77777777" w:rsidR="00F7113A" w:rsidRPr="00580C0D" w:rsidRDefault="00142E5B" w:rsidP="001231A3">
            <w:pPr>
              <w:ind w:right="170"/>
              <w:jc w:val="right"/>
            </w:pPr>
            <w:r w:rsidRPr="00580C0D">
              <w:t>196</w:t>
            </w:r>
          </w:p>
        </w:tc>
        <w:tc>
          <w:tcPr>
            <w:tcW w:w="5360" w:type="dxa"/>
            <w:tcBorders>
              <w:top w:val="nil"/>
              <w:left w:val="nil"/>
              <w:bottom w:val="nil"/>
              <w:right w:val="nil"/>
            </w:tcBorders>
            <w:tcMar>
              <w:top w:w="100" w:type="dxa"/>
              <w:left w:w="43" w:type="dxa"/>
              <w:bottom w:w="43" w:type="dxa"/>
              <w:right w:w="43" w:type="dxa"/>
            </w:tcMar>
          </w:tcPr>
          <w:p w14:paraId="61F328DE" w14:textId="77777777" w:rsidR="00F7113A" w:rsidRPr="00580C0D" w:rsidRDefault="00142E5B" w:rsidP="001231A3">
            <w:proofErr w:type="spellStart"/>
            <w:r w:rsidRPr="00580C0D">
              <w:t>Konsekvensar</w:t>
            </w:r>
            <w:proofErr w:type="spellEnd"/>
            <w:r w:rsidRPr="00580C0D">
              <w:t xml:space="preserve"> ved </w:t>
            </w:r>
            <w:proofErr w:type="spellStart"/>
            <w:r w:rsidRPr="00580C0D">
              <w:t>eit</w:t>
            </w:r>
            <w:proofErr w:type="spellEnd"/>
            <w:r w:rsidRPr="00580C0D">
              <w:t xml:space="preserve"> norsk </w:t>
            </w:r>
            <w:proofErr w:type="spellStart"/>
            <w:r w:rsidRPr="00580C0D">
              <w:t>forbod</w:t>
            </w:r>
            <w:proofErr w:type="spellEnd"/>
            <w:r w:rsidRPr="00580C0D">
              <w:t xml:space="preserve"> mot </w:t>
            </w:r>
            <w:proofErr w:type="spellStart"/>
            <w:r w:rsidRPr="00580C0D">
              <w:t>atferdsbasert</w:t>
            </w:r>
            <w:proofErr w:type="spellEnd"/>
            <w:r w:rsidRPr="00580C0D">
              <w:t xml:space="preserve"> reklame</w:t>
            </w:r>
          </w:p>
        </w:tc>
        <w:tc>
          <w:tcPr>
            <w:tcW w:w="1680" w:type="dxa"/>
            <w:tcBorders>
              <w:top w:val="nil"/>
              <w:left w:val="nil"/>
              <w:bottom w:val="nil"/>
              <w:right w:val="nil"/>
            </w:tcBorders>
            <w:tcMar>
              <w:top w:w="100" w:type="dxa"/>
              <w:left w:w="43" w:type="dxa"/>
              <w:bottom w:w="43" w:type="dxa"/>
              <w:right w:w="43" w:type="dxa"/>
            </w:tcMar>
          </w:tcPr>
          <w:p w14:paraId="4873C55C" w14:textId="77777777" w:rsidR="00F7113A" w:rsidRPr="00580C0D" w:rsidRDefault="00142E5B" w:rsidP="001231A3">
            <w:pPr>
              <w:jc w:val="right"/>
            </w:pPr>
            <w:r w:rsidRPr="00580C0D">
              <w:t>Nei</w:t>
            </w:r>
          </w:p>
        </w:tc>
      </w:tr>
      <w:tr w:rsidR="00F7113A" w:rsidRPr="00580C0D" w14:paraId="66BCF9F5"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3C21F8F9"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7E593794" w14:textId="77777777" w:rsidR="00F7113A" w:rsidRPr="00580C0D" w:rsidRDefault="00142E5B" w:rsidP="001231A3">
            <w:pPr>
              <w:ind w:right="170"/>
              <w:jc w:val="right"/>
            </w:pPr>
            <w:r w:rsidRPr="00580C0D">
              <w:t>197</w:t>
            </w:r>
          </w:p>
        </w:tc>
        <w:tc>
          <w:tcPr>
            <w:tcW w:w="5360" w:type="dxa"/>
            <w:tcBorders>
              <w:top w:val="nil"/>
              <w:left w:val="nil"/>
              <w:bottom w:val="nil"/>
              <w:right w:val="nil"/>
            </w:tcBorders>
            <w:tcMar>
              <w:top w:w="100" w:type="dxa"/>
              <w:left w:w="43" w:type="dxa"/>
              <w:bottom w:w="43" w:type="dxa"/>
              <w:right w:w="43" w:type="dxa"/>
            </w:tcMar>
          </w:tcPr>
          <w:p w14:paraId="3FB621C6" w14:textId="04C8FD13" w:rsidR="00F7113A" w:rsidRPr="00580C0D" w:rsidRDefault="00142E5B" w:rsidP="001231A3">
            <w:r w:rsidRPr="00580C0D">
              <w:t xml:space="preserve">Lagring av biometriske data </w:t>
            </w:r>
            <w:proofErr w:type="spellStart"/>
            <w:r w:rsidRPr="00580C0D">
              <w:t>frå</w:t>
            </w:r>
            <w:proofErr w:type="spellEnd"/>
            <w:r w:rsidRPr="00580C0D">
              <w:t xml:space="preserve"> sosiale medieplatt</w:t>
            </w:r>
            <w:r w:rsidR="00901405">
              <w:softHyphen/>
            </w:r>
            <w:r w:rsidRPr="00580C0D">
              <w:t>former</w:t>
            </w:r>
          </w:p>
        </w:tc>
        <w:tc>
          <w:tcPr>
            <w:tcW w:w="1680" w:type="dxa"/>
            <w:tcBorders>
              <w:top w:val="nil"/>
              <w:left w:val="nil"/>
              <w:bottom w:val="nil"/>
              <w:right w:val="nil"/>
            </w:tcBorders>
            <w:tcMar>
              <w:top w:w="100" w:type="dxa"/>
              <w:left w:w="43" w:type="dxa"/>
              <w:bottom w:w="43" w:type="dxa"/>
              <w:right w:w="43" w:type="dxa"/>
            </w:tcMar>
          </w:tcPr>
          <w:p w14:paraId="493A9041" w14:textId="77777777" w:rsidR="00F7113A" w:rsidRPr="00580C0D" w:rsidRDefault="00142E5B" w:rsidP="001231A3">
            <w:pPr>
              <w:jc w:val="right"/>
            </w:pPr>
            <w:r w:rsidRPr="00580C0D">
              <w:t>Nei</w:t>
            </w:r>
          </w:p>
        </w:tc>
      </w:tr>
      <w:tr w:rsidR="00F7113A" w:rsidRPr="00580C0D" w14:paraId="53B9F949"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ACE1EDE"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508315F2" w14:textId="77777777" w:rsidR="00F7113A" w:rsidRPr="00580C0D" w:rsidRDefault="00142E5B" w:rsidP="001231A3">
            <w:pPr>
              <w:ind w:right="170"/>
              <w:jc w:val="right"/>
            </w:pPr>
            <w:r w:rsidRPr="00580C0D">
              <w:t>380</w:t>
            </w:r>
          </w:p>
        </w:tc>
        <w:tc>
          <w:tcPr>
            <w:tcW w:w="5360" w:type="dxa"/>
            <w:tcBorders>
              <w:top w:val="nil"/>
              <w:left w:val="nil"/>
              <w:bottom w:val="nil"/>
              <w:right w:val="nil"/>
            </w:tcBorders>
            <w:tcMar>
              <w:top w:w="100" w:type="dxa"/>
              <w:left w:w="43" w:type="dxa"/>
              <w:bottom w:w="43" w:type="dxa"/>
              <w:right w:w="43" w:type="dxa"/>
            </w:tcMar>
          </w:tcPr>
          <w:p w14:paraId="4FEDC2F3" w14:textId="77777777" w:rsidR="00F7113A" w:rsidRPr="00580C0D" w:rsidRDefault="00142E5B" w:rsidP="001231A3">
            <w:r w:rsidRPr="00580C0D">
              <w:t>Evaluering av støttetiltaka for Aust-Finnmark</w:t>
            </w:r>
          </w:p>
        </w:tc>
        <w:tc>
          <w:tcPr>
            <w:tcW w:w="1680" w:type="dxa"/>
            <w:tcBorders>
              <w:top w:val="nil"/>
              <w:left w:val="nil"/>
              <w:bottom w:val="nil"/>
              <w:right w:val="nil"/>
            </w:tcBorders>
            <w:tcMar>
              <w:top w:w="100" w:type="dxa"/>
              <w:left w:w="43" w:type="dxa"/>
              <w:bottom w:w="43" w:type="dxa"/>
              <w:right w:w="43" w:type="dxa"/>
            </w:tcMar>
          </w:tcPr>
          <w:p w14:paraId="6F5CBC8A" w14:textId="77777777" w:rsidR="00F7113A" w:rsidRPr="00580C0D" w:rsidRDefault="00142E5B" w:rsidP="001231A3">
            <w:pPr>
              <w:jc w:val="right"/>
            </w:pPr>
            <w:r w:rsidRPr="00580C0D">
              <w:t>Ja</w:t>
            </w:r>
          </w:p>
        </w:tc>
      </w:tr>
      <w:tr w:rsidR="00F7113A" w:rsidRPr="00580C0D" w14:paraId="01DD0D4E"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209D48CD"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4CFEADCC" w14:textId="77777777" w:rsidR="00F7113A" w:rsidRPr="00580C0D" w:rsidRDefault="00142E5B" w:rsidP="001231A3">
            <w:pPr>
              <w:ind w:right="170"/>
              <w:jc w:val="right"/>
            </w:pPr>
            <w:r w:rsidRPr="00580C0D">
              <w:t>383</w:t>
            </w:r>
          </w:p>
        </w:tc>
        <w:tc>
          <w:tcPr>
            <w:tcW w:w="5360" w:type="dxa"/>
            <w:tcBorders>
              <w:top w:val="nil"/>
              <w:left w:val="nil"/>
              <w:bottom w:val="nil"/>
              <w:right w:val="nil"/>
            </w:tcBorders>
            <w:tcMar>
              <w:top w:w="100" w:type="dxa"/>
              <w:left w:w="43" w:type="dxa"/>
              <w:bottom w:w="43" w:type="dxa"/>
              <w:right w:w="43" w:type="dxa"/>
            </w:tcMar>
          </w:tcPr>
          <w:p w14:paraId="615E5654" w14:textId="77777777" w:rsidR="00F7113A" w:rsidRPr="00580C0D" w:rsidRDefault="00142E5B" w:rsidP="001231A3">
            <w:proofErr w:type="spellStart"/>
            <w:r w:rsidRPr="00580C0D">
              <w:t>Statlege</w:t>
            </w:r>
            <w:proofErr w:type="spellEnd"/>
            <w:r w:rsidRPr="00580C0D">
              <w:t xml:space="preserve"> </w:t>
            </w:r>
            <w:proofErr w:type="spellStart"/>
            <w:r w:rsidRPr="00580C0D">
              <w:t>arbeidsplassar</w:t>
            </w:r>
            <w:proofErr w:type="spellEnd"/>
            <w:r w:rsidRPr="00580C0D">
              <w:t xml:space="preserve"> til Finnmark</w:t>
            </w:r>
          </w:p>
        </w:tc>
        <w:tc>
          <w:tcPr>
            <w:tcW w:w="1680" w:type="dxa"/>
            <w:tcBorders>
              <w:top w:val="nil"/>
              <w:left w:val="nil"/>
              <w:bottom w:val="nil"/>
              <w:right w:val="nil"/>
            </w:tcBorders>
            <w:tcMar>
              <w:top w:w="100" w:type="dxa"/>
              <w:left w:w="43" w:type="dxa"/>
              <w:bottom w:w="43" w:type="dxa"/>
              <w:right w:w="43" w:type="dxa"/>
            </w:tcMar>
          </w:tcPr>
          <w:p w14:paraId="7B22D1F1" w14:textId="77777777" w:rsidR="00F7113A" w:rsidRPr="00580C0D" w:rsidRDefault="00142E5B" w:rsidP="001231A3">
            <w:pPr>
              <w:jc w:val="right"/>
            </w:pPr>
            <w:r w:rsidRPr="00580C0D">
              <w:t>Ja</w:t>
            </w:r>
          </w:p>
        </w:tc>
      </w:tr>
      <w:tr w:rsidR="00F7113A" w:rsidRPr="00580C0D" w14:paraId="1DBF1C0C"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18541B77"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6DAE6B90" w14:textId="77777777" w:rsidR="00F7113A" w:rsidRPr="00580C0D" w:rsidRDefault="00142E5B" w:rsidP="001231A3">
            <w:pPr>
              <w:ind w:right="170"/>
              <w:jc w:val="right"/>
            </w:pPr>
            <w:r w:rsidRPr="00580C0D">
              <w:t>452</w:t>
            </w:r>
          </w:p>
        </w:tc>
        <w:tc>
          <w:tcPr>
            <w:tcW w:w="5360" w:type="dxa"/>
            <w:tcBorders>
              <w:top w:val="nil"/>
              <w:left w:val="nil"/>
              <w:bottom w:val="nil"/>
              <w:right w:val="nil"/>
            </w:tcBorders>
            <w:tcMar>
              <w:top w:w="100" w:type="dxa"/>
              <w:left w:w="43" w:type="dxa"/>
              <w:bottom w:w="43" w:type="dxa"/>
              <w:right w:w="43" w:type="dxa"/>
            </w:tcMar>
          </w:tcPr>
          <w:p w14:paraId="57616128" w14:textId="77777777" w:rsidR="00F7113A" w:rsidRPr="00580C0D" w:rsidRDefault="00142E5B" w:rsidP="001231A3">
            <w:proofErr w:type="spellStart"/>
            <w:r w:rsidRPr="00580C0D">
              <w:t>Materialbankar</w:t>
            </w:r>
            <w:proofErr w:type="spellEnd"/>
            <w:r w:rsidRPr="00580C0D">
              <w:t xml:space="preserve"> for ombruk av byggevarer</w:t>
            </w:r>
          </w:p>
        </w:tc>
        <w:tc>
          <w:tcPr>
            <w:tcW w:w="1680" w:type="dxa"/>
            <w:tcBorders>
              <w:top w:val="nil"/>
              <w:left w:val="nil"/>
              <w:bottom w:val="nil"/>
              <w:right w:val="nil"/>
            </w:tcBorders>
            <w:tcMar>
              <w:top w:w="100" w:type="dxa"/>
              <w:left w:w="43" w:type="dxa"/>
              <w:bottom w:w="43" w:type="dxa"/>
              <w:right w:w="43" w:type="dxa"/>
            </w:tcMar>
          </w:tcPr>
          <w:p w14:paraId="4DD92076" w14:textId="77777777" w:rsidR="00F7113A" w:rsidRPr="00580C0D" w:rsidRDefault="00142E5B" w:rsidP="001231A3">
            <w:pPr>
              <w:jc w:val="right"/>
            </w:pPr>
            <w:r w:rsidRPr="00580C0D">
              <w:t>Ja</w:t>
            </w:r>
          </w:p>
        </w:tc>
      </w:tr>
      <w:tr w:rsidR="00F7113A" w:rsidRPr="00580C0D" w14:paraId="1DC04541"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47A3AF48"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6D883C76" w14:textId="77777777" w:rsidR="00F7113A" w:rsidRPr="00580C0D" w:rsidRDefault="00142E5B" w:rsidP="001231A3">
            <w:pPr>
              <w:ind w:right="170"/>
              <w:jc w:val="right"/>
            </w:pPr>
            <w:r w:rsidRPr="00580C0D">
              <w:t>453</w:t>
            </w:r>
          </w:p>
        </w:tc>
        <w:tc>
          <w:tcPr>
            <w:tcW w:w="5360" w:type="dxa"/>
            <w:tcBorders>
              <w:top w:val="nil"/>
              <w:left w:val="nil"/>
              <w:bottom w:val="nil"/>
              <w:right w:val="nil"/>
            </w:tcBorders>
            <w:tcMar>
              <w:top w:w="100" w:type="dxa"/>
              <w:left w:w="43" w:type="dxa"/>
              <w:bottom w:w="43" w:type="dxa"/>
              <w:right w:w="43" w:type="dxa"/>
            </w:tcMar>
          </w:tcPr>
          <w:p w14:paraId="1E847CDF" w14:textId="77777777" w:rsidR="00F7113A" w:rsidRPr="00580C0D" w:rsidRDefault="00142E5B" w:rsidP="001231A3">
            <w:r w:rsidRPr="00580C0D">
              <w:t xml:space="preserve">Innrapportering av avfallsmengdene </w:t>
            </w:r>
            <w:proofErr w:type="spellStart"/>
            <w:r w:rsidRPr="00580C0D">
              <w:t>frå</w:t>
            </w:r>
            <w:proofErr w:type="spellEnd"/>
            <w:r w:rsidRPr="00580C0D">
              <w:t xml:space="preserve"> bygge- og anleggsbransjen</w:t>
            </w:r>
          </w:p>
        </w:tc>
        <w:tc>
          <w:tcPr>
            <w:tcW w:w="1680" w:type="dxa"/>
            <w:tcBorders>
              <w:top w:val="nil"/>
              <w:left w:val="nil"/>
              <w:bottom w:val="nil"/>
              <w:right w:val="nil"/>
            </w:tcBorders>
            <w:tcMar>
              <w:top w:w="100" w:type="dxa"/>
              <w:left w:w="43" w:type="dxa"/>
              <w:bottom w:w="43" w:type="dxa"/>
              <w:right w:w="43" w:type="dxa"/>
            </w:tcMar>
          </w:tcPr>
          <w:p w14:paraId="5BB7302E" w14:textId="77777777" w:rsidR="00F7113A" w:rsidRPr="00580C0D" w:rsidRDefault="00142E5B" w:rsidP="001231A3">
            <w:pPr>
              <w:jc w:val="right"/>
            </w:pPr>
            <w:r w:rsidRPr="00580C0D">
              <w:t>Ja</w:t>
            </w:r>
          </w:p>
        </w:tc>
      </w:tr>
      <w:tr w:rsidR="00F7113A" w:rsidRPr="00580C0D" w14:paraId="2C55CA58"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42DA1B5"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15A18774" w14:textId="77777777" w:rsidR="00F7113A" w:rsidRPr="00580C0D" w:rsidRDefault="00142E5B" w:rsidP="001231A3">
            <w:pPr>
              <w:ind w:right="170"/>
              <w:jc w:val="right"/>
            </w:pPr>
            <w:r w:rsidRPr="00580C0D">
              <w:t>454</w:t>
            </w:r>
          </w:p>
        </w:tc>
        <w:tc>
          <w:tcPr>
            <w:tcW w:w="5360" w:type="dxa"/>
            <w:tcBorders>
              <w:top w:val="nil"/>
              <w:left w:val="nil"/>
              <w:bottom w:val="nil"/>
              <w:right w:val="nil"/>
            </w:tcBorders>
            <w:tcMar>
              <w:top w:w="100" w:type="dxa"/>
              <w:left w:w="43" w:type="dxa"/>
              <w:bottom w:w="43" w:type="dxa"/>
              <w:right w:w="43" w:type="dxa"/>
            </w:tcMar>
          </w:tcPr>
          <w:p w14:paraId="70D639CA" w14:textId="77777777" w:rsidR="00F7113A" w:rsidRPr="00580C0D" w:rsidRDefault="00142E5B" w:rsidP="001231A3">
            <w:r w:rsidRPr="00580C0D">
              <w:t xml:space="preserve">Strategi for </w:t>
            </w:r>
            <w:proofErr w:type="spellStart"/>
            <w:r w:rsidRPr="00580C0D">
              <w:t>massehandtering</w:t>
            </w:r>
            <w:proofErr w:type="spellEnd"/>
          </w:p>
        </w:tc>
        <w:tc>
          <w:tcPr>
            <w:tcW w:w="1680" w:type="dxa"/>
            <w:tcBorders>
              <w:top w:val="nil"/>
              <w:left w:val="nil"/>
              <w:bottom w:val="nil"/>
              <w:right w:val="nil"/>
            </w:tcBorders>
            <w:tcMar>
              <w:top w:w="100" w:type="dxa"/>
              <w:left w:w="43" w:type="dxa"/>
              <w:bottom w:w="43" w:type="dxa"/>
              <w:right w:w="43" w:type="dxa"/>
            </w:tcMar>
          </w:tcPr>
          <w:p w14:paraId="6573F39D" w14:textId="77777777" w:rsidR="00F7113A" w:rsidRPr="00580C0D" w:rsidRDefault="00142E5B" w:rsidP="001231A3">
            <w:pPr>
              <w:jc w:val="right"/>
            </w:pPr>
            <w:r w:rsidRPr="00580C0D">
              <w:t>Nei</w:t>
            </w:r>
          </w:p>
        </w:tc>
      </w:tr>
      <w:tr w:rsidR="00F7113A" w:rsidRPr="00580C0D" w14:paraId="5037823B"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240528E"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28AC0175" w14:textId="77777777" w:rsidR="00F7113A" w:rsidRPr="00580C0D" w:rsidRDefault="00142E5B" w:rsidP="001231A3">
            <w:pPr>
              <w:ind w:right="170"/>
              <w:jc w:val="right"/>
            </w:pPr>
            <w:r w:rsidRPr="00580C0D">
              <w:t>455</w:t>
            </w:r>
          </w:p>
        </w:tc>
        <w:tc>
          <w:tcPr>
            <w:tcW w:w="5360" w:type="dxa"/>
            <w:tcBorders>
              <w:top w:val="nil"/>
              <w:left w:val="nil"/>
              <w:bottom w:val="nil"/>
              <w:right w:val="nil"/>
            </w:tcBorders>
            <w:tcMar>
              <w:top w:w="100" w:type="dxa"/>
              <w:left w:w="43" w:type="dxa"/>
              <w:bottom w:w="43" w:type="dxa"/>
              <w:right w:w="43" w:type="dxa"/>
            </w:tcMar>
          </w:tcPr>
          <w:p w14:paraId="69C0A052" w14:textId="77777777" w:rsidR="00F7113A" w:rsidRPr="00580C0D" w:rsidRDefault="00142E5B" w:rsidP="001231A3">
            <w:r w:rsidRPr="00580C0D">
              <w:t xml:space="preserve">Digital </w:t>
            </w:r>
            <w:proofErr w:type="spellStart"/>
            <w:r w:rsidRPr="00580C0D">
              <w:t>marknadsplass</w:t>
            </w:r>
            <w:proofErr w:type="spellEnd"/>
            <w:r w:rsidRPr="00580C0D">
              <w:t xml:space="preserve"> for </w:t>
            </w:r>
            <w:proofErr w:type="spellStart"/>
            <w:r w:rsidRPr="00580C0D">
              <w:t>overskotsmassar</w:t>
            </w:r>
            <w:proofErr w:type="spellEnd"/>
          </w:p>
        </w:tc>
        <w:tc>
          <w:tcPr>
            <w:tcW w:w="1680" w:type="dxa"/>
            <w:tcBorders>
              <w:top w:val="nil"/>
              <w:left w:val="nil"/>
              <w:bottom w:val="nil"/>
              <w:right w:val="nil"/>
            </w:tcBorders>
            <w:tcMar>
              <w:top w:w="100" w:type="dxa"/>
              <w:left w:w="43" w:type="dxa"/>
              <w:bottom w:w="43" w:type="dxa"/>
              <w:right w:w="43" w:type="dxa"/>
            </w:tcMar>
          </w:tcPr>
          <w:p w14:paraId="1DD35A2F" w14:textId="77777777" w:rsidR="00F7113A" w:rsidRPr="00580C0D" w:rsidRDefault="00142E5B" w:rsidP="001231A3">
            <w:pPr>
              <w:jc w:val="right"/>
            </w:pPr>
            <w:r w:rsidRPr="00580C0D">
              <w:t>Nei</w:t>
            </w:r>
          </w:p>
        </w:tc>
      </w:tr>
      <w:tr w:rsidR="00F7113A" w:rsidRPr="00580C0D" w14:paraId="50B8CB5A"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7C8C045F"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2290A2C8" w14:textId="77777777" w:rsidR="00F7113A" w:rsidRPr="00580C0D" w:rsidRDefault="00142E5B" w:rsidP="001231A3">
            <w:pPr>
              <w:ind w:right="170"/>
              <w:jc w:val="right"/>
            </w:pPr>
            <w:r w:rsidRPr="00580C0D">
              <w:t>583</w:t>
            </w:r>
          </w:p>
        </w:tc>
        <w:tc>
          <w:tcPr>
            <w:tcW w:w="5360" w:type="dxa"/>
            <w:tcBorders>
              <w:top w:val="nil"/>
              <w:left w:val="nil"/>
              <w:bottom w:val="nil"/>
              <w:right w:val="nil"/>
            </w:tcBorders>
            <w:tcMar>
              <w:top w:w="100" w:type="dxa"/>
              <w:left w:w="43" w:type="dxa"/>
              <w:bottom w:w="43" w:type="dxa"/>
              <w:right w:w="43" w:type="dxa"/>
            </w:tcMar>
          </w:tcPr>
          <w:p w14:paraId="21C18649" w14:textId="77777777" w:rsidR="00F7113A" w:rsidRPr="00580C0D" w:rsidRDefault="00142E5B" w:rsidP="001231A3">
            <w:proofErr w:type="spellStart"/>
            <w:r w:rsidRPr="00580C0D">
              <w:t>Tilgjengeliggjering</w:t>
            </w:r>
            <w:proofErr w:type="spellEnd"/>
            <w:r w:rsidRPr="00580C0D">
              <w:t xml:space="preserve"> av data ved inngåing av </w:t>
            </w:r>
            <w:proofErr w:type="spellStart"/>
            <w:r w:rsidRPr="00580C0D">
              <w:t>offentlege</w:t>
            </w:r>
            <w:proofErr w:type="spellEnd"/>
            <w:r w:rsidRPr="00580C0D">
              <w:t xml:space="preserve"> </w:t>
            </w:r>
            <w:proofErr w:type="spellStart"/>
            <w:r w:rsidRPr="00580C0D">
              <w:t>kontraktar</w:t>
            </w:r>
            <w:proofErr w:type="spellEnd"/>
          </w:p>
        </w:tc>
        <w:tc>
          <w:tcPr>
            <w:tcW w:w="1680" w:type="dxa"/>
            <w:tcBorders>
              <w:top w:val="nil"/>
              <w:left w:val="nil"/>
              <w:bottom w:val="nil"/>
              <w:right w:val="nil"/>
            </w:tcBorders>
            <w:tcMar>
              <w:top w:w="100" w:type="dxa"/>
              <w:left w:w="43" w:type="dxa"/>
              <w:bottom w:w="43" w:type="dxa"/>
              <w:right w:w="43" w:type="dxa"/>
            </w:tcMar>
          </w:tcPr>
          <w:p w14:paraId="184957C4" w14:textId="77777777" w:rsidR="00F7113A" w:rsidRPr="00580C0D" w:rsidRDefault="00142E5B" w:rsidP="001231A3">
            <w:pPr>
              <w:jc w:val="right"/>
            </w:pPr>
            <w:r w:rsidRPr="00580C0D">
              <w:t>Nei</w:t>
            </w:r>
          </w:p>
        </w:tc>
      </w:tr>
      <w:tr w:rsidR="00F7113A" w:rsidRPr="00580C0D" w14:paraId="7054060A"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5C5E0AAB"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1ECC2D32" w14:textId="77777777" w:rsidR="00F7113A" w:rsidRPr="00580C0D" w:rsidRDefault="00142E5B" w:rsidP="001231A3">
            <w:pPr>
              <w:ind w:right="170"/>
              <w:jc w:val="right"/>
            </w:pPr>
            <w:r w:rsidRPr="00580C0D">
              <w:t>584</w:t>
            </w:r>
          </w:p>
        </w:tc>
        <w:tc>
          <w:tcPr>
            <w:tcW w:w="5360" w:type="dxa"/>
            <w:tcBorders>
              <w:top w:val="nil"/>
              <w:left w:val="nil"/>
              <w:bottom w:val="nil"/>
              <w:right w:val="nil"/>
            </w:tcBorders>
            <w:tcMar>
              <w:top w:w="100" w:type="dxa"/>
              <w:left w:w="43" w:type="dxa"/>
              <w:bottom w:w="43" w:type="dxa"/>
              <w:right w:w="43" w:type="dxa"/>
            </w:tcMar>
          </w:tcPr>
          <w:p w14:paraId="19EEA04C" w14:textId="77777777" w:rsidR="00F7113A" w:rsidRPr="00580C0D" w:rsidRDefault="00142E5B" w:rsidP="001231A3">
            <w:r w:rsidRPr="00580C0D">
              <w:t>Deling av data med stor samfunnsmessig verdi</w:t>
            </w:r>
          </w:p>
        </w:tc>
        <w:tc>
          <w:tcPr>
            <w:tcW w:w="1680" w:type="dxa"/>
            <w:tcBorders>
              <w:top w:val="nil"/>
              <w:left w:val="nil"/>
              <w:bottom w:val="nil"/>
              <w:right w:val="nil"/>
            </w:tcBorders>
            <w:tcMar>
              <w:top w:w="100" w:type="dxa"/>
              <w:left w:w="43" w:type="dxa"/>
              <w:bottom w:w="43" w:type="dxa"/>
              <w:right w:w="43" w:type="dxa"/>
            </w:tcMar>
          </w:tcPr>
          <w:p w14:paraId="728841DF" w14:textId="77777777" w:rsidR="00F7113A" w:rsidRPr="00580C0D" w:rsidRDefault="00142E5B" w:rsidP="001231A3">
            <w:pPr>
              <w:jc w:val="right"/>
            </w:pPr>
            <w:r w:rsidRPr="00580C0D">
              <w:t>Ja</w:t>
            </w:r>
          </w:p>
        </w:tc>
      </w:tr>
      <w:tr w:rsidR="00F7113A" w:rsidRPr="00580C0D" w14:paraId="7A8A5E93"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62789B8D"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47F45C0B" w14:textId="77777777" w:rsidR="00F7113A" w:rsidRPr="00580C0D" w:rsidRDefault="00142E5B" w:rsidP="001231A3">
            <w:pPr>
              <w:ind w:right="170"/>
              <w:jc w:val="right"/>
            </w:pPr>
            <w:r w:rsidRPr="00580C0D">
              <w:t>651</w:t>
            </w:r>
          </w:p>
        </w:tc>
        <w:tc>
          <w:tcPr>
            <w:tcW w:w="5360" w:type="dxa"/>
            <w:tcBorders>
              <w:top w:val="nil"/>
              <w:left w:val="nil"/>
              <w:bottom w:val="nil"/>
              <w:right w:val="nil"/>
            </w:tcBorders>
            <w:tcMar>
              <w:top w:w="100" w:type="dxa"/>
              <w:left w:w="43" w:type="dxa"/>
              <w:bottom w:w="43" w:type="dxa"/>
              <w:right w:w="43" w:type="dxa"/>
            </w:tcMar>
          </w:tcPr>
          <w:p w14:paraId="047BFA73" w14:textId="77777777" w:rsidR="00F7113A" w:rsidRPr="00580C0D" w:rsidRDefault="00142E5B" w:rsidP="001231A3">
            <w:r w:rsidRPr="00580C0D">
              <w:t>Oppfølging av vedtak nr. 383 (2022–2023)</w:t>
            </w:r>
          </w:p>
        </w:tc>
        <w:tc>
          <w:tcPr>
            <w:tcW w:w="1680" w:type="dxa"/>
            <w:tcBorders>
              <w:top w:val="nil"/>
              <w:left w:val="nil"/>
              <w:bottom w:val="nil"/>
              <w:right w:val="nil"/>
            </w:tcBorders>
            <w:tcMar>
              <w:top w:w="100" w:type="dxa"/>
              <w:left w:w="43" w:type="dxa"/>
              <w:bottom w:w="43" w:type="dxa"/>
              <w:right w:w="43" w:type="dxa"/>
            </w:tcMar>
          </w:tcPr>
          <w:p w14:paraId="2343C933" w14:textId="77777777" w:rsidR="00F7113A" w:rsidRPr="00580C0D" w:rsidRDefault="00142E5B" w:rsidP="001231A3">
            <w:pPr>
              <w:jc w:val="right"/>
            </w:pPr>
            <w:r w:rsidRPr="00580C0D">
              <w:t>Ja</w:t>
            </w:r>
          </w:p>
        </w:tc>
      </w:tr>
      <w:tr w:rsidR="00F7113A" w:rsidRPr="00580C0D" w14:paraId="571E982B"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295B1E52"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27A6FF71" w14:textId="77777777" w:rsidR="00F7113A" w:rsidRPr="00580C0D" w:rsidRDefault="00142E5B" w:rsidP="001231A3">
            <w:pPr>
              <w:ind w:right="170"/>
              <w:jc w:val="right"/>
            </w:pPr>
            <w:r w:rsidRPr="00580C0D">
              <w:t>667</w:t>
            </w:r>
          </w:p>
        </w:tc>
        <w:tc>
          <w:tcPr>
            <w:tcW w:w="5360" w:type="dxa"/>
            <w:tcBorders>
              <w:top w:val="nil"/>
              <w:left w:val="nil"/>
              <w:bottom w:val="nil"/>
              <w:right w:val="nil"/>
            </w:tcBorders>
            <w:tcMar>
              <w:top w:w="100" w:type="dxa"/>
              <w:left w:w="43" w:type="dxa"/>
              <w:bottom w:w="43" w:type="dxa"/>
              <w:right w:w="43" w:type="dxa"/>
            </w:tcMar>
          </w:tcPr>
          <w:p w14:paraId="4CA248BF" w14:textId="77777777" w:rsidR="00F7113A" w:rsidRPr="00580C0D" w:rsidRDefault="00142E5B" w:rsidP="001231A3">
            <w:r w:rsidRPr="00580C0D">
              <w:t xml:space="preserve">Retningslinjer for lokalisering av </w:t>
            </w:r>
            <w:proofErr w:type="spellStart"/>
            <w:r w:rsidRPr="00580C0D">
              <w:t>statlege</w:t>
            </w:r>
            <w:proofErr w:type="spellEnd"/>
            <w:r w:rsidRPr="00580C0D">
              <w:t xml:space="preserve"> </w:t>
            </w:r>
            <w:proofErr w:type="spellStart"/>
            <w:r w:rsidRPr="00580C0D">
              <w:t>arbeidsplassar</w:t>
            </w:r>
            <w:proofErr w:type="spellEnd"/>
          </w:p>
        </w:tc>
        <w:tc>
          <w:tcPr>
            <w:tcW w:w="1680" w:type="dxa"/>
            <w:tcBorders>
              <w:top w:val="nil"/>
              <w:left w:val="nil"/>
              <w:bottom w:val="nil"/>
              <w:right w:val="nil"/>
            </w:tcBorders>
            <w:tcMar>
              <w:top w:w="100" w:type="dxa"/>
              <w:left w:w="43" w:type="dxa"/>
              <w:bottom w:w="43" w:type="dxa"/>
              <w:right w:w="43" w:type="dxa"/>
            </w:tcMar>
          </w:tcPr>
          <w:p w14:paraId="08CDB828" w14:textId="77777777" w:rsidR="00F7113A" w:rsidRPr="00580C0D" w:rsidRDefault="00142E5B" w:rsidP="001231A3">
            <w:pPr>
              <w:jc w:val="right"/>
            </w:pPr>
            <w:r w:rsidRPr="00580C0D">
              <w:t>Ja</w:t>
            </w:r>
          </w:p>
        </w:tc>
      </w:tr>
      <w:tr w:rsidR="00F7113A" w:rsidRPr="00580C0D" w14:paraId="34D6962D"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4BC087F5"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342C8FC8" w14:textId="77777777" w:rsidR="00F7113A" w:rsidRPr="00580C0D" w:rsidRDefault="00142E5B" w:rsidP="001231A3">
            <w:pPr>
              <w:ind w:right="170"/>
              <w:jc w:val="right"/>
            </w:pPr>
            <w:r w:rsidRPr="00580C0D">
              <w:t>710</w:t>
            </w:r>
          </w:p>
        </w:tc>
        <w:tc>
          <w:tcPr>
            <w:tcW w:w="5360" w:type="dxa"/>
            <w:tcBorders>
              <w:top w:val="nil"/>
              <w:left w:val="nil"/>
              <w:bottom w:val="nil"/>
              <w:right w:val="nil"/>
            </w:tcBorders>
            <w:tcMar>
              <w:top w:w="100" w:type="dxa"/>
              <w:left w:w="43" w:type="dxa"/>
              <w:bottom w:w="43" w:type="dxa"/>
              <w:right w:w="43" w:type="dxa"/>
            </w:tcMar>
          </w:tcPr>
          <w:p w14:paraId="2C94B3F7" w14:textId="77777777" w:rsidR="00F7113A" w:rsidRPr="00580C0D" w:rsidRDefault="00142E5B" w:rsidP="001231A3">
            <w:r w:rsidRPr="00580C0D">
              <w:t>Marine grunnkart</w:t>
            </w:r>
          </w:p>
        </w:tc>
        <w:tc>
          <w:tcPr>
            <w:tcW w:w="1680" w:type="dxa"/>
            <w:tcBorders>
              <w:top w:val="nil"/>
              <w:left w:val="nil"/>
              <w:bottom w:val="nil"/>
              <w:right w:val="nil"/>
            </w:tcBorders>
            <w:tcMar>
              <w:top w:w="100" w:type="dxa"/>
              <w:left w:w="43" w:type="dxa"/>
              <w:bottom w:w="43" w:type="dxa"/>
              <w:right w:w="43" w:type="dxa"/>
            </w:tcMar>
          </w:tcPr>
          <w:p w14:paraId="5FC8C912" w14:textId="77777777" w:rsidR="00F7113A" w:rsidRPr="00580C0D" w:rsidRDefault="00142E5B" w:rsidP="001231A3">
            <w:pPr>
              <w:jc w:val="right"/>
            </w:pPr>
            <w:r w:rsidRPr="00580C0D">
              <w:t>Ja</w:t>
            </w:r>
          </w:p>
        </w:tc>
      </w:tr>
      <w:tr w:rsidR="00F7113A" w:rsidRPr="00580C0D" w14:paraId="654281D1"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274BFFA3"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299AC80A" w14:textId="77777777" w:rsidR="00F7113A" w:rsidRPr="00580C0D" w:rsidRDefault="00142E5B" w:rsidP="001231A3">
            <w:pPr>
              <w:ind w:right="170"/>
              <w:jc w:val="right"/>
            </w:pPr>
            <w:r w:rsidRPr="00580C0D">
              <w:t>780</w:t>
            </w:r>
          </w:p>
        </w:tc>
        <w:tc>
          <w:tcPr>
            <w:tcW w:w="5360" w:type="dxa"/>
            <w:tcBorders>
              <w:top w:val="nil"/>
              <w:left w:val="nil"/>
              <w:bottom w:val="nil"/>
              <w:right w:val="nil"/>
            </w:tcBorders>
            <w:tcMar>
              <w:top w:w="100" w:type="dxa"/>
              <w:left w:w="43" w:type="dxa"/>
              <w:bottom w:w="43" w:type="dxa"/>
              <w:right w:w="43" w:type="dxa"/>
            </w:tcMar>
          </w:tcPr>
          <w:p w14:paraId="31F8E779" w14:textId="77777777" w:rsidR="00F7113A" w:rsidRPr="00580C0D" w:rsidRDefault="00142E5B" w:rsidP="001231A3">
            <w:r w:rsidRPr="00580C0D">
              <w:t>Fordeling av førehandsstemmer og stemmer på valkrins</w:t>
            </w:r>
          </w:p>
        </w:tc>
        <w:tc>
          <w:tcPr>
            <w:tcW w:w="1680" w:type="dxa"/>
            <w:tcBorders>
              <w:top w:val="nil"/>
              <w:left w:val="nil"/>
              <w:bottom w:val="nil"/>
              <w:right w:val="nil"/>
            </w:tcBorders>
            <w:tcMar>
              <w:top w:w="100" w:type="dxa"/>
              <w:left w:w="43" w:type="dxa"/>
              <w:bottom w:w="43" w:type="dxa"/>
              <w:right w:w="43" w:type="dxa"/>
            </w:tcMar>
          </w:tcPr>
          <w:p w14:paraId="34D4DD82" w14:textId="77777777" w:rsidR="00F7113A" w:rsidRPr="00580C0D" w:rsidRDefault="00142E5B" w:rsidP="001231A3">
            <w:pPr>
              <w:jc w:val="right"/>
            </w:pPr>
            <w:r w:rsidRPr="00580C0D">
              <w:t>Nei</w:t>
            </w:r>
          </w:p>
        </w:tc>
      </w:tr>
      <w:tr w:rsidR="00F7113A" w:rsidRPr="00580C0D" w14:paraId="2A123F04"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437B149B"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63D24471" w14:textId="77777777" w:rsidR="00F7113A" w:rsidRPr="00580C0D" w:rsidRDefault="00142E5B" w:rsidP="001231A3">
            <w:pPr>
              <w:ind w:right="170"/>
              <w:jc w:val="right"/>
            </w:pPr>
            <w:r w:rsidRPr="00580C0D">
              <w:t>819</w:t>
            </w:r>
          </w:p>
        </w:tc>
        <w:tc>
          <w:tcPr>
            <w:tcW w:w="5360" w:type="dxa"/>
            <w:tcBorders>
              <w:top w:val="nil"/>
              <w:left w:val="nil"/>
              <w:bottom w:val="nil"/>
              <w:right w:val="nil"/>
            </w:tcBorders>
            <w:tcMar>
              <w:top w:w="100" w:type="dxa"/>
              <w:left w:w="43" w:type="dxa"/>
              <w:bottom w:w="43" w:type="dxa"/>
              <w:right w:w="43" w:type="dxa"/>
            </w:tcMar>
          </w:tcPr>
          <w:p w14:paraId="14987D7E" w14:textId="77777777" w:rsidR="00F7113A" w:rsidRPr="00580C0D" w:rsidRDefault="00142E5B" w:rsidP="001231A3">
            <w:proofErr w:type="spellStart"/>
            <w:r w:rsidRPr="00580C0D">
              <w:t>Kapitalkostnadar</w:t>
            </w:r>
            <w:proofErr w:type="spellEnd"/>
            <w:r w:rsidRPr="00580C0D">
              <w:t xml:space="preserve"> ferjeavløysingsprosjekt</w:t>
            </w:r>
          </w:p>
        </w:tc>
        <w:tc>
          <w:tcPr>
            <w:tcW w:w="1680" w:type="dxa"/>
            <w:tcBorders>
              <w:top w:val="nil"/>
              <w:left w:val="nil"/>
              <w:bottom w:val="nil"/>
              <w:right w:val="nil"/>
            </w:tcBorders>
            <w:tcMar>
              <w:top w:w="100" w:type="dxa"/>
              <w:left w:w="43" w:type="dxa"/>
              <w:bottom w:w="43" w:type="dxa"/>
              <w:right w:w="43" w:type="dxa"/>
            </w:tcMar>
          </w:tcPr>
          <w:p w14:paraId="39130777" w14:textId="77777777" w:rsidR="00F7113A" w:rsidRPr="00580C0D" w:rsidRDefault="00142E5B" w:rsidP="001231A3">
            <w:pPr>
              <w:jc w:val="right"/>
            </w:pPr>
            <w:r w:rsidRPr="00580C0D">
              <w:t>Ja</w:t>
            </w:r>
          </w:p>
        </w:tc>
      </w:tr>
      <w:tr w:rsidR="00F7113A" w:rsidRPr="00580C0D" w14:paraId="677FEF4F"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19084DAE"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6E98BBCA" w14:textId="77777777" w:rsidR="00F7113A" w:rsidRPr="00580C0D" w:rsidRDefault="00142E5B" w:rsidP="001231A3">
            <w:pPr>
              <w:ind w:right="170"/>
              <w:jc w:val="right"/>
            </w:pPr>
            <w:r w:rsidRPr="00580C0D">
              <w:t>820</w:t>
            </w:r>
          </w:p>
        </w:tc>
        <w:tc>
          <w:tcPr>
            <w:tcW w:w="5360" w:type="dxa"/>
            <w:tcBorders>
              <w:top w:val="nil"/>
              <w:left w:val="nil"/>
              <w:bottom w:val="nil"/>
              <w:right w:val="nil"/>
            </w:tcBorders>
            <w:tcMar>
              <w:top w:w="100" w:type="dxa"/>
              <w:left w:w="43" w:type="dxa"/>
              <w:bottom w:w="43" w:type="dxa"/>
              <w:right w:w="43" w:type="dxa"/>
            </w:tcMar>
          </w:tcPr>
          <w:p w14:paraId="74691B55" w14:textId="77777777" w:rsidR="00F7113A" w:rsidRPr="00580C0D" w:rsidRDefault="00142E5B" w:rsidP="001231A3">
            <w:proofErr w:type="spellStart"/>
            <w:r w:rsidRPr="00580C0D">
              <w:t>Eit</w:t>
            </w:r>
            <w:proofErr w:type="spellEnd"/>
            <w:r w:rsidRPr="00580C0D">
              <w:t xml:space="preserve"> </w:t>
            </w:r>
            <w:proofErr w:type="spellStart"/>
            <w:r w:rsidRPr="00580C0D">
              <w:t>meir</w:t>
            </w:r>
            <w:proofErr w:type="spellEnd"/>
            <w:r w:rsidRPr="00580C0D">
              <w:t xml:space="preserve"> </w:t>
            </w:r>
            <w:proofErr w:type="spellStart"/>
            <w:r w:rsidRPr="00580C0D">
              <w:t>utjamnande</w:t>
            </w:r>
            <w:proofErr w:type="spellEnd"/>
            <w:r w:rsidRPr="00580C0D">
              <w:t xml:space="preserve"> inntektssystem for </w:t>
            </w:r>
            <w:proofErr w:type="spellStart"/>
            <w:r w:rsidRPr="00580C0D">
              <w:t>kommunane</w:t>
            </w:r>
            <w:proofErr w:type="spellEnd"/>
          </w:p>
        </w:tc>
        <w:tc>
          <w:tcPr>
            <w:tcW w:w="1680" w:type="dxa"/>
            <w:tcBorders>
              <w:top w:val="nil"/>
              <w:left w:val="nil"/>
              <w:bottom w:val="nil"/>
              <w:right w:val="nil"/>
            </w:tcBorders>
            <w:tcMar>
              <w:top w:w="100" w:type="dxa"/>
              <w:left w:w="43" w:type="dxa"/>
              <w:bottom w:w="43" w:type="dxa"/>
              <w:right w:w="43" w:type="dxa"/>
            </w:tcMar>
          </w:tcPr>
          <w:p w14:paraId="7F4A7BE5" w14:textId="77777777" w:rsidR="00F7113A" w:rsidRPr="00580C0D" w:rsidRDefault="00142E5B" w:rsidP="001231A3">
            <w:pPr>
              <w:jc w:val="right"/>
            </w:pPr>
            <w:r w:rsidRPr="00580C0D">
              <w:t>Nei</w:t>
            </w:r>
          </w:p>
        </w:tc>
      </w:tr>
      <w:tr w:rsidR="00F7113A" w:rsidRPr="00580C0D" w14:paraId="2459BF36"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320C91ED"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2746FDFA" w14:textId="77777777" w:rsidR="00F7113A" w:rsidRPr="00580C0D" w:rsidRDefault="00142E5B" w:rsidP="001231A3">
            <w:pPr>
              <w:ind w:right="170"/>
              <w:jc w:val="right"/>
            </w:pPr>
            <w:r w:rsidRPr="00580C0D">
              <w:t>821</w:t>
            </w:r>
          </w:p>
        </w:tc>
        <w:tc>
          <w:tcPr>
            <w:tcW w:w="5360" w:type="dxa"/>
            <w:tcBorders>
              <w:top w:val="nil"/>
              <w:left w:val="nil"/>
              <w:bottom w:val="nil"/>
              <w:right w:val="nil"/>
            </w:tcBorders>
            <w:tcMar>
              <w:top w:w="100" w:type="dxa"/>
              <w:left w:w="43" w:type="dxa"/>
              <w:bottom w:w="43" w:type="dxa"/>
              <w:right w:w="43" w:type="dxa"/>
            </w:tcMar>
          </w:tcPr>
          <w:p w14:paraId="698A213B" w14:textId="77777777" w:rsidR="00F7113A" w:rsidRPr="00580C0D" w:rsidRDefault="00142E5B" w:rsidP="001231A3">
            <w:r w:rsidRPr="00580C0D">
              <w:t xml:space="preserve">Evaluering av inntektssystemet for </w:t>
            </w:r>
            <w:proofErr w:type="spellStart"/>
            <w:r w:rsidRPr="00580C0D">
              <w:t>fylkeskommunar</w:t>
            </w:r>
            <w:proofErr w:type="spellEnd"/>
          </w:p>
        </w:tc>
        <w:tc>
          <w:tcPr>
            <w:tcW w:w="1680" w:type="dxa"/>
            <w:tcBorders>
              <w:top w:val="nil"/>
              <w:left w:val="nil"/>
              <w:bottom w:val="nil"/>
              <w:right w:val="nil"/>
            </w:tcBorders>
            <w:tcMar>
              <w:top w:w="100" w:type="dxa"/>
              <w:left w:w="43" w:type="dxa"/>
              <w:bottom w:w="43" w:type="dxa"/>
              <w:right w:w="43" w:type="dxa"/>
            </w:tcMar>
          </w:tcPr>
          <w:p w14:paraId="7329C439" w14:textId="77777777" w:rsidR="00F7113A" w:rsidRPr="00580C0D" w:rsidRDefault="00142E5B" w:rsidP="001231A3">
            <w:pPr>
              <w:jc w:val="right"/>
            </w:pPr>
            <w:r w:rsidRPr="00580C0D">
              <w:t>Nei</w:t>
            </w:r>
          </w:p>
        </w:tc>
      </w:tr>
      <w:tr w:rsidR="00F7113A" w:rsidRPr="00580C0D" w14:paraId="003CB1B6"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220941E0"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5830FE3F" w14:textId="77777777" w:rsidR="00F7113A" w:rsidRPr="00580C0D" w:rsidRDefault="00142E5B" w:rsidP="001231A3">
            <w:pPr>
              <w:ind w:right="170"/>
              <w:jc w:val="right"/>
            </w:pPr>
            <w:r w:rsidRPr="00580C0D">
              <w:t>823</w:t>
            </w:r>
          </w:p>
        </w:tc>
        <w:tc>
          <w:tcPr>
            <w:tcW w:w="5360" w:type="dxa"/>
            <w:tcBorders>
              <w:top w:val="nil"/>
              <w:left w:val="nil"/>
              <w:bottom w:val="nil"/>
              <w:right w:val="nil"/>
            </w:tcBorders>
            <w:tcMar>
              <w:top w:w="100" w:type="dxa"/>
              <w:left w:w="43" w:type="dxa"/>
              <w:bottom w:w="43" w:type="dxa"/>
              <w:right w:w="43" w:type="dxa"/>
            </w:tcMar>
          </w:tcPr>
          <w:p w14:paraId="6A96A8DA" w14:textId="77777777" w:rsidR="00F7113A" w:rsidRPr="00580C0D" w:rsidRDefault="00142E5B" w:rsidP="001231A3">
            <w:r w:rsidRPr="00580C0D">
              <w:t xml:space="preserve">Namdalen og </w:t>
            </w:r>
            <w:proofErr w:type="spellStart"/>
            <w:r w:rsidRPr="00580C0D">
              <w:t>distriktstilskot</w:t>
            </w:r>
            <w:proofErr w:type="spellEnd"/>
            <w:r w:rsidRPr="00580C0D">
              <w:t xml:space="preserve"> Nord-</w:t>
            </w:r>
            <w:proofErr w:type="spellStart"/>
            <w:r w:rsidRPr="00580C0D">
              <w:t>Noreg</w:t>
            </w:r>
            <w:proofErr w:type="spellEnd"/>
          </w:p>
        </w:tc>
        <w:tc>
          <w:tcPr>
            <w:tcW w:w="1680" w:type="dxa"/>
            <w:tcBorders>
              <w:top w:val="nil"/>
              <w:left w:val="nil"/>
              <w:bottom w:val="nil"/>
              <w:right w:val="nil"/>
            </w:tcBorders>
            <w:tcMar>
              <w:top w:w="100" w:type="dxa"/>
              <w:left w:w="43" w:type="dxa"/>
              <w:bottom w:w="43" w:type="dxa"/>
              <w:right w:w="43" w:type="dxa"/>
            </w:tcMar>
          </w:tcPr>
          <w:p w14:paraId="30D8979A" w14:textId="77777777" w:rsidR="00F7113A" w:rsidRPr="00580C0D" w:rsidRDefault="00142E5B" w:rsidP="001231A3">
            <w:pPr>
              <w:jc w:val="right"/>
            </w:pPr>
            <w:r w:rsidRPr="00580C0D">
              <w:t>Nei</w:t>
            </w:r>
          </w:p>
        </w:tc>
      </w:tr>
      <w:tr w:rsidR="00F7113A" w:rsidRPr="00580C0D" w14:paraId="547A5EE9"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337A4086"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740A315D" w14:textId="77777777" w:rsidR="00F7113A" w:rsidRPr="00580C0D" w:rsidRDefault="00142E5B" w:rsidP="001231A3">
            <w:pPr>
              <w:ind w:right="170"/>
              <w:jc w:val="right"/>
            </w:pPr>
            <w:r w:rsidRPr="00580C0D">
              <w:t>824</w:t>
            </w:r>
          </w:p>
        </w:tc>
        <w:tc>
          <w:tcPr>
            <w:tcW w:w="5360" w:type="dxa"/>
            <w:tcBorders>
              <w:top w:val="nil"/>
              <w:left w:val="nil"/>
              <w:bottom w:val="nil"/>
              <w:right w:val="nil"/>
            </w:tcBorders>
            <w:tcMar>
              <w:top w:w="100" w:type="dxa"/>
              <w:left w:w="43" w:type="dxa"/>
              <w:bottom w:w="43" w:type="dxa"/>
              <w:right w:w="43" w:type="dxa"/>
            </w:tcMar>
          </w:tcPr>
          <w:p w14:paraId="4614BF76" w14:textId="77777777" w:rsidR="00F7113A" w:rsidRPr="00580C0D" w:rsidRDefault="00142E5B" w:rsidP="001231A3">
            <w:r w:rsidRPr="00580C0D">
              <w:t>Evaluering av frikommuneforsøk</w:t>
            </w:r>
          </w:p>
        </w:tc>
        <w:tc>
          <w:tcPr>
            <w:tcW w:w="1680" w:type="dxa"/>
            <w:tcBorders>
              <w:top w:val="nil"/>
              <w:left w:val="nil"/>
              <w:bottom w:val="nil"/>
              <w:right w:val="nil"/>
            </w:tcBorders>
            <w:tcMar>
              <w:top w:w="100" w:type="dxa"/>
              <w:left w:w="43" w:type="dxa"/>
              <w:bottom w:w="43" w:type="dxa"/>
              <w:right w:w="43" w:type="dxa"/>
            </w:tcMar>
          </w:tcPr>
          <w:p w14:paraId="2501E351" w14:textId="77777777" w:rsidR="00F7113A" w:rsidRPr="00580C0D" w:rsidRDefault="00142E5B" w:rsidP="001231A3">
            <w:pPr>
              <w:jc w:val="right"/>
            </w:pPr>
            <w:r w:rsidRPr="00580C0D">
              <w:t>Nei</w:t>
            </w:r>
          </w:p>
        </w:tc>
      </w:tr>
      <w:tr w:rsidR="00F7113A" w:rsidRPr="00580C0D" w14:paraId="307B0BC6"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597EB3B"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6028276C" w14:textId="77777777" w:rsidR="00F7113A" w:rsidRPr="00580C0D" w:rsidRDefault="00142E5B" w:rsidP="001231A3">
            <w:pPr>
              <w:ind w:right="170"/>
              <w:jc w:val="right"/>
            </w:pPr>
            <w:r w:rsidRPr="00580C0D">
              <w:t>826</w:t>
            </w:r>
          </w:p>
        </w:tc>
        <w:tc>
          <w:tcPr>
            <w:tcW w:w="5360" w:type="dxa"/>
            <w:tcBorders>
              <w:top w:val="nil"/>
              <w:left w:val="nil"/>
              <w:bottom w:val="nil"/>
              <w:right w:val="nil"/>
            </w:tcBorders>
            <w:tcMar>
              <w:top w:w="100" w:type="dxa"/>
              <w:left w:w="43" w:type="dxa"/>
              <w:bottom w:w="43" w:type="dxa"/>
              <w:right w:w="43" w:type="dxa"/>
            </w:tcMar>
          </w:tcPr>
          <w:p w14:paraId="7F7D5723" w14:textId="77777777" w:rsidR="00F7113A" w:rsidRPr="00580C0D" w:rsidRDefault="00142E5B" w:rsidP="001231A3">
            <w:r w:rsidRPr="00580C0D">
              <w:t>Terskelbeløpet i Merkur-ordninga</w:t>
            </w:r>
          </w:p>
        </w:tc>
        <w:tc>
          <w:tcPr>
            <w:tcW w:w="1680" w:type="dxa"/>
            <w:tcBorders>
              <w:top w:val="nil"/>
              <w:left w:val="nil"/>
              <w:bottom w:val="nil"/>
              <w:right w:val="nil"/>
            </w:tcBorders>
            <w:tcMar>
              <w:top w:w="100" w:type="dxa"/>
              <w:left w:w="43" w:type="dxa"/>
              <w:bottom w:w="43" w:type="dxa"/>
              <w:right w:w="43" w:type="dxa"/>
            </w:tcMar>
          </w:tcPr>
          <w:p w14:paraId="0684D20E" w14:textId="77777777" w:rsidR="00F7113A" w:rsidRPr="00580C0D" w:rsidRDefault="00142E5B" w:rsidP="001231A3">
            <w:pPr>
              <w:jc w:val="right"/>
            </w:pPr>
            <w:r w:rsidRPr="00580C0D">
              <w:t>Ja</w:t>
            </w:r>
          </w:p>
        </w:tc>
      </w:tr>
      <w:tr w:rsidR="00F7113A" w:rsidRPr="00580C0D" w14:paraId="3E825FAE"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7B7F769B"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63F603AE" w14:textId="77777777" w:rsidR="00F7113A" w:rsidRPr="00580C0D" w:rsidRDefault="00142E5B" w:rsidP="001231A3">
            <w:pPr>
              <w:ind w:right="170"/>
              <w:jc w:val="right"/>
            </w:pPr>
            <w:r w:rsidRPr="00580C0D">
              <w:t>922</w:t>
            </w:r>
          </w:p>
        </w:tc>
        <w:tc>
          <w:tcPr>
            <w:tcW w:w="5360" w:type="dxa"/>
            <w:tcBorders>
              <w:top w:val="nil"/>
              <w:left w:val="nil"/>
              <w:bottom w:val="nil"/>
              <w:right w:val="nil"/>
            </w:tcBorders>
            <w:tcMar>
              <w:top w:w="100" w:type="dxa"/>
              <w:left w:w="43" w:type="dxa"/>
              <w:bottom w:w="43" w:type="dxa"/>
              <w:right w:w="43" w:type="dxa"/>
            </w:tcMar>
          </w:tcPr>
          <w:p w14:paraId="6FF80F49" w14:textId="77777777" w:rsidR="00F7113A" w:rsidRPr="00580C0D" w:rsidRDefault="00142E5B" w:rsidP="001231A3">
            <w:r w:rsidRPr="00580C0D">
              <w:t xml:space="preserve">Etablering av solceller og/eller lokalprodusert energi på nye </w:t>
            </w:r>
            <w:proofErr w:type="spellStart"/>
            <w:r w:rsidRPr="00580C0D">
              <w:t>statlege</w:t>
            </w:r>
            <w:proofErr w:type="spellEnd"/>
            <w:r w:rsidRPr="00580C0D">
              <w:t xml:space="preserve"> byggeprosjekt</w:t>
            </w:r>
          </w:p>
        </w:tc>
        <w:tc>
          <w:tcPr>
            <w:tcW w:w="1680" w:type="dxa"/>
            <w:tcBorders>
              <w:top w:val="nil"/>
              <w:left w:val="nil"/>
              <w:bottom w:val="nil"/>
              <w:right w:val="nil"/>
            </w:tcBorders>
            <w:tcMar>
              <w:top w:w="100" w:type="dxa"/>
              <w:left w:w="43" w:type="dxa"/>
              <w:bottom w:w="43" w:type="dxa"/>
              <w:right w:w="43" w:type="dxa"/>
            </w:tcMar>
          </w:tcPr>
          <w:p w14:paraId="1A6F6500" w14:textId="77777777" w:rsidR="00F7113A" w:rsidRPr="00580C0D" w:rsidRDefault="00142E5B" w:rsidP="001231A3">
            <w:pPr>
              <w:jc w:val="right"/>
            </w:pPr>
            <w:r w:rsidRPr="00580C0D">
              <w:t>Nei</w:t>
            </w:r>
          </w:p>
        </w:tc>
      </w:tr>
      <w:tr w:rsidR="00F7113A" w:rsidRPr="00580C0D" w14:paraId="2937D7F1"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2A9D7645"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75CF09A8" w14:textId="77777777" w:rsidR="00F7113A" w:rsidRPr="00580C0D" w:rsidRDefault="00142E5B" w:rsidP="001231A3">
            <w:pPr>
              <w:ind w:right="170"/>
              <w:jc w:val="right"/>
            </w:pPr>
            <w:r w:rsidRPr="00580C0D">
              <w:t>930</w:t>
            </w:r>
          </w:p>
        </w:tc>
        <w:tc>
          <w:tcPr>
            <w:tcW w:w="5360" w:type="dxa"/>
            <w:tcBorders>
              <w:top w:val="nil"/>
              <w:left w:val="nil"/>
              <w:bottom w:val="nil"/>
              <w:right w:val="nil"/>
            </w:tcBorders>
            <w:tcMar>
              <w:top w:w="100" w:type="dxa"/>
              <w:left w:w="43" w:type="dxa"/>
              <w:bottom w:w="43" w:type="dxa"/>
              <w:right w:w="43" w:type="dxa"/>
            </w:tcMar>
          </w:tcPr>
          <w:p w14:paraId="22B27502" w14:textId="77777777" w:rsidR="00F7113A" w:rsidRPr="00580C0D" w:rsidRDefault="00142E5B" w:rsidP="001231A3">
            <w:r w:rsidRPr="00580C0D">
              <w:t xml:space="preserve">Bustøtte og </w:t>
            </w:r>
            <w:proofErr w:type="spellStart"/>
            <w:r w:rsidRPr="00580C0D">
              <w:t>trygdeoppgjer</w:t>
            </w:r>
            <w:proofErr w:type="spellEnd"/>
          </w:p>
        </w:tc>
        <w:tc>
          <w:tcPr>
            <w:tcW w:w="1680" w:type="dxa"/>
            <w:tcBorders>
              <w:top w:val="nil"/>
              <w:left w:val="nil"/>
              <w:bottom w:val="nil"/>
              <w:right w:val="nil"/>
            </w:tcBorders>
            <w:tcMar>
              <w:top w:w="100" w:type="dxa"/>
              <w:left w:w="43" w:type="dxa"/>
              <w:bottom w:w="43" w:type="dxa"/>
              <w:right w:w="43" w:type="dxa"/>
            </w:tcMar>
          </w:tcPr>
          <w:p w14:paraId="333F94AF" w14:textId="77777777" w:rsidR="00F7113A" w:rsidRPr="00580C0D" w:rsidRDefault="00142E5B" w:rsidP="001231A3">
            <w:pPr>
              <w:jc w:val="right"/>
            </w:pPr>
            <w:r w:rsidRPr="00580C0D">
              <w:t>Nei</w:t>
            </w:r>
          </w:p>
        </w:tc>
      </w:tr>
      <w:tr w:rsidR="00F7113A" w:rsidRPr="00580C0D" w14:paraId="57180E7B"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5E63EE46" w14:textId="77777777" w:rsidR="00F7113A" w:rsidRPr="00580C0D" w:rsidRDefault="00142E5B" w:rsidP="001231A3">
            <w:r w:rsidRPr="00580C0D">
              <w:t>2022–2023</w:t>
            </w:r>
          </w:p>
        </w:tc>
        <w:tc>
          <w:tcPr>
            <w:tcW w:w="1120" w:type="dxa"/>
            <w:tcBorders>
              <w:top w:val="nil"/>
              <w:left w:val="nil"/>
              <w:bottom w:val="nil"/>
              <w:right w:val="nil"/>
            </w:tcBorders>
            <w:tcMar>
              <w:top w:w="100" w:type="dxa"/>
              <w:left w:w="43" w:type="dxa"/>
              <w:bottom w:w="43" w:type="dxa"/>
              <w:right w:w="43" w:type="dxa"/>
            </w:tcMar>
          </w:tcPr>
          <w:p w14:paraId="3AB8D656" w14:textId="77777777" w:rsidR="00F7113A" w:rsidRPr="00580C0D" w:rsidRDefault="00142E5B" w:rsidP="001231A3">
            <w:pPr>
              <w:ind w:right="170"/>
              <w:jc w:val="right"/>
            </w:pPr>
            <w:r w:rsidRPr="00580C0D">
              <w:t>931</w:t>
            </w:r>
          </w:p>
        </w:tc>
        <w:tc>
          <w:tcPr>
            <w:tcW w:w="5360" w:type="dxa"/>
            <w:tcBorders>
              <w:top w:val="nil"/>
              <w:left w:val="nil"/>
              <w:bottom w:val="nil"/>
              <w:right w:val="nil"/>
            </w:tcBorders>
            <w:tcMar>
              <w:top w:w="100" w:type="dxa"/>
              <w:left w:w="43" w:type="dxa"/>
              <w:bottom w:w="43" w:type="dxa"/>
              <w:right w:w="43" w:type="dxa"/>
            </w:tcMar>
          </w:tcPr>
          <w:p w14:paraId="60037217" w14:textId="77777777" w:rsidR="00F7113A" w:rsidRPr="00580C0D" w:rsidRDefault="00142E5B" w:rsidP="001231A3">
            <w:proofErr w:type="spellStart"/>
            <w:r w:rsidRPr="00580C0D">
              <w:t>Meir</w:t>
            </w:r>
            <w:proofErr w:type="spellEnd"/>
            <w:r w:rsidRPr="00580C0D">
              <w:t xml:space="preserve"> treffsikker </w:t>
            </w:r>
            <w:proofErr w:type="spellStart"/>
            <w:r w:rsidRPr="00580C0D">
              <w:t>bustøttesordning</w:t>
            </w:r>
            <w:proofErr w:type="spellEnd"/>
          </w:p>
        </w:tc>
        <w:tc>
          <w:tcPr>
            <w:tcW w:w="1680" w:type="dxa"/>
            <w:tcBorders>
              <w:top w:val="nil"/>
              <w:left w:val="nil"/>
              <w:bottom w:val="nil"/>
              <w:right w:val="nil"/>
            </w:tcBorders>
            <w:tcMar>
              <w:top w:w="100" w:type="dxa"/>
              <w:left w:w="43" w:type="dxa"/>
              <w:bottom w:w="43" w:type="dxa"/>
              <w:right w:w="43" w:type="dxa"/>
            </w:tcMar>
          </w:tcPr>
          <w:p w14:paraId="7F3CB5D1" w14:textId="77777777" w:rsidR="00F7113A" w:rsidRPr="00580C0D" w:rsidRDefault="00142E5B" w:rsidP="001231A3">
            <w:pPr>
              <w:jc w:val="right"/>
            </w:pPr>
            <w:r w:rsidRPr="00580C0D">
              <w:t>Nei</w:t>
            </w:r>
          </w:p>
        </w:tc>
      </w:tr>
      <w:tr w:rsidR="00F7113A" w:rsidRPr="00580C0D" w14:paraId="0BFC89BB"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50F072C1" w14:textId="77777777" w:rsidR="00F7113A" w:rsidRPr="00580C0D" w:rsidRDefault="00142E5B" w:rsidP="001231A3">
            <w:r w:rsidRPr="00580C0D">
              <w:t xml:space="preserve">2022–2023 </w:t>
            </w:r>
          </w:p>
        </w:tc>
        <w:tc>
          <w:tcPr>
            <w:tcW w:w="1120" w:type="dxa"/>
            <w:tcBorders>
              <w:top w:val="nil"/>
              <w:left w:val="nil"/>
              <w:bottom w:val="nil"/>
              <w:right w:val="nil"/>
            </w:tcBorders>
            <w:tcMar>
              <w:top w:w="100" w:type="dxa"/>
              <w:left w:w="43" w:type="dxa"/>
              <w:bottom w:w="43" w:type="dxa"/>
              <w:right w:w="43" w:type="dxa"/>
            </w:tcMar>
          </w:tcPr>
          <w:p w14:paraId="336F296F" w14:textId="77777777" w:rsidR="00F7113A" w:rsidRPr="00580C0D" w:rsidRDefault="00142E5B" w:rsidP="001231A3">
            <w:pPr>
              <w:ind w:right="170"/>
              <w:jc w:val="right"/>
            </w:pPr>
            <w:r w:rsidRPr="00580C0D">
              <w:t>934</w:t>
            </w:r>
          </w:p>
        </w:tc>
        <w:tc>
          <w:tcPr>
            <w:tcW w:w="5360" w:type="dxa"/>
            <w:tcBorders>
              <w:top w:val="nil"/>
              <w:left w:val="nil"/>
              <w:bottom w:val="nil"/>
              <w:right w:val="nil"/>
            </w:tcBorders>
            <w:tcMar>
              <w:top w:w="100" w:type="dxa"/>
              <w:left w:w="43" w:type="dxa"/>
              <w:bottom w:w="43" w:type="dxa"/>
              <w:right w:w="43" w:type="dxa"/>
            </w:tcMar>
          </w:tcPr>
          <w:p w14:paraId="4A956090" w14:textId="77777777" w:rsidR="00F7113A" w:rsidRPr="00580C0D" w:rsidRDefault="00142E5B" w:rsidP="001231A3">
            <w:r w:rsidRPr="00580C0D">
              <w:t>Etablering av solceller og/eller lokalprodusert energi på nye næringsbygg</w:t>
            </w:r>
          </w:p>
        </w:tc>
        <w:tc>
          <w:tcPr>
            <w:tcW w:w="1680" w:type="dxa"/>
            <w:tcBorders>
              <w:top w:val="nil"/>
              <w:left w:val="nil"/>
              <w:bottom w:val="nil"/>
              <w:right w:val="nil"/>
            </w:tcBorders>
            <w:tcMar>
              <w:top w:w="100" w:type="dxa"/>
              <w:left w:w="43" w:type="dxa"/>
              <w:bottom w:w="43" w:type="dxa"/>
              <w:right w:w="43" w:type="dxa"/>
            </w:tcMar>
          </w:tcPr>
          <w:p w14:paraId="5FA65AF6" w14:textId="77777777" w:rsidR="00F7113A" w:rsidRPr="00580C0D" w:rsidRDefault="00142E5B" w:rsidP="001231A3">
            <w:pPr>
              <w:jc w:val="right"/>
            </w:pPr>
            <w:r w:rsidRPr="00580C0D">
              <w:t>Nei</w:t>
            </w:r>
          </w:p>
        </w:tc>
      </w:tr>
      <w:tr w:rsidR="00F7113A" w:rsidRPr="00580C0D" w14:paraId="75F61E5B"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723C6FCC"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1399CD0A" w14:textId="77777777" w:rsidR="00F7113A" w:rsidRPr="00580C0D" w:rsidRDefault="00142E5B" w:rsidP="001231A3">
            <w:pPr>
              <w:ind w:right="170"/>
              <w:jc w:val="right"/>
            </w:pPr>
            <w:r w:rsidRPr="00580C0D">
              <w:t>35 nr. 7</w:t>
            </w:r>
          </w:p>
        </w:tc>
        <w:tc>
          <w:tcPr>
            <w:tcW w:w="5360" w:type="dxa"/>
            <w:tcBorders>
              <w:top w:val="nil"/>
              <w:left w:val="nil"/>
              <w:bottom w:val="nil"/>
              <w:right w:val="nil"/>
            </w:tcBorders>
            <w:tcMar>
              <w:top w:w="100" w:type="dxa"/>
              <w:left w:w="43" w:type="dxa"/>
              <w:bottom w:w="43" w:type="dxa"/>
              <w:right w:w="43" w:type="dxa"/>
            </w:tcMar>
          </w:tcPr>
          <w:p w14:paraId="0E5BA9B7" w14:textId="109962C8" w:rsidR="00F7113A" w:rsidRPr="00580C0D" w:rsidRDefault="00142E5B" w:rsidP="001231A3">
            <w:r w:rsidRPr="00580C0D">
              <w:t>Lokal energiproduksjon, energieffektivisering og lade</w:t>
            </w:r>
            <w:r w:rsidR="00C26F72">
              <w:softHyphen/>
            </w:r>
            <w:r w:rsidRPr="00580C0D">
              <w:t>infrastruktur i burettslag</w:t>
            </w:r>
          </w:p>
        </w:tc>
        <w:tc>
          <w:tcPr>
            <w:tcW w:w="1680" w:type="dxa"/>
            <w:tcBorders>
              <w:top w:val="nil"/>
              <w:left w:val="nil"/>
              <w:bottom w:val="nil"/>
              <w:right w:val="nil"/>
            </w:tcBorders>
            <w:tcMar>
              <w:top w:w="100" w:type="dxa"/>
              <w:left w:w="43" w:type="dxa"/>
              <w:bottom w:w="43" w:type="dxa"/>
              <w:right w:w="43" w:type="dxa"/>
            </w:tcMar>
          </w:tcPr>
          <w:p w14:paraId="6D8A83FB" w14:textId="77777777" w:rsidR="00F7113A" w:rsidRPr="00580C0D" w:rsidRDefault="00142E5B" w:rsidP="001231A3">
            <w:pPr>
              <w:jc w:val="right"/>
            </w:pPr>
            <w:r w:rsidRPr="00580C0D">
              <w:t>Ja</w:t>
            </w:r>
          </w:p>
        </w:tc>
      </w:tr>
      <w:tr w:rsidR="00F7113A" w:rsidRPr="00580C0D" w14:paraId="71CFE3A0"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DF771BB"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18D309B3" w14:textId="77777777" w:rsidR="00F7113A" w:rsidRPr="00580C0D" w:rsidRDefault="00142E5B" w:rsidP="001231A3">
            <w:pPr>
              <w:ind w:right="170"/>
              <w:jc w:val="right"/>
            </w:pPr>
            <w:r w:rsidRPr="00580C0D">
              <w:t>35 nr. 15</w:t>
            </w:r>
          </w:p>
        </w:tc>
        <w:tc>
          <w:tcPr>
            <w:tcW w:w="5360" w:type="dxa"/>
            <w:tcBorders>
              <w:top w:val="nil"/>
              <w:left w:val="nil"/>
              <w:bottom w:val="nil"/>
              <w:right w:val="nil"/>
            </w:tcBorders>
            <w:tcMar>
              <w:top w:w="100" w:type="dxa"/>
              <w:left w:w="43" w:type="dxa"/>
              <w:bottom w:w="43" w:type="dxa"/>
              <w:right w:w="43" w:type="dxa"/>
            </w:tcMar>
          </w:tcPr>
          <w:p w14:paraId="7327C7C1" w14:textId="77777777" w:rsidR="00F7113A" w:rsidRPr="00580C0D" w:rsidRDefault="00142E5B" w:rsidP="001231A3">
            <w:r w:rsidRPr="00580C0D">
              <w:t xml:space="preserve">Nullutslepp eller fossilfrie </w:t>
            </w:r>
            <w:proofErr w:type="spellStart"/>
            <w:r w:rsidRPr="00580C0D">
              <w:t>anleggsplassar</w:t>
            </w:r>
            <w:proofErr w:type="spellEnd"/>
            <w:r w:rsidRPr="00580C0D">
              <w:t xml:space="preserve"> i </w:t>
            </w:r>
            <w:proofErr w:type="spellStart"/>
            <w:r w:rsidRPr="00580C0D">
              <w:t>planreglar</w:t>
            </w:r>
            <w:proofErr w:type="spellEnd"/>
          </w:p>
        </w:tc>
        <w:tc>
          <w:tcPr>
            <w:tcW w:w="1680" w:type="dxa"/>
            <w:tcBorders>
              <w:top w:val="nil"/>
              <w:left w:val="nil"/>
              <w:bottom w:val="nil"/>
              <w:right w:val="nil"/>
            </w:tcBorders>
            <w:tcMar>
              <w:top w:w="100" w:type="dxa"/>
              <w:left w:w="43" w:type="dxa"/>
              <w:bottom w:w="43" w:type="dxa"/>
              <w:right w:w="43" w:type="dxa"/>
            </w:tcMar>
          </w:tcPr>
          <w:p w14:paraId="58272C00" w14:textId="77777777" w:rsidR="00F7113A" w:rsidRPr="00580C0D" w:rsidRDefault="00142E5B" w:rsidP="001231A3">
            <w:pPr>
              <w:jc w:val="right"/>
            </w:pPr>
            <w:r w:rsidRPr="00580C0D">
              <w:t>Nei</w:t>
            </w:r>
          </w:p>
        </w:tc>
      </w:tr>
      <w:tr w:rsidR="00F7113A" w:rsidRPr="00580C0D" w14:paraId="5B09883D"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4F5C52FB"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23E849B7" w14:textId="77777777" w:rsidR="00F7113A" w:rsidRPr="00580C0D" w:rsidRDefault="00142E5B" w:rsidP="001231A3">
            <w:pPr>
              <w:ind w:right="170"/>
              <w:jc w:val="right"/>
            </w:pPr>
            <w:r w:rsidRPr="00580C0D">
              <w:t>35 nr. 27</w:t>
            </w:r>
          </w:p>
        </w:tc>
        <w:tc>
          <w:tcPr>
            <w:tcW w:w="5360" w:type="dxa"/>
            <w:tcBorders>
              <w:top w:val="nil"/>
              <w:left w:val="nil"/>
              <w:bottom w:val="nil"/>
              <w:right w:val="nil"/>
            </w:tcBorders>
            <w:tcMar>
              <w:top w:w="100" w:type="dxa"/>
              <w:left w:w="43" w:type="dxa"/>
              <w:bottom w:w="43" w:type="dxa"/>
              <w:right w:w="43" w:type="dxa"/>
            </w:tcMar>
          </w:tcPr>
          <w:p w14:paraId="2160C5DA" w14:textId="77777777" w:rsidR="00F7113A" w:rsidRPr="00580C0D" w:rsidRDefault="00142E5B" w:rsidP="001231A3">
            <w:r w:rsidRPr="00580C0D">
              <w:t xml:space="preserve">Levekår i </w:t>
            </w:r>
            <w:proofErr w:type="spellStart"/>
            <w:r w:rsidRPr="00580C0D">
              <w:t>byar</w:t>
            </w:r>
            <w:proofErr w:type="spellEnd"/>
          </w:p>
        </w:tc>
        <w:tc>
          <w:tcPr>
            <w:tcW w:w="1680" w:type="dxa"/>
            <w:tcBorders>
              <w:top w:val="nil"/>
              <w:left w:val="nil"/>
              <w:bottom w:val="nil"/>
              <w:right w:val="nil"/>
            </w:tcBorders>
            <w:tcMar>
              <w:top w:w="100" w:type="dxa"/>
              <w:left w:w="43" w:type="dxa"/>
              <w:bottom w:w="43" w:type="dxa"/>
              <w:right w:w="43" w:type="dxa"/>
            </w:tcMar>
          </w:tcPr>
          <w:p w14:paraId="189303E8" w14:textId="77777777" w:rsidR="00F7113A" w:rsidRPr="00580C0D" w:rsidRDefault="00142E5B" w:rsidP="001231A3">
            <w:pPr>
              <w:jc w:val="right"/>
            </w:pPr>
            <w:r w:rsidRPr="00580C0D">
              <w:t>Ja</w:t>
            </w:r>
          </w:p>
        </w:tc>
      </w:tr>
      <w:tr w:rsidR="00F7113A" w:rsidRPr="00580C0D" w14:paraId="5926D9BF"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17BC6567"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318AE0B5" w14:textId="77777777" w:rsidR="00F7113A" w:rsidRPr="00580C0D" w:rsidRDefault="00142E5B" w:rsidP="001231A3">
            <w:pPr>
              <w:ind w:right="170"/>
              <w:jc w:val="right"/>
            </w:pPr>
            <w:r w:rsidRPr="00580C0D">
              <w:t>35 nr. 35</w:t>
            </w:r>
          </w:p>
        </w:tc>
        <w:tc>
          <w:tcPr>
            <w:tcW w:w="5360" w:type="dxa"/>
            <w:tcBorders>
              <w:top w:val="nil"/>
              <w:left w:val="nil"/>
              <w:bottom w:val="nil"/>
              <w:right w:val="nil"/>
            </w:tcBorders>
            <w:tcMar>
              <w:top w:w="100" w:type="dxa"/>
              <w:left w:w="43" w:type="dxa"/>
              <w:bottom w:w="43" w:type="dxa"/>
              <w:right w:w="43" w:type="dxa"/>
            </w:tcMar>
          </w:tcPr>
          <w:p w14:paraId="37DB53C0" w14:textId="77777777" w:rsidR="00F7113A" w:rsidRPr="00580C0D" w:rsidRDefault="00142E5B" w:rsidP="001231A3">
            <w:proofErr w:type="spellStart"/>
            <w:r w:rsidRPr="00580C0D">
              <w:t>Blankoskøyter</w:t>
            </w:r>
            <w:proofErr w:type="spellEnd"/>
            <w:r w:rsidRPr="00580C0D">
              <w:t xml:space="preserve"> og plikt til tinglysing</w:t>
            </w:r>
          </w:p>
        </w:tc>
        <w:tc>
          <w:tcPr>
            <w:tcW w:w="1680" w:type="dxa"/>
            <w:tcBorders>
              <w:top w:val="nil"/>
              <w:left w:val="nil"/>
              <w:bottom w:val="nil"/>
              <w:right w:val="nil"/>
            </w:tcBorders>
            <w:tcMar>
              <w:top w:w="100" w:type="dxa"/>
              <w:left w:w="43" w:type="dxa"/>
              <w:bottom w:w="43" w:type="dxa"/>
              <w:right w:w="43" w:type="dxa"/>
            </w:tcMar>
          </w:tcPr>
          <w:p w14:paraId="7428B7FA" w14:textId="77777777" w:rsidR="00F7113A" w:rsidRPr="00580C0D" w:rsidRDefault="00142E5B" w:rsidP="001231A3">
            <w:pPr>
              <w:jc w:val="right"/>
            </w:pPr>
            <w:r w:rsidRPr="00580C0D">
              <w:t>Nei</w:t>
            </w:r>
          </w:p>
        </w:tc>
      </w:tr>
      <w:tr w:rsidR="00F7113A" w:rsidRPr="00580C0D" w14:paraId="6B6E963D"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427C4BD4"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3575DCE2" w14:textId="77777777" w:rsidR="00F7113A" w:rsidRPr="00580C0D" w:rsidRDefault="00142E5B" w:rsidP="001231A3">
            <w:pPr>
              <w:ind w:right="170"/>
              <w:jc w:val="right"/>
            </w:pPr>
            <w:r w:rsidRPr="00580C0D">
              <w:t>35 nr. 42</w:t>
            </w:r>
          </w:p>
        </w:tc>
        <w:tc>
          <w:tcPr>
            <w:tcW w:w="5360" w:type="dxa"/>
            <w:tcBorders>
              <w:top w:val="nil"/>
              <w:left w:val="nil"/>
              <w:bottom w:val="nil"/>
              <w:right w:val="nil"/>
            </w:tcBorders>
            <w:tcMar>
              <w:top w:w="100" w:type="dxa"/>
              <w:left w:w="43" w:type="dxa"/>
              <w:bottom w:w="43" w:type="dxa"/>
              <w:right w:w="43" w:type="dxa"/>
            </w:tcMar>
          </w:tcPr>
          <w:p w14:paraId="05A78DEA" w14:textId="77777777" w:rsidR="00F7113A" w:rsidRPr="00580C0D" w:rsidRDefault="00142E5B" w:rsidP="001231A3">
            <w:proofErr w:type="spellStart"/>
            <w:r w:rsidRPr="00580C0D">
              <w:t>Auka</w:t>
            </w:r>
            <w:proofErr w:type="spellEnd"/>
            <w:r w:rsidRPr="00580C0D">
              <w:t xml:space="preserve"> </w:t>
            </w:r>
            <w:proofErr w:type="spellStart"/>
            <w:r w:rsidRPr="00580C0D">
              <w:t>openheit</w:t>
            </w:r>
            <w:proofErr w:type="spellEnd"/>
            <w:r w:rsidRPr="00580C0D">
              <w:t xml:space="preserve"> i </w:t>
            </w:r>
            <w:proofErr w:type="spellStart"/>
            <w:r w:rsidRPr="00580C0D">
              <w:t>verksemda</w:t>
            </w:r>
            <w:proofErr w:type="spellEnd"/>
            <w:r w:rsidRPr="00580C0D">
              <w:t xml:space="preserve"> til private </w:t>
            </w:r>
            <w:proofErr w:type="spellStart"/>
            <w:r w:rsidRPr="00580C0D">
              <w:t>tilbydarar</w:t>
            </w:r>
            <w:proofErr w:type="spellEnd"/>
            <w:r w:rsidRPr="00580C0D">
              <w:t xml:space="preserve"> av </w:t>
            </w:r>
            <w:proofErr w:type="spellStart"/>
            <w:r w:rsidRPr="00580C0D">
              <w:t>offentleg</w:t>
            </w:r>
            <w:proofErr w:type="spellEnd"/>
            <w:r w:rsidRPr="00580C0D">
              <w:t xml:space="preserve"> finansierte </w:t>
            </w:r>
            <w:proofErr w:type="spellStart"/>
            <w:r w:rsidRPr="00580C0D">
              <w:t>velferdstenester</w:t>
            </w:r>
            <w:proofErr w:type="spellEnd"/>
            <w:r w:rsidRPr="00580C0D">
              <w:t xml:space="preserve"> </w:t>
            </w:r>
          </w:p>
        </w:tc>
        <w:tc>
          <w:tcPr>
            <w:tcW w:w="1680" w:type="dxa"/>
            <w:tcBorders>
              <w:top w:val="nil"/>
              <w:left w:val="nil"/>
              <w:bottom w:val="nil"/>
              <w:right w:val="nil"/>
            </w:tcBorders>
            <w:tcMar>
              <w:top w:w="100" w:type="dxa"/>
              <w:left w:w="43" w:type="dxa"/>
              <w:bottom w:w="43" w:type="dxa"/>
              <w:right w:w="43" w:type="dxa"/>
            </w:tcMar>
          </w:tcPr>
          <w:p w14:paraId="07FC0C40" w14:textId="77777777" w:rsidR="00F7113A" w:rsidRPr="00580C0D" w:rsidRDefault="00142E5B" w:rsidP="001231A3">
            <w:pPr>
              <w:jc w:val="right"/>
            </w:pPr>
            <w:r w:rsidRPr="00580C0D">
              <w:t>Nei</w:t>
            </w:r>
          </w:p>
        </w:tc>
      </w:tr>
      <w:tr w:rsidR="00F7113A" w:rsidRPr="00580C0D" w14:paraId="70600830"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0C869BB3"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230FC71E" w14:textId="77777777" w:rsidR="00F7113A" w:rsidRPr="00580C0D" w:rsidRDefault="00142E5B" w:rsidP="001231A3">
            <w:pPr>
              <w:ind w:right="170"/>
              <w:jc w:val="right"/>
            </w:pPr>
            <w:r w:rsidRPr="00580C0D">
              <w:t>35 nr. 43</w:t>
            </w:r>
          </w:p>
        </w:tc>
        <w:tc>
          <w:tcPr>
            <w:tcW w:w="5360" w:type="dxa"/>
            <w:tcBorders>
              <w:top w:val="nil"/>
              <w:left w:val="nil"/>
              <w:bottom w:val="nil"/>
              <w:right w:val="nil"/>
            </w:tcBorders>
            <w:tcMar>
              <w:top w:w="100" w:type="dxa"/>
              <w:left w:w="43" w:type="dxa"/>
              <w:bottom w:w="43" w:type="dxa"/>
              <w:right w:w="43" w:type="dxa"/>
            </w:tcMar>
          </w:tcPr>
          <w:p w14:paraId="2F56A05E" w14:textId="6A22DDEF" w:rsidR="00F7113A" w:rsidRPr="00580C0D" w:rsidRDefault="00142E5B" w:rsidP="001231A3">
            <w:r w:rsidRPr="00580C0D">
              <w:t xml:space="preserve">Krav om organisering i sjølvstendig rettssubjekt for selskap som leverer </w:t>
            </w:r>
            <w:proofErr w:type="spellStart"/>
            <w:r w:rsidRPr="00580C0D">
              <w:t>offentleg</w:t>
            </w:r>
            <w:proofErr w:type="spellEnd"/>
            <w:r w:rsidRPr="00580C0D">
              <w:t xml:space="preserve"> finansierte </w:t>
            </w:r>
            <w:proofErr w:type="spellStart"/>
            <w:r w:rsidRPr="00580C0D">
              <w:t>velferds</w:t>
            </w:r>
            <w:r w:rsidR="00251BE9">
              <w:softHyphen/>
            </w:r>
            <w:r w:rsidRPr="00580C0D">
              <w:t>tenester</w:t>
            </w:r>
            <w:proofErr w:type="spellEnd"/>
          </w:p>
        </w:tc>
        <w:tc>
          <w:tcPr>
            <w:tcW w:w="1680" w:type="dxa"/>
            <w:tcBorders>
              <w:top w:val="nil"/>
              <w:left w:val="nil"/>
              <w:bottom w:val="nil"/>
              <w:right w:val="nil"/>
            </w:tcBorders>
            <w:tcMar>
              <w:top w:w="100" w:type="dxa"/>
              <w:left w:w="43" w:type="dxa"/>
              <w:bottom w:w="43" w:type="dxa"/>
              <w:right w:w="43" w:type="dxa"/>
            </w:tcMar>
          </w:tcPr>
          <w:p w14:paraId="29530127" w14:textId="77777777" w:rsidR="00F7113A" w:rsidRPr="00580C0D" w:rsidRDefault="00142E5B" w:rsidP="001231A3">
            <w:pPr>
              <w:jc w:val="right"/>
            </w:pPr>
            <w:r w:rsidRPr="00580C0D">
              <w:t>Nei</w:t>
            </w:r>
          </w:p>
        </w:tc>
      </w:tr>
      <w:tr w:rsidR="00F7113A" w:rsidRPr="00580C0D" w14:paraId="6D9DD992"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2F26FD2B"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05CB2B79" w14:textId="77777777" w:rsidR="00F7113A" w:rsidRPr="00580C0D" w:rsidRDefault="00142E5B" w:rsidP="001231A3">
            <w:pPr>
              <w:ind w:right="170"/>
              <w:jc w:val="right"/>
            </w:pPr>
            <w:r w:rsidRPr="00580C0D">
              <w:t>35 nr. 54</w:t>
            </w:r>
          </w:p>
        </w:tc>
        <w:tc>
          <w:tcPr>
            <w:tcW w:w="5360" w:type="dxa"/>
            <w:tcBorders>
              <w:top w:val="nil"/>
              <w:left w:val="nil"/>
              <w:bottom w:val="nil"/>
              <w:right w:val="nil"/>
            </w:tcBorders>
            <w:tcMar>
              <w:top w:w="100" w:type="dxa"/>
              <w:left w:w="43" w:type="dxa"/>
              <w:bottom w:w="43" w:type="dxa"/>
              <w:right w:w="43" w:type="dxa"/>
            </w:tcMar>
          </w:tcPr>
          <w:p w14:paraId="5E4F740E" w14:textId="77777777" w:rsidR="00F7113A" w:rsidRPr="00580C0D" w:rsidRDefault="00142E5B" w:rsidP="001231A3">
            <w:proofErr w:type="spellStart"/>
            <w:r w:rsidRPr="00580C0D">
              <w:t>Bustader</w:t>
            </w:r>
            <w:proofErr w:type="spellEnd"/>
            <w:r w:rsidRPr="00580C0D">
              <w:t xml:space="preserve"> for </w:t>
            </w:r>
            <w:proofErr w:type="spellStart"/>
            <w:r w:rsidRPr="00580C0D">
              <w:t>studentar</w:t>
            </w:r>
            <w:proofErr w:type="spellEnd"/>
            <w:r w:rsidRPr="00580C0D">
              <w:t xml:space="preserve"> i kommunale </w:t>
            </w:r>
            <w:proofErr w:type="spellStart"/>
            <w:r w:rsidRPr="00580C0D">
              <w:t>arealplanar</w:t>
            </w:r>
            <w:proofErr w:type="spellEnd"/>
          </w:p>
        </w:tc>
        <w:tc>
          <w:tcPr>
            <w:tcW w:w="1680" w:type="dxa"/>
            <w:tcBorders>
              <w:top w:val="nil"/>
              <w:left w:val="nil"/>
              <w:bottom w:val="nil"/>
              <w:right w:val="nil"/>
            </w:tcBorders>
            <w:tcMar>
              <w:top w:w="100" w:type="dxa"/>
              <w:left w:w="43" w:type="dxa"/>
              <w:bottom w:w="43" w:type="dxa"/>
              <w:right w:w="43" w:type="dxa"/>
            </w:tcMar>
          </w:tcPr>
          <w:p w14:paraId="292438A5" w14:textId="77777777" w:rsidR="00F7113A" w:rsidRPr="00580C0D" w:rsidRDefault="00142E5B" w:rsidP="001231A3">
            <w:pPr>
              <w:jc w:val="right"/>
            </w:pPr>
            <w:r w:rsidRPr="00580C0D">
              <w:t>Nei</w:t>
            </w:r>
          </w:p>
        </w:tc>
      </w:tr>
      <w:tr w:rsidR="00F7113A" w:rsidRPr="00580C0D" w14:paraId="25E0EB2D"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5BB0A8C1"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2346D18D" w14:textId="77777777" w:rsidR="00F7113A" w:rsidRPr="00580C0D" w:rsidRDefault="00142E5B" w:rsidP="001231A3">
            <w:pPr>
              <w:ind w:right="170"/>
              <w:jc w:val="right"/>
            </w:pPr>
            <w:r w:rsidRPr="00580C0D">
              <w:t>363</w:t>
            </w:r>
          </w:p>
        </w:tc>
        <w:tc>
          <w:tcPr>
            <w:tcW w:w="5360" w:type="dxa"/>
            <w:tcBorders>
              <w:top w:val="nil"/>
              <w:left w:val="nil"/>
              <w:bottom w:val="nil"/>
              <w:right w:val="nil"/>
            </w:tcBorders>
            <w:tcMar>
              <w:top w:w="100" w:type="dxa"/>
              <w:left w:w="43" w:type="dxa"/>
              <w:bottom w:w="43" w:type="dxa"/>
              <w:right w:w="43" w:type="dxa"/>
            </w:tcMar>
          </w:tcPr>
          <w:p w14:paraId="6EE1D51A" w14:textId="77777777" w:rsidR="00F7113A" w:rsidRPr="00580C0D" w:rsidRDefault="00142E5B" w:rsidP="001231A3">
            <w:r w:rsidRPr="00580C0D">
              <w:t xml:space="preserve">Kompensere </w:t>
            </w:r>
            <w:proofErr w:type="spellStart"/>
            <w:r w:rsidRPr="00580C0D">
              <w:t>kommunane</w:t>
            </w:r>
            <w:proofErr w:type="spellEnd"/>
            <w:r w:rsidRPr="00580C0D">
              <w:t xml:space="preserve"> og </w:t>
            </w:r>
            <w:proofErr w:type="spellStart"/>
            <w:r w:rsidRPr="00580C0D">
              <w:t>fylkeskommunane</w:t>
            </w:r>
            <w:proofErr w:type="spellEnd"/>
            <w:r w:rsidRPr="00580C0D">
              <w:t xml:space="preserve"> som </w:t>
            </w:r>
            <w:proofErr w:type="spellStart"/>
            <w:r w:rsidRPr="00580C0D">
              <w:t>følgje</w:t>
            </w:r>
            <w:proofErr w:type="spellEnd"/>
            <w:r w:rsidRPr="00580C0D">
              <w:t xml:space="preserve"> av smitteverntiltak</w:t>
            </w:r>
          </w:p>
        </w:tc>
        <w:tc>
          <w:tcPr>
            <w:tcW w:w="1680" w:type="dxa"/>
            <w:tcBorders>
              <w:top w:val="nil"/>
              <w:left w:val="nil"/>
              <w:bottom w:val="nil"/>
              <w:right w:val="nil"/>
            </w:tcBorders>
            <w:tcMar>
              <w:top w:w="100" w:type="dxa"/>
              <w:left w:w="43" w:type="dxa"/>
              <w:bottom w:w="43" w:type="dxa"/>
              <w:right w:w="43" w:type="dxa"/>
            </w:tcMar>
          </w:tcPr>
          <w:p w14:paraId="68B94034" w14:textId="77777777" w:rsidR="00F7113A" w:rsidRPr="00580C0D" w:rsidRDefault="00142E5B" w:rsidP="001231A3">
            <w:pPr>
              <w:jc w:val="right"/>
            </w:pPr>
            <w:r w:rsidRPr="00580C0D">
              <w:t>Ja</w:t>
            </w:r>
          </w:p>
        </w:tc>
      </w:tr>
      <w:tr w:rsidR="00F7113A" w:rsidRPr="00580C0D" w14:paraId="5B0343D2"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40AAE07C"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7672C54B" w14:textId="77777777" w:rsidR="00F7113A" w:rsidRPr="00580C0D" w:rsidRDefault="00142E5B" w:rsidP="001231A3">
            <w:pPr>
              <w:ind w:right="170"/>
              <w:jc w:val="right"/>
            </w:pPr>
            <w:r w:rsidRPr="00580C0D">
              <w:t>413</w:t>
            </w:r>
          </w:p>
        </w:tc>
        <w:tc>
          <w:tcPr>
            <w:tcW w:w="5360" w:type="dxa"/>
            <w:tcBorders>
              <w:top w:val="nil"/>
              <w:left w:val="nil"/>
              <w:bottom w:val="nil"/>
              <w:right w:val="nil"/>
            </w:tcBorders>
            <w:tcMar>
              <w:top w:w="100" w:type="dxa"/>
              <w:left w:w="43" w:type="dxa"/>
              <w:bottom w:w="43" w:type="dxa"/>
              <w:right w:w="43" w:type="dxa"/>
            </w:tcMar>
          </w:tcPr>
          <w:p w14:paraId="2C07BCB1" w14:textId="77777777" w:rsidR="00F7113A" w:rsidRPr="00580C0D" w:rsidRDefault="00142E5B" w:rsidP="001231A3">
            <w:proofErr w:type="spellStart"/>
            <w:r w:rsidRPr="00580C0D">
              <w:t>Leiarløningar</w:t>
            </w:r>
            <w:proofErr w:type="spellEnd"/>
            <w:r w:rsidRPr="00580C0D">
              <w:t xml:space="preserve"> i staten</w:t>
            </w:r>
          </w:p>
        </w:tc>
        <w:tc>
          <w:tcPr>
            <w:tcW w:w="1680" w:type="dxa"/>
            <w:tcBorders>
              <w:top w:val="nil"/>
              <w:left w:val="nil"/>
              <w:bottom w:val="nil"/>
              <w:right w:val="nil"/>
            </w:tcBorders>
            <w:tcMar>
              <w:top w:w="100" w:type="dxa"/>
              <w:left w:w="43" w:type="dxa"/>
              <w:bottom w:w="43" w:type="dxa"/>
              <w:right w:w="43" w:type="dxa"/>
            </w:tcMar>
          </w:tcPr>
          <w:p w14:paraId="3FDEA240" w14:textId="77777777" w:rsidR="00F7113A" w:rsidRPr="00580C0D" w:rsidRDefault="00142E5B" w:rsidP="001231A3">
            <w:pPr>
              <w:jc w:val="right"/>
            </w:pPr>
            <w:r w:rsidRPr="00580C0D">
              <w:t>Nei</w:t>
            </w:r>
          </w:p>
        </w:tc>
      </w:tr>
      <w:tr w:rsidR="00F7113A" w:rsidRPr="00580C0D" w14:paraId="7C70035F"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274DAF93"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6A555D89" w14:textId="77777777" w:rsidR="00F7113A" w:rsidRPr="00580C0D" w:rsidRDefault="00142E5B" w:rsidP="001231A3">
            <w:pPr>
              <w:ind w:right="170"/>
              <w:jc w:val="right"/>
            </w:pPr>
            <w:r w:rsidRPr="00580C0D">
              <w:t>722</w:t>
            </w:r>
          </w:p>
        </w:tc>
        <w:tc>
          <w:tcPr>
            <w:tcW w:w="5360" w:type="dxa"/>
            <w:tcBorders>
              <w:top w:val="nil"/>
              <w:left w:val="nil"/>
              <w:bottom w:val="nil"/>
              <w:right w:val="nil"/>
            </w:tcBorders>
            <w:tcMar>
              <w:top w:w="100" w:type="dxa"/>
              <w:left w:w="43" w:type="dxa"/>
              <w:bottom w:w="43" w:type="dxa"/>
              <w:right w:w="43" w:type="dxa"/>
            </w:tcMar>
          </w:tcPr>
          <w:p w14:paraId="67F24761" w14:textId="77777777" w:rsidR="00F7113A" w:rsidRPr="00580C0D" w:rsidRDefault="00142E5B" w:rsidP="001231A3">
            <w:r w:rsidRPr="00580C0D">
              <w:t>Vindkraft på land</w:t>
            </w:r>
          </w:p>
        </w:tc>
        <w:tc>
          <w:tcPr>
            <w:tcW w:w="1680" w:type="dxa"/>
            <w:tcBorders>
              <w:top w:val="nil"/>
              <w:left w:val="nil"/>
              <w:bottom w:val="nil"/>
              <w:right w:val="nil"/>
            </w:tcBorders>
            <w:tcMar>
              <w:top w:w="100" w:type="dxa"/>
              <w:left w:w="43" w:type="dxa"/>
              <w:bottom w:w="43" w:type="dxa"/>
              <w:right w:w="43" w:type="dxa"/>
            </w:tcMar>
          </w:tcPr>
          <w:p w14:paraId="54A942AF" w14:textId="77777777" w:rsidR="00F7113A" w:rsidRPr="00580C0D" w:rsidRDefault="00142E5B" w:rsidP="001231A3">
            <w:pPr>
              <w:jc w:val="right"/>
            </w:pPr>
            <w:r w:rsidRPr="00580C0D">
              <w:t>Ja</w:t>
            </w:r>
          </w:p>
        </w:tc>
      </w:tr>
      <w:tr w:rsidR="00F7113A" w:rsidRPr="00580C0D" w14:paraId="6BBD9C90"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03E3E82"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1EF0E9C1" w14:textId="77777777" w:rsidR="00F7113A" w:rsidRPr="00580C0D" w:rsidRDefault="00142E5B" w:rsidP="001231A3">
            <w:pPr>
              <w:ind w:right="170"/>
              <w:jc w:val="right"/>
            </w:pPr>
            <w:r w:rsidRPr="00580C0D">
              <w:t>726</w:t>
            </w:r>
          </w:p>
        </w:tc>
        <w:tc>
          <w:tcPr>
            <w:tcW w:w="5360" w:type="dxa"/>
            <w:tcBorders>
              <w:top w:val="nil"/>
              <w:left w:val="nil"/>
              <w:bottom w:val="nil"/>
              <w:right w:val="nil"/>
            </w:tcBorders>
            <w:tcMar>
              <w:top w:w="100" w:type="dxa"/>
              <w:left w:w="43" w:type="dxa"/>
              <w:bottom w:w="43" w:type="dxa"/>
              <w:right w:w="43" w:type="dxa"/>
            </w:tcMar>
          </w:tcPr>
          <w:p w14:paraId="1B445394" w14:textId="77777777" w:rsidR="00F7113A" w:rsidRPr="00580C0D" w:rsidRDefault="00142E5B" w:rsidP="001231A3">
            <w:r w:rsidRPr="00580C0D">
              <w:t>Energifleksibel oppvarming</w:t>
            </w:r>
          </w:p>
        </w:tc>
        <w:tc>
          <w:tcPr>
            <w:tcW w:w="1680" w:type="dxa"/>
            <w:tcBorders>
              <w:top w:val="nil"/>
              <w:left w:val="nil"/>
              <w:bottom w:val="nil"/>
              <w:right w:val="nil"/>
            </w:tcBorders>
            <w:tcMar>
              <w:top w:w="100" w:type="dxa"/>
              <w:left w:w="43" w:type="dxa"/>
              <w:bottom w:w="43" w:type="dxa"/>
              <w:right w:w="43" w:type="dxa"/>
            </w:tcMar>
          </w:tcPr>
          <w:p w14:paraId="27470CAA" w14:textId="77777777" w:rsidR="00F7113A" w:rsidRPr="00580C0D" w:rsidRDefault="00142E5B" w:rsidP="001231A3">
            <w:pPr>
              <w:jc w:val="right"/>
            </w:pPr>
            <w:r w:rsidRPr="00580C0D">
              <w:t>Nei</w:t>
            </w:r>
          </w:p>
        </w:tc>
      </w:tr>
      <w:tr w:rsidR="00F7113A" w:rsidRPr="00580C0D" w14:paraId="46737F6A"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642C331A"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0EB150C7" w14:textId="77777777" w:rsidR="00F7113A" w:rsidRPr="00580C0D" w:rsidRDefault="00142E5B" w:rsidP="001231A3">
            <w:pPr>
              <w:ind w:right="170"/>
              <w:jc w:val="right"/>
            </w:pPr>
            <w:r w:rsidRPr="00580C0D">
              <w:t>791</w:t>
            </w:r>
          </w:p>
        </w:tc>
        <w:tc>
          <w:tcPr>
            <w:tcW w:w="5360" w:type="dxa"/>
            <w:tcBorders>
              <w:top w:val="nil"/>
              <w:left w:val="nil"/>
              <w:bottom w:val="nil"/>
              <w:right w:val="nil"/>
            </w:tcBorders>
            <w:tcMar>
              <w:top w:w="100" w:type="dxa"/>
              <w:left w:w="43" w:type="dxa"/>
              <w:bottom w:w="43" w:type="dxa"/>
              <w:right w:w="43" w:type="dxa"/>
            </w:tcMar>
          </w:tcPr>
          <w:p w14:paraId="43749E16" w14:textId="77777777" w:rsidR="00F7113A" w:rsidRPr="00580C0D" w:rsidRDefault="00142E5B" w:rsidP="001231A3">
            <w:r w:rsidRPr="00580C0D">
              <w:t>Plan for breibanddekning II</w:t>
            </w:r>
          </w:p>
        </w:tc>
        <w:tc>
          <w:tcPr>
            <w:tcW w:w="1680" w:type="dxa"/>
            <w:tcBorders>
              <w:top w:val="nil"/>
              <w:left w:val="nil"/>
              <w:bottom w:val="nil"/>
              <w:right w:val="nil"/>
            </w:tcBorders>
            <w:tcMar>
              <w:top w:w="100" w:type="dxa"/>
              <w:left w:w="43" w:type="dxa"/>
              <w:bottom w:w="43" w:type="dxa"/>
              <w:right w:w="43" w:type="dxa"/>
            </w:tcMar>
          </w:tcPr>
          <w:p w14:paraId="6BE189E1" w14:textId="77777777" w:rsidR="00F7113A" w:rsidRPr="00580C0D" w:rsidRDefault="00142E5B" w:rsidP="001231A3">
            <w:pPr>
              <w:jc w:val="right"/>
            </w:pPr>
            <w:r w:rsidRPr="00580C0D">
              <w:t>Ja</w:t>
            </w:r>
          </w:p>
        </w:tc>
      </w:tr>
      <w:tr w:rsidR="00F7113A" w:rsidRPr="00580C0D" w14:paraId="58043C08"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57EBD6F4"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0DA2397E" w14:textId="77777777" w:rsidR="00F7113A" w:rsidRPr="00580C0D" w:rsidRDefault="00142E5B" w:rsidP="001231A3">
            <w:pPr>
              <w:ind w:right="170"/>
              <w:jc w:val="right"/>
            </w:pPr>
            <w:r w:rsidRPr="00580C0D">
              <w:t>792</w:t>
            </w:r>
          </w:p>
        </w:tc>
        <w:tc>
          <w:tcPr>
            <w:tcW w:w="5360" w:type="dxa"/>
            <w:tcBorders>
              <w:top w:val="nil"/>
              <w:left w:val="nil"/>
              <w:bottom w:val="nil"/>
              <w:right w:val="nil"/>
            </w:tcBorders>
            <w:tcMar>
              <w:top w:w="100" w:type="dxa"/>
              <w:left w:w="43" w:type="dxa"/>
              <w:bottom w:w="43" w:type="dxa"/>
              <w:right w:w="43" w:type="dxa"/>
            </w:tcMar>
          </w:tcPr>
          <w:p w14:paraId="23844B00" w14:textId="77777777" w:rsidR="00F7113A" w:rsidRPr="00580C0D" w:rsidRDefault="00142E5B" w:rsidP="001231A3">
            <w:r w:rsidRPr="00580C0D">
              <w:t>Frikommuneforsøk</w:t>
            </w:r>
          </w:p>
        </w:tc>
        <w:tc>
          <w:tcPr>
            <w:tcW w:w="1680" w:type="dxa"/>
            <w:tcBorders>
              <w:top w:val="nil"/>
              <w:left w:val="nil"/>
              <w:bottom w:val="nil"/>
              <w:right w:val="nil"/>
            </w:tcBorders>
            <w:tcMar>
              <w:top w:w="100" w:type="dxa"/>
              <w:left w:w="43" w:type="dxa"/>
              <w:bottom w:w="43" w:type="dxa"/>
              <w:right w:w="43" w:type="dxa"/>
            </w:tcMar>
          </w:tcPr>
          <w:p w14:paraId="253E09A1" w14:textId="77777777" w:rsidR="00F7113A" w:rsidRPr="00580C0D" w:rsidRDefault="00142E5B" w:rsidP="001231A3">
            <w:pPr>
              <w:jc w:val="right"/>
            </w:pPr>
            <w:r w:rsidRPr="00580C0D">
              <w:t>Ja</w:t>
            </w:r>
          </w:p>
        </w:tc>
      </w:tr>
      <w:tr w:rsidR="00F7113A" w:rsidRPr="00580C0D" w14:paraId="6550C5F6"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357FD0E1" w14:textId="77777777" w:rsidR="00F7113A" w:rsidRPr="00580C0D" w:rsidRDefault="00142E5B" w:rsidP="001231A3">
            <w:r w:rsidRPr="00580C0D">
              <w:t>2021–2022</w:t>
            </w:r>
          </w:p>
        </w:tc>
        <w:tc>
          <w:tcPr>
            <w:tcW w:w="1120" w:type="dxa"/>
            <w:tcBorders>
              <w:top w:val="nil"/>
              <w:left w:val="nil"/>
              <w:bottom w:val="nil"/>
              <w:right w:val="nil"/>
            </w:tcBorders>
            <w:tcMar>
              <w:top w:w="100" w:type="dxa"/>
              <w:left w:w="43" w:type="dxa"/>
              <w:bottom w:w="43" w:type="dxa"/>
              <w:right w:w="43" w:type="dxa"/>
            </w:tcMar>
          </w:tcPr>
          <w:p w14:paraId="037D16A4" w14:textId="77777777" w:rsidR="00F7113A" w:rsidRPr="00580C0D" w:rsidRDefault="00142E5B" w:rsidP="001231A3">
            <w:pPr>
              <w:ind w:right="170"/>
              <w:jc w:val="right"/>
            </w:pPr>
            <w:r w:rsidRPr="00580C0D">
              <w:t>828</w:t>
            </w:r>
          </w:p>
        </w:tc>
        <w:tc>
          <w:tcPr>
            <w:tcW w:w="5360" w:type="dxa"/>
            <w:tcBorders>
              <w:top w:val="nil"/>
              <w:left w:val="nil"/>
              <w:bottom w:val="nil"/>
              <w:right w:val="nil"/>
            </w:tcBorders>
            <w:tcMar>
              <w:top w:w="100" w:type="dxa"/>
              <w:left w:w="43" w:type="dxa"/>
              <w:bottom w:w="43" w:type="dxa"/>
              <w:right w:w="43" w:type="dxa"/>
            </w:tcMar>
          </w:tcPr>
          <w:p w14:paraId="70DA4F51" w14:textId="77777777" w:rsidR="00F7113A" w:rsidRPr="00580C0D" w:rsidRDefault="00142E5B" w:rsidP="001231A3">
            <w:proofErr w:type="spellStart"/>
            <w:r w:rsidRPr="00580C0D">
              <w:t>Meirutgifter</w:t>
            </w:r>
            <w:proofErr w:type="spellEnd"/>
            <w:r w:rsidRPr="00580C0D">
              <w:t xml:space="preserve"> til pandemien i </w:t>
            </w:r>
            <w:proofErr w:type="spellStart"/>
            <w:r w:rsidRPr="00580C0D">
              <w:t>kommunane</w:t>
            </w:r>
            <w:proofErr w:type="spellEnd"/>
            <w:r w:rsidRPr="00580C0D">
              <w:t xml:space="preserve"> og </w:t>
            </w:r>
            <w:proofErr w:type="spellStart"/>
            <w:r w:rsidRPr="00580C0D">
              <w:t>fylkeskommunane</w:t>
            </w:r>
            <w:proofErr w:type="spellEnd"/>
          </w:p>
        </w:tc>
        <w:tc>
          <w:tcPr>
            <w:tcW w:w="1680" w:type="dxa"/>
            <w:tcBorders>
              <w:top w:val="nil"/>
              <w:left w:val="nil"/>
              <w:bottom w:val="nil"/>
              <w:right w:val="nil"/>
            </w:tcBorders>
            <w:tcMar>
              <w:top w:w="100" w:type="dxa"/>
              <w:left w:w="43" w:type="dxa"/>
              <w:bottom w:w="43" w:type="dxa"/>
              <w:right w:w="43" w:type="dxa"/>
            </w:tcMar>
          </w:tcPr>
          <w:p w14:paraId="0221CA0B" w14:textId="77777777" w:rsidR="00F7113A" w:rsidRPr="00580C0D" w:rsidRDefault="00142E5B" w:rsidP="001231A3">
            <w:pPr>
              <w:jc w:val="right"/>
            </w:pPr>
            <w:r w:rsidRPr="00580C0D">
              <w:t>Ja</w:t>
            </w:r>
          </w:p>
        </w:tc>
      </w:tr>
      <w:tr w:rsidR="00F7113A" w:rsidRPr="00580C0D" w14:paraId="2475252D"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66C75086" w14:textId="77777777" w:rsidR="00F7113A" w:rsidRPr="00580C0D" w:rsidRDefault="00142E5B" w:rsidP="001231A3">
            <w:r w:rsidRPr="00580C0D">
              <w:t>2020–2021</w:t>
            </w:r>
          </w:p>
        </w:tc>
        <w:tc>
          <w:tcPr>
            <w:tcW w:w="1120" w:type="dxa"/>
            <w:tcBorders>
              <w:top w:val="nil"/>
              <w:left w:val="nil"/>
              <w:bottom w:val="nil"/>
              <w:right w:val="nil"/>
            </w:tcBorders>
            <w:tcMar>
              <w:top w:w="100" w:type="dxa"/>
              <w:left w:w="43" w:type="dxa"/>
              <w:bottom w:w="43" w:type="dxa"/>
              <w:right w:w="43" w:type="dxa"/>
            </w:tcMar>
          </w:tcPr>
          <w:p w14:paraId="07691394" w14:textId="77777777" w:rsidR="00F7113A" w:rsidRPr="00580C0D" w:rsidRDefault="00142E5B" w:rsidP="001231A3">
            <w:pPr>
              <w:ind w:right="170"/>
              <w:jc w:val="right"/>
            </w:pPr>
            <w:r w:rsidRPr="00580C0D">
              <w:t>1060</w:t>
            </w:r>
          </w:p>
        </w:tc>
        <w:tc>
          <w:tcPr>
            <w:tcW w:w="5360" w:type="dxa"/>
            <w:tcBorders>
              <w:top w:val="nil"/>
              <w:left w:val="nil"/>
              <w:bottom w:val="nil"/>
              <w:right w:val="nil"/>
            </w:tcBorders>
            <w:tcMar>
              <w:top w:w="100" w:type="dxa"/>
              <w:left w:w="43" w:type="dxa"/>
              <w:bottom w:w="43" w:type="dxa"/>
              <w:right w:w="43" w:type="dxa"/>
            </w:tcMar>
          </w:tcPr>
          <w:p w14:paraId="6520C1A5" w14:textId="77777777" w:rsidR="00F7113A" w:rsidRPr="00580C0D" w:rsidRDefault="00142E5B" w:rsidP="001231A3">
            <w:r w:rsidRPr="00580C0D">
              <w:t xml:space="preserve">Utgreie rett til høghastigheitsinternett for alle </w:t>
            </w:r>
            <w:proofErr w:type="spellStart"/>
            <w:r w:rsidRPr="00580C0D">
              <w:t>husstandar</w:t>
            </w:r>
            <w:proofErr w:type="spellEnd"/>
          </w:p>
        </w:tc>
        <w:tc>
          <w:tcPr>
            <w:tcW w:w="1680" w:type="dxa"/>
            <w:tcBorders>
              <w:top w:val="nil"/>
              <w:left w:val="nil"/>
              <w:bottom w:val="nil"/>
              <w:right w:val="nil"/>
            </w:tcBorders>
            <w:tcMar>
              <w:top w:w="100" w:type="dxa"/>
              <w:left w:w="43" w:type="dxa"/>
              <w:bottom w:w="43" w:type="dxa"/>
              <w:right w:w="43" w:type="dxa"/>
            </w:tcMar>
          </w:tcPr>
          <w:p w14:paraId="34B1CF94" w14:textId="77777777" w:rsidR="00F7113A" w:rsidRPr="00580C0D" w:rsidRDefault="00142E5B" w:rsidP="001231A3">
            <w:pPr>
              <w:jc w:val="right"/>
            </w:pPr>
            <w:r w:rsidRPr="00580C0D">
              <w:t>Ja</w:t>
            </w:r>
          </w:p>
        </w:tc>
      </w:tr>
      <w:tr w:rsidR="00F7113A" w:rsidRPr="00580C0D" w14:paraId="03084B43"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3D2002F8" w14:textId="77777777" w:rsidR="00F7113A" w:rsidRPr="00580C0D" w:rsidRDefault="00142E5B" w:rsidP="001231A3">
            <w:r w:rsidRPr="00580C0D">
              <w:t>2020–2021</w:t>
            </w:r>
          </w:p>
        </w:tc>
        <w:tc>
          <w:tcPr>
            <w:tcW w:w="1120" w:type="dxa"/>
            <w:tcBorders>
              <w:top w:val="nil"/>
              <w:left w:val="nil"/>
              <w:bottom w:val="nil"/>
              <w:right w:val="nil"/>
            </w:tcBorders>
            <w:tcMar>
              <w:top w:w="100" w:type="dxa"/>
              <w:left w:w="43" w:type="dxa"/>
              <w:bottom w:w="43" w:type="dxa"/>
              <w:right w:w="43" w:type="dxa"/>
            </w:tcMar>
          </w:tcPr>
          <w:p w14:paraId="101EB2D9" w14:textId="77777777" w:rsidR="00F7113A" w:rsidRPr="00580C0D" w:rsidRDefault="00142E5B" w:rsidP="001231A3">
            <w:pPr>
              <w:ind w:right="170"/>
              <w:jc w:val="right"/>
            </w:pPr>
            <w:r w:rsidRPr="00580C0D">
              <w:t>1066</w:t>
            </w:r>
          </w:p>
        </w:tc>
        <w:tc>
          <w:tcPr>
            <w:tcW w:w="5360" w:type="dxa"/>
            <w:tcBorders>
              <w:top w:val="nil"/>
              <w:left w:val="nil"/>
              <w:bottom w:val="nil"/>
              <w:right w:val="nil"/>
            </w:tcBorders>
            <w:tcMar>
              <w:top w:w="100" w:type="dxa"/>
              <w:left w:w="43" w:type="dxa"/>
              <w:bottom w:w="43" w:type="dxa"/>
              <w:right w:w="43" w:type="dxa"/>
            </w:tcMar>
          </w:tcPr>
          <w:p w14:paraId="04BFDEA4" w14:textId="77777777" w:rsidR="00F7113A" w:rsidRPr="00580C0D" w:rsidRDefault="00142E5B" w:rsidP="001231A3">
            <w:r w:rsidRPr="00580C0D">
              <w:t xml:space="preserve">Mobil- og internettdekning langs </w:t>
            </w:r>
            <w:proofErr w:type="spellStart"/>
            <w:r w:rsidRPr="00580C0D">
              <w:t>eksisterande</w:t>
            </w:r>
            <w:proofErr w:type="spellEnd"/>
            <w:r w:rsidRPr="00580C0D">
              <w:t xml:space="preserve"> </w:t>
            </w:r>
            <w:proofErr w:type="spellStart"/>
            <w:r w:rsidRPr="00580C0D">
              <w:t>riksvegar</w:t>
            </w:r>
            <w:proofErr w:type="spellEnd"/>
          </w:p>
        </w:tc>
        <w:tc>
          <w:tcPr>
            <w:tcW w:w="1680" w:type="dxa"/>
            <w:tcBorders>
              <w:top w:val="nil"/>
              <w:left w:val="nil"/>
              <w:bottom w:val="nil"/>
              <w:right w:val="nil"/>
            </w:tcBorders>
            <w:tcMar>
              <w:top w:w="100" w:type="dxa"/>
              <w:left w:w="43" w:type="dxa"/>
              <w:bottom w:w="43" w:type="dxa"/>
              <w:right w:w="43" w:type="dxa"/>
            </w:tcMar>
          </w:tcPr>
          <w:p w14:paraId="4FCCE8B5" w14:textId="77777777" w:rsidR="00F7113A" w:rsidRPr="00580C0D" w:rsidRDefault="00142E5B" w:rsidP="001231A3">
            <w:pPr>
              <w:jc w:val="right"/>
            </w:pPr>
            <w:r w:rsidRPr="00580C0D">
              <w:t>Nei</w:t>
            </w:r>
          </w:p>
        </w:tc>
      </w:tr>
      <w:tr w:rsidR="00F7113A" w:rsidRPr="00580C0D" w14:paraId="11BB6BFB"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703C0534" w14:textId="77777777" w:rsidR="00F7113A" w:rsidRPr="00580C0D" w:rsidRDefault="00142E5B" w:rsidP="001231A3">
            <w:r w:rsidRPr="00580C0D">
              <w:t>2020–2021</w:t>
            </w:r>
          </w:p>
        </w:tc>
        <w:tc>
          <w:tcPr>
            <w:tcW w:w="1120" w:type="dxa"/>
            <w:tcBorders>
              <w:top w:val="nil"/>
              <w:left w:val="nil"/>
              <w:bottom w:val="nil"/>
              <w:right w:val="nil"/>
            </w:tcBorders>
            <w:tcMar>
              <w:top w:w="100" w:type="dxa"/>
              <w:left w:w="43" w:type="dxa"/>
              <w:bottom w:w="43" w:type="dxa"/>
              <w:right w:w="43" w:type="dxa"/>
            </w:tcMar>
          </w:tcPr>
          <w:p w14:paraId="49A0A11D" w14:textId="77777777" w:rsidR="00F7113A" w:rsidRPr="00580C0D" w:rsidRDefault="00142E5B" w:rsidP="001231A3">
            <w:pPr>
              <w:ind w:right="170"/>
              <w:jc w:val="right"/>
            </w:pPr>
            <w:r w:rsidRPr="00580C0D">
              <w:t>1209</w:t>
            </w:r>
          </w:p>
        </w:tc>
        <w:tc>
          <w:tcPr>
            <w:tcW w:w="5360" w:type="dxa"/>
            <w:tcBorders>
              <w:top w:val="nil"/>
              <w:left w:val="nil"/>
              <w:bottom w:val="nil"/>
              <w:right w:val="nil"/>
            </w:tcBorders>
            <w:tcMar>
              <w:top w:w="100" w:type="dxa"/>
              <w:left w:w="43" w:type="dxa"/>
              <w:bottom w:w="43" w:type="dxa"/>
              <w:right w:w="43" w:type="dxa"/>
            </w:tcMar>
          </w:tcPr>
          <w:p w14:paraId="3251C4CE" w14:textId="77777777" w:rsidR="00F7113A" w:rsidRPr="00580C0D" w:rsidRDefault="00142E5B" w:rsidP="001231A3">
            <w:proofErr w:type="spellStart"/>
            <w:r w:rsidRPr="00580C0D">
              <w:t>Klarare</w:t>
            </w:r>
            <w:proofErr w:type="spellEnd"/>
            <w:r w:rsidRPr="00580C0D">
              <w:t xml:space="preserve"> </w:t>
            </w:r>
            <w:proofErr w:type="spellStart"/>
            <w:r w:rsidRPr="00580C0D">
              <w:t>reglar</w:t>
            </w:r>
            <w:proofErr w:type="spellEnd"/>
            <w:r w:rsidRPr="00580C0D">
              <w:t xml:space="preserve"> for krav til </w:t>
            </w:r>
            <w:proofErr w:type="spellStart"/>
            <w:r w:rsidRPr="00580C0D">
              <w:t>sløkkevatn</w:t>
            </w:r>
            <w:proofErr w:type="spellEnd"/>
          </w:p>
        </w:tc>
        <w:tc>
          <w:tcPr>
            <w:tcW w:w="1680" w:type="dxa"/>
            <w:tcBorders>
              <w:top w:val="nil"/>
              <w:left w:val="nil"/>
              <w:bottom w:val="nil"/>
              <w:right w:val="nil"/>
            </w:tcBorders>
            <w:tcMar>
              <w:top w:w="100" w:type="dxa"/>
              <w:left w:w="43" w:type="dxa"/>
              <w:bottom w:w="43" w:type="dxa"/>
              <w:right w:w="43" w:type="dxa"/>
            </w:tcMar>
          </w:tcPr>
          <w:p w14:paraId="05F7E290" w14:textId="77777777" w:rsidR="00F7113A" w:rsidRPr="00580C0D" w:rsidRDefault="00142E5B" w:rsidP="001231A3">
            <w:pPr>
              <w:jc w:val="right"/>
            </w:pPr>
            <w:r w:rsidRPr="00580C0D">
              <w:t>Ja</w:t>
            </w:r>
          </w:p>
        </w:tc>
      </w:tr>
      <w:tr w:rsidR="00F7113A" w:rsidRPr="00580C0D" w14:paraId="1B45604A"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5E2A4277" w14:textId="77777777" w:rsidR="00F7113A" w:rsidRPr="00580C0D" w:rsidRDefault="00142E5B" w:rsidP="001231A3">
            <w:r w:rsidRPr="00580C0D">
              <w:t>2020–2021</w:t>
            </w:r>
          </w:p>
        </w:tc>
        <w:tc>
          <w:tcPr>
            <w:tcW w:w="1120" w:type="dxa"/>
            <w:tcBorders>
              <w:top w:val="nil"/>
              <w:left w:val="nil"/>
              <w:bottom w:val="nil"/>
              <w:right w:val="nil"/>
            </w:tcBorders>
            <w:tcMar>
              <w:top w:w="100" w:type="dxa"/>
              <w:left w:w="43" w:type="dxa"/>
              <w:bottom w:w="43" w:type="dxa"/>
              <w:right w:w="43" w:type="dxa"/>
            </w:tcMar>
          </w:tcPr>
          <w:p w14:paraId="1644B79C" w14:textId="77777777" w:rsidR="00F7113A" w:rsidRPr="00580C0D" w:rsidRDefault="00142E5B" w:rsidP="001231A3">
            <w:pPr>
              <w:ind w:right="170"/>
              <w:jc w:val="right"/>
            </w:pPr>
            <w:r w:rsidRPr="00580C0D">
              <w:t>1252</w:t>
            </w:r>
          </w:p>
        </w:tc>
        <w:tc>
          <w:tcPr>
            <w:tcW w:w="5360" w:type="dxa"/>
            <w:tcBorders>
              <w:top w:val="nil"/>
              <w:left w:val="nil"/>
              <w:bottom w:val="nil"/>
              <w:right w:val="nil"/>
            </w:tcBorders>
            <w:tcMar>
              <w:top w:w="100" w:type="dxa"/>
              <w:left w:w="43" w:type="dxa"/>
              <w:bottom w:w="43" w:type="dxa"/>
              <w:right w:w="43" w:type="dxa"/>
            </w:tcMar>
          </w:tcPr>
          <w:p w14:paraId="6544901F" w14:textId="77777777" w:rsidR="00F7113A" w:rsidRPr="00580C0D" w:rsidRDefault="00142E5B" w:rsidP="001231A3">
            <w:proofErr w:type="spellStart"/>
            <w:r w:rsidRPr="00580C0D">
              <w:t>Helsetenester</w:t>
            </w:r>
            <w:proofErr w:type="spellEnd"/>
            <w:r w:rsidRPr="00580C0D">
              <w:t xml:space="preserve"> nytta </w:t>
            </w:r>
            <w:proofErr w:type="spellStart"/>
            <w:r w:rsidRPr="00580C0D">
              <w:t>utanfor</w:t>
            </w:r>
            <w:proofErr w:type="spellEnd"/>
            <w:r w:rsidRPr="00580C0D">
              <w:t xml:space="preserve"> bustadkommunen</w:t>
            </w:r>
          </w:p>
        </w:tc>
        <w:tc>
          <w:tcPr>
            <w:tcW w:w="1680" w:type="dxa"/>
            <w:tcBorders>
              <w:top w:val="nil"/>
              <w:left w:val="nil"/>
              <w:bottom w:val="nil"/>
              <w:right w:val="nil"/>
            </w:tcBorders>
            <w:tcMar>
              <w:top w:w="100" w:type="dxa"/>
              <w:left w:w="43" w:type="dxa"/>
              <w:bottom w:w="43" w:type="dxa"/>
              <w:right w:w="43" w:type="dxa"/>
            </w:tcMar>
          </w:tcPr>
          <w:p w14:paraId="1259D4CC" w14:textId="77777777" w:rsidR="00F7113A" w:rsidRPr="00580C0D" w:rsidRDefault="00142E5B" w:rsidP="001231A3">
            <w:pPr>
              <w:jc w:val="right"/>
            </w:pPr>
            <w:r w:rsidRPr="00580C0D">
              <w:t>Nei</w:t>
            </w:r>
          </w:p>
        </w:tc>
      </w:tr>
      <w:tr w:rsidR="00F7113A" w:rsidRPr="00580C0D" w14:paraId="49886D86"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4F8BC9FA" w14:textId="77777777" w:rsidR="00F7113A" w:rsidRPr="00580C0D" w:rsidRDefault="00142E5B" w:rsidP="001231A3">
            <w:r w:rsidRPr="00580C0D">
              <w:t>2018–2019</w:t>
            </w:r>
          </w:p>
        </w:tc>
        <w:tc>
          <w:tcPr>
            <w:tcW w:w="1120" w:type="dxa"/>
            <w:tcBorders>
              <w:top w:val="nil"/>
              <w:left w:val="nil"/>
              <w:bottom w:val="nil"/>
              <w:right w:val="nil"/>
            </w:tcBorders>
            <w:tcMar>
              <w:top w:w="100" w:type="dxa"/>
              <w:left w:w="43" w:type="dxa"/>
              <w:bottom w:w="43" w:type="dxa"/>
              <w:right w:w="43" w:type="dxa"/>
            </w:tcMar>
          </w:tcPr>
          <w:p w14:paraId="40D06685" w14:textId="77777777" w:rsidR="00F7113A" w:rsidRPr="00580C0D" w:rsidRDefault="00142E5B" w:rsidP="001231A3">
            <w:pPr>
              <w:ind w:right="170"/>
              <w:jc w:val="right"/>
            </w:pPr>
            <w:r w:rsidRPr="00580C0D">
              <w:t>55</w:t>
            </w:r>
          </w:p>
        </w:tc>
        <w:tc>
          <w:tcPr>
            <w:tcW w:w="5360" w:type="dxa"/>
            <w:tcBorders>
              <w:top w:val="nil"/>
              <w:left w:val="nil"/>
              <w:bottom w:val="nil"/>
              <w:right w:val="nil"/>
            </w:tcBorders>
            <w:tcMar>
              <w:top w:w="100" w:type="dxa"/>
              <w:left w:w="43" w:type="dxa"/>
              <w:bottom w:w="43" w:type="dxa"/>
              <w:right w:w="43" w:type="dxa"/>
            </w:tcMar>
          </w:tcPr>
          <w:p w14:paraId="15F9C8F9" w14:textId="77777777" w:rsidR="00F7113A" w:rsidRPr="00580C0D" w:rsidRDefault="00142E5B" w:rsidP="001231A3">
            <w:r w:rsidRPr="00580C0D">
              <w:t xml:space="preserve">Opplysningsplikt for </w:t>
            </w:r>
            <w:proofErr w:type="spellStart"/>
            <w:r w:rsidRPr="00580C0D">
              <w:t>statsrådar</w:t>
            </w:r>
            <w:proofErr w:type="spellEnd"/>
            <w:r w:rsidRPr="00580C0D">
              <w:t xml:space="preserve"> og </w:t>
            </w:r>
            <w:proofErr w:type="spellStart"/>
            <w:r w:rsidRPr="00580C0D">
              <w:t>statssekretærar</w:t>
            </w:r>
            <w:proofErr w:type="spellEnd"/>
          </w:p>
        </w:tc>
        <w:tc>
          <w:tcPr>
            <w:tcW w:w="1680" w:type="dxa"/>
            <w:tcBorders>
              <w:top w:val="nil"/>
              <w:left w:val="nil"/>
              <w:bottom w:val="nil"/>
              <w:right w:val="nil"/>
            </w:tcBorders>
            <w:tcMar>
              <w:top w:w="100" w:type="dxa"/>
              <w:left w:w="43" w:type="dxa"/>
              <w:bottom w:w="43" w:type="dxa"/>
              <w:right w:w="43" w:type="dxa"/>
            </w:tcMar>
          </w:tcPr>
          <w:p w14:paraId="2A9FA4F7" w14:textId="77777777" w:rsidR="00F7113A" w:rsidRPr="00580C0D" w:rsidRDefault="00142E5B" w:rsidP="001231A3">
            <w:pPr>
              <w:jc w:val="right"/>
            </w:pPr>
            <w:r w:rsidRPr="00580C0D">
              <w:t>Nei</w:t>
            </w:r>
          </w:p>
        </w:tc>
      </w:tr>
      <w:tr w:rsidR="00F7113A" w:rsidRPr="00580C0D" w14:paraId="21BE3439"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11DE86B3" w14:textId="77777777" w:rsidR="00F7113A" w:rsidRPr="00580C0D" w:rsidRDefault="00142E5B" w:rsidP="001231A3">
            <w:r w:rsidRPr="00580C0D">
              <w:t>2016–2017</w:t>
            </w:r>
          </w:p>
        </w:tc>
        <w:tc>
          <w:tcPr>
            <w:tcW w:w="1120" w:type="dxa"/>
            <w:tcBorders>
              <w:top w:val="nil"/>
              <w:left w:val="nil"/>
              <w:bottom w:val="nil"/>
              <w:right w:val="nil"/>
            </w:tcBorders>
            <w:tcMar>
              <w:top w:w="100" w:type="dxa"/>
              <w:left w:w="43" w:type="dxa"/>
              <w:bottom w:w="43" w:type="dxa"/>
              <w:right w:w="43" w:type="dxa"/>
            </w:tcMar>
          </w:tcPr>
          <w:p w14:paraId="20E22C6A" w14:textId="77777777" w:rsidR="00F7113A" w:rsidRPr="00580C0D" w:rsidRDefault="00142E5B" w:rsidP="001231A3">
            <w:pPr>
              <w:ind w:right="170"/>
              <w:jc w:val="right"/>
            </w:pPr>
            <w:r w:rsidRPr="00580C0D">
              <w:t>700</w:t>
            </w:r>
          </w:p>
        </w:tc>
        <w:tc>
          <w:tcPr>
            <w:tcW w:w="5360" w:type="dxa"/>
            <w:tcBorders>
              <w:top w:val="nil"/>
              <w:left w:val="nil"/>
              <w:bottom w:val="nil"/>
              <w:right w:val="nil"/>
            </w:tcBorders>
            <w:tcMar>
              <w:top w:w="100" w:type="dxa"/>
              <w:left w:w="43" w:type="dxa"/>
              <w:bottom w:w="43" w:type="dxa"/>
              <w:right w:w="43" w:type="dxa"/>
            </w:tcMar>
          </w:tcPr>
          <w:p w14:paraId="1FCE9881" w14:textId="77777777" w:rsidR="00F7113A" w:rsidRPr="00580C0D" w:rsidRDefault="00142E5B" w:rsidP="001231A3">
            <w:r w:rsidRPr="00580C0D">
              <w:t xml:space="preserve">Stryke </w:t>
            </w:r>
            <w:proofErr w:type="spellStart"/>
            <w:r w:rsidRPr="00580C0D">
              <w:t>listekandidatar</w:t>
            </w:r>
            <w:proofErr w:type="spellEnd"/>
          </w:p>
        </w:tc>
        <w:tc>
          <w:tcPr>
            <w:tcW w:w="1680" w:type="dxa"/>
            <w:tcBorders>
              <w:top w:val="nil"/>
              <w:left w:val="nil"/>
              <w:bottom w:val="nil"/>
              <w:right w:val="nil"/>
            </w:tcBorders>
            <w:tcMar>
              <w:top w:w="100" w:type="dxa"/>
              <w:left w:w="43" w:type="dxa"/>
              <w:bottom w:w="43" w:type="dxa"/>
              <w:right w:w="43" w:type="dxa"/>
            </w:tcMar>
          </w:tcPr>
          <w:p w14:paraId="53BD56F7" w14:textId="77777777" w:rsidR="00F7113A" w:rsidRPr="00580C0D" w:rsidRDefault="00142E5B" w:rsidP="001231A3">
            <w:pPr>
              <w:jc w:val="right"/>
            </w:pPr>
            <w:r w:rsidRPr="00580C0D">
              <w:t>Ja</w:t>
            </w:r>
          </w:p>
        </w:tc>
      </w:tr>
      <w:tr w:rsidR="00F7113A" w:rsidRPr="00580C0D" w14:paraId="1142AF64" w14:textId="77777777" w:rsidTr="001231A3">
        <w:trPr>
          <w:trHeight w:val="340"/>
        </w:trPr>
        <w:tc>
          <w:tcPr>
            <w:tcW w:w="1380" w:type="dxa"/>
            <w:tcBorders>
              <w:top w:val="nil"/>
              <w:left w:val="nil"/>
              <w:bottom w:val="nil"/>
              <w:right w:val="nil"/>
            </w:tcBorders>
            <w:tcMar>
              <w:top w:w="100" w:type="dxa"/>
              <w:left w:w="43" w:type="dxa"/>
              <w:bottom w:w="43" w:type="dxa"/>
              <w:right w:w="43" w:type="dxa"/>
            </w:tcMar>
          </w:tcPr>
          <w:p w14:paraId="18E6372A" w14:textId="77777777" w:rsidR="00F7113A" w:rsidRPr="00580C0D" w:rsidRDefault="00142E5B" w:rsidP="001231A3">
            <w:r w:rsidRPr="00580C0D">
              <w:t>2016–2017</w:t>
            </w:r>
          </w:p>
        </w:tc>
        <w:tc>
          <w:tcPr>
            <w:tcW w:w="1120" w:type="dxa"/>
            <w:tcBorders>
              <w:top w:val="nil"/>
              <w:left w:val="nil"/>
              <w:bottom w:val="nil"/>
              <w:right w:val="nil"/>
            </w:tcBorders>
            <w:tcMar>
              <w:top w:w="100" w:type="dxa"/>
              <w:left w:w="43" w:type="dxa"/>
              <w:bottom w:w="43" w:type="dxa"/>
              <w:right w:w="43" w:type="dxa"/>
            </w:tcMar>
          </w:tcPr>
          <w:p w14:paraId="52DF1289" w14:textId="77777777" w:rsidR="00F7113A" w:rsidRPr="00580C0D" w:rsidRDefault="00142E5B" w:rsidP="001231A3">
            <w:pPr>
              <w:ind w:right="170"/>
              <w:jc w:val="right"/>
            </w:pPr>
            <w:r w:rsidRPr="00580C0D">
              <w:t>845</w:t>
            </w:r>
          </w:p>
        </w:tc>
        <w:tc>
          <w:tcPr>
            <w:tcW w:w="5360" w:type="dxa"/>
            <w:tcBorders>
              <w:top w:val="nil"/>
              <w:left w:val="nil"/>
              <w:bottom w:val="nil"/>
              <w:right w:val="nil"/>
            </w:tcBorders>
            <w:tcMar>
              <w:top w:w="100" w:type="dxa"/>
              <w:left w:w="43" w:type="dxa"/>
              <w:bottom w:w="43" w:type="dxa"/>
              <w:right w:w="43" w:type="dxa"/>
            </w:tcMar>
          </w:tcPr>
          <w:p w14:paraId="52D6E829" w14:textId="77777777" w:rsidR="00F7113A" w:rsidRPr="00580C0D" w:rsidRDefault="00142E5B" w:rsidP="001231A3">
            <w:r w:rsidRPr="00580C0D">
              <w:t>Sørsamisk språk</w:t>
            </w:r>
          </w:p>
        </w:tc>
        <w:tc>
          <w:tcPr>
            <w:tcW w:w="1680" w:type="dxa"/>
            <w:tcBorders>
              <w:top w:val="nil"/>
              <w:left w:val="nil"/>
              <w:bottom w:val="nil"/>
              <w:right w:val="nil"/>
            </w:tcBorders>
            <w:tcMar>
              <w:top w:w="100" w:type="dxa"/>
              <w:left w:w="43" w:type="dxa"/>
              <w:bottom w:w="43" w:type="dxa"/>
              <w:right w:w="43" w:type="dxa"/>
            </w:tcMar>
          </w:tcPr>
          <w:p w14:paraId="1995574C" w14:textId="77777777" w:rsidR="00F7113A" w:rsidRPr="00580C0D" w:rsidRDefault="00142E5B" w:rsidP="001231A3">
            <w:pPr>
              <w:jc w:val="right"/>
            </w:pPr>
            <w:r w:rsidRPr="00580C0D">
              <w:t>Ja</w:t>
            </w:r>
          </w:p>
        </w:tc>
      </w:tr>
      <w:tr w:rsidR="00F7113A" w:rsidRPr="00580C0D" w14:paraId="457592BD" w14:textId="77777777" w:rsidTr="001231A3">
        <w:trPr>
          <w:trHeight w:val="600"/>
        </w:trPr>
        <w:tc>
          <w:tcPr>
            <w:tcW w:w="1380" w:type="dxa"/>
            <w:tcBorders>
              <w:top w:val="nil"/>
              <w:left w:val="nil"/>
              <w:bottom w:val="nil"/>
              <w:right w:val="nil"/>
            </w:tcBorders>
            <w:tcMar>
              <w:top w:w="100" w:type="dxa"/>
              <w:left w:w="43" w:type="dxa"/>
              <w:bottom w:w="43" w:type="dxa"/>
              <w:right w:w="43" w:type="dxa"/>
            </w:tcMar>
          </w:tcPr>
          <w:p w14:paraId="464F4C52" w14:textId="77777777" w:rsidR="00F7113A" w:rsidRPr="00580C0D" w:rsidRDefault="00142E5B" w:rsidP="001231A3">
            <w:r w:rsidRPr="00580C0D">
              <w:t>2015–2016</w:t>
            </w:r>
          </w:p>
        </w:tc>
        <w:tc>
          <w:tcPr>
            <w:tcW w:w="1120" w:type="dxa"/>
            <w:tcBorders>
              <w:top w:val="nil"/>
              <w:left w:val="nil"/>
              <w:bottom w:val="nil"/>
              <w:right w:val="nil"/>
            </w:tcBorders>
            <w:tcMar>
              <w:top w:w="100" w:type="dxa"/>
              <w:left w:w="43" w:type="dxa"/>
              <w:bottom w:w="43" w:type="dxa"/>
              <w:right w:w="43" w:type="dxa"/>
            </w:tcMar>
          </w:tcPr>
          <w:p w14:paraId="6B2FBA15" w14:textId="77777777" w:rsidR="00F7113A" w:rsidRPr="00580C0D" w:rsidRDefault="00142E5B" w:rsidP="001231A3">
            <w:pPr>
              <w:ind w:right="170"/>
              <w:jc w:val="right"/>
            </w:pPr>
            <w:r w:rsidRPr="00580C0D">
              <w:t>646</w:t>
            </w:r>
          </w:p>
        </w:tc>
        <w:tc>
          <w:tcPr>
            <w:tcW w:w="5360" w:type="dxa"/>
            <w:tcBorders>
              <w:top w:val="nil"/>
              <w:left w:val="nil"/>
              <w:bottom w:val="nil"/>
              <w:right w:val="nil"/>
            </w:tcBorders>
            <w:tcMar>
              <w:top w:w="100" w:type="dxa"/>
              <w:left w:w="43" w:type="dxa"/>
              <w:bottom w:w="43" w:type="dxa"/>
              <w:right w:w="43" w:type="dxa"/>
            </w:tcMar>
          </w:tcPr>
          <w:p w14:paraId="21029EBC" w14:textId="77777777" w:rsidR="00F7113A" w:rsidRPr="00580C0D" w:rsidRDefault="00142E5B" w:rsidP="001231A3">
            <w:r w:rsidRPr="00580C0D">
              <w:t xml:space="preserve">Unntak </w:t>
            </w:r>
            <w:proofErr w:type="spellStart"/>
            <w:r w:rsidRPr="00580C0D">
              <w:t>frå</w:t>
            </w:r>
            <w:proofErr w:type="spellEnd"/>
            <w:r w:rsidRPr="00580C0D">
              <w:t xml:space="preserve"> plan- og bygningslova og grannelova ved nasjonal flyktningkrise</w:t>
            </w:r>
          </w:p>
        </w:tc>
        <w:tc>
          <w:tcPr>
            <w:tcW w:w="1680" w:type="dxa"/>
            <w:tcBorders>
              <w:top w:val="nil"/>
              <w:left w:val="nil"/>
              <w:bottom w:val="nil"/>
              <w:right w:val="nil"/>
            </w:tcBorders>
            <w:tcMar>
              <w:top w:w="100" w:type="dxa"/>
              <w:left w:w="43" w:type="dxa"/>
              <w:bottom w:w="43" w:type="dxa"/>
              <w:right w:w="43" w:type="dxa"/>
            </w:tcMar>
          </w:tcPr>
          <w:p w14:paraId="7C90435F" w14:textId="77777777" w:rsidR="00F7113A" w:rsidRPr="00580C0D" w:rsidRDefault="00142E5B" w:rsidP="001231A3">
            <w:pPr>
              <w:jc w:val="right"/>
            </w:pPr>
            <w:r w:rsidRPr="00580C0D">
              <w:t>Nei</w:t>
            </w:r>
          </w:p>
        </w:tc>
      </w:tr>
      <w:tr w:rsidR="00F7113A" w:rsidRPr="00580C0D" w14:paraId="41226261" w14:textId="77777777" w:rsidTr="001231A3">
        <w:trPr>
          <w:trHeight w:val="340"/>
        </w:trPr>
        <w:tc>
          <w:tcPr>
            <w:tcW w:w="1380" w:type="dxa"/>
            <w:tcBorders>
              <w:top w:val="nil"/>
              <w:left w:val="nil"/>
              <w:bottom w:val="single" w:sz="4" w:space="0" w:color="000000"/>
              <w:right w:val="nil"/>
            </w:tcBorders>
            <w:tcMar>
              <w:top w:w="100" w:type="dxa"/>
              <w:left w:w="43" w:type="dxa"/>
              <w:bottom w:w="43" w:type="dxa"/>
              <w:right w:w="43" w:type="dxa"/>
            </w:tcMar>
          </w:tcPr>
          <w:p w14:paraId="4A8B46FC" w14:textId="77777777" w:rsidR="00F7113A" w:rsidRPr="00580C0D" w:rsidRDefault="00142E5B" w:rsidP="001231A3">
            <w:r w:rsidRPr="00580C0D">
              <w:t>2015–2016</w:t>
            </w:r>
          </w:p>
        </w:tc>
        <w:tc>
          <w:tcPr>
            <w:tcW w:w="1120" w:type="dxa"/>
            <w:tcBorders>
              <w:top w:val="nil"/>
              <w:left w:val="nil"/>
              <w:bottom w:val="single" w:sz="4" w:space="0" w:color="000000"/>
              <w:right w:val="nil"/>
            </w:tcBorders>
            <w:tcMar>
              <w:top w:w="100" w:type="dxa"/>
              <w:left w:w="43" w:type="dxa"/>
              <w:bottom w:w="43" w:type="dxa"/>
              <w:right w:w="43" w:type="dxa"/>
            </w:tcMar>
          </w:tcPr>
          <w:p w14:paraId="5C2F01B8" w14:textId="77777777" w:rsidR="00F7113A" w:rsidRPr="00580C0D" w:rsidRDefault="00142E5B" w:rsidP="001231A3">
            <w:pPr>
              <w:ind w:right="170"/>
              <w:jc w:val="right"/>
            </w:pPr>
            <w:r w:rsidRPr="00580C0D">
              <w:t>861</w:t>
            </w:r>
          </w:p>
        </w:tc>
        <w:tc>
          <w:tcPr>
            <w:tcW w:w="5360" w:type="dxa"/>
            <w:tcBorders>
              <w:top w:val="nil"/>
              <w:left w:val="nil"/>
              <w:bottom w:val="single" w:sz="4" w:space="0" w:color="000000"/>
              <w:right w:val="nil"/>
            </w:tcBorders>
            <w:tcMar>
              <w:top w:w="100" w:type="dxa"/>
              <w:left w:w="43" w:type="dxa"/>
              <w:bottom w:w="43" w:type="dxa"/>
              <w:right w:w="43" w:type="dxa"/>
            </w:tcMar>
          </w:tcPr>
          <w:p w14:paraId="1261D753" w14:textId="77777777" w:rsidR="00F7113A" w:rsidRPr="00580C0D" w:rsidRDefault="00142E5B" w:rsidP="001231A3">
            <w:proofErr w:type="spellStart"/>
            <w:r w:rsidRPr="00580C0D">
              <w:t>Endringar</w:t>
            </w:r>
            <w:proofErr w:type="spellEnd"/>
            <w:r w:rsidRPr="00580C0D">
              <w:t xml:space="preserve"> i </w:t>
            </w:r>
            <w:proofErr w:type="spellStart"/>
            <w:r w:rsidRPr="00580C0D">
              <w:t>vallova</w:t>
            </w:r>
            <w:proofErr w:type="spellEnd"/>
          </w:p>
        </w:tc>
        <w:tc>
          <w:tcPr>
            <w:tcW w:w="1680" w:type="dxa"/>
            <w:tcBorders>
              <w:top w:val="nil"/>
              <w:left w:val="nil"/>
              <w:bottom w:val="single" w:sz="4" w:space="0" w:color="000000"/>
              <w:right w:val="nil"/>
            </w:tcBorders>
            <w:tcMar>
              <w:top w:w="100" w:type="dxa"/>
              <w:left w:w="43" w:type="dxa"/>
              <w:bottom w:w="43" w:type="dxa"/>
              <w:right w:w="43" w:type="dxa"/>
            </w:tcMar>
          </w:tcPr>
          <w:p w14:paraId="4E8E38B5" w14:textId="77777777" w:rsidR="00F7113A" w:rsidRPr="00580C0D" w:rsidRDefault="00142E5B" w:rsidP="001231A3">
            <w:pPr>
              <w:jc w:val="right"/>
            </w:pPr>
            <w:r w:rsidRPr="00580C0D">
              <w:t xml:space="preserve">Ja </w:t>
            </w:r>
          </w:p>
        </w:tc>
      </w:tr>
    </w:tbl>
    <w:p w14:paraId="26087CBA" w14:textId="77777777" w:rsidR="00F7113A" w:rsidRPr="00580C0D" w:rsidRDefault="00142E5B" w:rsidP="001A1B0B">
      <w:pPr>
        <w:pStyle w:val="Overskrift2"/>
        <w:numPr>
          <w:ilvl w:val="1"/>
          <w:numId w:val="30"/>
        </w:numPr>
      </w:pPr>
      <w:r w:rsidRPr="00580C0D">
        <w:t>Stortingssesjon 2022–2023</w:t>
      </w:r>
    </w:p>
    <w:p w14:paraId="2EA5C0FD" w14:textId="77777777" w:rsidR="00F7113A" w:rsidRPr="00580C0D" w:rsidRDefault="00142E5B" w:rsidP="00580C0D">
      <w:pPr>
        <w:pStyle w:val="avsnitt-tittel"/>
      </w:pPr>
      <w:r w:rsidRPr="00580C0D">
        <w:t xml:space="preserve">Husbankens arbeid med energitiltak for </w:t>
      </w:r>
      <w:proofErr w:type="spellStart"/>
      <w:r w:rsidRPr="00580C0D">
        <w:t>låginntektshushaldningar</w:t>
      </w:r>
      <w:proofErr w:type="spellEnd"/>
    </w:p>
    <w:p w14:paraId="27E98673" w14:textId="77777777" w:rsidR="00F7113A" w:rsidRPr="00580C0D" w:rsidRDefault="00142E5B" w:rsidP="00580C0D">
      <w:pPr>
        <w:pStyle w:val="avsnitt-undertittel"/>
      </w:pPr>
      <w:r w:rsidRPr="00580C0D">
        <w:t>Vedtak nr. 14, 18. oktober 2022</w:t>
      </w:r>
    </w:p>
    <w:p w14:paraId="44D7A9C4" w14:textId="77777777" w:rsidR="00F7113A" w:rsidRPr="00580C0D" w:rsidRDefault="00142E5B" w:rsidP="00580C0D">
      <w:pPr>
        <w:pStyle w:val="blokksit"/>
        <w:rPr>
          <w:rStyle w:val="kursiv"/>
        </w:rPr>
      </w:pPr>
      <w:r w:rsidRPr="00580C0D">
        <w:rPr>
          <w:rStyle w:val="kursiv"/>
        </w:rPr>
        <w:t>«Stortinget ber regjeringen vurdere å styrke Husbankens arbeid med energitiltak for lavinntektshusholdninger, for eksempel ved å opprette en midlertidig låneordning som kan benyttes til installasjon av varmepumpe, etterisolering av bygg og andre relevante enøktiltak, i samspill med eksisterende enøkordninger.»</w:t>
      </w:r>
    </w:p>
    <w:p w14:paraId="2098A2B1"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og Ola Elvestuen om ekstraordinære tiltak som </w:t>
      </w:r>
      <w:proofErr w:type="spellStart"/>
      <w:r w:rsidRPr="00580C0D">
        <w:t>følgje</w:t>
      </w:r>
      <w:proofErr w:type="spellEnd"/>
      <w:r w:rsidRPr="00580C0D">
        <w:t xml:space="preserve"> av straumkrisa, jf. Dokument 8:289 S (2021–2022) og </w:t>
      </w:r>
      <w:proofErr w:type="spellStart"/>
      <w:r w:rsidRPr="00580C0D">
        <w:t>Innst</w:t>
      </w:r>
      <w:proofErr w:type="spellEnd"/>
      <w:r w:rsidRPr="00580C0D">
        <w:t>. 25 S (2022–2023).</w:t>
      </w:r>
    </w:p>
    <w:p w14:paraId="1AA615A7" w14:textId="77777777" w:rsidR="00F7113A" w:rsidRPr="00580C0D" w:rsidRDefault="00142E5B" w:rsidP="00580C0D">
      <w:proofErr w:type="spellStart"/>
      <w:r w:rsidRPr="00580C0D">
        <w:t>Låginntektshushaldningar</w:t>
      </w:r>
      <w:proofErr w:type="spellEnd"/>
      <w:r w:rsidRPr="00580C0D">
        <w:t xml:space="preserve"> blir ofte avgrensa som </w:t>
      </w:r>
      <w:proofErr w:type="spellStart"/>
      <w:r w:rsidRPr="00580C0D">
        <w:t>hushaldningar</w:t>
      </w:r>
      <w:proofErr w:type="spellEnd"/>
      <w:r w:rsidRPr="00580C0D">
        <w:t xml:space="preserve"> med inntekt under 60 pst. av nasjonal medianinntekt (EU60). For </w:t>
      </w:r>
      <w:proofErr w:type="spellStart"/>
      <w:r w:rsidRPr="00580C0D">
        <w:t>ein</w:t>
      </w:r>
      <w:proofErr w:type="spellEnd"/>
      <w:r w:rsidRPr="00580C0D">
        <w:t xml:space="preserve"> </w:t>
      </w:r>
      <w:proofErr w:type="spellStart"/>
      <w:r w:rsidRPr="00580C0D">
        <w:t>einsleg</w:t>
      </w:r>
      <w:proofErr w:type="spellEnd"/>
      <w:r w:rsidRPr="00580C0D">
        <w:t xml:space="preserve"> person tilsvarte låginntektsgrensa 251 600 kroner i 2021 (tal </w:t>
      </w:r>
      <w:proofErr w:type="spellStart"/>
      <w:r w:rsidRPr="00580C0D">
        <w:t>frå</w:t>
      </w:r>
      <w:proofErr w:type="spellEnd"/>
      <w:r w:rsidRPr="00580C0D">
        <w:t xml:space="preserve"> SSB). I 2022 hadde 16 pst. av </w:t>
      </w:r>
      <w:proofErr w:type="spellStart"/>
      <w:r w:rsidRPr="00580C0D">
        <w:t>hushaldningane</w:t>
      </w:r>
      <w:proofErr w:type="spellEnd"/>
      <w:r w:rsidRPr="00580C0D">
        <w:t xml:space="preserve"> ei inntekt som var under EU60 (tal </w:t>
      </w:r>
      <w:proofErr w:type="spellStart"/>
      <w:r w:rsidRPr="00580C0D">
        <w:t>frå</w:t>
      </w:r>
      <w:proofErr w:type="spellEnd"/>
      <w:r w:rsidRPr="00580C0D">
        <w:t xml:space="preserve"> SSB). I tal utgjorde dette 410 000 </w:t>
      </w:r>
      <w:proofErr w:type="spellStart"/>
      <w:r w:rsidRPr="00580C0D">
        <w:t>hushaldningar</w:t>
      </w:r>
      <w:proofErr w:type="spellEnd"/>
      <w:r w:rsidRPr="00580C0D">
        <w:t xml:space="preserve">, der 163 000 var </w:t>
      </w:r>
      <w:proofErr w:type="spellStart"/>
      <w:r w:rsidRPr="00580C0D">
        <w:t>bustadeigarar</w:t>
      </w:r>
      <w:proofErr w:type="spellEnd"/>
      <w:r w:rsidRPr="00580C0D">
        <w:t xml:space="preserve"> og 247 000 </w:t>
      </w:r>
      <w:proofErr w:type="spellStart"/>
      <w:r w:rsidRPr="00580C0D">
        <w:t>hushaldningar</w:t>
      </w:r>
      <w:proofErr w:type="spellEnd"/>
      <w:r w:rsidRPr="00580C0D">
        <w:t xml:space="preserve"> </w:t>
      </w:r>
      <w:proofErr w:type="spellStart"/>
      <w:r w:rsidRPr="00580C0D">
        <w:t>leigde</w:t>
      </w:r>
      <w:proofErr w:type="spellEnd"/>
      <w:r w:rsidRPr="00580C0D">
        <w:t xml:space="preserve"> bustaden sin. Delen </w:t>
      </w:r>
      <w:proofErr w:type="spellStart"/>
      <w:r w:rsidRPr="00580C0D">
        <w:t>hushaldningar</w:t>
      </w:r>
      <w:proofErr w:type="spellEnd"/>
      <w:r w:rsidRPr="00580C0D">
        <w:t xml:space="preserve"> som </w:t>
      </w:r>
      <w:proofErr w:type="spellStart"/>
      <w:r w:rsidRPr="00580C0D">
        <w:t>leiger</w:t>
      </w:r>
      <w:proofErr w:type="spellEnd"/>
      <w:r w:rsidRPr="00580C0D">
        <w:t xml:space="preserve"> bustad, har </w:t>
      </w:r>
      <w:proofErr w:type="spellStart"/>
      <w:r w:rsidRPr="00580C0D">
        <w:t>auka</w:t>
      </w:r>
      <w:proofErr w:type="spellEnd"/>
      <w:r w:rsidRPr="00580C0D">
        <w:t xml:space="preserve"> </w:t>
      </w:r>
      <w:proofErr w:type="spellStart"/>
      <w:r w:rsidRPr="00580C0D">
        <w:t>dei</w:t>
      </w:r>
      <w:proofErr w:type="spellEnd"/>
      <w:r w:rsidRPr="00580C0D">
        <w:t xml:space="preserve"> siste åra og delen er </w:t>
      </w:r>
      <w:proofErr w:type="spellStart"/>
      <w:r w:rsidRPr="00580C0D">
        <w:t>særleg</w:t>
      </w:r>
      <w:proofErr w:type="spellEnd"/>
      <w:r w:rsidRPr="00580C0D">
        <w:t xml:space="preserve"> </w:t>
      </w:r>
      <w:proofErr w:type="spellStart"/>
      <w:r w:rsidRPr="00580C0D">
        <w:t>auka</w:t>
      </w:r>
      <w:proofErr w:type="spellEnd"/>
      <w:r w:rsidRPr="00580C0D">
        <w:t xml:space="preserve"> blant </w:t>
      </w:r>
      <w:proofErr w:type="spellStart"/>
      <w:r w:rsidRPr="00580C0D">
        <w:t>låginnteksthushaldningar</w:t>
      </w:r>
      <w:proofErr w:type="spellEnd"/>
      <w:r w:rsidRPr="00580C0D">
        <w:t xml:space="preserve">. Lån kan i mange høve </w:t>
      </w:r>
      <w:proofErr w:type="spellStart"/>
      <w:r w:rsidRPr="00580C0D">
        <w:t>vere</w:t>
      </w:r>
      <w:proofErr w:type="spellEnd"/>
      <w:r w:rsidRPr="00580C0D">
        <w:t xml:space="preserve"> </w:t>
      </w:r>
      <w:proofErr w:type="spellStart"/>
      <w:r w:rsidRPr="00580C0D">
        <w:t>eit</w:t>
      </w:r>
      <w:proofErr w:type="spellEnd"/>
      <w:r w:rsidRPr="00580C0D">
        <w:t xml:space="preserve"> treffsikkert </w:t>
      </w:r>
      <w:proofErr w:type="spellStart"/>
      <w:r w:rsidRPr="00580C0D">
        <w:t>verkemiddel</w:t>
      </w:r>
      <w:proofErr w:type="spellEnd"/>
      <w:r w:rsidRPr="00580C0D">
        <w:t xml:space="preserve">, men ei låneordning for installasjon av varmepumpe, etterisolering av bygg med </w:t>
      </w:r>
      <w:proofErr w:type="spellStart"/>
      <w:r w:rsidRPr="00580C0D">
        <w:t>vidare</w:t>
      </w:r>
      <w:proofErr w:type="spellEnd"/>
      <w:r w:rsidRPr="00580C0D">
        <w:t xml:space="preserve">, vil </w:t>
      </w:r>
      <w:proofErr w:type="spellStart"/>
      <w:r w:rsidRPr="00580C0D">
        <w:t>truleg</w:t>
      </w:r>
      <w:proofErr w:type="spellEnd"/>
      <w:r w:rsidRPr="00580C0D">
        <w:t xml:space="preserve"> </w:t>
      </w:r>
      <w:proofErr w:type="spellStart"/>
      <w:r w:rsidRPr="00580C0D">
        <w:t>ikkje</w:t>
      </w:r>
      <w:proofErr w:type="spellEnd"/>
      <w:r w:rsidRPr="00580C0D">
        <w:t xml:space="preserve"> </w:t>
      </w:r>
      <w:proofErr w:type="spellStart"/>
      <w:r w:rsidRPr="00580C0D">
        <w:t>vere</w:t>
      </w:r>
      <w:proofErr w:type="spellEnd"/>
      <w:r w:rsidRPr="00580C0D">
        <w:t xml:space="preserve"> </w:t>
      </w:r>
      <w:proofErr w:type="spellStart"/>
      <w:r w:rsidRPr="00580C0D">
        <w:t>eit</w:t>
      </w:r>
      <w:proofErr w:type="spellEnd"/>
      <w:r w:rsidRPr="00580C0D">
        <w:t xml:space="preserve"> sterkt nok insentiv til å utløyse energitiltak for </w:t>
      </w:r>
      <w:proofErr w:type="spellStart"/>
      <w:r w:rsidRPr="00580C0D">
        <w:t>husstandar</w:t>
      </w:r>
      <w:proofErr w:type="spellEnd"/>
      <w:r w:rsidRPr="00580C0D">
        <w:t xml:space="preserve"> med låge inntekter. </w:t>
      </w:r>
      <w:proofErr w:type="spellStart"/>
      <w:r w:rsidRPr="00580C0D">
        <w:t>Husstandar</w:t>
      </w:r>
      <w:proofErr w:type="spellEnd"/>
      <w:r w:rsidRPr="00580C0D">
        <w:t xml:space="preserve"> med låge inntekter kan ha </w:t>
      </w:r>
      <w:proofErr w:type="spellStart"/>
      <w:r w:rsidRPr="00580C0D">
        <w:t>utfordringar</w:t>
      </w:r>
      <w:proofErr w:type="spellEnd"/>
      <w:r w:rsidRPr="00580C0D">
        <w:t xml:space="preserve"> med å finansiere </w:t>
      </w:r>
      <w:proofErr w:type="spellStart"/>
      <w:r w:rsidRPr="00580C0D">
        <w:t>sjølv</w:t>
      </w:r>
      <w:proofErr w:type="spellEnd"/>
      <w:r w:rsidRPr="00580C0D">
        <w:t xml:space="preserve"> </w:t>
      </w:r>
      <w:proofErr w:type="spellStart"/>
      <w:r w:rsidRPr="00580C0D">
        <w:t>delar</w:t>
      </w:r>
      <w:proofErr w:type="spellEnd"/>
      <w:r w:rsidRPr="00580C0D">
        <w:t xml:space="preserve"> av </w:t>
      </w:r>
      <w:proofErr w:type="spellStart"/>
      <w:r w:rsidRPr="00580C0D">
        <w:t>eit</w:t>
      </w:r>
      <w:proofErr w:type="spellEnd"/>
      <w:r w:rsidRPr="00580C0D">
        <w:t xml:space="preserve"> energitiltak, og mange har </w:t>
      </w:r>
      <w:proofErr w:type="spellStart"/>
      <w:r w:rsidRPr="00580C0D">
        <w:t>allereie</w:t>
      </w:r>
      <w:proofErr w:type="spellEnd"/>
      <w:r w:rsidRPr="00580C0D">
        <w:t xml:space="preserve"> høg </w:t>
      </w:r>
      <w:proofErr w:type="spellStart"/>
      <w:r w:rsidRPr="00580C0D">
        <w:t>gjeldsbelasting</w:t>
      </w:r>
      <w:proofErr w:type="spellEnd"/>
      <w:r w:rsidRPr="00580C0D">
        <w:t xml:space="preserve">. I ei tid med høge renter, </w:t>
      </w:r>
      <w:proofErr w:type="spellStart"/>
      <w:r w:rsidRPr="00580C0D">
        <w:t>høg</w:t>
      </w:r>
      <w:proofErr w:type="spellEnd"/>
      <w:r w:rsidRPr="00580C0D">
        <w:t xml:space="preserve"> prisvekst og </w:t>
      </w:r>
      <w:proofErr w:type="spellStart"/>
      <w:r w:rsidRPr="00580C0D">
        <w:t>mogleg</w:t>
      </w:r>
      <w:proofErr w:type="spellEnd"/>
      <w:r w:rsidRPr="00580C0D">
        <w:t xml:space="preserve"> fall i </w:t>
      </w:r>
      <w:proofErr w:type="spellStart"/>
      <w:r w:rsidRPr="00580C0D">
        <w:t>bustadprisar</w:t>
      </w:r>
      <w:proofErr w:type="spellEnd"/>
      <w:r w:rsidRPr="00580C0D">
        <w:t xml:space="preserve">, er det </w:t>
      </w:r>
      <w:proofErr w:type="spellStart"/>
      <w:r w:rsidRPr="00580C0D">
        <w:t>ikkje</w:t>
      </w:r>
      <w:proofErr w:type="spellEnd"/>
      <w:r w:rsidRPr="00580C0D">
        <w:t xml:space="preserve"> </w:t>
      </w:r>
      <w:proofErr w:type="spellStart"/>
      <w:r w:rsidRPr="00580C0D">
        <w:t>tilrådeleg</w:t>
      </w:r>
      <w:proofErr w:type="spellEnd"/>
      <w:r w:rsidRPr="00580C0D">
        <w:t xml:space="preserve"> å </w:t>
      </w:r>
      <w:proofErr w:type="spellStart"/>
      <w:r w:rsidRPr="00580C0D">
        <w:t>auke</w:t>
      </w:r>
      <w:proofErr w:type="spellEnd"/>
      <w:r w:rsidRPr="00580C0D">
        <w:t xml:space="preserve"> låneopptaket til </w:t>
      </w:r>
      <w:proofErr w:type="spellStart"/>
      <w:r w:rsidRPr="00580C0D">
        <w:t>desse</w:t>
      </w:r>
      <w:proofErr w:type="spellEnd"/>
      <w:r w:rsidRPr="00580C0D">
        <w:t xml:space="preserve"> </w:t>
      </w:r>
      <w:proofErr w:type="spellStart"/>
      <w:r w:rsidRPr="00580C0D">
        <w:t>hushaldingane</w:t>
      </w:r>
      <w:proofErr w:type="spellEnd"/>
      <w:r w:rsidRPr="00580C0D">
        <w:t xml:space="preserve">. Dette er òg ei gruppe som ofte </w:t>
      </w:r>
      <w:proofErr w:type="spellStart"/>
      <w:r w:rsidRPr="00580C0D">
        <w:t>leiger</w:t>
      </w:r>
      <w:proofErr w:type="spellEnd"/>
      <w:r w:rsidRPr="00580C0D">
        <w:t xml:space="preserve"> bustaden </w:t>
      </w:r>
      <w:proofErr w:type="spellStart"/>
      <w:r w:rsidRPr="00580C0D">
        <w:t>dei</w:t>
      </w:r>
      <w:proofErr w:type="spellEnd"/>
      <w:r w:rsidRPr="00580C0D">
        <w:t xml:space="preserve"> bur i.</w:t>
      </w:r>
    </w:p>
    <w:p w14:paraId="709967BB" w14:textId="77777777" w:rsidR="00F7113A" w:rsidRPr="00580C0D" w:rsidRDefault="00142E5B" w:rsidP="00580C0D">
      <w:r w:rsidRPr="00580C0D">
        <w:t xml:space="preserve">Som i 2022 og 2023, foreslår regjeringa å gi ekstra straumstøtte til </w:t>
      </w:r>
      <w:proofErr w:type="spellStart"/>
      <w:r w:rsidRPr="00580C0D">
        <w:t>bustøttemottakarar</w:t>
      </w:r>
      <w:proofErr w:type="spellEnd"/>
      <w:r w:rsidRPr="00580C0D">
        <w:t xml:space="preserve"> for januar til mars 2024, sjå </w:t>
      </w:r>
      <w:proofErr w:type="spellStart"/>
      <w:r w:rsidRPr="00580C0D">
        <w:t>nærare</w:t>
      </w:r>
      <w:proofErr w:type="spellEnd"/>
      <w:r w:rsidRPr="00580C0D">
        <w:t xml:space="preserve"> omtale under kap. 581, post 70. Det er òg vedtatt </w:t>
      </w:r>
      <w:proofErr w:type="spellStart"/>
      <w:r w:rsidRPr="00580C0D">
        <w:t>mellombelse</w:t>
      </w:r>
      <w:proofErr w:type="spellEnd"/>
      <w:r w:rsidRPr="00580C0D">
        <w:t xml:space="preserve"> </w:t>
      </w:r>
      <w:proofErr w:type="spellStart"/>
      <w:r w:rsidRPr="00580C0D">
        <w:t>endringar</w:t>
      </w:r>
      <w:proofErr w:type="spellEnd"/>
      <w:r w:rsidRPr="00580C0D">
        <w:t xml:space="preserve"> i bustøtteregelverket, som </w:t>
      </w:r>
      <w:proofErr w:type="spellStart"/>
      <w:r w:rsidRPr="00580C0D">
        <w:t>inneber</w:t>
      </w:r>
      <w:proofErr w:type="spellEnd"/>
      <w:r w:rsidRPr="00580C0D">
        <w:t xml:space="preserve"> markant </w:t>
      </w:r>
      <w:proofErr w:type="spellStart"/>
      <w:r w:rsidRPr="00580C0D">
        <w:t>høgare</w:t>
      </w:r>
      <w:proofErr w:type="spellEnd"/>
      <w:r w:rsidRPr="00580C0D">
        <w:t xml:space="preserve"> inntektsgrenser og dermed </w:t>
      </w:r>
      <w:proofErr w:type="spellStart"/>
      <w:r w:rsidRPr="00580C0D">
        <w:t>vesentleg</w:t>
      </w:r>
      <w:proofErr w:type="spellEnd"/>
      <w:r w:rsidRPr="00580C0D">
        <w:t xml:space="preserve"> </w:t>
      </w:r>
      <w:proofErr w:type="spellStart"/>
      <w:r w:rsidRPr="00580C0D">
        <w:t>fleire</w:t>
      </w:r>
      <w:proofErr w:type="spellEnd"/>
      <w:r w:rsidRPr="00580C0D">
        <w:t xml:space="preserve"> </w:t>
      </w:r>
      <w:proofErr w:type="spellStart"/>
      <w:r w:rsidRPr="00580C0D">
        <w:t>bustøttemottakarar</w:t>
      </w:r>
      <w:proofErr w:type="spellEnd"/>
      <w:r w:rsidRPr="00580C0D">
        <w:t xml:space="preserve"> enn i det ordinære regelverket. Regjeringa foreslår å </w:t>
      </w:r>
      <w:proofErr w:type="spellStart"/>
      <w:r w:rsidRPr="00580C0D">
        <w:t>vidareføre</w:t>
      </w:r>
      <w:proofErr w:type="spellEnd"/>
      <w:r w:rsidRPr="00580C0D">
        <w:t xml:space="preserve"> </w:t>
      </w:r>
      <w:proofErr w:type="spellStart"/>
      <w:r w:rsidRPr="00580C0D">
        <w:t>dei</w:t>
      </w:r>
      <w:proofErr w:type="spellEnd"/>
      <w:r w:rsidRPr="00580C0D">
        <w:t xml:space="preserve"> </w:t>
      </w:r>
      <w:proofErr w:type="spellStart"/>
      <w:r w:rsidRPr="00580C0D">
        <w:t>mellombelse</w:t>
      </w:r>
      <w:proofErr w:type="spellEnd"/>
      <w:r w:rsidRPr="00580C0D">
        <w:t xml:space="preserve"> </w:t>
      </w:r>
      <w:proofErr w:type="spellStart"/>
      <w:r w:rsidRPr="00580C0D">
        <w:t>endringane</w:t>
      </w:r>
      <w:proofErr w:type="spellEnd"/>
      <w:r w:rsidRPr="00580C0D">
        <w:t xml:space="preserve"> for januar til mars 2024. Dette treffer </w:t>
      </w:r>
      <w:proofErr w:type="spellStart"/>
      <w:r w:rsidRPr="00580C0D">
        <w:t>hushaldningar</w:t>
      </w:r>
      <w:proofErr w:type="spellEnd"/>
      <w:r w:rsidRPr="00580C0D">
        <w:t xml:space="preserve"> med låge inntekter godt.</w:t>
      </w:r>
    </w:p>
    <w:p w14:paraId="482D5663" w14:textId="77777777" w:rsidR="00F7113A" w:rsidRPr="00580C0D" w:rsidRDefault="00142E5B" w:rsidP="00580C0D">
      <w:r w:rsidRPr="00580C0D">
        <w:t xml:space="preserve">Regjeringa oppretta i 2023 ei ny </w:t>
      </w:r>
      <w:proofErr w:type="spellStart"/>
      <w:r w:rsidRPr="00580C0D">
        <w:t>tilskotsordning</w:t>
      </w:r>
      <w:proofErr w:type="spellEnd"/>
      <w:r w:rsidRPr="00580C0D">
        <w:t xml:space="preserve">, kap. 581, post 60 Energitiltak i </w:t>
      </w:r>
      <w:proofErr w:type="spellStart"/>
      <w:r w:rsidRPr="00580C0D">
        <w:t>utleigebustader</w:t>
      </w:r>
      <w:proofErr w:type="spellEnd"/>
      <w:r w:rsidRPr="00580C0D">
        <w:t xml:space="preserve">, </w:t>
      </w:r>
      <w:proofErr w:type="spellStart"/>
      <w:r w:rsidRPr="00580C0D">
        <w:t>omsorgsbustader</w:t>
      </w:r>
      <w:proofErr w:type="spellEnd"/>
      <w:r w:rsidRPr="00580C0D">
        <w:t xml:space="preserve"> og </w:t>
      </w:r>
      <w:proofErr w:type="spellStart"/>
      <w:r w:rsidRPr="00580C0D">
        <w:t>sjukeheimar</w:t>
      </w:r>
      <w:proofErr w:type="spellEnd"/>
      <w:r w:rsidRPr="00580C0D">
        <w:t xml:space="preserve">. Ved å redusere straumutgiftene </w:t>
      </w:r>
      <w:proofErr w:type="gramStart"/>
      <w:r w:rsidRPr="00580C0D">
        <w:t>i mellom</w:t>
      </w:r>
      <w:proofErr w:type="gramEnd"/>
      <w:r w:rsidRPr="00580C0D">
        <w:t xml:space="preserve"> anna kommunalt </w:t>
      </w:r>
      <w:proofErr w:type="spellStart"/>
      <w:r w:rsidRPr="00580C0D">
        <w:t>eigde</w:t>
      </w:r>
      <w:proofErr w:type="spellEnd"/>
      <w:r w:rsidRPr="00580C0D">
        <w:t xml:space="preserve"> </w:t>
      </w:r>
      <w:proofErr w:type="spellStart"/>
      <w:r w:rsidRPr="00580C0D">
        <w:t>utleigebustader</w:t>
      </w:r>
      <w:proofErr w:type="spellEnd"/>
      <w:r w:rsidRPr="00580C0D">
        <w:t xml:space="preserve">, vil ordninga kunne bidra til </w:t>
      </w:r>
      <w:proofErr w:type="spellStart"/>
      <w:r w:rsidRPr="00580C0D">
        <w:t>lågare</w:t>
      </w:r>
      <w:proofErr w:type="spellEnd"/>
      <w:r w:rsidRPr="00580C0D">
        <w:t xml:space="preserve"> straumutgifter for </w:t>
      </w:r>
      <w:proofErr w:type="spellStart"/>
      <w:r w:rsidRPr="00580C0D">
        <w:t>dei</w:t>
      </w:r>
      <w:proofErr w:type="spellEnd"/>
      <w:r w:rsidRPr="00580C0D">
        <w:t xml:space="preserve"> </w:t>
      </w:r>
      <w:proofErr w:type="spellStart"/>
      <w:r w:rsidRPr="00580C0D">
        <w:t>husstandane</w:t>
      </w:r>
      <w:proofErr w:type="spellEnd"/>
      <w:r w:rsidRPr="00580C0D">
        <w:t xml:space="preserve"> som </w:t>
      </w:r>
      <w:proofErr w:type="spellStart"/>
      <w:r w:rsidRPr="00580C0D">
        <w:t>ikkje</w:t>
      </w:r>
      <w:proofErr w:type="spellEnd"/>
      <w:r w:rsidRPr="00580C0D">
        <w:t xml:space="preserve"> har </w:t>
      </w:r>
      <w:proofErr w:type="spellStart"/>
      <w:r w:rsidRPr="00580C0D">
        <w:t>straum</w:t>
      </w:r>
      <w:proofErr w:type="spellEnd"/>
      <w:r w:rsidRPr="00580C0D">
        <w:t xml:space="preserve"> dekt gjennom </w:t>
      </w:r>
      <w:proofErr w:type="spellStart"/>
      <w:r w:rsidRPr="00580C0D">
        <w:t>husleiga</w:t>
      </w:r>
      <w:proofErr w:type="spellEnd"/>
      <w:r w:rsidRPr="00580C0D">
        <w:t xml:space="preserve">. Ordninga </w:t>
      </w:r>
      <w:proofErr w:type="spellStart"/>
      <w:r w:rsidRPr="00580C0D">
        <w:t>fekk</w:t>
      </w:r>
      <w:proofErr w:type="spellEnd"/>
      <w:r w:rsidRPr="00580C0D">
        <w:t xml:space="preserve"> ei løyving på 160 mill. kroner i saldert budsjett for 2023. I revidert nasjonalbudsjett vart løyvinga styrka med 103,8 mill. kroner, slik at den samla løyvinga i 2023 er 263,8 mill. kroner. Regjeringa </w:t>
      </w:r>
      <w:proofErr w:type="spellStart"/>
      <w:r w:rsidRPr="00580C0D">
        <w:t>vidarefører</w:t>
      </w:r>
      <w:proofErr w:type="spellEnd"/>
      <w:r w:rsidRPr="00580C0D">
        <w:t xml:space="preserve"> i 2024 ordninga under Olje- og energidepartementets budsjettområde. For </w:t>
      </w:r>
      <w:proofErr w:type="spellStart"/>
      <w:r w:rsidRPr="00580C0D">
        <w:t>nærare</w:t>
      </w:r>
      <w:proofErr w:type="spellEnd"/>
      <w:r w:rsidRPr="00580C0D">
        <w:t xml:space="preserve"> omtale, sjå kap. 1825, post 21 under Olje- og energidepartementet.</w:t>
      </w:r>
    </w:p>
    <w:p w14:paraId="0E57EBB6"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5DFA4D21" w14:textId="77777777" w:rsidR="00F7113A" w:rsidRPr="00580C0D" w:rsidRDefault="00142E5B" w:rsidP="00580C0D">
      <w:pPr>
        <w:pStyle w:val="avsnitt-tittel"/>
      </w:pPr>
      <w:r w:rsidRPr="00580C0D">
        <w:t>Gebyrfri søknad om byggesak for energioppgradering</w:t>
      </w:r>
    </w:p>
    <w:p w14:paraId="666DC4AD" w14:textId="77777777" w:rsidR="00F7113A" w:rsidRPr="00580C0D" w:rsidRDefault="00142E5B" w:rsidP="00580C0D">
      <w:pPr>
        <w:pStyle w:val="avsnitt-undertittel"/>
      </w:pPr>
      <w:r w:rsidRPr="00580C0D">
        <w:t>Vedtak nr. 15, 18. oktober 2022</w:t>
      </w:r>
    </w:p>
    <w:p w14:paraId="1C1F0AF3" w14:textId="77777777" w:rsidR="00F7113A" w:rsidRPr="00580C0D" w:rsidRDefault="00142E5B" w:rsidP="00580C0D">
      <w:pPr>
        <w:pStyle w:val="blokksit"/>
        <w:rPr>
          <w:rStyle w:val="kursiv"/>
        </w:rPr>
      </w:pPr>
      <w:r w:rsidRPr="00580C0D">
        <w:rPr>
          <w:rStyle w:val="kursiv"/>
        </w:rPr>
        <w:t>«Stortinget ber regjeringen gå i dialog med kommunene for å vurdere en midlertidig eller tidsbegrenset ordning der søknad om byggesak for energioppgradering gjøres gebyrfri.»</w:t>
      </w:r>
    </w:p>
    <w:p w14:paraId="6DF3C78B"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og Ola Elvestuen om ekstraordinære tiltak som </w:t>
      </w:r>
      <w:proofErr w:type="spellStart"/>
      <w:r w:rsidRPr="00580C0D">
        <w:t>følgje</w:t>
      </w:r>
      <w:proofErr w:type="spellEnd"/>
      <w:r w:rsidRPr="00580C0D">
        <w:t xml:space="preserve"> av straumkrisa, jf. Dokument 8:289 S (2021–2022) og </w:t>
      </w:r>
      <w:proofErr w:type="spellStart"/>
      <w:r w:rsidRPr="00580C0D">
        <w:t>Innst</w:t>
      </w:r>
      <w:proofErr w:type="spellEnd"/>
      <w:r w:rsidRPr="00580C0D">
        <w:t>. 25 S (2022–2023).</w:t>
      </w:r>
    </w:p>
    <w:p w14:paraId="3C3B1356" w14:textId="77777777" w:rsidR="00F7113A" w:rsidRPr="00580C0D" w:rsidRDefault="00142E5B" w:rsidP="00580C0D">
      <w:r w:rsidRPr="00580C0D">
        <w:t xml:space="preserve">I </w:t>
      </w:r>
      <w:r w:rsidRPr="00580C0D">
        <w:rPr>
          <w:rStyle w:val="kursiv"/>
        </w:rPr>
        <w:t xml:space="preserve">Veileder for beregning av selvkost og gebyrforskrift i byggesaker </w:t>
      </w:r>
      <w:r w:rsidRPr="00580C0D">
        <w:t xml:space="preserve">har departementet </w:t>
      </w:r>
      <w:proofErr w:type="spellStart"/>
      <w:r w:rsidRPr="00580C0D">
        <w:t>synleggjort</w:t>
      </w:r>
      <w:proofErr w:type="spellEnd"/>
      <w:r w:rsidRPr="00580C0D">
        <w:t xml:space="preserve"> handlingsrommet </w:t>
      </w:r>
      <w:proofErr w:type="spellStart"/>
      <w:r w:rsidRPr="00580C0D">
        <w:t>kommunane</w:t>
      </w:r>
      <w:proofErr w:type="spellEnd"/>
      <w:r w:rsidRPr="00580C0D">
        <w:t xml:space="preserve"> har til å ta </w:t>
      </w:r>
      <w:proofErr w:type="spellStart"/>
      <w:r w:rsidRPr="00580C0D">
        <w:t>lågare</w:t>
      </w:r>
      <w:proofErr w:type="spellEnd"/>
      <w:r w:rsidRPr="00580C0D">
        <w:t xml:space="preserve"> gebyr enn </w:t>
      </w:r>
      <w:proofErr w:type="spellStart"/>
      <w:r w:rsidRPr="00580C0D">
        <w:t>sjølvkost</w:t>
      </w:r>
      <w:proofErr w:type="spellEnd"/>
      <w:r w:rsidRPr="00580C0D">
        <w:t xml:space="preserve"> for tiltak dersom </w:t>
      </w:r>
      <w:proofErr w:type="spellStart"/>
      <w:r w:rsidRPr="00580C0D">
        <w:t>dei</w:t>
      </w:r>
      <w:proofErr w:type="spellEnd"/>
      <w:r w:rsidRPr="00580C0D">
        <w:t xml:space="preserve"> </w:t>
      </w:r>
      <w:proofErr w:type="spellStart"/>
      <w:r w:rsidRPr="00580C0D">
        <w:t>ønskjer</w:t>
      </w:r>
      <w:proofErr w:type="spellEnd"/>
      <w:r w:rsidRPr="00580C0D">
        <w:t xml:space="preserve"> det. </w:t>
      </w:r>
      <w:proofErr w:type="spellStart"/>
      <w:r w:rsidRPr="00580C0D">
        <w:t>Kommunane</w:t>
      </w:r>
      <w:proofErr w:type="spellEnd"/>
      <w:r w:rsidRPr="00580C0D">
        <w:t xml:space="preserve"> kan i gebyrforskrifta si gi føresegner som </w:t>
      </w:r>
      <w:proofErr w:type="spellStart"/>
      <w:r w:rsidRPr="00580C0D">
        <w:t>inneber</w:t>
      </w:r>
      <w:proofErr w:type="spellEnd"/>
      <w:r w:rsidRPr="00580C0D">
        <w:t xml:space="preserve"> reduksjon for å </w:t>
      </w:r>
      <w:proofErr w:type="spellStart"/>
      <w:r w:rsidRPr="00580C0D">
        <w:t>fremje</w:t>
      </w:r>
      <w:proofErr w:type="spellEnd"/>
      <w:r w:rsidRPr="00580C0D">
        <w:t xml:space="preserve"> visse </w:t>
      </w:r>
      <w:proofErr w:type="spellStart"/>
      <w:r w:rsidRPr="00580C0D">
        <w:t>typar</w:t>
      </w:r>
      <w:proofErr w:type="spellEnd"/>
      <w:r w:rsidRPr="00580C0D">
        <w:t xml:space="preserve"> tiltak. Dette kan til dømes </w:t>
      </w:r>
      <w:proofErr w:type="spellStart"/>
      <w:r w:rsidRPr="00580C0D">
        <w:t>vere</w:t>
      </w:r>
      <w:proofErr w:type="spellEnd"/>
      <w:r w:rsidRPr="00580C0D">
        <w:t xml:space="preserve"> ei føresegn om reduksjon ved prosjekt som </w:t>
      </w:r>
      <w:proofErr w:type="spellStart"/>
      <w:r w:rsidRPr="00580C0D">
        <w:t>inneber</w:t>
      </w:r>
      <w:proofErr w:type="spellEnd"/>
      <w:r w:rsidRPr="00580C0D">
        <w:t xml:space="preserve"> null-utslepp, universell utforming og andre </w:t>
      </w:r>
      <w:proofErr w:type="spellStart"/>
      <w:r w:rsidRPr="00580C0D">
        <w:t>formar</w:t>
      </w:r>
      <w:proofErr w:type="spellEnd"/>
      <w:r w:rsidRPr="00580C0D">
        <w:t xml:space="preserve"> for «grønt gebyr». Bruker </w:t>
      </w:r>
      <w:proofErr w:type="spellStart"/>
      <w:r w:rsidRPr="00580C0D">
        <w:t>dei</w:t>
      </w:r>
      <w:proofErr w:type="spellEnd"/>
      <w:r w:rsidRPr="00580C0D">
        <w:t xml:space="preserve"> dette høvet, er det kommunen som subsidierer sakene over </w:t>
      </w:r>
      <w:proofErr w:type="spellStart"/>
      <w:r w:rsidRPr="00580C0D">
        <w:t>dei</w:t>
      </w:r>
      <w:proofErr w:type="spellEnd"/>
      <w:r w:rsidRPr="00580C0D">
        <w:t xml:space="preserve"> frie inntektene sine dersom utgiftene overstig </w:t>
      </w:r>
      <w:proofErr w:type="spellStart"/>
      <w:r w:rsidRPr="00580C0D">
        <w:t>sjølvkost</w:t>
      </w:r>
      <w:proofErr w:type="spellEnd"/>
      <w:r w:rsidRPr="00580C0D">
        <w:t>. Departementet vil informere KS om dette handlingsrommet.</w:t>
      </w:r>
    </w:p>
    <w:p w14:paraId="41619D30" w14:textId="77777777" w:rsidR="00F7113A" w:rsidRPr="00580C0D" w:rsidRDefault="00142E5B" w:rsidP="00580C0D">
      <w:r w:rsidRPr="00580C0D">
        <w:t xml:space="preserve">Departementet meiner med dette at </w:t>
      </w:r>
      <w:proofErr w:type="spellStart"/>
      <w:r w:rsidRPr="00580C0D">
        <w:t>oppmodningsvedtaket</w:t>
      </w:r>
      <w:proofErr w:type="spellEnd"/>
      <w:r w:rsidRPr="00580C0D">
        <w:t xml:space="preserve"> er </w:t>
      </w:r>
      <w:proofErr w:type="spellStart"/>
      <w:r w:rsidRPr="00580C0D">
        <w:t>følgt</w:t>
      </w:r>
      <w:proofErr w:type="spellEnd"/>
      <w:r w:rsidRPr="00580C0D">
        <w:t xml:space="preserve"> opp.</w:t>
      </w:r>
    </w:p>
    <w:p w14:paraId="58D81733" w14:textId="77777777" w:rsidR="00F7113A" w:rsidRPr="00580C0D" w:rsidRDefault="00142E5B" w:rsidP="00580C0D">
      <w:pPr>
        <w:pStyle w:val="avsnitt-tittel"/>
      </w:pPr>
      <w:r w:rsidRPr="00580C0D">
        <w:t xml:space="preserve">Unntak </w:t>
      </w:r>
      <w:proofErr w:type="spellStart"/>
      <w:r w:rsidRPr="00580C0D">
        <w:t>frå</w:t>
      </w:r>
      <w:proofErr w:type="spellEnd"/>
      <w:r w:rsidRPr="00580C0D">
        <w:t xml:space="preserve"> søknadsplikta etter plan- og bygningslova for mindre solenergianlegg</w:t>
      </w:r>
    </w:p>
    <w:p w14:paraId="74FED46B" w14:textId="77777777" w:rsidR="00F7113A" w:rsidRPr="00580C0D" w:rsidRDefault="00142E5B" w:rsidP="00580C0D">
      <w:pPr>
        <w:pStyle w:val="avsnitt-undertittel"/>
      </w:pPr>
      <w:r w:rsidRPr="00580C0D">
        <w:t>Vedtak nr. 24, 18. oktober 2022</w:t>
      </w:r>
    </w:p>
    <w:p w14:paraId="6F28055A" w14:textId="77777777" w:rsidR="00F7113A" w:rsidRPr="00580C0D" w:rsidRDefault="00142E5B" w:rsidP="00580C0D">
      <w:pPr>
        <w:pStyle w:val="blokksit"/>
        <w:rPr>
          <w:rStyle w:val="kursiv"/>
        </w:rPr>
      </w:pPr>
      <w:r w:rsidRPr="00580C0D">
        <w:rPr>
          <w:rStyle w:val="kursiv"/>
        </w:rPr>
        <w:t>«Stortinget ber regjeringen vurdere å midlertidig eller tidsbegrenset unnta mindre solenergianlegg fra søknadsplikt etter plan- og bygningsloven, med unntak for fredede og verneverdige bygg, og fjerne kravet om nettinnmelding på anlegg under 7 kW.»</w:t>
      </w:r>
    </w:p>
    <w:p w14:paraId="6D6250E4"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og Ola Elvestuen om ekstraordinære tiltak som </w:t>
      </w:r>
      <w:proofErr w:type="spellStart"/>
      <w:r w:rsidRPr="00580C0D">
        <w:t>følgje</w:t>
      </w:r>
      <w:proofErr w:type="spellEnd"/>
      <w:r w:rsidRPr="00580C0D">
        <w:t xml:space="preserve"> av straumkrisa, jf. Dokument 8:289 S (2021–2022) og </w:t>
      </w:r>
      <w:proofErr w:type="spellStart"/>
      <w:r w:rsidRPr="00580C0D">
        <w:t>Innst</w:t>
      </w:r>
      <w:proofErr w:type="spellEnd"/>
      <w:r w:rsidRPr="00580C0D">
        <w:t>. 25 S (2022–2023).</w:t>
      </w:r>
    </w:p>
    <w:p w14:paraId="6FC63D20" w14:textId="77777777" w:rsidR="00F7113A" w:rsidRPr="00580C0D" w:rsidRDefault="00142E5B" w:rsidP="00580C0D">
      <w:r w:rsidRPr="00580C0D">
        <w:t xml:space="preserve">Departementet tar sikte på å </w:t>
      </w:r>
      <w:proofErr w:type="spellStart"/>
      <w:r w:rsidRPr="00580C0D">
        <w:t>følgje</w:t>
      </w:r>
      <w:proofErr w:type="spellEnd"/>
      <w:r w:rsidRPr="00580C0D">
        <w:t xml:space="preserve"> opp oppmodingsvedtaket som </w:t>
      </w:r>
      <w:proofErr w:type="spellStart"/>
      <w:r w:rsidRPr="00580C0D">
        <w:t>ein</w:t>
      </w:r>
      <w:proofErr w:type="spellEnd"/>
      <w:r w:rsidRPr="00580C0D">
        <w:t xml:space="preserve"> del av arbeidet med </w:t>
      </w:r>
      <w:proofErr w:type="spellStart"/>
      <w:r w:rsidRPr="00580C0D">
        <w:t>endringar</w:t>
      </w:r>
      <w:proofErr w:type="spellEnd"/>
      <w:r w:rsidRPr="00580C0D">
        <w:t xml:space="preserve"> i </w:t>
      </w:r>
      <w:proofErr w:type="spellStart"/>
      <w:r w:rsidRPr="00580C0D">
        <w:t>byggteknisk</w:t>
      </w:r>
      <w:proofErr w:type="spellEnd"/>
      <w:r w:rsidRPr="00580C0D">
        <w:t xml:space="preserve"> forskrift og byggesaksforskrifta for å bidra til </w:t>
      </w:r>
      <w:proofErr w:type="spellStart"/>
      <w:r w:rsidRPr="00580C0D">
        <w:t>auka</w:t>
      </w:r>
      <w:proofErr w:type="spellEnd"/>
      <w:r w:rsidRPr="00580C0D">
        <w:t xml:space="preserve"> energieffektivitet, energifleksibilitet og lokal energiproduksjon.</w:t>
      </w:r>
    </w:p>
    <w:p w14:paraId="2323F009"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34BC430A" w14:textId="77777777" w:rsidR="00F7113A" w:rsidRPr="00580C0D" w:rsidRDefault="00142E5B" w:rsidP="00580C0D">
      <w:pPr>
        <w:pStyle w:val="avsnitt-tittel"/>
      </w:pPr>
      <w:proofErr w:type="spellStart"/>
      <w:r w:rsidRPr="00580C0D">
        <w:t>Husleigelovutval</w:t>
      </w:r>
      <w:proofErr w:type="spellEnd"/>
    </w:p>
    <w:p w14:paraId="3564B232" w14:textId="77777777" w:rsidR="00F7113A" w:rsidRPr="00580C0D" w:rsidRDefault="00142E5B" w:rsidP="00580C0D">
      <w:pPr>
        <w:pStyle w:val="avsnitt-undertittel"/>
      </w:pPr>
      <w:r w:rsidRPr="00580C0D">
        <w:t>Vedtak nr. 88, 1. desember 2022</w:t>
      </w:r>
    </w:p>
    <w:p w14:paraId="731500A7" w14:textId="77777777" w:rsidR="00F7113A" w:rsidRPr="00580C0D" w:rsidRDefault="00142E5B" w:rsidP="00580C0D">
      <w:pPr>
        <w:pStyle w:val="blokksit"/>
        <w:rPr>
          <w:rStyle w:val="kursiv"/>
        </w:rPr>
      </w:pPr>
      <w:r w:rsidRPr="00580C0D">
        <w:rPr>
          <w:rStyle w:val="kursiv"/>
        </w:rPr>
        <w:t>«Stortinget ber regjeringen sette ned et Husleielovutvalg som går gjennom Husleieloven for å vurdere hvordan den kan styrke leietagernes rettigheter, sikre grunnleggende botrygghet og at loven samsvarer bedre med dagens situasjon på leiemarkedet. Utvalget settes ned våren 2023, og en ny lov skal behandles i inneværende stortingsperiode.»</w:t>
      </w:r>
    </w:p>
    <w:p w14:paraId="07C6F45E" w14:textId="77777777" w:rsidR="00F7113A" w:rsidRPr="00580C0D" w:rsidRDefault="00142E5B" w:rsidP="00580C0D">
      <w:r w:rsidRPr="00580C0D">
        <w:t xml:space="preserve">Dokumenta som ligg til grunn for vedtaket, er Meld. St. 1 (2022–2023) </w:t>
      </w:r>
      <w:r w:rsidRPr="00580C0D">
        <w:rPr>
          <w:rStyle w:val="kursiv"/>
        </w:rPr>
        <w:t>Nasjonalbudsjettet 2023</w:t>
      </w:r>
      <w:r w:rsidRPr="00580C0D">
        <w:t xml:space="preserve"> og </w:t>
      </w:r>
      <w:proofErr w:type="spellStart"/>
      <w:r w:rsidRPr="00580C0D">
        <w:t>Innst</w:t>
      </w:r>
      <w:proofErr w:type="spellEnd"/>
      <w:r w:rsidRPr="00580C0D">
        <w:t>. 2 S (2022–2023).</w:t>
      </w:r>
    </w:p>
    <w:p w14:paraId="76996AA0" w14:textId="77777777" w:rsidR="00F7113A" w:rsidRPr="00580C0D" w:rsidRDefault="00142E5B" w:rsidP="00580C0D">
      <w:r w:rsidRPr="00580C0D">
        <w:t xml:space="preserve">Regjeringa har sett ned </w:t>
      </w:r>
      <w:proofErr w:type="spellStart"/>
      <w:r w:rsidRPr="00580C0D">
        <w:t>eit</w:t>
      </w:r>
      <w:proofErr w:type="spellEnd"/>
      <w:r w:rsidRPr="00580C0D">
        <w:t xml:space="preserve"> </w:t>
      </w:r>
      <w:proofErr w:type="spellStart"/>
      <w:r w:rsidRPr="00580C0D">
        <w:t>husleigelovutval</w:t>
      </w:r>
      <w:proofErr w:type="spellEnd"/>
      <w:r w:rsidRPr="00580C0D">
        <w:t xml:space="preserve">, jf. </w:t>
      </w:r>
      <w:proofErr w:type="gramStart"/>
      <w:r w:rsidRPr="00580C0D">
        <w:t>kgl. res.</w:t>
      </w:r>
      <w:proofErr w:type="gramEnd"/>
      <w:r w:rsidRPr="00580C0D">
        <w:t xml:space="preserve"> 16. juni 2023 nr. 2023/25. </w:t>
      </w:r>
      <w:proofErr w:type="spellStart"/>
      <w:r w:rsidRPr="00580C0D">
        <w:t>Utvalet</w:t>
      </w:r>
      <w:proofErr w:type="spellEnd"/>
      <w:r w:rsidRPr="00580C0D">
        <w:t xml:space="preserve"> skal gå gjennom </w:t>
      </w:r>
      <w:proofErr w:type="spellStart"/>
      <w:r w:rsidRPr="00580C0D">
        <w:t>husleigelova</w:t>
      </w:r>
      <w:proofErr w:type="spellEnd"/>
      <w:r w:rsidRPr="00580C0D">
        <w:t xml:space="preserve"> og mellom anna vurdere og foreslå </w:t>
      </w:r>
      <w:proofErr w:type="spellStart"/>
      <w:r w:rsidRPr="00580C0D">
        <w:t>endringar</w:t>
      </w:r>
      <w:proofErr w:type="spellEnd"/>
      <w:r w:rsidRPr="00580C0D">
        <w:t xml:space="preserve"> som </w:t>
      </w:r>
      <w:proofErr w:type="spellStart"/>
      <w:r w:rsidRPr="00580C0D">
        <w:t>styrkjer</w:t>
      </w:r>
      <w:proofErr w:type="spellEnd"/>
      <w:r w:rsidRPr="00580C0D">
        <w:t xml:space="preserve"> </w:t>
      </w:r>
      <w:proofErr w:type="spellStart"/>
      <w:r w:rsidRPr="00580C0D">
        <w:t>leigarar</w:t>
      </w:r>
      <w:proofErr w:type="spellEnd"/>
      <w:r w:rsidRPr="00580C0D">
        <w:t xml:space="preserve"> sine </w:t>
      </w:r>
      <w:proofErr w:type="spellStart"/>
      <w:r w:rsidRPr="00580C0D">
        <w:t>rettar</w:t>
      </w:r>
      <w:proofErr w:type="spellEnd"/>
      <w:r w:rsidRPr="00580C0D">
        <w:t xml:space="preserve">, </w:t>
      </w:r>
      <w:proofErr w:type="spellStart"/>
      <w:r w:rsidRPr="00580C0D">
        <w:t>sikrar</w:t>
      </w:r>
      <w:proofErr w:type="spellEnd"/>
      <w:r w:rsidRPr="00580C0D">
        <w:t xml:space="preserve"> </w:t>
      </w:r>
      <w:proofErr w:type="spellStart"/>
      <w:r w:rsidRPr="00580C0D">
        <w:t>grunnleggande</w:t>
      </w:r>
      <w:proofErr w:type="spellEnd"/>
      <w:r w:rsidRPr="00580C0D">
        <w:t xml:space="preserve"> </w:t>
      </w:r>
      <w:proofErr w:type="spellStart"/>
      <w:r w:rsidRPr="00580C0D">
        <w:t>butryggleik</w:t>
      </w:r>
      <w:proofErr w:type="spellEnd"/>
      <w:r w:rsidRPr="00580C0D">
        <w:t xml:space="preserve"> og som </w:t>
      </w:r>
      <w:proofErr w:type="spellStart"/>
      <w:r w:rsidRPr="00580C0D">
        <w:t>gjer</w:t>
      </w:r>
      <w:proofErr w:type="spellEnd"/>
      <w:r w:rsidRPr="00580C0D">
        <w:t xml:space="preserve"> at lova er tilpassa situasjonen i </w:t>
      </w:r>
      <w:proofErr w:type="spellStart"/>
      <w:r w:rsidRPr="00580C0D">
        <w:t>leigemarknaden</w:t>
      </w:r>
      <w:proofErr w:type="spellEnd"/>
      <w:r w:rsidRPr="00580C0D">
        <w:t xml:space="preserve">. </w:t>
      </w:r>
      <w:proofErr w:type="spellStart"/>
      <w:r w:rsidRPr="00580C0D">
        <w:t>Utvalet</w:t>
      </w:r>
      <w:proofErr w:type="spellEnd"/>
      <w:r w:rsidRPr="00580C0D">
        <w:t xml:space="preserve"> skal òg vurdere </w:t>
      </w:r>
      <w:proofErr w:type="spellStart"/>
      <w:r w:rsidRPr="00580C0D">
        <w:t>endringar</w:t>
      </w:r>
      <w:proofErr w:type="spellEnd"/>
      <w:r w:rsidRPr="00580C0D">
        <w:t xml:space="preserve"> som </w:t>
      </w:r>
      <w:proofErr w:type="spellStart"/>
      <w:r w:rsidRPr="00580C0D">
        <w:t>gjer</w:t>
      </w:r>
      <w:proofErr w:type="spellEnd"/>
      <w:r w:rsidRPr="00580C0D">
        <w:t xml:space="preserve"> at lova betre enn i dag varetar interessene til </w:t>
      </w:r>
      <w:proofErr w:type="spellStart"/>
      <w:r w:rsidRPr="00580C0D">
        <w:t>dei</w:t>
      </w:r>
      <w:proofErr w:type="spellEnd"/>
      <w:r w:rsidRPr="00580C0D">
        <w:t xml:space="preserve"> ulike </w:t>
      </w:r>
      <w:proofErr w:type="spellStart"/>
      <w:r w:rsidRPr="00580C0D">
        <w:t>aktørane</w:t>
      </w:r>
      <w:proofErr w:type="spellEnd"/>
      <w:r w:rsidRPr="00580C0D">
        <w:t xml:space="preserve"> i </w:t>
      </w:r>
      <w:proofErr w:type="spellStart"/>
      <w:r w:rsidRPr="00580C0D">
        <w:t>leigemarknaden</w:t>
      </w:r>
      <w:proofErr w:type="spellEnd"/>
      <w:r w:rsidRPr="00580C0D">
        <w:t xml:space="preserve"> på </w:t>
      </w:r>
      <w:proofErr w:type="spellStart"/>
      <w:r w:rsidRPr="00580C0D">
        <w:t>ein</w:t>
      </w:r>
      <w:proofErr w:type="spellEnd"/>
      <w:r w:rsidRPr="00580C0D">
        <w:t xml:space="preserve"> god og </w:t>
      </w:r>
      <w:proofErr w:type="spellStart"/>
      <w:r w:rsidRPr="00580C0D">
        <w:t>samfunnstenleg</w:t>
      </w:r>
      <w:proofErr w:type="spellEnd"/>
      <w:r w:rsidRPr="00580C0D">
        <w:t xml:space="preserve"> måte. Departementet tar sikte på å legge fram </w:t>
      </w:r>
      <w:proofErr w:type="spellStart"/>
      <w:r w:rsidRPr="00580C0D">
        <w:t>eit</w:t>
      </w:r>
      <w:proofErr w:type="spellEnd"/>
      <w:r w:rsidRPr="00580C0D">
        <w:t xml:space="preserve"> forslag om </w:t>
      </w:r>
      <w:proofErr w:type="spellStart"/>
      <w:r w:rsidRPr="00580C0D">
        <w:t>endringar</w:t>
      </w:r>
      <w:proofErr w:type="spellEnd"/>
      <w:r w:rsidRPr="00580C0D">
        <w:t xml:space="preserve"> i </w:t>
      </w:r>
      <w:proofErr w:type="spellStart"/>
      <w:r w:rsidRPr="00580C0D">
        <w:t>delar</w:t>
      </w:r>
      <w:proofErr w:type="spellEnd"/>
      <w:r w:rsidRPr="00580C0D">
        <w:t xml:space="preserve"> av lova i </w:t>
      </w:r>
      <w:proofErr w:type="spellStart"/>
      <w:r w:rsidRPr="00580C0D">
        <w:t>inneverande</w:t>
      </w:r>
      <w:proofErr w:type="spellEnd"/>
      <w:r w:rsidRPr="00580C0D">
        <w:t xml:space="preserve"> stortingsperiode.</w:t>
      </w:r>
    </w:p>
    <w:p w14:paraId="769C69F8" w14:textId="77777777" w:rsidR="00F7113A" w:rsidRPr="00580C0D" w:rsidRDefault="00142E5B" w:rsidP="00580C0D">
      <w:r w:rsidRPr="00580C0D">
        <w:t xml:space="preserve">Departementet meiner med dette at </w:t>
      </w:r>
      <w:proofErr w:type="spellStart"/>
      <w:r w:rsidRPr="00580C0D">
        <w:t>oppmodningsvedtaket</w:t>
      </w:r>
      <w:proofErr w:type="spellEnd"/>
      <w:r w:rsidRPr="00580C0D">
        <w:t xml:space="preserve"> er </w:t>
      </w:r>
      <w:proofErr w:type="spellStart"/>
      <w:r w:rsidRPr="00580C0D">
        <w:t>følgt</w:t>
      </w:r>
      <w:proofErr w:type="spellEnd"/>
      <w:r w:rsidRPr="00580C0D">
        <w:t xml:space="preserve"> opp.</w:t>
      </w:r>
    </w:p>
    <w:p w14:paraId="699A3405" w14:textId="77777777" w:rsidR="00F7113A" w:rsidRPr="00580C0D" w:rsidRDefault="00142E5B" w:rsidP="00580C0D">
      <w:pPr>
        <w:pStyle w:val="avsnitt-tittel"/>
      </w:pPr>
      <w:proofErr w:type="spellStart"/>
      <w:r w:rsidRPr="00580C0D">
        <w:t>Konsekvensar</w:t>
      </w:r>
      <w:proofErr w:type="spellEnd"/>
      <w:r w:rsidRPr="00580C0D">
        <w:t xml:space="preserve"> ved </w:t>
      </w:r>
      <w:proofErr w:type="spellStart"/>
      <w:r w:rsidRPr="00580C0D">
        <w:t>eit</w:t>
      </w:r>
      <w:proofErr w:type="spellEnd"/>
      <w:r w:rsidRPr="00580C0D">
        <w:t xml:space="preserve"> norsk </w:t>
      </w:r>
      <w:proofErr w:type="spellStart"/>
      <w:r w:rsidRPr="00580C0D">
        <w:t>forbod</w:t>
      </w:r>
      <w:proofErr w:type="spellEnd"/>
      <w:r w:rsidRPr="00580C0D">
        <w:t xml:space="preserve"> mot </w:t>
      </w:r>
      <w:proofErr w:type="spellStart"/>
      <w:r w:rsidRPr="00580C0D">
        <w:t>atferdsbasert</w:t>
      </w:r>
      <w:proofErr w:type="spellEnd"/>
      <w:r w:rsidRPr="00580C0D">
        <w:t xml:space="preserve"> reklame</w:t>
      </w:r>
    </w:p>
    <w:p w14:paraId="5BCA976E" w14:textId="77777777" w:rsidR="00F7113A" w:rsidRPr="00580C0D" w:rsidRDefault="00142E5B" w:rsidP="00580C0D">
      <w:pPr>
        <w:pStyle w:val="avsnitt-undertittel"/>
      </w:pPr>
      <w:r w:rsidRPr="00580C0D">
        <w:t>Vedtak nr. 196, 12. desember 2022</w:t>
      </w:r>
    </w:p>
    <w:p w14:paraId="06203B38" w14:textId="77777777" w:rsidR="00F7113A" w:rsidRPr="00580C0D" w:rsidRDefault="00142E5B" w:rsidP="00580C0D">
      <w:pPr>
        <w:pStyle w:val="blokksit"/>
        <w:rPr>
          <w:rStyle w:val="kursiv"/>
        </w:rPr>
      </w:pPr>
      <w:r w:rsidRPr="00580C0D">
        <w:rPr>
          <w:rStyle w:val="kursiv"/>
        </w:rPr>
        <w:t xml:space="preserve">«Stortinget ber regjeringen vurdere hvilket handlingsrom Norge har til å regulere digitale tjenester utover reguleringen i Digital Services </w:t>
      </w:r>
      <w:proofErr w:type="spellStart"/>
      <w:r w:rsidRPr="00580C0D">
        <w:rPr>
          <w:rStyle w:val="kursiv"/>
        </w:rPr>
        <w:t>Act</w:t>
      </w:r>
      <w:proofErr w:type="spellEnd"/>
      <w:r w:rsidRPr="00580C0D">
        <w:rPr>
          <w:rStyle w:val="kursiv"/>
        </w:rPr>
        <w:t xml:space="preserve"> og Digital Markets </w:t>
      </w:r>
      <w:proofErr w:type="spellStart"/>
      <w:r w:rsidRPr="00580C0D">
        <w:rPr>
          <w:rStyle w:val="kursiv"/>
        </w:rPr>
        <w:t>Act</w:t>
      </w:r>
      <w:proofErr w:type="spellEnd"/>
      <w:r w:rsidRPr="00580C0D">
        <w:rPr>
          <w:rStyle w:val="kursiv"/>
        </w:rPr>
        <w:t>, med tanke på å vurdere konsekvenser ved et norsk forbud mot reklame som er basert på masseinnsamling av personopplysninger, sporing og profilering av enkeltpersoner på digitale plattformer. Vurderingen skal omfatte både innhentingen, bruken og eventuelt salg/utlevering av personopplysningene.»</w:t>
      </w:r>
    </w:p>
    <w:p w14:paraId="1D8C882C"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Sveinung Rotevatn, Ingvild </w:t>
      </w:r>
      <w:proofErr w:type="spellStart"/>
      <w:r w:rsidRPr="00580C0D">
        <w:t>Wetrhus</w:t>
      </w:r>
      <w:proofErr w:type="spellEnd"/>
      <w:r w:rsidRPr="00580C0D">
        <w:t xml:space="preserve"> </w:t>
      </w:r>
      <w:proofErr w:type="spellStart"/>
      <w:r w:rsidRPr="00580C0D">
        <w:t>Thorsvik</w:t>
      </w:r>
      <w:proofErr w:type="spellEnd"/>
      <w:r w:rsidRPr="00580C0D">
        <w:t xml:space="preserve">, Grunde Almeland og Alfred Jens Bjørlo om betre personvern på sosiale media, jf. Dokument 8:167 S (2021–2022) og </w:t>
      </w:r>
      <w:proofErr w:type="spellStart"/>
      <w:r w:rsidRPr="00580C0D">
        <w:t>Innst</w:t>
      </w:r>
      <w:proofErr w:type="spellEnd"/>
      <w:r w:rsidRPr="00580C0D">
        <w:t>. 100 S (2022–2023).</w:t>
      </w:r>
    </w:p>
    <w:p w14:paraId="3350B5A2" w14:textId="77777777" w:rsidR="00F7113A" w:rsidRPr="00580C0D" w:rsidRDefault="00142E5B" w:rsidP="00580C0D">
      <w:r w:rsidRPr="00580C0D">
        <w:t xml:space="preserve">Departementet er opptatt av </w:t>
      </w:r>
      <w:proofErr w:type="spellStart"/>
      <w:r w:rsidRPr="00580C0D">
        <w:t>ein</w:t>
      </w:r>
      <w:proofErr w:type="spellEnd"/>
      <w:r w:rsidRPr="00580C0D">
        <w:t xml:space="preserve"> god digitaliseringspolitikk som </w:t>
      </w:r>
      <w:proofErr w:type="spellStart"/>
      <w:r w:rsidRPr="00580C0D">
        <w:t>tek</w:t>
      </w:r>
      <w:proofErr w:type="spellEnd"/>
      <w:r w:rsidRPr="00580C0D">
        <w:t xml:space="preserve"> vare på både personvernet og næringsinteresser. Departementet vurderer, i dialog med andre departement som saka rører ved, korleis oppmodingsvedtaket best kan </w:t>
      </w:r>
      <w:proofErr w:type="spellStart"/>
      <w:r w:rsidRPr="00580C0D">
        <w:t>følgjast</w:t>
      </w:r>
      <w:proofErr w:type="spellEnd"/>
      <w:r w:rsidRPr="00580C0D">
        <w:t xml:space="preserve"> opp.</w:t>
      </w:r>
    </w:p>
    <w:p w14:paraId="3A54E3CA"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65B39159" w14:textId="77777777" w:rsidR="00F7113A" w:rsidRPr="00580C0D" w:rsidRDefault="00142E5B" w:rsidP="00580C0D">
      <w:pPr>
        <w:pStyle w:val="avsnitt-tittel"/>
      </w:pPr>
      <w:r w:rsidRPr="00580C0D">
        <w:t xml:space="preserve">Lagring av biometriske data </w:t>
      </w:r>
      <w:proofErr w:type="spellStart"/>
      <w:r w:rsidRPr="00580C0D">
        <w:t>frå</w:t>
      </w:r>
      <w:proofErr w:type="spellEnd"/>
      <w:r w:rsidRPr="00580C0D">
        <w:t xml:space="preserve"> sosiale medieplattformer</w:t>
      </w:r>
    </w:p>
    <w:p w14:paraId="34DC02C9" w14:textId="77777777" w:rsidR="00F7113A" w:rsidRPr="00580C0D" w:rsidRDefault="00142E5B" w:rsidP="00580C0D">
      <w:pPr>
        <w:pStyle w:val="avsnitt-undertittel"/>
      </w:pPr>
      <w:r w:rsidRPr="00580C0D">
        <w:t>Vedtak nr. 197, 12. desember 2022</w:t>
      </w:r>
    </w:p>
    <w:p w14:paraId="7763B1BB" w14:textId="77777777" w:rsidR="00F7113A" w:rsidRPr="00580C0D" w:rsidRDefault="00142E5B" w:rsidP="00580C0D">
      <w:pPr>
        <w:pStyle w:val="blokksit"/>
        <w:rPr>
          <w:rStyle w:val="kursiv"/>
        </w:rPr>
      </w:pPr>
      <w:r w:rsidRPr="00580C0D">
        <w:rPr>
          <w:rStyle w:val="kursiv"/>
        </w:rPr>
        <w:t>«Stortinget ber regjeringen utrede omfanget av og utfordringene rundt lagring av biometriske data fra norske forbrukere på sosiale medieplattformer.»</w:t>
      </w:r>
    </w:p>
    <w:p w14:paraId="46A65589"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Guri Melby, Sveinung Rotevatn, Ingvild </w:t>
      </w:r>
      <w:proofErr w:type="spellStart"/>
      <w:r w:rsidRPr="00580C0D">
        <w:t>Wetrhus</w:t>
      </w:r>
      <w:proofErr w:type="spellEnd"/>
      <w:r w:rsidRPr="00580C0D">
        <w:t xml:space="preserve"> </w:t>
      </w:r>
      <w:proofErr w:type="spellStart"/>
      <w:r w:rsidRPr="00580C0D">
        <w:t>Thorsvik</w:t>
      </w:r>
      <w:proofErr w:type="spellEnd"/>
      <w:r w:rsidRPr="00580C0D">
        <w:t xml:space="preserve">, Grunde Almeland og Alfred Jens Bjørlo om betre personvern på sosiale media, jf. Dokument 8:167 S (2021–2022) og </w:t>
      </w:r>
      <w:proofErr w:type="spellStart"/>
      <w:r w:rsidRPr="00580C0D">
        <w:t>Innst</w:t>
      </w:r>
      <w:proofErr w:type="spellEnd"/>
      <w:r w:rsidRPr="00580C0D">
        <w:t>. 100 S (2022–2023).</w:t>
      </w:r>
    </w:p>
    <w:p w14:paraId="762C3352" w14:textId="77777777" w:rsidR="00F7113A" w:rsidRPr="00580C0D" w:rsidRDefault="00142E5B" w:rsidP="00580C0D">
      <w:r w:rsidRPr="00580C0D">
        <w:t xml:space="preserve">Departementet tar sikte på å </w:t>
      </w:r>
      <w:proofErr w:type="spellStart"/>
      <w:r w:rsidRPr="00580C0D">
        <w:t>følgje</w:t>
      </w:r>
      <w:proofErr w:type="spellEnd"/>
      <w:r w:rsidRPr="00580C0D">
        <w:t xml:space="preserve"> opp oppmodingsvedtaket i samband med oppfølginga av Personvernkommisjonens rapport NOU 2022: 11 </w:t>
      </w:r>
      <w:r w:rsidRPr="00580C0D">
        <w:rPr>
          <w:rStyle w:val="kursiv"/>
        </w:rPr>
        <w:t>Ditt personvern – vårt felles ansva</w:t>
      </w:r>
      <w:r w:rsidRPr="00580C0D">
        <w:t>r.</w:t>
      </w:r>
    </w:p>
    <w:p w14:paraId="18B9C6BB"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2A09A3D0" w14:textId="77777777" w:rsidR="00F7113A" w:rsidRPr="00580C0D" w:rsidRDefault="00142E5B" w:rsidP="00580C0D">
      <w:pPr>
        <w:pStyle w:val="avsnitt-tittel"/>
      </w:pPr>
      <w:r w:rsidRPr="00580C0D">
        <w:t>Evaluering av støttetiltaka for Aust-Finnmark</w:t>
      </w:r>
    </w:p>
    <w:p w14:paraId="4EDE3F06" w14:textId="77777777" w:rsidR="00F7113A" w:rsidRPr="00580C0D" w:rsidRDefault="00142E5B" w:rsidP="00580C0D">
      <w:pPr>
        <w:pStyle w:val="avsnitt-undertittel"/>
      </w:pPr>
      <w:r w:rsidRPr="00580C0D">
        <w:t>Vedtak nr. 380, 19. desember 2022</w:t>
      </w:r>
    </w:p>
    <w:p w14:paraId="3F24A890" w14:textId="77777777" w:rsidR="00F7113A" w:rsidRPr="00580C0D" w:rsidRDefault="00142E5B" w:rsidP="00580C0D">
      <w:pPr>
        <w:pStyle w:val="blokksit"/>
        <w:rPr>
          <w:rStyle w:val="kursiv"/>
        </w:rPr>
      </w:pPr>
      <w:r w:rsidRPr="00580C0D">
        <w:rPr>
          <w:rStyle w:val="kursiv"/>
        </w:rPr>
        <w:t xml:space="preserve">«Stortinget ber regjeringen evaluere støttetiltakene for Øst-Finnmark vedtatt ved behandlingen av </w:t>
      </w:r>
      <w:proofErr w:type="spellStart"/>
      <w:r w:rsidRPr="00580C0D">
        <w:rPr>
          <w:rStyle w:val="kursiv"/>
        </w:rPr>
        <w:t>Prop</w:t>
      </w:r>
      <w:proofErr w:type="spellEnd"/>
      <w:r w:rsidRPr="00580C0D">
        <w:rPr>
          <w:rStyle w:val="kursiv"/>
        </w:rPr>
        <w:t>. 78 S (2021–2022), og orientere Stortinget på egnet måte, senest våren 2023.»</w:t>
      </w:r>
    </w:p>
    <w:p w14:paraId="7C637EEA"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Alfred Jens Bjørlo, Guri Melby og Sofie </w:t>
      </w:r>
      <w:proofErr w:type="spellStart"/>
      <w:r w:rsidRPr="00580C0D">
        <w:t>Høgestøl</w:t>
      </w:r>
      <w:proofErr w:type="spellEnd"/>
      <w:r w:rsidRPr="00580C0D">
        <w:t xml:space="preserve"> om </w:t>
      </w:r>
      <w:proofErr w:type="spellStart"/>
      <w:r w:rsidRPr="00580C0D">
        <w:t>ein</w:t>
      </w:r>
      <w:proofErr w:type="spellEnd"/>
      <w:r w:rsidRPr="00580C0D">
        <w:t xml:space="preserve"> omstillingspakke for Finnmark, jf. Dokument 8:269 S (2021–2022) og </w:t>
      </w:r>
      <w:proofErr w:type="spellStart"/>
      <w:r w:rsidRPr="00580C0D">
        <w:t>Innst</w:t>
      </w:r>
      <w:proofErr w:type="spellEnd"/>
      <w:r w:rsidRPr="00580C0D">
        <w:t>. 95 S (2022–2023.</w:t>
      </w:r>
    </w:p>
    <w:p w14:paraId="1008D8B6" w14:textId="77777777" w:rsidR="00F7113A" w:rsidRPr="00580C0D" w:rsidRDefault="00142E5B" w:rsidP="00580C0D">
      <w:r w:rsidRPr="00580C0D">
        <w:t xml:space="preserve">Oppmodingsvedtaket vart </w:t>
      </w:r>
      <w:proofErr w:type="spellStart"/>
      <w:r w:rsidRPr="00580C0D">
        <w:t>følgt</w:t>
      </w:r>
      <w:proofErr w:type="spellEnd"/>
      <w:r w:rsidRPr="00580C0D">
        <w:t xml:space="preserve"> opp i samband med revidert nasjonalbudsjett for 2023, jf. omtale i </w:t>
      </w:r>
      <w:proofErr w:type="spellStart"/>
      <w:r w:rsidRPr="00580C0D">
        <w:t>Prop</w:t>
      </w:r>
      <w:proofErr w:type="spellEnd"/>
      <w:r w:rsidRPr="00580C0D">
        <w:t>. 118 S (2022–2023</w:t>
      </w:r>
      <w:r w:rsidRPr="00580C0D">
        <w:rPr>
          <w:rStyle w:val="kursiv"/>
        </w:rPr>
        <w:t>) Tilleggsbevilgninger og omprioriteringer i statsbudsjettet 2023</w:t>
      </w:r>
      <w:r w:rsidRPr="00580C0D">
        <w:t>.</w:t>
      </w:r>
    </w:p>
    <w:p w14:paraId="3E6E81C7" w14:textId="77777777" w:rsidR="00F7113A" w:rsidRPr="00580C0D" w:rsidRDefault="00142E5B" w:rsidP="00580C0D">
      <w:pPr>
        <w:pStyle w:val="avsnitt-tittel"/>
      </w:pPr>
      <w:proofErr w:type="spellStart"/>
      <w:r w:rsidRPr="00580C0D">
        <w:t>Statlege</w:t>
      </w:r>
      <w:proofErr w:type="spellEnd"/>
      <w:r w:rsidRPr="00580C0D">
        <w:t xml:space="preserve"> </w:t>
      </w:r>
      <w:proofErr w:type="spellStart"/>
      <w:r w:rsidRPr="00580C0D">
        <w:t>arbeidsplassar</w:t>
      </w:r>
      <w:proofErr w:type="spellEnd"/>
      <w:r w:rsidRPr="00580C0D">
        <w:t xml:space="preserve"> til Finnmark</w:t>
      </w:r>
    </w:p>
    <w:p w14:paraId="307589F5" w14:textId="77777777" w:rsidR="00F7113A" w:rsidRPr="00580C0D" w:rsidRDefault="00142E5B" w:rsidP="00580C0D">
      <w:pPr>
        <w:pStyle w:val="avsnitt-undertittel"/>
      </w:pPr>
      <w:r w:rsidRPr="00580C0D">
        <w:t>Vedtak nr. 383, 19. desember 2022</w:t>
      </w:r>
    </w:p>
    <w:p w14:paraId="283A4D9A" w14:textId="77777777" w:rsidR="00F7113A" w:rsidRPr="00580C0D" w:rsidRDefault="00142E5B" w:rsidP="00580C0D">
      <w:pPr>
        <w:pStyle w:val="blokksit"/>
        <w:rPr>
          <w:rStyle w:val="kursiv"/>
        </w:rPr>
      </w:pPr>
      <w:r w:rsidRPr="00580C0D">
        <w:rPr>
          <w:rStyle w:val="kursiv"/>
        </w:rPr>
        <w:t>«Stortinget ber regjeringen vurdere utflytting og lokalisering av egnede statlige arbeidsplasser til Finnmark.»</w:t>
      </w:r>
    </w:p>
    <w:p w14:paraId="5FBFDF5D"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Alfred Jens Bjørlo, Guri Melby og Sofie </w:t>
      </w:r>
      <w:proofErr w:type="spellStart"/>
      <w:r w:rsidRPr="00580C0D">
        <w:t>Høgestøl</w:t>
      </w:r>
      <w:proofErr w:type="spellEnd"/>
      <w:r w:rsidRPr="00580C0D">
        <w:t xml:space="preserve"> om </w:t>
      </w:r>
      <w:proofErr w:type="spellStart"/>
      <w:r w:rsidRPr="00580C0D">
        <w:t>ein</w:t>
      </w:r>
      <w:proofErr w:type="spellEnd"/>
      <w:r w:rsidRPr="00580C0D">
        <w:t xml:space="preserve"> omstillingspakke for Finnmark, jf. Dokument 8:269 S (2021–2022) og </w:t>
      </w:r>
      <w:proofErr w:type="spellStart"/>
      <w:r w:rsidRPr="00580C0D">
        <w:t>Innst</w:t>
      </w:r>
      <w:proofErr w:type="spellEnd"/>
      <w:r w:rsidRPr="00580C0D">
        <w:t>. 95 S (2022–2023.</w:t>
      </w:r>
    </w:p>
    <w:p w14:paraId="5EE8EB7E" w14:textId="77777777" w:rsidR="00F7113A" w:rsidRPr="00580C0D" w:rsidRDefault="00142E5B" w:rsidP="00580C0D">
      <w:r w:rsidRPr="00580C0D">
        <w:t xml:space="preserve">Regjeringa er opptatt av utviklinga i Finnmark og ser lokalisering av </w:t>
      </w:r>
      <w:proofErr w:type="spellStart"/>
      <w:r w:rsidRPr="00580C0D">
        <w:t>statlege</w:t>
      </w:r>
      <w:proofErr w:type="spellEnd"/>
      <w:r w:rsidRPr="00580C0D">
        <w:t xml:space="preserve"> </w:t>
      </w:r>
      <w:proofErr w:type="spellStart"/>
      <w:r w:rsidRPr="00580C0D">
        <w:t>verksemder</w:t>
      </w:r>
      <w:proofErr w:type="spellEnd"/>
      <w:r w:rsidRPr="00580C0D">
        <w:t xml:space="preserve"> i regionen som </w:t>
      </w:r>
      <w:proofErr w:type="spellStart"/>
      <w:r w:rsidRPr="00580C0D">
        <w:t>eit</w:t>
      </w:r>
      <w:proofErr w:type="spellEnd"/>
      <w:r w:rsidRPr="00580C0D">
        <w:t xml:space="preserve"> verktøy for styrking av lokale </w:t>
      </w:r>
      <w:proofErr w:type="spellStart"/>
      <w:r w:rsidRPr="00580C0D">
        <w:t>arbeidsmarknader</w:t>
      </w:r>
      <w:proofErr w:type="spellEnd"/>
      <w:r w:rsidRPr="00580C0D">
        <w:t xml:space="preserve"> og </w:t>
      </w:r>
      <w:proofErr w:type="spellStart"/>
      <w:r w:rsidRPr="00580C0D">
        <w:t>auka</w:t>
      </w:r>
      <w:proofErr w:type="spellEnd"/>
      <w:r w:rsidRPr="00580C0D">
        <w:t xml:space="preserve"> attraktivitet for busetting. Regjeringa er derfor opptatt av å legge til rette for at </w:t>
      </w:r>
      <w:proofErr w:type="spellStart"/>
      <w:r w:rsidRPr="00580C0D">
        <w:t>moglege</w:t>
      </w:r>
      <w:proofErr w:type="spellEnd"/>
      <w:r w:rsidRPr="00580C0D">
        <w:t xml:space="preserve"> alternativ for lokalisering av </w:t>
      </w:r>
      <w:proofErr w:type="spellStart"/>
      <w:r w:rsidRPr="00580C0D">
        <w:t>statlege</w:t>
      </w:r>
      <w:proofErr w:type="spellEnd"/>
      <w:r w:rsidRPr="00580C0D">
        <w:t xml:space="preserve"> </w:t>
      </w:r>
      <w:proofErr w:type="spellStart"/>
      <w:r w:rsidRPr="00580C0D">
        <w:t>arbeidsplassar</w:t>
      </w:r>
      <w:proofErr w:type="spellEnd"/>
      <w:r w:rsidRPr="00580C0D">
        <w:t xml:space="preserve"> i Finnmark også blir vurdert.</w:t>
      </w:r>
    </w:p>
    <w:p w14:paraId="289F3284" w14:textId="77777777" w:rsidR="00F7113A" w:rsidRPr="00580C0D" w:rsidRDefault="00142E5B" w:rsidP="00580C0D">
      <w:r w:rsidRPr="00580C0D">
        <w:t xml:space="preserve">I retningslinjene for lokalisering av </w:t>
      </w:r>
      <w:proofErr w:type="spellStart"/>
      <w:r w:rsidRPr="00580C0D">
        <w:t>statlege</w:t>
      </w:r>
      <w:proofErr w:type="spellEnd"/>
      <w:r w:rsidRPr="00580C0D">
        <w:t xml:space="preserve"> </w:t>
      </w:r>
      <w:proofErr w:type="spellStart"/>
      <w:r w:rsidRPr="00580C0D">
        <w:t>arbeidsplassar</w:t>
      </w:r>
      <w:proofErr w:type="spellEnd"/>
      <w:r w:rsidRPr="00580C0D">
        <w:t xml:space="preserve"> og </w:t>
      </w:r>
      <w:proofErr w:type="spellStart"/>
      <w:r w:rsidRPr="00580C0D">
        <w:t>statleg</w:t>
      </w:r>
      <w:proofErr w:type="spellEnd"/>
      <w:r w:rsidRPr="00580C0D">
        <w:t xml:space="preserve"> </w:t>
      </w:r>
      <w:proofErr w:type="spellStart"/>
      <w:r w:rsidRPr="00580C0D">
        <w:t>tenesteproduksjon</w:t>
      </w:r>
      <w:proofErr w:type="spellEnd"/>
      <w:r w:rsidRPr="00580C0D">
        <w:t xml:space="preserve"> er det presisert at </w:t>
      </w:r>
      <w:proofErr w:type="spellStart"/>
      <w:r w:rsidRPr="00580C0D">
        <w:t>eitt</w:t>
      </w:r>
      <w:proofErr w:type="spellEnd"/>
      <w:r w:rsidRPr="00580C0D">
        <w:t xml:space="preserve"> av tre lokaliseringsalternativ som blir vurdert, skal ligge på sentralitet 3-6. Den </w:t>
      </w:r>
      <w:proofErr w:type="spellStart"/>
      <w:r w:rsidRPr="00580C0D">
        <w:t>tilhøyrande</w:t>
      </w:r>
      <w:proofErr w:type="spellEnd"/>
      <w:r w:rsidRPr="00580C0D">
        <w:t xml:space="preserve"> </w:t>
      </w:r>
      <w:proofErr w:type="spellStart"/>
      <w:r w:rsidRPr="00580C0D">
        <w:t>rettleiaren</w:t>
      </w:r>
      <w:proofErr w:type="spellEnd"/>
      <w:r w:rsidRPr="00580C0D">
        <w:t xml:space="preserve"> </w:t>
      </w:r>
      <w:proofErr w:type="spellStart"/>
      <w:r w:rsidRPr="00580C0D">
        <w:t>peikar</w:t>
      </w:r>
      <w:proofErr w:type="spellEnd"/>
      <w:r w:rsidRPr="00580C0D">
        <w:t xml:space="preserve"> på at lokalisering i Nord-</w:t>
      </w:r>
      <w:proofErr w:type="spellStart"/>
      <w:r w:rsidRPr="00580C0D">
        <w:t>Noreg</w:t>
      </w:r>
      <w:proofErr w:type="spellEnd"/>
      <w:r w:rsidRPr="00580C0D">
        <w:t xml:space="preserve"> bør bli vurdert. Som oppfølging av oppmodingsvedtaket vil regjeringa spisse denne oppmodinga til at «lokalisering i Nord-</w:t>
      </w:r>
      <w:proofErr w:type="spellStart"/>
      <w:r w:rsidRPr="00580C0D">
        <w:t>Noreg</w:t>
      </w:r>
      <w:proofErr w:type="spellEnd"/>
      <w:r w:rsidRPr="00580C0D">
        <w:t xml:space="preserve"> og </w:t>
      </w:r>
      <w:proofErr w:type="spellStart"/>
      <w:r w:rsidRPr="00580C0D">
        <w:t>særleg</w:t>
      </w:r>
      <w:proofErr w:type="spellEnd"/>
      <w:r w:rsidRPr="00580C0D">
        <w:t xml:space="preserve"> i Finnmark bør bli vurdert».</w:t>
      </w:r>
    </w:p>
    <w:p w14:paraId="7E61C173" w14:textId="77777777" w:rsidR="00F7113A" w:rsidRPr="00580C0D" w:rsidRDefault="00142E5B" w:rsidP="00580C0D">
      <w:r w:rsidRPr="00580C0D">
        <w:t xml:space="preserve">I lokaliseringssaker som denne regjeringa har behandla i tråd med retningslinjene, har </w:t>
      </w:r>
      <w:proofErr w:type="spellStart"/>
      <w:r w:rsidRPr="00580C0D">
        <w:t>følgjande</w:t>
      </w:r>
      <w:proofErr w:type="spellEnd"/>
      <w:r w:rsidRPr="00580C0D">
        <w:t xml:space="preserve"> blitt lagt til Finnmark:</w:t>
      </w:r>
    </w:p>
    <w:p w14:paraId="07474E45" w14:textId="77777777" w:rsidR="00F7113A" w:rsidRPr="00580C0D" w:rsidRDefault="00142E5B" w:rsidP="00580C0D">
      <w:pPr>
        <w:pStyle w:val="Liste"/>
      </w:pPr>
      <w:r w:rsidRPr="00580C0D">
        <w:t xml:space="preserve">Sekretariatet for tilsynsrådet for kriminalomsorga, fem </w:t>
      </w:r>
      <w:proofErr w:type="spellStart"/>
      <w:r w:rsidRPr="00580C0D">
        <w:t>stillingar</w:t>
      </w:r>
      <w:proofErr w:type="spellEnd"/>
      <w:r w:rsidRPr="00580C0D">
        <w:t xml:space="preserve"> til Vardø (nyetablering).</w:t>
      </w:r>
    </w:p>
    <w:p w14:paraId="55925959" w14:textId="77777777" w:rsidR="00F7113A" w:rsidRPr="00580C0D" w:rsidRDefault="00142E5B" w:rsidP="00580C0D">
      <w:pPr>
        <w:pStyle w:val="Liste"/>
      </w:pPr>
      <w:r w:rsidRPr="00580C0D">
        <w:t xml:space="preserve">Fiskeridirektoratet: </w:t>
      </w:r>
      <w:proofErr w:type="spellStart"/>
      <w:r w:rsidRPr="00580C0D">
        <w:t>Leiarfunksjonen</w:t>
      </w:r>
      <w:proofErr w:type="spellEnd"/>
      <w:r w:rsidRPr="00580C0D">
        <w:t xml:space="preserve"> i Fartøy- og deltakerseksjonen blir lagt til Vadsø.</w:t>
      </w:r>
    </w:p>
    <w:p w14:paraId="6A7A9295" w14:textId="77777777" w:rsidR="00F7113A" w:rsidRPr="00580C0D" w:rsidRDefault="00142E5B" w:rsidP="00580C0D">
      <w:r w:rsidRPr="00580C0D">
        <w:t xml:space="preserve">Regjeringa har gitt føring til alle </w:t>
      </w:r>
      <w:proofErr w:type="spellStart"/>
      <w:r w:rsidRPr="00580C0D">
        <w:t>statlege</w:t>
      </w:r>
      <w:proofErr w:type="spellEnd"/>
      <w:r w:rsidRPr="00580C0D">
        <w:t xml:space="preserve"> </w:t>
      </w:r>
      <w:proofErr w:type="spellStart"/>
      <w:r w:rsidRPr="00580C0D">
        <w:t>verksemder</w:t>
      </w:r>
      <w:proofErr w:type="spellEnd"/>
      <w:r w:rsidRPr="00580C0D">
        <w:t xml:space="preserve"> om å </w:t>
      </w:r>
      <w:proofErr w:type="spellStart"/>
      <w:r w:rsidRPr="00580C0D">
        <w:t>styrkje</w:t>
      </w:r>
      <w:proofErr w:type="spellEnd"/>
      <w:r w:rsidRPr="00580C0D">
        <w:t xml:space="preserve"> tilrettelegginga for desentralisert arbeid. Dette vil kunne gi høve til </w:t>
      </w:r>
      <w:proofErr w:type="spellStart"/>
      <w:r w:rsidRPr="00580C0D">
        <w:t>fleire</w:t>
      </w:r>
      <w:proofErr w:type="spellEnd"/>
      <w:r w:rsidRPr="00580C0D">
        <w:t xml:space="preserve"> å kunne enten ta med seg </w:t>
      </w:r>
      <w:proofErr w:type="spellStart"/>
      <w:r w:rsidRPr="00580C0D">
        <w:t>ein</w:t>
      </w:r>
      <w:proofErr w:type="spellEnd"/>
      <w:r w:rsidRPr="00580C0D">
        <w:t xml:space="preserve"> </w:t>
      </w:r>
      <w:proofErr w:type="spellStart"/>
      <w:r w:rsidRPr="00580C0D">
        <w:t>statleg</w:t>
      </w:r>
      <w:proofErr w:type="spellEnd"/>
      <w:r w:rsidRPr="00580C0D">
        <w:t xml:space="preserve"> jobb ved flytting til Finnmark, eller at folk som bur i Finnmark kan ha tilgang til </w:t>
      </w:r>
      <w:proofErr w:type="spellStart"/>
      <w:r w:rsidRPr="00580C0D">
        <w:t>statlege</w:t>
      </w:r>
      <w:proofErr w:type="spellEnd"/>
      <w:r w:rsidRPr="00580C0D">
        <w:t xml:space="preserve"> </w:t>
      </w:r>
      <w:proofErr w:type="spellStart"/>
      <w:r w:rsidRPr="00580C0D">
        <w:t>stillingar</w:t>
      </w:r>
      <w:proofErr w:type="spellEnd"/>
      <w:r w:rsidRPr="00580C0D">
        <w:t xml:space="preserve"> som blir utlyst med høve for desentralisert arbeid.</w:t>
      </w:r>
    </w:p>
    <w:p w14:paraId="7B564381"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3768A2DA" w14:textId="77777777" w:rsidR="00F7113A" w:rsidRPr="00580C0D" w:rsidRDefault="00142E5B" w:rsidP="00580C0D">
      <w:pPr>
        <w:pStyle w:val="avsnitt-tittel"/>
      </w:pPr>
      <w:proofErr w:type="spellStart"/>
      <w:r w:rsidRPr="00580C0D">
        <w:t>Materialbankar</w:t>
      </w:r>
      <w:proofErr w:type="spellEnd"/>
      <w:r w:rsidRPr="00580C0D">
        <w:t xml:space="preserve"> for ombruk av byggevarer</w:t>
      </w:r>
    </w:p>
    <w:p w14:paraId="443C49C1" w14:textId="77777777" w:rsidR="00F7113A" w:rsidRPr="00580C0D" w:rsidRDefault="00142E5B" w:rsidP="00580C0D">
      <w:pPr>
        <w:pStyle w:val="avsnitt-undertittel"/>
      </w:pPr>
      <w:r w:rsidRPr="00580C0D">
        <w:t>Vedtak nr. 452, 12. januar 2023</w:t>
      </w:r>
    </w:p>
    <w:p w14:paraId="57E652AB" w14:textId="77777777" w:rsidR="00F7113A" w:rsidRPr="00580C0D" w:rsidRDefault="00142E5B" w:rsidP="00580C0D">
      <w:pPr>
        <w:pStyle w:val="blokksit"/>
        <w:rPr>
          <w:rStyle w:val="kursiv"/>
        </w:rPr>
      </w:pPr>
      <w:r w:rsidRPr="00580C0D">
        <w:rPr>
          <w:rStyle w:val="kursiv"/>
        </w:rPr>
        <w:t>«Stortinget ber regjeringen legge til rette for etablering av materialbanker for ombruk av byggevarer, i samarbeid med aktører i bransjen og øvrige nordiske land.»</w:t>
      </w:r>
    </w:p>
    <w:p w14:paraId="39FE56FE"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Mathilde Tybring-Gjedde og Nikolai Astrup om </w:t>
      </w:r>
      <w:proofErr w:type="spellStart"/>
      <w:r w:rsidRPr="00580C0D">
        <w:t>ein</w:t>
      </w:r>
      <w:proofErr w:type="spellEnd"/>
      <w:r w:rsidRPr="00580C0D">
        <w:t xml:space="preserve"> </w:t>
      </w:r>
      <w:proofErr w:type="spellStart"/>
      <w:r w:rsidRPr="00580C0D">
        <w:t>meir</w:t>
      </w:r>
      <w:proofErr w:type="spellEnd"/>
      <w:r w:rsidRPr="00580C0D">
        <w:t xml:space="preserve"> sirkulær økonomi, jf. Dokument 8:254 S (2021–2022) og </w:t>
      </w:r>
      <w:proofErr w:type="spellStart"/>
      <w:r w:rsidRPr="00580C0D">
        <w:t>Innst</w:t>
      </w:r>
      <w:proofErr w:type="spellEnd"/>
      <w:r w:rsidRPr="00580C0D">
        <w:t>. 124 S (2022–2023).</w:t>
      </w:r>
    </w:p>
    <w:p w14:paraId="6D5C2530" w14:textId="77777777" w:rsidR="00F7113A" w:rsidRPr="00580C0D" w:rsidRDefault="00142E5B" w:rsidP="00580C0D">
      <w:r w:rsidRPr="00580C0D">
        <w:t xml:space="preserve">Samordningsrådet for digitalisering har sett i gang </w:t>
      </w:r>
      <w:proofErr w:type="spellStart"/>
      <w:r w:rsidRPr="00580C0D">
        <w:t>fleire</w:t>
      </w:r>
      <w:proofErr w:type="spellEnd"/>
      <w:r w:rsidRPr="00580C0D">
        <w:t xml:space="preserve"> pilotprosjekt for å samordne digitaliseringsarbeid i bygge- og anleggsnæringa, og stimulere til betre digital informasjonsflyt, </w:t>
      </w:r>
      <w:proofErr w:type="spellStart"/>
      <w:r w:rsidRPr="00580C0D">
        <w:t>særleg</w:t>
      </w:r>
      <w:proofErr w:type="spellEnd"/>
      <w:r w:rsidRPr="00580C0D">
        <w:t xml:space="preserve"> for byggevarer med stort potensial for ombruk. </w:t>
      </w:r>
      <w:proofErr w:type="spellStart"/>
      <w:r w:rsidRPr="00580C0D">
        <w:t>Desse</w:t>
      </w:r>
      <w:proofErr w:type="spellEnd"/>
      <w:r w:rsidRPr="00580C0D">
        <w:t xml:space="preserve"> grepa </w:t>
      </w:r>
      <w:proofErr w:type="spellStart"/>
      <w:r w:rsidRPr="00580C0D">
        <w:t>støttar</w:t>
      </w:r>
      <w:proofErr w:type="spellEnd"/>
      <w:r w:rsidRPr="00580C0D">
        <w:t xml:space="preserve"> opp om etablering av digitale </w:t>
      </w:r>
      <w:proofErr w:type="spellStart"/>
      <w:r w:rsidRPr="00580C0D">
        <w:t>materialbankar</w:t>
      </w:r>
      <w:proofErr w:type="spellEnd"/>
      <w:r w:rsidRPr="00580C0D">
        <w:t xml:space="preserve">. </w:t>
      </w:r>
      <w:proofErr w:type="spellStart"/>
      <w:r w:rsidRPr="00580C0D">
        <w:t>Vidare</w:t>
      </w:r>
      <w:proofErr w:type="spellEnd"/>
      <w:r w:rsidRPr="00580C0D">
        <w:t xml:space="preserve"> har regjeringa invitert bygge-, anleggs- og </w:t>
      </w:r>
      <w:proofErr w:type="spellStart"/>
      <w:r w:rsidRPr="00580C0D">
        <w:t>eigedomsnæringa</w:t>
      </w:r>
      <w:proofErr w:type="spellEnd"/>
      <w:r w:rsidRPr="00580C0D">
        <w:t xml:space="preserve"> til dialog om </w:t>
      </w:r>
      <w:proofErr w:type="spellStart"/>
      <w:r w:rsidRPr="00580C0D">
        <w:t>klimapartnarskap</w:t>
      </w:r>
      <w:proofErr w:type="spellEnd"/>
      <w:r w:rsidRPr="00580C0D">
        <w:t xml:space="preserve">. Å redusere </w:t>
      </w:r>
      <w:proofErr w:type="spellStart"/>
      <w:r w:rsidRPr="00580C0D">
        <w:t>dei</w:t>
      </w:r>
      <w:proofErr w:type="spellEnd"/>
      <w:r w:rsidRPr="00580C0D">
        <w:t xml:space="preserve"> samla utsleppa </w:t>
      </w:r>
      <w:proofErr w:type="spellStart"/>
      <w:r w:rsidRPr="00580C0D">
        <w:t>frå</w:t>
      </w:r>
      <w:proofErr w:type="spellEnd"/>
      <w:r w:rsidRPr="00580C0D">
        <w:t xml:space="preserve"> næringa vil mellom anna </w:t>
      </w:r>
      <w:proofErr w:type="spellStart"/>
      <w:r w:rsidRPr="00580C0D">
        <w:t>krevje</w:t>
      </w:r>
      <w:proofErr w:type="spellEnd"/>
      <w:r w:rsidRPr="00580C0D">
        <w:t xml:space="preserve"> </w:t>
      </w:r>
      <w:proofErr w:type="spellStart"/>
      <w:r w:rsidRPr="00580C0D">
        <w:t>meir</w:t>
      </w:r>
      <w:proofErr w:type="spellEnd"/>
      <w:r w:rsidRPr="00580C0D">
        <w:t xml:space="preserve"> sirkulære </w:t>
      </w:r>
      <w:proofErr w:type="spellStart"/>
      <w:r w:rsidRPr="00580C0D">
        <w:t>løysingar</w:t>
      </w:r>
      <w:proofErr w:type="spellEnd"/>
      <w:r w:rsidRPr="00580C0D">
        <w:t xml:space="preserve">, og dialogen om </w:t>
      </w:r>
      <w:proofErr w:type="spellStart"/>
      <w:r w:rsidRPr="00580C0D">
        <w:t>klimapartnarskap</w:t>
      </w:r>
      <w:proofErr w:type="spellEnd"/>
      <w:r w:rsidRPr="00580C0D">
        <w:t xml:space="preserve"> skal </w:t>
      </w:r>
      <w:proofErr w:type="spellStart"/>
      <w:r w:rsidRPr="00580C0D">
        <w:t>synleggjere</w:t>
      </w:r>
      <w:proofErr w:type="spellEnd"/>
      <w:r w:rsidRPr="00580C0D">
        <w:t xml:space="preserve"> korleis ulike </w:t>
      </w:r>
      <w:proofErr w:type="spellStart"/>
      <w:r w:rsidRPr="00580C0D">
        <w:t>aktørar</w:t>
      </w:r>
      <w:proofErr w:type="spellEnd"/>
      <w:r w:rsidRPr="00580C0D">
        <w:t xml:space="preserve"> må bidra for å </w:t>
      </w:r>
      <w:proofErr w:type="spellStart"/>
      <w:r w:rsidRPr="00580C0D">
        <w:t>lykkast</w:t>
      </w:r>
      <w:proofErr w:type="spellEnd"/>
      <w:r w:rsidRPr="00580C0D">
        <w:t xml:space="preserve"> med dette.</w:t>
      </w:r>
    </w:p>
    <w:p w14:paraId="030B9741"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6EB652FB" w14:textId="77777777" w:rsidR="00F7113A" w:rsidRPr="00580C0D" w:rsidRDefault="00142E5B" w:rsidP="00580C0D">
      <w:pPr>
        <w:pStyle w:val="avsnitt-tittel"/>
      </w:pPr>
      <w:r w:rsidRPr="00580C0D">
        <w:t xml:space="preserve">Innrapportering av avfallsmengdene </w:t>
      </w:r>
      <w:proofErr w:type="spellStart"/>
      <w:r w:rsidRPr="00580C0D">
        <w:t>frå</w:t>
      </w:r>
      <w:proofErr w:type="spellEnd"/>
      <w:r w:rsidRPr="00580C0D">
        <w:t xml:space="preserve"> bygge- og anleggsbransjen</w:t>
      </w:r>
    </w:p>
    <w:p w14:paraId="639A5421" w14:textId="77777777" w:rsidR="00F7113A" w:rsidRPr="00580C0D" w:rsidRDefault="00142E5B" w:rsidP="00580C0D">
      <w:pPr>
        <w:pStyle w:val="avsnitt-undertittel"/>
      </w:pPr>
      <w:r w:rsidRPr="00580C0D">
        <w:t>Vedtak nr. 453, 12. januar 2023</w:t>
      </w:r>
    </w:p>
    <w:p w14:paraId="329A6AF4" w14:textId="77777777" w:rsidR="00F7113A" w:rsidRPr="00580C0D" w:rsidRDefault="00142E5B" w:rsidP="00580C0D">
      <w:pPr>
        <w:pStyle w:val="blokksit"/>
        <w:rPr>
          <w:rStyle w:val="kursiv"/>
        </w:rPr>
      </w:pPr>
      <w:r w:rsidRPr="00580C0D">
        <w:rPr>
          <w:rStyle w:val="kursiv"/>
        </w:rPr>
        <w:t>«Stortinget ber regjeringen effektivisere og digitalisere innrapportering av avfallsmengdene fra bygge- og anleggsbransjen.»</w:t>
      </w:r>
    </w:p>
    <w:p w14:paraId="6905DADF"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Mathilde Tybring-Gjedde og Nikolai Astrup om </w:t>
      </w:r>
      <w:proofErr w:type="spellStart"/>
      <w:r w:rsidRPr="00580C0D">
        <w:t>ein</w:t>
      </w:r>
      <w:proofErr w:type="spellEnd"/>
      <w:r w:rsidRPr="00580C0D">
        <w:t xml:space="preserve"> </w:t>
      </w:r>
      <w:proofErr w:type="spellStart"/>
      <w:r w:rsidRPr="00580C0D">
        <w:t>meir</w:t>
      </w:r>
      <w:proofErr w:type="spellEnd"/>
      <w:r w:rsidRPr="00580C0D">
        <w:t xml:space="preserve"> sirkulær økonomi, jf. Dokument 8:254 S (2021–2022) og </w:t>
      </w:r>
      <w:proofErr w:type="spellStart"/>
      <w:r w:rsidRPr="00580C0D">
        <w:t>Innst</w:t>
      </w:r>
      <w:proofErr w:type="spellEnd"/>
      <w:r w:rsidRPr="00580C0D">
        <w:t>. 124 S (2022–2023).</w:t>
      </w:r>
    </w:p>
    <w:p w14:paraId="20AA7AC0" w14:textId="77777777" w:rsidR="00F7113A" w:rsidRPr="00580C0D" w:rsidRDefault="00142E5B" w:rsidP="00580C0D">
      <w:r w:rsidRPr="00580C0D">
        <w:t xml:space="preserve">Samordningsrådet for digitalisering i bygg- og anleggsnæringa stimulerer </w:t>
      </w:r>
      <w:proofErr w:type="spellStart"/>
      <w:r w:rsidRPr="00580C0D">
        <w:t>næringsaktørane</w:t>
      </w:r>
      <w:proofErr w:type="spellEnd"/>
      <w:r w:rsidRPr="00580C0D">
        <w:t xml:space="preserve"> til å bruke nye </w:t>
      </w:r>
      <w:proofErr w:type="spellStart"/>
      <w:r w:rsidRPr="00580C0D">
        <w:t>metodar</w:t>
      </w:r>
      <w:proofErr w:type="spellEnd"/>
      <w:r w:rsidRPr="00580C0D">
        <w:t xml:space="preserve"> og </w:t>
      </w:r>
      <w:proofErr w:type="spellStart"/>
      <w:r w:rsidRPr="00580C0D">
        <w:t>arbeidsmåtar</w:t>
      </w:r>
      <w:proofErr w:type="spellEnd"/>
      <w:r w:rsidRPr="00580C0D">
        <w:t xml:space="preserve">. Samordningsrådet har </w:t>
      </w:r>
      <w:proofErr w:type="spellStart"/>
      <w:r w:rsidRPr="00580C0D">
        <w:t>hausten</w:t>
      </w:r>
      <w:proofErr w:type="spellEnd"/>
      <w:r w:rsidRPr="00580C0D">
        <w:t xml:space="preserve"> 2023 ferdigstilt </w:t>
      </w:r>
      <w:proofErr w:type="spellStart"/>
      <w:r w:rsidRPr="00580C0D">
        <w:t>eit</w:t>
      </w:r>
      <w:proofErr w:type="spellEnd"/>
      <w:r w:rsidRPr="00580C0D">
        <w:t xml:space="preserve"> pilotprosjekt for å betre datagrunnlaget knytt til avfallsmengder. I arbeidet med piloten har </w:t>
      </w:r>
      <w:proofErr w:type="spellStart"/>
      <w:r w:rsidRPr="00580C0D">
        <w:t>ein</w:t>
      </w:r>
      <w:proofErr w:type="spellEnd"/>
      <w:r w:rsidRPr="00580C0D">
        <w:t xml:space="preserve"> sett på korleis avfall kan </w:t>
      </w:r>
      <w:proofErr w:type="spellStart"/>
      <w:r w:rsidRPr="00580C0D">
        <w:t>rapporterast</w:t>
      </w:r>
      <w:proofErr w:type="spellEnd"/>
      <w:r w:rsidRPr="00580C0D">
        <w:t xml:space="preserve"> digitalt </w:t>
      </w:r>
      <w:proofErr w:type="spellStart"/>
      <w:r w:rsidRPr="00580C0D">
        <w:t>frå</w:t>
      </w:r>
      <w:proofErr w:type="spellEnd"/>
      <w:r w:rsidRPr="00580C0D">
        <w:t xml:space="preserve"> </w:t>
      </w:r>
      <w:proofErr w:type="spellStart"/>
      <w:r w:rsidRPr="00580C0D">
        <w:t>dei</w:t>
      </w:r>
      <w:proofErr w:type="spellEnd"/>
      <w:r w:rsidRPr="00580C0D">
        <w:t xml:space="preserve"> ulike avfallsmottaka, og skissert ei konkret løysing på dataflyten som viser korleis </w:t>
      </w:r>
      <w:proofErr w:type="spellStart"/>
      <w:r w:rsidRPr="00580C0D">
        <w:t>tenestene</w:t>
      </w:r>
      <w:proofErr w:type="spellEnd"/>
      <w:r w:rsidRPr="00580C0D">
        <w:t xml:space="preserve"> kan fungere. Avfalls- og gjenvinningsnæringa har deltatt i pilotarbeidet, og vil sjå på </w:t>
      </w:r>
      <w:proofErr w:type="spellStart"/>
      <w:r w:rsidRPr="00580C0D">
        <w:t>vidare</w:t>
      </w:r>
      <w:proofErr w:type="spellEnd"/>
      <w:r w:rsidRPr="00580C0D">
        <w:t xml:space="preserve"> arbeid med korleis ei slik </w:t>
      </w:r>
      <w:proofErr w:type="spellStart"/>
      <w:r w:rsidRPr="00580C0D">
        <w:t>teneste</w:t>
      </w:r>
      <w:proofErr w:type="spellEnd"/>
      <w:r w:rsidRPr="00580C0D">
        <w:t xml:space="preserve"> kan </w:t>
      </w:r>
      <w:proofErr w:type="spellStart"/>
      <w:r w:rsidRPr="00580C0D">
        <w:t>implementerast</w:t>
      </w:r>
      <w:proofErr w:type="spellEnd"/>
      <w:r w:rsidRPr="00580C0D">
        <w:t>.</w:t>
      </w:r>
    </w:p>
    <w:p w14:paraId="4733D424"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2A5E525B" w14:textId="77777777" w:rsidR="00F7113A" w:rsidRPr="00580C0D" w:rsidRDefault="00142E5B" w:rsidP="00580C0D">
      <w:pPr>
        <w:pStyle w:val="avsnitt-tittel"/>
      </w:pPr>
      <w:r w:rsidRPr="00580C0D">
        <w:t xml:space="preserve">Strategi for </w:t>
      </w:r>
      <w:proofErr w:type="spellStart"/>
      <w:r w:rsidRPr="00580C0D">
        <w:t>massehandtering</w:t>
      </w:r>
      <w:proofErr w:type="spellEnd"/>
    </w:p>
    <w:p w14:paraId="7F8A2866" w14:textId="77777777" w:rsidR="00F7113A" w:rsidRPr="00580C0D" w:rsidRDefault="00142E5B" w:rsidP="00580C0D">
      <w:pPr>
        <w:pStyle w:val="avsnitt-undertittel"/>
      </w:pPr>
      <w:r w:rsidRPr="00580C0D">
        <w:t>Vedtak nr. 454, 12. januar 2023</w:t>
      </w:r>
    </w:p>
    <w:p w14:paraId="723CCBDC" w14:textId="77777777" w:rsidR="00F7113A" w:rsidRPr="00580C0D" w:rsidRDefault="00142E5B" w:rsidP="00580C0D">
      <w:pPr>
        <w:pStyle w:val="blokksit"/>
        <w:rPr>
          <w:rStyle w:val="kursiv"/>
        </w:rPr>
      </w:pPr>
      <w:r w:rsidRPr="00580C0D">
        <w:rPr>
          <w:rStyle w:val="kursiv"/>
        </w:rPr>
        <w:t>«Stortinget ber regjeringen gjennomgå relevant regelverk og utarbeide en tverrsektoriell strategi for massehåndtering i samarbeid med bygge- og anleggsnæringen.»</w:t>
      </w:r>
    </w:p>
    <w:p w14:paraId="2165AC09"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Mathilde Tybring-Gjedde og Nikolai Astrup om </w:t>
      </w:r>
      <w:proofErr w:type="spellStart"/>
      <w:r w:rsidRPr="00580C0D">
        <w:t>ein</w:t>
      </w:r>
      <w:proofErr w:type="spellEnd"/>
      <w:r w:rsidRPr="00580C0D">
        <w:t xml:space="preserve"> </w:t>
      </w:r>
      <w:proofErr w:type="spellStart"/>
      <w:r w:rsidRPr="00580C0D">
        <w:t>meir</w:t>
      </w:r>
      <w:proofErr w:type="spellEnd"/>
      <w:r w:rsidRPr="00580C0D">
        <w:t xml:space="preserve"> sirkulær økonomi, jf. Dokument 8:254 S (2021–2022) og </w:t>
      </w:r>
      <w:proofErr w:type="spellStart"/>
      <w:r w:rsidRPr="00580C0D">
        <w:t>Innst</w:t>
      </w:r>
      <w:proofErr w:type="spellEnd"/>
      <w:r w:rsidRPr="00580C0D">
        <w:t>. 124 S (2022–2023).</w:t>
      </w:r>
    </w:p>
    <w:p w14:paraId="5485AB83" w14:textId="77777777" w:rsidR="00F7113A" w:rsidRPr="00580C0D" w:rsidRDefault="00142E5B" w:rsidP="00580C0D">
      <w:r w:rsidRPr="00580C0D">
        <w:t xml:space="preserve">Ei bredt samansett </w:t>
      </w:r>
      <w:proofErr w:type="spellStart"/>
      <w:r w:rsidRPr="00580C0D">
        <w:t>direktoratsgruppe</w:t>
      </w:r>
      <w:proofErr w:type="spellEnd"/>
      <w:r w:rsidRPr="00580C0D">
        <w:t xml:space="preserve">, som var leia av Miljødirektoratet, tilrår i rapporten «Tverrsektorielt prosjekt om disponering av jord og stein som ikke er forurenset», ei rekke tiltak for å sikre </w:t>
      </w:r>
      <w:proofErr w:type="spellStart"/>
      <w:r w:rsidRPr="00580C0D">
        <w:t>ein</w:t>
      </w:r>
      <w:proofErr w:type="spellEnd"/>
      <w:r w:rsidRPr="00580C0D">
        <w:t xml:space="preserve"> </w:t>
      </w:r>
      <w:proofErr w:type="spellStart"/>
      <w:r w:rsidRPr="00580C0D">
        <w:t>meir</w:t>
      </w:r>
      <w:proofErr w:type="spellEnd"/>
      <w:r w:rsidRPr="00580C0D">
        <w:t xml:space="preserve"> </w:t>
      </w:r>
      <w:proofErr w:type="spellStart"/>
      <w:r w:rsidRPr="00580C0D">
        <w:t>berekraftig</w:t>
      </w:r>
      <w:proofErr w:type="spellEnd"/>
      <w:r w:rsidRPr="00580C0D">
        <w:t xml:space="preserve"> forvaltning av reine </w:t>
      </w:r>
      <w:proofErr w:type="spellStart"/>
      <w:r w:rsidRPr="00580C0D">
        <w:t>overskotsmassar</w:t>
      </w:r>
      <w:proofErr w:type="spellEnd"/>
      <w:r w:rsidRPr="00580C0D">
        <w:t xml:space="preserve"> </w:t>
      </w:r>
      <w:proofErr w:type="spellStart"/>
      <w:r w:rsidRPr="00580C0D">
        <w:t>frå</w:t>
      </w:r>
      <w:proofErr w:type="spellEnd"/>
      <w:r w:rsidRPr="00580C0D">
        <w:t xml:space="preserve"> bygge- og anleggstiltak. </w:t>
      </w:r>
      <w:proofErr w:type="spellStart"/>
      <w:r w:rsidRPr="00580C0D">
        <w:t>Direktoratsgruppa</w:t>
      </w:r>
      <w:proofErr w:type="spellEnd"/>
      <w:r w:rsidRPr="00580C0D">
        <w:t xml:space="preserve"> viser til at det er uklarleiker i regelverket, ulik praksis og lite effektiv saksbehandling knytt til </w:t>
      </w:r>
      <w:proofErr w:type="spellStart"/>
      <w:r w:rsidRPr="00580C0D">
        <w:t>massehandtering</w:t>
      </w:r>
      <w:proofErr w:type="spellEnd"/>
      <w:r w:rsidRPr="00580C0D">
        <w:t xml:space="preserve">. Det </w:t>
      </w:r>
      <w:proofErr w:type="spellStart"/>
      <w:r w:rsidRPr="00580C0D">
        <w:t>høgast</w:t>
      </w:r>
      <w:proofErr w:type="spellEnd"/>
      <w:r w:rsidRPr="00580C0D">
        <w:t xml:space="preserve"> prioriterte tiltaket er derfor å gjennomgå relevant regelverk og utarbeide </w:t>
      </w:r>
      <w:proofErr w:type="spellStart"/>
      <w:r w:rsidRPr="00580C0D">
        <w:t>ein</w:t>
      </w:r>
      <w:proofErr w:type="spellEnd"/>
      <w:r w:rsidRPr="00580C0D">
        <w:t xml:space="preserve"> tverrsektoriell </w:t>
      </w:r>
      <w:proofErr w:type="spellStart"/>
      <w:r w:rsidRPr="00580C0D">
        <w:t>rettleiar</w:t>
      </w:r>
      <w:proofErr w:type="spellEnd"/>
      <w:r w:rsidRPr="00580C0D">
        <w:t xml:space="preserve"> knytt til </w:t>
      </w:r>
      <w:proofErr w:type="spellStart"/>
      <w:r w:rsidRPr="00580C0D">
        <w:t>gjeldande</w:t>
      </w:r>
      <w:proofErr w:type="spellEnd"/>
      <w:r w:rsidRPr="00580C0D">
        <w:t xml:space="preserve"> regelverk for </w:t>
      </w:r>
      <w:proofErr w:type="spellStart"/>
      <w:r w:rsidRPr="00580C0D">
        <w:t>massehandtering</w:t>
      </w:r>
      <w:proofErr w:type="spellEnd"/>
      <w:r w:rsidRPr="00580C0D">
        <w:t>.</w:t>
      </w:r>
    </w:p>
    <w:p w14:paraId="27119D0E" w14:textId="77777777" w:rsidR="00F7113A" w:rsidRPr="00580C0D" w:rsidRDefault="00142E5B" w:rsidP="00580C0D">
      <w:r w:rsidRPr="00580C0D">
        <w:t xml:space="preserve">Kommunal- og </w:t>
      </w:r>
      <w:proofErr w:type="spellStart"/>
      <w:r w:rsidRPr="00580C0D">
        <w:t>distriktsdepartementet</w:t>
      </w:r>
      <w:proofErr w:type="spellEnd"/>
      <w:r w:rsidRPr="00580C0D">
        <w:t xml:space="preserve"> </w:t>
      </w:r>
      <w:proofErr w:type="spellStart"/>
      <w:r w:rsidRPr="00580C0D">
        <w:t>startar</w:t>
      </w:r>
      <w:proofErr w:type="spellEnd"/>
      <w:r w:rsidRPr="00580C0D">
        <w:t xml:space="preserve"> </w:t>
      </w:r>
      <w:proofErr w:type="spellStart"/>
      <w:r w:rsidRPr="00580C0D">
        <w:t>hausten</w:t>
      </w:r>
      <w:proofErr w:type="spellEnd"/>
      <w:r w:rsidRPr="00580C0D">
        <w:t xml:space="preserve"> 2023 arbeidet med </w:t>
      </w:r>
      <w:proofErr w:type="spellStart"/>
      <w:r w:rsidRPr="00580C0D">
        <w:t>ein</w:t>
      </w:r>
      <w:proofErr w:type="spellEnd"/>
      <w:r w:rsidRPr="00580C0D">
        <w:t xml:space="preserve"> slik </w:t>
      </w:r>
      <w:proofErr w:type="spellStart"/>
      <w:r w:rsidRPr="00580C0D">
        <w:t>rettleiar</w:t>
      </w:r>
      <w:proofErr w:type="spellEnd"/>
      <w:r w:rsidRPr="00580C0D">
        <w:t xml:space="preserve">, og har som mål at den vil </w:t>
      </w:r>
      <w:proofErr w:type="spellStart"/>
      <w:r w:rsidRPr="00580C0D">
        <w:t>vere</w:t>
      </w:r>
      <w:proofErr w:type="spellEnd"/>
      <w:r w:rsidRPr="00580C0D">
        <w:t xml:space="preserve"> klar i første kvartal 2024. Arbeidet vil skje i samarbeid med aktuelle departement og i dialog med bygge- og anleggsnæringa.</w:t>
      </w:r>
    </w:p>
    <w:p w14:paraId="69C2DB1B"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735C7D69" w14:textId="77777777" w:rsidR="00F7113A" w:rsidRPr="00580C0D" w:rsidRDefault="00142E5B" w:rsidP="00580C0D">
      <w:pPr>
        <w:pStyle w:val="avsnitt-tittel"/>
      </w:pPr>
      <w:r w:rsidRPr="00580C0D">
        <w:t xml:space="preserve">Digital </w:t>
      </w:r>
      <w:proofErr w:type="spellStart"/>
      <w:r w:rsidRPr="00580C0D">
        <w:t>marknadsplass</w:t>
      </w:r>
      <w:proofErr w:type="spellEnd"/>
      <w:r w:rsidRPr="00580C0D">
        <w:t xml:space="preserve"> for </w:t>
      </w:r>
      <w:proofErr w:type="spellStart"/>
      <w:r w:rsidRPr="00580C0D">
        <w:t>overskotsmassar</w:t>
      </w:r>
      <w:proofErr w:type="spellEnd"/>
    </w:p>
    <w:p w14:paraId="3E4426D9" w14:textId="77777777" w:rsidR="00F7113A" w:rsidRPr="00580C0D" w:rsidRDefault="00142E5B" w:rsidP="00580C0D">
      <w:pPr>
        <w:pStyle w:val="avsnitt-undertittel"/>
      </w:pPr>
      <w:r w:rsidRPr="00580C0D">
        <w:t>Vedtak nr. 455, 12. januar 2023</w:t>
      </w:r>
    </w:p>
    <w:p w14:paraId="5793167E" w14:textId="77777777" w:rsidR="00F7113A" w:rsidRPr="00580C0D" w:rsidRDefault="00142E5B" w:rsidP="00580C0D">
      <w:pPr>
        <w:pStyle w:val="blokksit"/>
        <w:rPr>
          <w:rStyle w:val="kursiv"/>
        </w:rPr>
      </w:pPr>
      <w:r w:rsidRPr="00580C0D">
        <w:rPr>
          <w:rStyle w:val="kursiv"/>
        </w:rPr>
        <w:t>«Stortinget ber regjeringen legge til rette for etableringen av en digital markedsplass for overskuddsmasser, etter modell fra Bærum ressursbank.»</w:t>
      </w:r>
    </w:p>
    <w:p w14:paraId="40D2BA70"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Mathilde Tybring-Gjedde og Nikolai Astrup om </w:t>
      </w:r>
      <w:proofErr w:type="spellStart"/>
      <w:r w:rsidRPr="00580C0D">
        <w:t>ein</w:t>
      </w:r>
      <w:proofErr w:type="spellEnd"/>
      <w:r w:rsidRPr="00580C0D">
        <w:t xml:space="preserve"> </w:t>
      </w:r>
      <w:proofErr w:type="spellStart"/>
      <w:r w:rsidRPr="00580C0D">
        <w:t>meir</w:t>
      </w:r>
      <w:proofErr w:type="spellEnd"/>
      <w:r w:rsidRPr="00580C0D">
        <w:t xml:space="preserve"> sirkulær økonomi, jf. Dokument 8:254 S (2021–2022) og </w:t>
      </w:r>
      <w:proofErr w:type="spellStart"/>
      <w:r w:rsidRPr="00580C0D">
        <w:t>Innst</w:t>
      </w:r>
      <w:proofErr w:type="spellEnd"/>
      <w:r w:rsidRPr="00580C0D">
        <w:t>. 124 S (2022–2023).</w:t>
      </w:r>
    </w:p>
    <w:p w14:paraId="6F472C48" w14:textId="77777777" w:rsidR="00F7113A" w:rsidRPr="00580C0D" w:rsidRDefault="00142E5B" w:rsidP="00580C0D">
      <w:r w:rsidRPr="00580C0D">
        <w:t xml:space="preserve">Ei bredt samansett </w:t>
      </w:r>
      <w:proofErr w:type="spellStart"/>
      <w:r w:rsidRPr="00580C0D">
        <w:t>direktoratsgruppe</w:t>
      </w:r>
      <w:proofErr w:type="spellEnd"/>
      <w:r w:rsidRPr="00580C0D">
        <w:t xml:space="preserve">, som var leia av Miljødirektoratet, tilrår i rapporten «Tverrsektorielt prosjekt om disponering av jord og stein som ikke er forurenset», ei rekke tiltak for å sikre ei </w:t>
      </w:r>
      <w:proofErr w:type="spellStart"/>
      <w:r w:rsidRPr="00580C0D">
        <w:t>meir</w:t>
      </w:r>
      <w:proofErr w:type="spellEnd"/>
      <w:r w:rsidRPr="00580C0D">
        <w:t xml:space="preserve"> </w:t>
      </w:r>
      <w:proofErr w:type="spellStart"/>
      <w:r w:rsidRPr="00580C0D">
        <w:t>berekraftig</w:t>
      </w:r>
      <w:proofErr w:type="spellEnd"/>
      <w:r w:rsidRPr="00580C0D">
        <w:t xml:space="preserve"> forvaltning av reine </w:t>
      </w:r>
      <w:proofErr w:type="spellStart"/>
      <w:r w:rsidRPr="00580C0D">
        <w:t>overskotsmassar</w:t>
      </w:r>
      <w:proofErr w:type="spellEnd"/>
      <w:r w:rsidRPr="00580C0D">
        <w:t xml:space="preserve"> </w:t>
      </w:r>
      <w:proofErr w:type="spellStart"/>
      <w:r w:rsidRPr="00580C0D">
        <w:t>frå</w:t>
      </w:r>
      <w:proofErr w:type="spellEnd"/>
      <w:r w:rsidRPr="00580C0D">
        <w:t xml:space="preserve"> bygge- og anleggstiltak. </w:t>
      </w:r>
      <w:proofErr w:type="spellStart"/>
      <w:r w:rsidRPr="00580C0D">
        <w:t>Eit</w:t>
      </w:r>
      <w:proofErr w:type="spellEnd"/>
      <w:r w:rsidRPr="00580C0D">
        <w:t xml:space="preserve"> av tiltaka som vart forslått er å støtte etableringa av </w:t>
      </w:r>
      <w:proofErr w:type="spellStart"/>
      <w:r w:rsidRPr="00580C0D">
        <w:t>ein</w:t>
      </w:r>
      <w:proofErr w:type="spellEnd"/>
      <w:r w:rsidRPr="00580C0D">
        <w:t xml:space="preserve"> digital </w:t>
      </w:r>
      <w:proofErr w:type="spellStart"/>
      <w:r w:rsidRPr="00580C0D">
        <w:t>marknadsplass</w:t>
      </w:r>
      <w:proofErr w:type="spellEnd"/>
      <w:r w:rsidRPr="00580C0D">
        <w:t xml:space="preserve"> for </w:t>
      </w:r>
      <w:proofErr w:type="spellStart"/>
      <w:r w:rsidRPr="00580C0D">
        <w:t>overskotsmassar</w:t>
      </w:r>
      <w:proofErr w:type="spellEnd"/>
      <w:r w:rsidRPr="00580C0D">
        <w:t xml:space="preserve">, og stimulere </w:t>
      </w:r>
      <w:proofErr w:type="spellStart"/>
      <w:r w:rsidRPr="00580C0D">
        <w:t>aktørar</w:t>
      </w:r>
      <w:proofErr w:type="spellEnd"/>
      <w:r w:rsidRPr="00580C0D">
        <w:t xml:space="preserve"> til å ta den i bruk. Bærum ressursbank, og </w:t>
      </w:r>
      <w:proofErr w:type="spellStart"/>
      <w:r w:rsidRPr="00580C0D">
        <w:t>deira</w:t>
      </w:r>
      <w:proofErr w:type="spellEnd"/>
      <w:r w:rsidRPr="00580C0D">
        <w:t xml:space="preserve"> </w:t>
      </w:r>
      <w:proofErr w:type="spellStart"/>
      <w:r w:rsidRPr="00580C0D">
        <w:t>samarbeidspartar</w:t>
      </w:r>
      <w:proofErr w:type="spellEnd"/>
      <w:r w:rsidRPr="00580C0D">
        <w:t xml:space="preserve">, </w:t>
      </w:r>
      <w:proofErr w:type="spellStart"/>
      <w:r w:rsidRPr="00580C0D">
        <w:t>utviklar</w:t>
      </w:r>
      <w:proofErr w:type="spellEnd"/>
      <w:r w:rsidRPr="00580C0D">
        <w:t xml:space="preserve"> i dag </w:t>
      </w:r>
      <w:proofErr w:type="spellStart"/>
      <w:r w:rsidRPr="00580C0D">
        <w:t>eit</w:t>
      </w:r>
      <w:proofErr w:type="spellEnd"/>
      <w:r w:rsidRPr="00580C0D">
        <w:t xml:space="preserve"> </w:t>
      </w:r>
      <w:proofErr w:type="spellStart"/>
      <w:r w:rsidRPr="00580C0D">
        <w:t>marknadssystem</w:t>
      </w:r>
      <w:proofErr w:type="spellEnd"/>
      <w:r w:rsidRPr="00580C0D">
        <w:t xml:space="preserve"> med nye </w:t>
      </w:r>
      <w:proofErr w:type="spellStart"/>
      <w:r w:rsidRPr="00580C0D">
        <w:t>løysingar</w:t>
      </w:r>
      <w:proofErr w:type="spellEnd"/>
      <w:r w:rsidRPr="00580C0D">
        <w:t xml:space="preserve"> for framtidas handtering av </w:t>
      </w:r>
      <w:proofErr w:type="spellStart"/>
      <w:r w:rsidRPr="00580C0D">
        <w:t>overskotsmassar</w:t>
      </w:r>
      <w:proofErr w:type="spellEnd"/>
      <w:r w:rsidRPr="00580C0D">
        <w:t xml:space="preserve">. Systemet skal etter planen bli klart </w:t>
      </w:r>
      <w:proofErr w:type="spellStart"/>
      <w:r w:rsidRPr="00580C0D">
        <w:t>sommaren</w:t>
      </w:r>
      <w:proofErr w:type="spellEnd"/>
      <w:r w:rsidRPr="00580C0D">
        <w:t xml:space="preserve"> 2024. Kommunen har fått 15 mill. kroner </w:t>
      </w:r>
      <w:proofErr w:type="spellStart"/>
      <w:r w:rsidRPr="00580C0D">
        <w:t>frå</w:t>
      </w:r>
      <w:proofErr w:type="spellEnd"/>
      <w:r w:rsidRPr="00580C0D">
        <w:t xml:space="preserve"> Innovasjon </w:t>
      </w:r>
      <w:proofErr w:type="spellStart"/>
      <w:r w:rsidRPr="00580C0D">
        <w:t>Noreg</w:t>
      </w:r>
      <w:proofErr w:type="spellEnd"/>
      <w:r w:rsidRPr="00580C0D">
        <w:t xml:space="preserve"> til å gjennomføre ei innovativ </w:t>
      </w:r>
      <w:proofErr w:type="spellStart"/>
      <w:r w:rsidRPr="00580C0D">
        <w:t>anskaffing</w:t>
      </w:r>
      <w:proofErr w:type="spellEnd"/>
      <w:r w:rsidRPr="00580C0D">
        <w:t xml:space="preserve"> for utvikling av systemet. Bærum ressursbank er i gang med ei pilotering med </w:t>
      </w:r>
      <w:proofErr w:type="spellStart"/>
      <w:r w:rsidRPr="00580C0D">
        <w:t>utvalde</w:t>
      </w:r>
      <w:proofErr w:type="spellEnd"/>
      <w:r w:rsidRPr="00580C0D">
        <w:t xml:space="preserve"> </w:t>
      </w:r>
      <w:proofErr w:type="spellStart"/>
      <w:r w:rsidRPr="00580C0D">
        <w:t>byggherrar</w:t>
      </w:r>
      <w:proofErr w:type="spellEnd"/>
      <w:r w:rsidRPr="00580C0D">
        <w:t xml:space="preserve"> og </w:t>
      </w:r>
      <w:proofErr w:type="spellStart"/>
      <w:r w:rsidRPr="00580C0D">
        <w:t>entreprenørar</w:t>
      </w:r>
      <w:proofErr w:type="spellEnd"/>
      <w:r w:rsidRPr="00580C0D">
        <w:t xml:space="preserve"> i Oslo-regionen. Kommunal- og </w:t>
      </w:r>
      <w:proofErr w:type="spellStart"/>
      <w:r w:rsidRPr="00580C0D">
        <w:t>distriktsdepartementet</w:t>
      </w:r>
      <w:proofErr w:type="spellEnd"/>
      <w:r w:rsidRPr="00580C0D">
        <w:t xml:space="preserve"> vil </w:t>
      </w:r>
      <w:proofErr w:type="spellStart"/>
      <w:r w:rsidRPr="00580C0D">
        <w:t>hausten</w:t>
      </w:r>
      <w:proofErr w:type="spellEnd"/>
      <w:r w:rsidRPr="00580C0D">
        <w:t xml:space="preserve"> 2023 gå i dialog med Bærum ressursbank med sikte på å vurdere </w:t>
      </w:r>
      <w:proofErr w:type="spellStart"/>
      <w:r w:rsidRPr="00580C0D">
        <w:t>moglegheita</w:t>
      </w:r>
      <w:proofErr w:type="spellEnd"/>
      <w:r w:rsidRPr="00580C0D">
        <w:t xml:space="preserve"> for å etablere </w:t>
      </w:r>
      <w:proofErr w:type="spellStart"/>
      <w:r w:rsidRPr="00580C0D">
        <w:t>eit</w:t>
      </w:r>
      <w:proofErr w:type="spellEnd"/>
      <w:r w:rsidRPr="00580C0D">
        <w:t xml:space="preserve"> </w:t>
      </w:r>
      <w:proofErr w:type="spellStart"/>
      <w:r w:rsidRPr="00580C0D">
        <w:t>tilsvarande</w:t>
      </w:r>
      <w:proofErr w:type="spellEnd"/>
      <w:r w:rsidRPr="00580C0D">
        <w:t xml:space="preserve"> system i </w:t>
      </w:r>
      <w:proofErr w:type="spellStart"/>
      <w:r w:rsidRPr="00580C0D">
        <w:t>ein</w:t>
      </w:r>
      <w:proofErr w:type="spellEnd"/>
      <w:r w:rsidRPr="00580C0D">
        <w:t xml:space="preserve"> nasjonal </w:t>
      </w:r>
      <w:proofErr w:type="spellStart"/>
      <w:r w:rsidRPr="00580C0D">
        <w:t>samanheng</w:t>
      </w:r>
      <w:proofErr w:type="spellEnd"/>
      <w:r w:rsidRPr="00580C0D">
        <w:t>.</w:t>
      </w:r>
    </w:p>
    <w:p w14:paraId="187ABEF2"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37FBF5E6" w14:textId="77777777" w:rsidR="00F7113A" w:rsidRPr="00580C0D" w:rsidRDefault="00142E5B" w:rsidP="00580C0D">
      <w:pPr>
        <w:pStyle w:val="avsnitt-tittel"/>
      </w:pPr>
      <w:proofErr w:type="spellStart"/>
      <w:r w:rsidRPr="00580C0D">
        <w:t>Tilgjengeliggjering</w:t>
      </w:r>
      <w:proofErr w:type="spellEnd"/>
      <w:r w:rsidRPr="00580C0D">
        <w:t xml:space="preserve"> av data ved inngåing av </w:t>
      </w:r>
      <w:proofErr w:type="spellStart"/>
      <w:r w:rsidRPr="00580C0D">
        <w:t>offentlege</w:t>
      </w:r>
      <w:proofErr w:type="spellEnd"/>
      <w:r w:rsidRPr="00580C0D">
        <w:t xml:space="preserve"> </w:t>
      </w:r>
      <w:proofErr w:type="spellStart"/>
      <w:r w:rsidRPr="00580C0D">
        <w:t>kontraktar</w:t>
      </w:r>
      <w:proofErr w:type="spellEnd"/>
    </w:p>
    <w:p w14:paraId="581543EE" w14:textId="77777777" w:rsidR="00F7113A" w:rsidRPr="00580C0D" w:rsidRDefault="00142E5B" w:rsidP="00580C0D">
      <w:pPr>
        <w:pStyle w:val="avsnitt-undertittel"/>
      </w:pPr>
      <w:r w:rsidRPr="00580C0D">
        <w:t>Vedtak nr. 583, 13. april 2023</w:t>
      </w:r>
    </w:p>
    <w:p w14:paraId="42DBF753" w14:textId="77777777" w:rsidR="00F7113A" w:rsidRPr="00580C0D" w:rsidRDefault="00142E5B" w:rsidP="00580C0D">
      <w:pPr>
        <w:pStyle w:val="blokksit"/>
        <w:rPr>
          <w:rStyle w:val="kursiv"/>
        </w:rPr>
      </w:pPr>
      <w:r w:rsidRPr="00580C0D">
        <w:rPr>
          <w:rStyle w:val="kursiv"/>
        </w:rPr>
        <w:t>«Stortinget ber regjeringen stille krav om at data gjøres tilgjengelig ved inngåelse av offentlige kontrakter, der det vurderes hensiktsmessig.»</w:t>
      </w:r>
    </w:p>
    <w:p w14:paraId="0BABFA48"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Linda Hofstad Helleland, Nikolai Astrup, Anne Kristine Linnestad og Heidi Nordby Lunde om datadreven industri, jf. Dokument 8:73 S (2022–2023) og </w:t>
      </w:r>
      <w:proofErr w:type="spellStart"/>
      <w:r w:rsidRPr="00580C0D">
        <w:t>Innst</w:t>
      </w:r>
      <w:proofErr w:type="spellEnd"/>
      <w:r w:rsidRPr="00580C0D">
        <w:t>. 238 S (2022–2023).</w:t>
      </w:r>
    </w:p>
    <w:p w14:paraId="5FAD4870" w14:textId="77777777" w:rsidR="00F7113A" w:rsidRPr="00580C0D" w:rsidRDefault="00142E5B" w:rsidP="00580C0D">
      <w:r w:rsidRPr="00580C0D">
        <w:t xml:space="preserve">Statens </w:t>
      </w:r>
      <w:proofErr w:type="spellStart"/>
      <w:r w:rsidRPr="00580C0D">
        <w:t>standardavtalar</w:t>
      </w:r>
      <w:proofErr w:type="spellEnd"/>
      <w:r w:rsidRPr="00580C0D">
        <w:t xml:space="preserve"> (SSA) er </w:t>
      </w:r>
      <w:proofErr w:type="spellStart"/>
      <w:r w:rsidRPr="00580C0D">
        <w:t>dei</w:t>
      </w:r>
      <w:proofErr w:type="spellEnd"/>
      <w:r w:rsidRPr="00580C0D">
        <w:t xml:space="preserve"> </w:t>
      </w:r>
      <w:proofErr w:type="spellStart"/>
      <w:r w:rsidRPr="00580C0D">
        <w:t>kontraktane</w:t>
      </w:r>
      <w:proofErr w:type="spellEnd"/>
      <w:r w:rsidRPr="00580C0D">
        <w:t xml:space="preserve"> som er mest brukt når det </w:t>
      </w:r>
      <w:proofErr w:type="spellStart"/>
      <w:r w:rsidRPr="00580C0D">
        <w:t>offentlege</w:t>
      </w:r>
      <w:proofErr w:type="spellEnd"/>
      <w:r w:rsidRPr="00580C0D">
        <w:t xml:space="preserve"> inngår avtaler om kjøp av IT og </w:t>
      </w:r>
      <w:proofErr w:type="spellStart"/>
      <w:r w:rsidRPr="00580C0D">
        <w:t>konsulenttenester</w:t>
      </w:r>
      <w:proofErr w:type="spellEnd"/>
      <w:r w:rsidRPr="00580C0D">
        <w:t xml:space="preserve">. Som </w:t>
      </w:r>
      <w:proofErr w:type="spellStart"/>
      <w:r w:rsidRPr="00580C0D">
        <w:t>eit</w:t>
      </w:r>
      <w:proofErr w:type="spellEnd"/>
      <w:r w:rsidRPr="00580C0D">
        <w:t xml:space="preserve"> ledd i oppfølginga av Meld. St. 22 (2020–2021</w:t>
      </w:r>
      <w:r w:rsidRPr="00580C0D">
        <w:rPr>
          <w:rStyle w:val="kursiv"/>
        </w:rPr>
        <w:t>) Data som ressurs – datadrevet økonomi og innovasjon</w:t>
      </w:r>
      <w:r w:rsidRPr="00580C0D">
        <w:t xml:space="preserve">, </w:t>
      </w:r>
      <w:proofErr w:type="spellStart"/>
      <w:r w:rsidRPr="00580C0D">
        <w:t>fekk</w:t>
      </w:r>
      <w:proofErr w:type="spellEnd"/>
      <w:r w:rsidRPr="00580C0D">
        <w:t xml:space="preserve"> Direktoratet for forvaltning og økonomistyring (DFØ) i 2022 i oppdrag å vurdere om det var bruk for </w:t>
      </w:r>
      <w:proofErr w:type="spellStart"/>
      <w:r w:rsidRPr="00580C0D">
        <w:t>endringar</w:t>
      </w:r>
      <w:proofErr w:type="spellEnd"/>
      <w:r w:rsidRPr="00580C0D">
        <w:t xml:space="preserve"> i SSA for å legge </w:t>
      </w:r>
      <w:proofErr w:type="spellStart"/>
      <w:r w:rsidRPr="00580C0D">
        <w:t>betre</w:t>
      </w:r>
      <w:proofErr w:type="spellEnd"/>
      <w:r w:rsidRPr="00580C0D">
        <w:t xml:space="preserve"> til rette for deling og gjenbruk av data. DFØ har utarbeidd </w:t>
      </w:r>
      <w:proofErr w:type="spellStart"/>
      <w:r w:rsidRPr="00580C0D">
        <w:t>ein</w:t>
      </w:r>
      <w:proofErr w:type="spellEnd"/>
      <w:r w:rsidRPr="00580C0D">
        <w:t xml:space="preserve"> rapport med forslag til tiltak, som mellom anna foreslår </w:t>
      </w:r>
      <w:proofErr w:type="spellStart"/>
      <w:r w:rsidRPr="00580C0D">
        <w:t>endringar</w:t>
      </w:r>
      <w:proofErr w:type="spellEnd"/>
      <w:r w:rsidRPr="00580C0D">
        <w:t xml:space="preserve"> i </w:t>
      </w:r>
      <w:proofErr w:type="spellStart"/>
      <w:r w:rsidRPr="00580C0D">
        <w:t>nokre</w:t>
      </w:r>
      <w:proofErr w:type="spellEnd"/>
      <w:r w:rsidRPr="00580C0D">
        <w:t xml:space="preserve"> av </w:t>
      </w:r>
      <w:proofErr w:type="spellStart"/>
      <w:r w:rsidRPr="00580C0D">
        <w:t>kontraktsmalane</w:t>
      </w:r>
      <w:proofErr w:type="spellEnd"/>
      <w:r w:rsidRPr="00580C0D">
        <w:t xml:space="preserve">, kombinert med betre rettleiing i bruken av </w:t>
      </w:r>
      <w:proofErr w:type="spellStart"/>
      <w:r w:rsidRPr="00580C0D">
        <w:t>desse</w:t>
      </w:r>
      <w:proofErr w:type="spellEnd"/>
      <w:r w:rsidRPr="00580C0D">
        <w:t xml:space="preserve">. Departementet har etterspurt ei tilleggsutgreiing til </w:t>
      </w:r>
      <w:proofErr w:type="spellStart"/>
      <w:r w:rsidRPr="00580C0D">
        <w:t>ovannemnde</w:t>
      </w:r>
      <w:proofErr w:type="spellEnd"/>
      <w:r w:rsidRPr="00580C0D">
        <w:t xml:space="preserve"> rapport </w:t>
      </w:r>
      <w:proofErr w:type="spellStart"/>
      <w:r w:rsidRPr="00580C0D">
        <w:t>frå</w:t>
      </w:r>
      <w:proofErr w:type="spellEnd"/>
      <w:r w:rsidRPr="00580C0D">
        <w:t xml:space="preserve"> DFØ. Arbeidet med tilleggsutgreiinga har forventa oppstart i </w:t>
      </w:r>
      <w:proofErr w:type="spellStart"/>
      <w:r w:rsidRPr="00580C0D">
        <w:t>tidleg</w:t>
      </w:r>
      <w:proofErr w:type="spellEnd"/>
      <w:r w:rsidRPr="00580C0D">
        <w:t xml:space="preserve"> 2024.</w:t>
      </w:r>
    </w:p>
    <w:p w14:paraId="15C0D7F1"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2228F791" w14:textId="77777777" w:rsidR="00F7113A" w:rsidRPr="00580C0D" w:rsidRDefault="00142E5B" w:rsidP="00580C0D">
      <w:pPr>
        <w:pStyle w:val="avsnitt-tittel"/>
      </w:pPr>
      <w:r w:rsidRPr="00580C0D">
        <w:t>Deling av data med stor samfunnsmessig verdi</w:t>
      </w:r>
    </w:p>
    <w:p w14:paraId="18AE464D" w14:textId="77777777" w:rsidR="00F7113A" w:rsidRPr="00580C0D" w:rsidRDefault="00142E5B" w:rsidP="00580C0D">
      <w:pPr>
        <w:pStyle w:val="avsnitt-undertittel"/>
      </w:pPr>
      <w:r w:rsidRPr="00580C0D">
        <w:t>Vedtak nr. 584, 13. april 2023</w:t>
      </w:r>
    </w:p>
    <w:p w14:paraId="70CBBC88" w14:textId="77777777" w:rsidR="00F7113A" w:rsidRPr="00580C0D" w:rsidRDefault="00142E5B" w:rsidP="00580C0D">
      <w:pPr>
        <w:pStyle w:val="blokksit"/>
        <w:rPr>
          <w:rStyle w:val="kursiv"/>
        </w:rPr>
      </w:pPr>
      <w:r w:rsidRPr="00580C0D">
        <w:rPr>
          <w:rStyle w:val="kursiv"/>
        </w:rPr>
        <w:t>«Stortinget ber regjeringen vurdere hvilke typer data som har såpass stor samfunnsmessig verdi at myndighetene bør pålegge datadeling.»</w:t>
      </w:r>
    </w:p>
    <w:p w14:paraId="530C8EF6"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Linda Hofstad Helleland, Nikolai Astrup, Anne Kristine Linnestad og Heidi Nordby Lunde om datadreven industri, jf. Dokument 8:73 S (2022–2023) og </w:t>
      </w:r>
      <w:proofErr w:type="spellStart"/>
      <w:r w:rsidRPr="00580C0D">
        <w:t>Innst</w:t>
      </w:r>
      <w:proofErr w:type="spellEnd"/>
      <w:r w:rsidRPr="00580C0D">
        <w:t>. 238 S (2022–2023).</w:t>
      </w:r>
    </w:p>
    <w:p w14:paraId="23D56064" w14:textId="77777777" w:rsidR="00F7113A" w:rsidRPr="00580C0D" w:rsidRDefault="00142E5B" w:rsidP="00580C0D">
      <w:r w:rsidRPr="00580C0D">
        <w:t xml:space="preserve">EU har vedtatt Direktiv 2019/1024 </w:t>
      </w:r>
      <w:proofErr w:type="spellStart"/>
      <w:r w:rsidRPr="00580C0D">
        <w:t>Opne</w:t>
      </w:r>
      <w:proofErr w:type="spellEnd"/>
      <w:r w:rsidRPr="00580C0D">
        <w:t xml:space="preserve"> data-direktivet (ODD). Dette direktivet er ei omarbeiding av det </w:t>
      </w:r>
      <w:proofErr w:type="spellStart"/>
      <w:r w:rsidRPr="00580C0D">
        <w:t>tidlegare</w:t>
      </w:r>
      <w:proofErr w:type="spellEnd"/>
      <w:r w:rsidRPr="00580C0D">
        <w:t xml:space="preserve"> direktivet om </w:t>
      </w:r>
      <w:proofErr w:type="spellStart"/>
      <w:r w:rsidRPr="00580C0D">
        <w:t>vidarebruk</w:t>
      </w:r>
      <w:proofErr w:type="spellEnd"/>
      <w:r w:rsidRPr="00580C0D">
        <w:t xml:space="preserve"> (PSI-direktivet), men det pålegg òg landa nye krav. </w:t>
      </w:r>
      <w:proofErr w:type="spellStart"/>
      <w:r w:rsidRPr="00580C0D">
        <w:t>Eit</w:t>
      </w:r>
      <w:proofErr w:type="spellEnd"/>
      <w:r w:rsidRPr="00580C0D">
        <w:t xml:space="preserve"> viktig mål med direktivet er å redusere </w:t>
      </w:r>
      <w:proofErr w:type="spellStart"/>
      <w:r w:rsidRPr="00580C0D">
        <w:t>marknadsbarrierar</w:t>
      </w:r>
      <w:proofErr w:type="spellEnd"/>
      <w:r w:rsidRPr="00580C0D">
        <w:t xml:space="preserve"> for små og mellomstore bedrifter gjennom å redusere unntaka som </w:t>
      </w:r>
      <w:proofErr w:type="spellStart"/>
      <w:r w:rsidRPr="00580C0D">
        <w:t>gjer</w:t>
      </w:r>
      <w:proofErr w:type="spellEnd"/>
      <w:r w:rsidRPr="00580C0D">
        <w:t xml:space="preserve"> at </w:t>
      </w:r>
      <w:proofErr w:type="spellStart"/>
      <w:r w:rsidRPr="00580C0D">
        <w:t>offentlege</w:t>
      </w:r>
      <w:proofErr w:type="spellEnd"/>
      <w:r w:rsidRPr="00580C0D">
        <w:t xml:space="preserve"> organ kan ta </w:t>
      </w:r>
      <w:proofErr w:type="spellStart"/>
      <w:r w:rsidRPr="00580C0D">
        <w:t>meir</w:t>
      </w:r>
      <w:proofErr w:type="spellEnd"/>
      <w:r w:rsidRPr="00580C0D">
        <w:t xml:space="preserve"> betalt for data enn </w:t>
      </w:r>
      <w:proofErr w:type="spellStart"/>
      <w:r w:rsidRPr="00580C0D">
        <w:t>marginalkostnadane</w:t>
      </w:r>
      <w:proofErr w:type="spellEnd"/>
      <w:r w:rsidRPr="00580C0D">
        <w:t xml:space="preserve">. Fordi direktivet </w:t>
      </w:r>
      <w:proofErr w:type="spellStart"/>
      <w:r w:rsidRPr="00580C0D">
        <w:t>omfattar</w:t>
      </w:r>
      <w:proofErr w:type="spellEnd"/>
      <w:r w:rsidRPr="00580C0D">
        <w:t xml:space="preserve"> </w:t>
      </w:r>
      <w:proofErr w:type="spellStart"/>
      <w:r w:rsidRPr="00580C0D">
        <w:t>fleire</w:t>
      </w:r>
      <w:proofErr w:type="spellEnd"/>
      <w:r w:rsidRPr="00580C0D">
        <w:t xml:space="preserve"> </w:t>
      </w:r>
      <w:proofErr w:type="spellStart"/>
      <w:r w:rsidRPr="00580C0D">
        <w:t>typar</w:t>
      </w:r>
      <w:proofErr w:type="spellEnd"/>
      <w:r w:rsidRPr="00580C0D">
        <w:t xml:space="preserve"> </w:t>
      </w:r>
      <w:proofErr w:type="spellStart"/>
      <w:r w:rsidRPr="00580C0D">
        <w:t>offentlege</w:t>
      </w:r>
      <w:proofErr w:type="spellEnd"/>
      <w:r w:rsidRPr="00580C0D">
        <w:t xml:space="preserve"> data enn før, vil tilgangen til </w:t>
      </w:r>
      <w:proofErr w:type="spellStart"/>
      <w:r w:rsidRPr="00580C0D">
        <w:t>offentlege</w:t>
      </w:r>
      <w:proofErr w:type="spellEnd"/>
      <w:r w:rsidRPr="00580C0D">
        <w:t xml:space="preserve"> data </w:t>
      </w:r>
      <w:proofErr w:type="spellStart"/>
      <w:r w:rsidRPr="00580C0D">
        <w:t>auke</w:t>
      </w:r>
      <w:proofErr w:type="spellEnd"/>
      <w:r w:rsidRPr="00580C0D">
        <w:t xml:space="preserve">. Direktivet skal òg </w:t>
      </w:r>
      <w:proofErr w:type="spellStart"/>
      <w:r w:rsidRPr="00580C0D">
        <w:t>oppmode</w:t>
      </w:r>
      <w:proofErr w:type="spellEnd"/>
      <w:r w:rsidRPr="00580C0D">
        <w:t xml:space="preserve"> til deling av dynamiske data gjennom programmeringsgrensesnitt (API-ar).</w:t>
      </w:r>
    </w:p>
    <w:p w14:paraId="4BDF9AD1" w14:textId="77777777" w:rsidR="00F7113A" w:rsidRPr="00580C0D" w:rsidRDefault="00142E5B" w:rsidP="00580C0D">
      <w:r w:rsidRPr="00580C0D">
        <w:t xml:space="preserve">ODD etablerer </w:t>
      </w:r>
      <w:proofErr w:type="spellStart"/>
      <w:r w:rsidRPr="00580C0D">
        <w:t>særlege</w:t>
      </w:r>
      <w:proofErr w:type="spellEnd"/>
      <w:r w:rsidRPr="00580C0D">
        <w:t xml:space="preserve"> </w:t>
      </w:r>
      <w:proofErr w:type="spellStart"/>
      <w:r w:rsidRPr="00580C0D">
        <w:t>reglar</w:t>
      </w:r>
      <w:proofErr w:type="spellEnd"/>
      <w:r w:rsidRPr="00580C0D">
        <w:t xml:space="preserve"> for det som blir kalla «datasett med </w:t>
      </w:r>
      <w:proofErr w:type="spellStart"/>
      <w:r w:rsidRPr="00580C0D">
        <w:t>høg</w:t>
      </w:r>
      <w:proofErr w:type="spellEnd"/>
      <w:r w:rsidRPr="00580C0D">
        <w:t xml:space="preserve"> verdi». Dette er datasett der </w:t>
      </w:r>
      <w:proofErr w:type="spellStart"/>
      <w:r w:rsidRPr="00580C0D">
        <w:t>vidarebruk</w:t>
      </w:r>
      <w:proofErr w:type="spellEnd"/>
      <w:r w:rsidRPr="00580C0D">
        <w:t xml:space="preserve"> kan gi viktige </w:t>
      </w:r>
      <w:proofErr w:type="spellStart"/>
      <w:r w:rsidRPr="00580C0D">
        <w:t>fordelar</w:t>
      </w:r>
      <w:proofErr w:type="spellEnd"/>
      <w:r w:rsidRPr="00580C0D">
        <w:t xml:space="preserve"> for samfunnet, miljøet og økonomien. Europakommisjonen kan definere tematiske område for datasett med </w:t>
      </w:r>
      <w:proofErr w:type="spellStart"/>
      <w:r w:rsidRPr="00580C0D">
        <w:t>høg</w:t>
      </w:r>
      <w:proofErr w:type="spellEnd"/>
      <w:r w:rsidRPr="00580C0D">
        <w:t xml:space="preserve"> verdi, og vedta gjennomføringsrettsakter med </w:t>
      </w:r>
      <w:proofErr w:type="spellStart"/>
      <w:r w:rsidRPr="00580C0D">
        <w:t>nærare</w:t>
      </w:r>
      <w:proofErr w:type="spellEnd"/>
      <w:r w:rsidRPr="00580C0D">
        <w:t xml:space="preserve"> krav til </w:t>
      </w:r>
      <w:proofErr w:type="spellStart"/>
      <w:r w:rsidRPr="00580C0D">
        <w:t>desse</w:t>
      </w:r>
      <w:proofErr w:type="spellEnd"/>
      <w:r w:rsidRPr="00580C0D">
        <w:t xml:space="preserve"> datasetta. Dei områda som er definert så langt er geografiske data, jordobservasjons- og miljødata, meteorologiske data, statistikkdata, selskaps- og </w:t>
      </w:r>
      <w:proofErr w:type="spellStart"/>
      <w:r w:rsidRPr="00580C0D">
        <w:t>eigarskapsregisterdata</w:t>
      </w:r>
      <w:proofErr w:type="spellEnd"/>
      <w:r w:rsidRPr="00580C0D">
        <w:t xml:space="preserve"> og mobilitetsdata (</w:t>
      </w:r>
      <w:proofErr w:type="spellStart"/>
      <w:r w:rsidRPr="00580C0D">
        <w:t>transportdata</w:t>
      </w:r>
      <w:proofErr w:type="spellEnd"/>
      <w:r w:rsidRPr="00580C0D">
        <w:t xml:space="preserve">). Slike datasett skal </w:t>
      </w:r>
      <w:proofErr w:type="spellStart"/>
      <w:r w:rsidRPr="00580C0D">
        <w:t>vere</w:t>
      </w:r>
      <w:proofErr w:type="spellEnd"/>
      <w:r w:rsidRPr="00580C0D">
        <w:t xml:space="preserve"> gratis, </w:t>
      </w:r>
      <w:proofErr w:type="spellStart"/>
      <w:r w:rsidRPr="00580C0D">
        <w:t>tilgjengelege</w:t>
      </w:r>
      <w:proofErr w:type="spellEnd"/>
      <w:r w:rsidRPr="00580C0D">
        <w:t xml:space="preserve">, maskinlesbare, levert gjennom API-ar og, når relevant, kunne </w:t>
      </w:r>
      <w:proofErr w:type="spellStart"/>
      <w:r w:rsidRPr="00580C0D">
        <w:t>massenedlastast</w:t>
      </w:r>
      <w:proofErr w:type="spellEnd"/>
      <w:r w:rsidRPr="00580C0D">
        <w:t>.</w:t>
      </w:r>
    </w:p>
    <w:p w14:paraId="5C43307F"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18A8598C" w14:textId="77777777" w:rsidR="00F7113A" w:rsidRPr="00580C0D" w:rsidRDefault="00142E5B" w:rsidP="00580C0D">
      <w:pPr>
        <w:pStyle w:val="avsnitt-tittel"/>
      </w:pPr>
      <w:r w:rsidRPr="00580C0D">
        <w:t>Oppfølging av vedtak nr. 383 (2022–2023)</w:t>
      </w:r>
    </w:p>
    <w:p w14:paraId="0D80086F" w14:textId="77777777" w:rsidR="00F7113A" w:rsidRPr="00580C0D" w:rsidRDefault="00142E5B" w:rsidP="00580C0D">
      <w:pPr>
        <w:pStyle w:val="avsnitt-undertittel"/>
      </w:pPr>
      <w:r w:rsidRPr="00580C0D">
        <w:t>Vedtak nr. 651, 15. mai 2023</w:t>
      </w:r>
    </w:p>
    <w:p w14:paraId="03D04320" w14:textId="77777777" w:rsidR="00F7113A" w:rsidRPr="00580C0D" w:rsidRDefault="00142E5B" w:rsidP="00580C0D">
      <w:pPr>
        <w:pStyle w:val="blokksit"/>
        <w:rPr>
          <w:rStyle w:val="kursiv"/>
        </w:rPr>
      </w:pPr>
      <w:r w:rsidRPr="00580C0D">
        <w:rPr>
          <w:rStyle w:val="kursiv"/>
        </w:rPr>
        <w:t>«Stortinget ber regjeringen senest i statsbudsjettet for 2024 redegjøre for oppfølgingen av vedtak 383 (2022–2023).»</w:t>
      </w:r>
    </w:p>
    <w:p w14:paraId="67ABC9F6"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Alfred Jens Bjørlo, André N. Skjelstad og Ane Breivik om </w:t>
      </w:r>
      <w:proofErr w:type="spellStart"/>
      <w:r w:rsidRPr="00580C0D">
        <w:t>ein</w:t>
      </w:r>
      <w:proofErr w:type="spellEnd"/>
      <w:r w:rsidRPr="00580C0D">
        <w:t xml:space="preserve"> lokaliseringspolitikk for </w:t>
      </w:r>
      <w:proofErr w:type="spellStart"/>
      <w:r w:rsidRPr="00580C0D">
        <w:t>statlege</w:t>
      </w:r>
      <w:proofErr w:type="spellEnd"/>
      <w:r w:rsidRPr="00580C0D">
        <w:t xml:space="preserve"> </w:t>
      </w:r>
      <w:proofErr w:type="spellStart"/>
      <w:r w:rsidRPr="00580C0D">
        <w:t>verksemder</w:t>
      </w:r>
      <w:proofErr w:type="spellEnd"/>
      <w:r w:rsidRPr="00580C0D">
        <w:t xml:space="preserve"> som </w:t>
      </w:r>
      <w:proofErr w:type="spellStart"/>
      <w:r w:rsidRPr="00580C0D">
        <w:t>sikrar</w:t>
      </w:r>
      <w:proofErr w:type="spellEnd"/>
      <w:r w:rsidRPr="00580C0D">
        <w:t xml:space="preserve"> utvikling av sterke og </w:t>
      </w:r>
      <w:proofErr w:type="spellStart"/>
      <w:r w:rsidRPr="00580C0D">
        <w:t>mangfaldige</w:t>
      </w:r>
      <w:proofErr w:type="spellEnd"/>
      <w:r w:rsidRPr="00580C0D">
        <w:t xml:space="preserve"> </w:t>
      </w:r>
      <w:proofErr w:type="spellStart"/>
      <w:r w:rsidRPr="00580C0D">
        <w:t>arbeidsmarknadsregionar</w:t>
      </w:r>
      <w:proofErr w:type="spellEnd"/>
      <w:r w:rsidRPr="00580C0D">
        <w:t xml:space="preserve"> rundt større </w:t>
      </w:r>
      <w:proofErr w:type="spellStart"/>
      <w:r w:rsidRPr="00580C0D">
        <w:t>byar</w:t>
      </w:r>
      <w:proofErr w:type="spellEnd"/>
      <w:r w:rsidRPr="00580C0D">
        <w:t xml:space="preserve"> på Sørlandet, på Vestlandet, i Trøndelag og i Nord-</w:t>
      </w:r>
      <w:proofErr w:type="spellStart"/>
      <w:r w:rsidRPr="00580C0D">
        <w:t>Noreg</w:t>
      </w:r>
      <w:proofErr w:type="spellEnd"/>
      <w:r w:rsidRPr="00580C0D">
        <w:t xml:space="preserve">, jf. Dokument 8:162 S (2022–2023) og </w:t>
      </w:r>
      <w:proofErr w:type="spellStart"/>
      <w:r w:rsidRPr="00580C0D">
        <w:t>Innst</w:t>
      </w:r>
      <w:proofErr w:type="spellEnd"/>
      <w:r w:rsidRPr="00580C0D">
        <w:t>. 326 S (2022–2023).</w:t>
      </w:r>
    </w:p>
    <w:p w14:paraId="446FCA11" w14:textId="77777777" w:rsidR="00F7113A" w:rsidRPr="00580C0D" w:rsidRDefault="00142E5B" w:rsidP="00580C0D">
      <w:r w:rsidRPr="00580C0D">
        <w:t>Det blir vist til omtale under vedtak nr. 383, 19. desember 2022.</w:t>
      </w:r>
    </w:p>
    <w:p w14:paraId="0FA7D701"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34EFF943" w14:textId="77777777" w:rsidR="00F7113A" w:rsidRPr="00580C0D" w:rsidRDefault="00142E5B" w:rsidP="00580C0D">
      <w:pPr>
        <w:pStyle w:val="avsnitt-tittel"/>
      </w:pPr>
      <w:r w:rsidRPr="00580C0D">
        <w:t xml:space="preserve">Retningslinjer for lokalisering av </w:t>
      </w:r>
      <w:proofErr w:type="spellStart"/>
      <w:r w:rsidRPr="00580C0D">
        <w:t>statlege</w:t>
      </w:r>
      <w:proofErr w:type="spellEnd"/>
      <w:r w:rsidRPr="00580C0D">
        <w:t xml:space="preserve"> </w:t>
      </w:r>
      <w:proofErr w:type="spellStart"/>
      <w:r w:rsidRPr="00580C0D">
        <w:t>arbeidsplassar</w:t>
      </w:r>
      <w:proofErr w:type="spellEnd"/>
    </w:p>
    <w:p w14:paraId="753A4625" w14:textId="77777777" w:rsidR="00F7113A" w:rsidRPr="00580C0D" w:rsidRDefault="00142E5B" w:rsidP="00580C0D">
      <w:pPr>
        <w:pStyle w:val="avsnitt-undertittel"/>
      </w:pPr>
      <w:r w:rsidRPr="00580C0D">
        <w:t>Vedtak nr. 667, 15. mai 2023</w:t>
      </w:r>
    </w:p>
    <w:p w14:paraId="57A1EC3B" w14:textId="77777777" w:rsidR="00F7113A" w:rsidRPr="00580C0D" w:rsidRDefault="00142E5B" w:rsidP="00580C0D">
      <w:pPr>
        <w:pStyle w:val="blokksit"/>
        <w:rPr>
          <w:rStyle w:val="kursiv"/>
        </w:rPr>
      </w:pPr>
      <w:r w:rsidRPr="00580C0D">
        <w:rPr>
          <w:rStyle w:val="kursiv"/>
        </w:rPr>
        <w:t xml:space="preserve">«Stortinget ber regjeringen i retningslinjene for lokalisering av statlige arbeidsplasser om ikke å sidestille større byer og byområder med Oslo når det gjelder hvor nye og </w:t>
      </w:r>
      <w:proofErr w:type="spellStart"/>
      <w:r w:rsidRPr="00580C0D">
        <w:rPr>
          <w:rStyle w:val="kursiv"/>
        </w:rPr>
        <w:t>omlokaliserte</w:t>
      </w:r>
      <w:proofErr w:type="spellEnd"/>
      <w:r w:rsidRPr="00580C0D">
        <w:rPr>
          <w:rStyle w:val="kursiv"/>
        </w:rPr>
        <w:t xml:space="preserve"> statlige arbeidsplasser og virksomheter skal lokaliseres.»</w:t>
      </w:r>
    </w:p>
    <w:p w14:paraId="79F077C2"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Alfred Jens Bjørlo, André N. Skjelstad og Ane Breivik om </w:t>
      </w:r>
      <w:proofErr w:type="spellStart"/>
      <w:r w:rsidRPr="00580C0D">
        <w:t>ein</w:t>
      </w:r>
      <w:proofErr w:type="spellEnd"/>
      <w:r w:rsidRPr="00580C0D">
        <w:t xml:space="preserve"> lokaliseringspolitikk for </w:t>
      </w:r>
      <w:proofErr w:type="spellStart"/>
      <w:r w:rsidRPr="00580C0D">
        <w:t>statlege</w:t>
      </w:r>
      <w:proofErr w:type="spellEnd"/>
      <w:r w:rsidRPr="00580C0D">
        <w:t xml:space="preserve"> </w:t>
      </w:r>
      <w:proofErr w:type="spellStart"/>
      <w:r w:rsidRPr="00580C0D">
        <w:t>verksemder</w:t>
      </w:r>
      <w:proofErr w:type="spellEnd"/>
      <w:r w:rsidRPr="00580C0D">
        <w:t xml:space="preserve"> som </w:t>
      </w:r>
      <w:proofErr w:type="spellStart"/>
      <w:r w:rsidRPr="00580C0D">
        <w:t>sikrar</w:t>
      </w:r>
      <w:proofErr w:type="spellEnd"/>
      <w:r w:rsidRPr="00580C0D">
        <w:t xml:space="preserve"> utvikling av sterke og </w:t>
      </w:r>
      <w:proofErr w:type="spellStart"/>
      <w:r w:rsidRPr="00580C0D">
        <w:t>mangfaldige</w:t>
      </w:r>
      <w:proofErr w:type="spellEnd"/>
      <w:r w:rsidRPr="00580C0D">
        <w:t xml:space="preserve"> </w:t>
      </w:r>
      <w:proofErr w:type="spellStart"/>
      <w:r w:rsidRPr="00580C0D">
        <w:t>arbeidsmarknadsregionar</w:t>
      </w:r>
      <w:proofErr w:type="spellEnd"/>
      <w:r w:rsidRPr="00580C0D">
        <w:t xml:space="preserve"> rundt større </w:t>
      </w:r>
      <w:proofErr w:type="spellStart"/>
      <w:r w:rsidRPr="00580C0D">
        <w:t>byar</w:t>
      </w:r>
      <w:proofErr w:type="spellEnd"/>
      <w:r w:rsidRPr="00580C0D">
        <w:t xml:space="preserve"> på Sørlandet, på Vestlandet, i Trøndelag og i Nord-</w:t>
      </w:r>
      <w:proofErr w:type="spellStart"/>
      <w:r w:rsidRPr="00580C0D">
        <w:t>Noreg</w:t>
      </w:r>
      <w:proofErr w:type="spellEnd"/>
      <w:r w:rsidRPr="00580C0D">
        <w:t xml:space="preserve">, jf. Dokument 8:162 S (2022–2023) og </w:t>
      </w:r>
      <w:proofErr w:type="spellStart"/>
      <w:r w:rsidRPr="00580C0D">
        <w:t>Innst</w:t>
      </w:r>
      <w:proofErr w:type="spellEnd"/>
      <w:r w:rsidRPr="00580C0D">
        <w:t>. 326 S (2022–2023).</w:t>
      </w:r>
    </w:p>
    <w:p w14:paraId="192F5600" w14:textId="77777777" w:rsidR="00F7113A" w:rsidRPr="00580C0D" w:rsidRDefault="00142E5B" w:rsidP="00580C0D">
      <w:r w:rsidRPr="00580C0D">
        <w:t xml:space="preserve">Ei sidestilling av Oslo med andre større </w:t>
      </w:r>
      <w:proofErr w:type="spellStart"/>
      <w:r w:rsidRPr="00580C0D">
        <w:t>byar</w:t>
      </w:r>
      <w:proofErr w:type="spellEnd"/>
      <w:r w:rsidRPr="00580C0D">
        <w:t xml:space="preserve"> i </w:t>
      </w:r>
      <w:proofErr w:type="spellStart"/>
      <w:r w:rsidRPr="00580C0D">
        <w:t>Noreg</w:t>
      </w:r>
      <w:proofErr w:type="spellEnd"/>
      <w:r w:rsidRPr="00580C0D">
        <w:t xml:space="preserve"> har aldri </w:t>
      </w:r>
      <w:proofErr w:type="spellStart"/>
      <w:r w:rsidRPr="00580C0D">
        <w:t>vore</w:t>
      </w:r>
      <w:proofErr w:type="spellEnd"/>
      <w:r w:rsidRPr="00580C0D">
        <w:t xml:space="preserve"> praktisert ved bruk av retningslinjene for lokalisering av </w:t>
      </w:r>
      <w:proofErr w:type="spellStart"/>
      <w:r w:rsidRPr="00580C0D">
        <w:t>statlege</w:t>
      </w:r>
      <w:proofErr w:type="spellEnd"/>
      <w:r w:rsidRPr="00580C0D">
        <w:t xml:space="preserve"> </w:t>
      </w:r>
      <w:proofErr w:type="spellStart"/>
      <w:r w:rsidRPr="00580C0D">
        <w:t>arbeidsplassar</w:t>
      </w:r>
      <w:proofErr w:type="spellEnd"/>
      <w:r w:rsidRPr="00580C0D">
        <w:t xml:space="preserve"> og </w:t>
      </w:r>
      <w:proofErr w:type="spellStart"/>
      <w:r w:rsidRPr="00580C0D">
        <w:t>statleg</w:t>
      </w:r>
      <w:proofErr w:type="spellEnd"/>
      <w:r w:rsidRPr="00580C0D">
        <w:t xml:space="preserve"> </w:t>
      </w:r>
      <w:proofErr w:type="spellStart"/>
      <w:r w:rsidRPr="00580C0D">
        <w:t>tenesteproduksjon</w:t>
      </w:r>
      <w:proofErr w:type="spellEnd"/>
      <w:r w:rsidRPr="00580C0D">
        <w:t xml:space="preserve">. Praktiseringa av retningslinjene vil </w:t>
      </w:r>
      <w:proofErr w:type="spellStart"/>
      <w:r w:rsidRPr="00580C0D">
        <w:t>framleis</w:t>
      </w:r>
      <w:proofErr w:type="spellEnd"/>
      <w:r w:rsidRPr="00580C0D">
        <w:t xml:space="preserve"> </w:t>
      </w:r>
      <w:proofErr w:type="spellStart"/>
      <w:r w:rsidRPr="00580C0D">
        <w:t>vere</w:t>
      </w:r>
      <w:proofErr w:type="spellEnd"/>
      <w:r w:rsidRPr="00580C0D">
        <w:t xml:space="preserve"> at </w:t>
      </w:r>
      <w:proofErr w:type="spellStart"/>
      <w:r w:rsidRPr="00580C0D">
        <w:t>ein</w:t>
      </w:r>
      <w:proofErr w:type="spellEnd"/>
      <w:r w:rsidRPr="00580C0D">
        <w:t xml:space="preserve"> vurderer lokalisering til Oslo og andre av </w:t>
      </w:r>
      <w:proofErr w:type="spellStart"/>
      <w:r w:rsidRPr="00580C0D">
        <w:t>dei</w:t>
      </w:r>
      <w:proofErr w:type="spellEnd"/>
      <w:r w:rsidRPr="00580C0D">
        <w:t xml:space="preserve"> større </w:t>
      </w:r>
      <w:proofErr w:type="spellStart"/>
      <w:r w:rsidRPr="00580C0D">
        <w:t>byane</w:t>
      </w:r>
      <w:proofErr w:type="spellEnd"/>
      <w:r w:rsidRPr="00580C0D">
        <w:t xml:space="preserve"> i kvar </w:t>
      </w:r>
      <w:proofErr w:type="spellStart"/>
      <w:r w:rsidRPr="00580C0D">
        <w:t>einskild</w:t>
      </w:r>
      <w:proofErr w:type="spellEnd"/>
      <w:r w:rsidRPr="00580C0D">
        <w:t xml:space="preserve"> sak, ut </w:t>
      </w:r>
      <w:proofErr w:type="spellStart"/>
      <w:r w:rsidRPr="00580C0D">
        <w:t>frå</w:t>
      </w:r>
      <w:proofErr w:type="spellEnd"/>
      <w:r w:rsidRPr="00580C0D">
        <w:t xml:space="preserve"> sektorpolitiske og lokaliseringspolitiske mål. Kravet i retningslinjene om at </w:t>
      </w:r>
      <w:proofErr w:type="spellStart"/>
      <w:r w:rsidRPr="00580C0D">
        <w:t>eitt</w:t>
      </w:r>
      <w:proofErr w:type="spellEnd"/>
      <w:r w:rsidRPr="00580C0D">
        <w:t xml:space="preserve"> av tre lokaliseringsalternativ som blir vurdert skal ligge på sentralitet 3-6, vil ivareta at </w:t>
      </w:r>
      <w:proofErr w:type="spellStart"/>
      <w:r w:rsidRPr="00580C0D">
        <w:t>ein</w:t>
      </w:r>
      <w:proofErr w:type="spellEnd"/>
      <w:r w:rsidRPr="00580C0D">
        <w:t xml:space="preserve"> alltid vurderer </w:t>
      </w:r>
      <w:proofErr w:type="spellStart"/>
      <w:r w:rsidRPr="00580C0D">
        <w:t>moglegheitene</w:t>
      </w:r>
      <w:proofErr w:type="spellEnd"/>
      <w:r w:rsidRPr="00580C0D">
        <w:t xml:space="preserve"> for å lokalisere </w:t>
      </w:r>
      <w:proofErr w:type="spellStart"/>
      <w:r w:rsidRPr="00580C0D">
        <w:t>statleg</w:t>
      </w:r>
      <w:proofErr w:type="spellEnd"/>
      <w:r w:rsidRPr="00580C0D">
        <w:t xml:space="preserve"> </w:t>
      </w:r>
      <w:proofErr w:type="spellStart"/>
      <w:r w:rsidRPr="00580C0D">
        <w:t>verksemder</w:t>
      </w:r>
      <w:proofErr w:type="spellEnd"/>
      <w:r w:rsidRPr="00580C0D">
        <w:t xml:space="preserve"> i mindre sentrale </w:t>
      </w:r>
      <w:proofErr w:type="spellStart"/>
      <w:r w:rsidRPr="00580C0D">
        <w:t>kommunar</w:t>
      </w:r>
      <w:proofErr w:type="spellEnd"/>
      <w:r w:rsidRPr="00580C0D">
        <w:t xml:space="preserve">, samstundes som eventuelle behov for lokalisering i større </w:t>
      </w:r>
      <w:proofErr w:type="spellStart"/>
      <w:r w:rsidRPr="00580C0D">
        <w:t>byar</w:t>
      </w:r>
      <w:proofErr w:type="spellEnd"/>
      <w:r w:rsidRPr="00580C0D">
        <w:t xml:space="preserve"> også vil bli </w:t>
      </w:r>
      <w:proofErr w:type="spellStart"/>
      <w:r w:rsidRPr="00580C0D">
        <w:t>synleggjort</w:t>
      </w:r>
      <w:proofErr w:type="spellEnd"/>
      <w:r w:rsidRPr="00580C0D">
        <w:t xml:space="preserve"> i utgreiinga.</w:t>
      </w:r>
    </w:p>
    <w:p w14:paraId="4802EFAD"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33B1AA19" w14:textId="77777777" w:rsidR="00F7113A" w:rsidRPr="00580C0D" w:rsidRDefault="00142E5B" w:rsidP="00580C0D">
      <w:pPr>
        <w:pStyle w:val="avsnitt-tittel"/>
      </w:pPr>
      <w:r w:rsidRPr="00580C0D">
        <w:t>Marine grunnkart</w:t>
      </w:r>
    </w:p>
    <w:p w14:paraId="41D74A4A" w14:textId="77777777" w:rsidR="00F7113A" w:rsidRPr="00580C0D" w:rsidRDefault="00142E5B" w:rsidP="00580C0D">
      <w:pPr>
        <w:pStyle w:val="avsnitt-undertittel"/>
      </w:pPr>
      <w:r w:rsidRPr="00580C0D">
        <w:t>Vedtak nr. 710, 30. mai 2023</w:t>
      </w:r>
    </w:p>
    <w:p w14:paraId="7B49BE1D" w14:textId="77777777" w:rsidR="00F7113A" w:rsidRPr="00580C0D" w:rsidRDefault="00142E5B" w:rsidP="00580C0D">
      <w:pPr>
        <w:pStyle w:val="blokksit"/>
        <w:rPr>
          <w:rStyle w:val="kursiv"/>
        </w:rPr>
      </w:pPr>
      <w:r w:rsidRPr="00580C0D">
        <w:rPr>
          <w:rStyle w:val="kursiv"/>
        </w:rPr>
        <w:t xml:space="preserve">«Stortinget ber regjeringa </w:t>
      </w:r>
      <w:proofErr w:type="spellStart"/>
      <w:r w:rsidRPr="00580C0D">
        <w:rPr>
          <w:rStyle w:val="kursiv"/>
        </w:rPr>
        <w:t>setje</w:t>
      </w:r>
      <w:proofErr w:type="spellEnd"/>
      <w:r w:rsidRPr="00580C0D">
        <w:rPr>
          <w:rStyle w:val="kursiv"/>
        </w:rPr>
        <w:t xml:space="preserve"> fart på arbeidet med å lage marine grunnkart for alle norske </w:t>
      </w:r>
      <w:proofErr w:type="spellStart"/>
      <w:r w:rsidRPr="00580C0D">
        <w:rPr>
          <w:rStyle w:val="kursiv"/>
        </w:rPr>
        <w:t>fjordar</w:t>
      </w:r>
      <w:proofErr w:type="spellEnd"/>
      <w:r w:rsidRPr="00580C0D">
        <w:rPr>
          <w:rStyle w:val="kursiv"/>
        </w:rPr>
        <w:t xml:space="preserve"> og kystområde innafor grunnlinja.»</w:t>
      </w:r>
    </w:p>
    <w:p w14:paraId="570F5871"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Birgit Oline Kjerstad, Grete Wold og Ingrid Fiskaa om marine grunnkart i kystsona, jf. Dokument 8:220 S (2022–2023) og </w:t>
      </w:r>
      <w:proofErr w:type="spellStart"/>
      <w:r w:rsidRPr="00580C0D">
        <w:t>Innst</w:t>
      </w:r>
      <w:proofErr w:type="spellEnd"/>
      <w:r w:rsidRPr="00580C0D">
        <w:t>. 446 S (2022–2023).</w:t>
      </w:r>
    </w:p>
    <w:p w14:paraId="02C0D546" w14:textId="77777777" w:rsidR="00F7113A" w:rsidRPr="00580C0D" w:rsidRDefault="00142E5B" w:rsidP="00580C0D">
      <w:r w:rsidRPr="00580C0D">
        <w:t xml:space="preserve">Regjeringa følgjer </w:t>
      </w:r>
      <w:proofErr w:type="spellStart"/>
      <w:r w:rsidRPr="00580C0D">
        <w:t>effektane</w:t>
      </w:r>
      <w:proofErr w:type="spellEnd"/>
      <w:r w:rsidRPr="00580C0D">
        <w:t xml:space="preserve"> av pilotprosjektet for marine grunnkart nøye og er i dialog med </w:t>
      </w:r>
      <w:proofErr w:type="spellStart"/>
      <w:r w:rsidRPr="00580C0D">
        <w:t>etatane</w:t>
      </w:r>
      <w:proofErr w:type="spellEnd"/>
      <w:r w:rsidRPr="00580C0D">
        <w:t xml:space="preserve"> om </w:t>
      </w:r>
      <w:proofErr w:type="spellStart"/>
      <w:r w:rsidRPr="00580C0D">
        <w:t>dei</w:t>
      </w:r>
      <w:proofErr w:type="spellEnd"/>
      <w:r w:rsidRPr="00580C0D">
        <w:t xml:space="preserve"> beste tekniske </w:t>
      </w:r>
      <w:proofErr w:type="spellStart"/>
      <w:r w:rsidRPr="00580C0D">
        <w:t>løysingane</w:t>
      </w:r>
      <w:proofErr w:type="spellEnd"/>
      <w:r w:rsidRPr="00580C0D">
        <w:t xml:space="preserve">. I samband med revidert nasjonalbudsjett for 2023 </w:t>
      </w:r>
      <w:proofErr w:type="spellStart"/>
      <w:r w:rsidRPr="00580C0D">
        <w:t>vart</w:t>
      </w:r>
      <w:proofErr w:type="spellEnd"/>
      <w:r w:rsidRPr="00580C0D">
        <w:t xml:space="preserve"> det satt av 3 mill. kroner til å bygge </w:t>
      </w:r>
      <w:proofErr w:type="spellStart"/>
      <w:r w:rsidRPr="00580C0D">
        <w:t>ein</w:t>
      </w:r>
      <w:proofErr w:type="spellEnd"/>
      <w:r w:rsidRPr="00580C0D">
        <w:t xml:space="preserve"> teknisk infrastruktur for marine grunnkart i Sør-Varanger.</w:t>
      </w:r>
    </w:p>
    <w:p w14:paraId="3AC29953"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5680D627" w14:textId="77777777" w:rsidR="00F7113A" w:rsidRPr="00580C0D" w:rsidRDefault="00142E5B" w:rsidP="00580C0D">
      <w:pPr>
        <w:pStyle w:val="avsnitt-tittel"/>
      </w:pPr>
      <w:r w:rsidRPr="00580C0D">
        <w:t>Fordeling av førehandsstemmer og stemmer på valkrins</w:t>
      </w:r>
    </w:p>
    <w:p w14:paraId="27A46E36" w14:textId="77777777" w:rsidR="00F7113A" w:rsidRPr="00580C0D" w:rsidRDefault="00142E5B" w:rsidP="00580C0D">
      <w:pPr>
        <w:pStyle w:val="avsnitt-undertittel"/>
      </w:pPr>
      <w:r w:rsidRPr="00580C0D">
        <w:t>Vedtak nr. 780, 7. juni 2023</w:t>
      </w:r>
    </w:p>
    <w:p w14:paraId="6A24D180" w14:textId="77777777" w:rsidR="00F7113A" w:rsidRPr="00580C0D" w:rsidRDefault="00142E5B" w:rsidP="00580C0D">
      <w:pPr>
        <w:pStyle w:val="blokksit"/>
        <w:rPr>
          <w:rStyle w:val="kursiv"/>
        </w:rPr>
      </w:pPr>
      <w:r w:rsidRPr="00580C0D">
        <w:rPr>
          <w:rStyle w:val="kursiv"/>
        </w:rPr>
        <w:t>«Stortinget ber regjeringen sørge for at forhåndsstemmer og stemmer avgitt i en annen valgkrets enn der velger er manntallsført ved valgoppgjøret, fordeles på den krets der velgeren er manntallsført.»</w:t>
      </w:r>
    </w:p>
    <w:p w14:paraId="21860B12"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45 L (2022–2023) </w:t>
      </w:r>
      <w:r w:rsidRPr="00580C0D">
        <w:rPr>
          <w:rStyle w:val="kursiv"/>
        </w:rPr>
        <w:t>Lov om valg til Stortinget, fylkesting og kommunestyrer (valgloven)</w:t>
      </w:r>
      <w:r w:rsidRPr="00580C0D">
        <w:t xml:space="preserve">, </w:t>
      </w:r>
      <w:proofErr w:type="spellStart"/>
      <w:r w:rsidRPr="00580C0D">
        <w:t>Innst</w:t>
      </w:r>
      <w:proofErr w:type="spellEnd"/>
      <w:r w:rsidRPr="00580C0D">
        <w:t>. 431 L (2022–2023) og Lovvedtak 96 (2022–2023).</w:t>
      </w:r>
    </w:p>
    <w:p w14:paraId="2E6376C6" w14:textId="77777777" w:rsidR="00F7113A" w:rsidRPr="00580C0D" w:rsidRDefault="00142E5B" w:rsidP="00580C0D">
      <w:r w:rsidRPr="00580C0D">
        <w:t xml:space="preserve">Forslaget vil </w:t>
      </w:r>
      <w:proofErr w:type="spellStart"/>
      <w:r w:rsidRPr="00580C0D">
        <w:t>krevje</w:t>
      </w:r>
      <w:proofErr w:type="spellEnd"/>
      <w:r w:rsidRPr="00580C0D">
        <w:t xml:space="preserve"> endring i den nye </w:t>
      </w:r>
      <w:proofErr w:type="spellStart"/>
      <w:r w:rsidRPr="00580C0D">
        <w:t>vallova</w:t>
      </w:r>
      <w:proofErr w:type="spellEnd"/>
      <w:r w:rsidRPr="00580C0D">
        <w:t xml:space="preserve">, og det må </w:t>
      </w:r>
      <w:proofErr w:type="spellStart"/>
      <w:r w:rsidRPr="00580C0D">
        <w:t>gjerast</w:t>
      </w:r>
      <w:proofErr w:type="spellEnd"/>
      <w:r w:rsidRPr="00580C0D">
        <w:t xml:space="preserve"> ei større utgreiing for å sjå på korleis </w:t>
      </w:r>
      <w:proofErr w:type="spellStart"/>
      <w:r w:rsidRPr="00580C0D">
        <w:t>oppmodningsvedtaket</w:t>
      </w:r>
      <w:proofErr w:type="spellEnd"/>
      <w:r w:rsidRPr="00580C0D">
        <w:t xml:space="preserve"> kan </w:t>
      </w:r>
      <w:proofErr w:type="spellStart"/>
      <w:r w:rsidRPr="00580C0D">
        <w:t>følgjast</w:t>
      </w:r>
      <w:proofErr w:type="spellEnd"/>
      <w:r w:rsidRPr="00580C0D">
        <w:t xml:space="preserve"> opp.</w:t>
      </w:r>
    </w:p>
    <w:p w14:paraId="38D05D7A"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2C9ED91A" w14:textId="77777777" w:rsidR="00F7113A" w:rsidRPr="00580C0D" w:rsidRDefault="00142E5B" w:rsidP="00580C0D">
      <w:pPr>
        <w:pStyle w:val="avsnitt-tittel"/>
      </w:pPr>
      <w:proofErr w:type="spellStart"/>
      <w:r w:rsidRPr="00580C0D">
        <w:t>Kapitalkostnadar</w:t>
      </w:r>
      <w:proofErr w:type="spellEnd"/>
      <w:r w:rsidRPr="00580C0D">
        <w:t xml:space="preserve"> ferjeavløysingsprosjekt</w:t>
      </w:r>
    </w:p>
    <w:p w14:paraId="64FB94BB" w14:textId="77777777" w:rsidR="00F7113A" w:rsidRPr="00580C0D" w:rsidRDefault="00142E5B" w:rsidP="00580C0D">
      <w:pPr>
        <w:pStyle w:val="avsnitt-undertittel"/>
      </w:pPr>
      <w:r w:rsidRPr="00580C0D">
        <w:t>Vedtak nr. 819, 13. juni 2023</w:t>
      </w:r>
    </w:p>
    <w:p w14:paraId="2285C56B" w14:textId="77777777" w:rsidR="00F7113A" w:rsidRPr="00580C0D" w:rsidRDefault="00142E5B" w:rsidP="00580C0D">
      <w:pPr>
        <w:pStyle w:val="blokksit"/>
        <w:rPr>
          <w:rStyle w:val="kursiv"/>
        </w:rPr>
      </w:pPr>
      <w:r w:rsidRPr="00580C0D">
        <w:rPr>
          <w:rStyle w:val="kursiv"/>
        </w:rPr>
        <w:t xml:space="preserve">«Stortinget ber regjeringen sikre at fergeavløsningsprosjekter som ferdigstilles mellom 2022 og 2027, får ta del i rentekompensasjonsordningen i tråd med vedtak nr. 1251 (2020–2021), jf. </w:t>
      </w:r>
      <w:proofErr w:type="spellStart"/>
      <w:r w:rsidRPr="00580C0D">
        <w:rPr>
          <w:rStyle w:val="kursiv"/>
        </w:rPr>
        <w:t>Prop</w:t>
      </w:r>
      <w:proofErr w:type="spellEnd"/>
      <w:r w:rsidRPr="00580C0D">
        <w:rPr>
          <w:rStyle w:val="kursiv"/>
        </w:rPr>
        <w:t xml:space="preserve">. 192 S (2020–2021) Kommuneproposisjonen 2022 og </w:t>
      </w:r>
      <w:proofErr w:type="spellStart"/>
      <w:r w:rsidRPr="00580C0D">
        <w:rPr>
          <w:rStyle w:val="kursiv"/>
        </w:rPr>
        <w:t>Innst</w:t>
      </w:r>
      <w:proofErr w:type="spellEnd"/>
      <w:r w:rsidRPr="00580C0D">
        <w:rPr>
          <w:rStyle w:val="kursiv"/>
        </w:rPr>
        <w:t>. 660 S (2020–2021).»</w:t>
      </w:r>
    </w:p>
    <w:p w14:paraId="00F35A8A"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112 S (2022–2023) </w:t>
      </w:r>
      <w:r w:rsidRPr="00580C0D">
        <w:rPr>
          <w:rStyle w:val="kursiv"/>
        </w:rPr>
        <w:t>Kommuneproposisjonen 2024</w:t>
      </w:r>
      <w:r w:rsidRPr="00580C0D">
        <w:t xml:space="preserve"> og </w:t>
      </w:r>
      <w:proofErr w:type="spellStart"/>
      <w:r w:rsidRPr="00580C0D">
        <w:t>Innst</w:t>
      </w:r>
      <w:proofErr w:type="spellEnd"/>
      <w:r w:rsidRPr="00580C0D">
        <w:t>. 488 S (2022–2023).</w:t>
      </w:r>
    </w:p>
    <w:p w14:paraId="12E50A3F" w14:textId="77777777" w:rsidR="00F7113A" w:rsidRPr="00580C0D" w:rsidRDefault="00142E5B" w:rsidP="00580C0D">
      <w:r w:rsidRPr="00580C0D">
        <w:t xml:space="preserve">Den ordinære ferjeavløysingsordninga blir finansiert </w:t>
      </w:r>
      <w:proofErr w:type="spellStart"/>
      <w:r w:rsidRPr="00580C0D">
        <w:t>innanfor</w:t>
      </w:r>
      <w:proofErr w:type="spellEnd"/>
      <w:r w:rsidRPr="00580C0D">
        <w:t xml:space="preserve"> </w:t>
      </w:r>
      <w:proofErr w:type="spellStart"/>
      <w:r w:rsidRPr="00580C0D">
        <w:t>rammetilskotet</w:t>
      </w:r>
      <w:proofErr w:type="spellEnd"/>
      <w:r w:rsidRPr="00580C0D">
        <w:t xml:space="preserve"> til </w:t>
      </w:r>
      <w:proofErr w:type="spellStart"/>
      <w:r w:rsidRPr="00580C0D">
        <w:t>fylkeskommunane</w:t>
      </w:r>
      <w:proofErr w:type="spellEnd"/>
      <w:r w:rsidRPr="00580C0D">
        <w:t xml:space="preserve">. Dette </w:t>
      </w:r>
      <w:proofErr w:type="spellStart"/>
      <w:r w:rsidRPr="00580C0D">
        <w:t>inneber</w:t>
      </w:r>
      <w:proofErr w:type="spellEnd"/>
      <w:r w:rsidRPr="00580C0D">
        <w:t xml:space="preserve"> at alle </w:t>
      </w:r>
      <w:proofErr w:type="spellStart"/>
      <w:r w:rsidRPr="00580C0D">
        <w:t>fylkeskommunar</w:t>
      </w:r>
      <w:proofErr w:type="spellEnd"/>
      <w:r w:rsidRPr="00580C0D">
        <w:t xml:space="preserve"> er med på å finansiere </w:t>
      </w:r>
      <w:proofErr w:type="spellStart"/>
      <w:r w:rsidRPr="00580C0D">
        <w:t>tilskot</w:t>
      </w:r>
      <w:proofErr w:type="spellEnd"/>
      <w:r w:rsidRPr="00580C0D">
        <w:t xml:space="preserve"> til ferjeavløysing. Som svar på oppmodingsvedtak nr. 727 (2019–2020), jf. </w:t>
      </w:r>
      <w:proofErr w:type="spellStart"/>
      <w:r w:rsidRPr="00580C0D">
        <w:t>Prop</w:t>
      </w:r>
      <w:proofErr w:type="spellEnd"/>
      <w:r w:rsidRPr="00580C0D">
        <w:t xml:space="preserve">. 105 S </w:t>
      </w:r>
      <w:r w:rsidRPr="00580C0D">
        <w:rPr>
          <w:rStyle w:val="kursiv"/>
        </w:rPr>
        <w:t>Kommuneproposisjonen 2021</w:t>
      </w:r>
      <w:r w:rsidRPr="00580C0D">
        <w:t xml:space="preserve"> og </w:t>
      </w:r>
      <w:proofErr w:type="spellStart"/>
      <w:r w:rsidRPr="00580C0D">
        <w:t>Innst</w:t>
      </w:r>
      <w:proofErr w:type="spellEnd"/>
      <w:r w:rsidRPr="00580C0D">
        <w:t xml:space="preserve">. 383 S (2019–2020), la Solberg-regjeringa i </w:t>
      </w:r>
      <w:proofErr w:type="spellStart"/>
      <w:r w:rsidRPr="00580C0D">
        <w:t>Prop</w:t>
      </w:r>
      <w:proofErr w:type="spellEnd"/>
      <w:r w:rsidRPr="00580C0D">
        <w:t xml:space="preserve">. 192 S (2020–2021) </w:t>
      </w:r>
      <w:r w:rsidRPr="00580C0D">
        <w:rPr>
          <w:rStyle w:val="kursiv"/>
        </w:rPr>
        <w:t>Kommuneproposisjonen 2022</w:t>
      </w:r>
      <w:r w:rsidRPr="00580C0D">
        <w:t xml:space="preserve"> fram forslag til </w:t>
      </w:r>
      <w:proofErr w:type="spellStart"/>
      <w:r w:rsidRPr="00580C0D">
        <w:t>eit</w:t>
      </w:r>
      <w:proofErr w:type="spellEnd"/>
      <w:r w:rsidRPr="00580C0D">
        <w:t xml:space="preserve"> nytt, </w:t>
      </w:r>
      <w:proofErr w:type="spellStart"/>
      <w:r w:rsidRPr="00580C0D">
        <w:t>øyremerkt</w:t>
      </w:r>
      <w:proofErr w:type="spellEnd"/>
      <w:r w:rsidRPr="00580C0D">
        <w:t xml:space="preserve"> </w:t>
      </w:r>
      <w:proofErr w:type="spellStart"/>
      <w:r w:rsidRPr="00580C0D">
        <w:t>tilskot</w:t>
      </w:r>
      <w:proofErr w:type="spellEnd"/>
      <w:r w:rsidRPr="00580C0D">
        <w:t xml:space="preserve"> til rentekompensasjon i ferjeavløysingsprosjekt. Forslaget om </w:t>
      </w:r>
      <w:proofErr w:type="spellStart"/>
      <w:r w:rsidRPr="00580C0D">
        <w:t>eit</w:t>
      </w:r>
      <w:proofErr w:type="spellEnd"/>
      <w:r w:rsidRPr="00580C0D">
        <w:t xml:space="preserve"> ekstra </w:t>
      </w:r>
      <w:proofErr w:type="spellStart"/>
      <w:r w:rsidRPr="00580C0D">
        <w:t>tilskot</w:t>
      </w:r>
      <w:proofErr w:type="spellEnd"/>
      <w:r w:rsidRPr="00580C0D">
        <w:t xml:space="preserve"> vart grunngitt med at </w:t>
      </w:r>
      <w:proofErr w:type="spellStart"/>
      <w:r w:rsidRPr="00580C0D">
        <w:t>ikkje</w:t>
      </w:r>
      <w:proofErr w:type="spellEnd"/>
      <w:r w:rsidRPr="00580C0D">
        <w:t xml:space="preserve"> </w:t>
      </w:r>
      <w:proofErr w:type="spellStart"/>
      <w:r w:rsidRPr="00580C0D">
        <w:t>dei</w:t>
      </w:r>
      <w:proofErr w:type="spellEnd"/>
      <w:r w:rsidRPr="00580C0D">
        <w:t xml:space="preserve"> andre </w:t>
      </w:r>
      <w:proofErr w:type="spellStart"/>
      <w:r w:rsidRPr="00580C0D">
        <w:t>fylkeskommunane</w:t>
      </w:r>
      <w:proofErr w:type="spellEnd"/>
      <w:r w:rsidRPr="00580C0D">
        <w:t xml:space="preserve"> skulle måtte </w:t>
      </w:r>
      <w:proofErr w:type="spellStart"/>
      <w:r w:rsidRPr="00580C0D">
        <w:t>medverke</w:t>
      </w:r>
      <w:proofErr w:type="spellEnd"/>
      <w:r w:rsidRPr="00580C0D">
        <w:t xml:space="preserve"> </w:t>
      </w:r>
      <w:proofErr w:type="spellStart"/>
      <w:r w:rsidRPr="00580C0D">
        <w:t>ytterlegare</w:t>
      </w:r>
      <w:proofErr w:type="spellEnd"/>
      <w:r w:rsidRPr="00580C0D">
        <w:t xml:space="preserve"> til finansiering av ferjeavløysingsprosjekt. </w:t>
      </w:r>
      <w:proofErr w:type="spellStart"/>
      <w:r w:rsidRPr="00580C0D">
        <w:t>Innanfor</w:t>
      </w:r>
      <w:proofErr w:type="spellEnd"/>
      <w:r w:rsidRPr="00580C0D">
        <w:t xml:space="preserve"> ei </w:t>
      </w:r>
      <w:proofErr w:type="spellStart"/>
      <w:r w:rsidRPr="00580C0D">
        <w:t>årleg</w:t>
      </w:r>
      <w:proofErr w:type="spellEnd"/>
      <w:r w:rsidRPr="00580C0D">
        <w:t xml:space="preserve"> ramme på 50 mill. kroner kunne </w:t>
      </w:r>
      <w:proofErr w:type="spellStart"/>
      <w:r w:rsidRPr="00580C0D">
        <w:t>fylkeskommunar</w:t>
      </w:r>
      <w:proofErr w:type="spellEnd"/>
      <w:r w:rsidRPr="00580C0D">
        <w:t xml:space="preserve"> få kompensert inntil 50 pst. av </w:t>
      </w:r>
      <w:proofErr w:type="spellStart"/>
      <w:r w:rsidRPr="00580C0D">
        <w:t>årlege</w:t>
      </w:r>
      <w:proofErr w:type="spellEnd"/>
      <w:r w:rsidRPr="00580C0D">
        <w:t xml:space="preserve"> </w:t>
      </w:r>
      <w:proofErr w:type="spellStart"/>
      <w:r w:rsidRPr="00580C0D">
        <w:t>rentekostnadar</w:t>
      </w:r>
      <w:proofErr w:type="spellEnd"/>
      <w:r w:rsidRPr="00580C0D">
        <w:t xml:space="preserve"> </w:t>
      </w:r>
      <w:proofErr w:type="spellStart"/>
      <w:r w:rsidRPr="00580C0D">
        <w:t>dei</w:t>
      </w:r>
      <w:proofErr w:type="spellEnd"/>
      <w:r w:rsidRPr="00580C0D">
        <w:t xml:space="preserve"> første fem åra etter at vegprosjektet er ferdigstilt, for ferjeavløysingsprosjekt som blir ferdigstilte mellom 2022 og 2027. På bakgrunn av </w:t>
      </w:r>
      <w:proofErr w:type="spellStart"/>
      <w:r w:rsidRPr="00580C0D">
        <w:t>eit</w:t>
      </w:r>
      <w:proofErr w:type="spellEnd"/>
      <w:r w:rsidRPr="00580C0D">
        <w:t xml:space="preserve"> nytt oppmodingsvedtak nr. 1251, jf. </w:t>
      </w:r>
      <w:proofErr w:type="spellStart"/>
      <w:r w:rsidRPr="00580C0D">
        <w:t>Prop</w:t>
      </w:r>
      <w:proofErr w:type="spellEnd"/>
      <w:r w:rsidRPr="00580C0D">
        <w:t xml:space="preserve">. 192 S (2020–2021) </w:t>
      </w:r>
      <w:r w:rsidRPr="00580C0D">
        <w:rPr>
          <w:rStyle w:val="kursiv"/>
        </w:rPr>
        <w:t>Kommuneproposisjonen 2022</w:t>
      </w:r>
      <w:r w:rsidRPr="00580C0D">
        <w:t xml:space="preserve"> og </w:t>
      </w:r>
      <w:proofErr w:type="spellStart"/>
      <w:r w:rsidRPr="00580C0D">
        <w:t>Innst</w:t>
      </w:r>
      <w:proofErr w:type="spellEnd"/>
      <w:r w:rsidRPr="00580C0D">
        <w:t xml:space="preserve">. 660 S (2020–2021), foreslo Solberg-regjeringa </w:t>
      </w:r>
      <w:proofErr w:type="spellStart"/>
      <w:r w:rsidRPr="00580C0D">
        <w:t>vidare</w:t>
      </w:r>
      <w:proofErr w:type="spellEnd"/>
      <w:r w:rsidRPr="00580C0D">
        <w:t xml:space="preserve"> at </w:t>
      </w:r>
      <w:proofErr w:type="spellStart"/>
      <w:r w:rsidRPr="00580C0D">
        <w:t>ein</w:t>
      </w:r>
      <w:proofErr w:type="spellEnd"/>
      <w:r w:rsidRPr="00580C0D">
        <w:t xml:space="preserve"> i </w:t>
      </w:r>
      <w:proofErr w:type="spellStart"/>
      <w:r w:rsidRPr="00580C0D">
        <w:t>dei</w:t>
      </w:r>
      <w:proofErr w:type="spellEnd"/>
      <w:r w:rsidRPr="00580C0D">
        <w:t xml:space="preserve"> </w:t>
      </w:r>
      <w:proofErr w:type="spellStart"/>
      <w:r w:rsidRPr="00580C0D">
        <w:t>årlege</w:t>
      </w:r>
      <w:proofErr w:type="spellEnd"/>
      <w:r w:rsidRPr="00580C0D">
        <w:t xml:space="preserve"> </w:t>
      </w:r>
      <w:proofErr w:type="spellStart"/>
      <w:r w:rsidRPr="00580C0D">
        <w:t>budsjettprosessane</w:t>
      </w:r>
      <w:proofErr w:type="spellEnd"/>
      <w:r w:rsidRPr="00580C0D">
        <w:t xml:space="preserve"> ville vurdere behovet for å utvide samla ramme, slik at alle ferjeavløysingsprosjekt som kjem inn under ordninga får </w:t>
      </w:r>
      <w:proofErr w:type="spellStart"/>
      <w:r w:rsidRPr="00580C0D">
        <w:t>eit</w:t>
      </w:r>
      <w:proofErr w:type="spellEnd"/>
      <w:r w:rsidRPr="00580C0D">
        <w:t xml:space="preserve"> samla </w:t>
      </w:r>
      <w:proofErr w:type="spellStart"/>
      <w:r w:rsidRPr="00580C0D">
        <w:t>tilskot</w:t>
      </w:r>
      <w:proofErr w:type="spellEnd"/>
      <w:r w:rsidRPr="00580C0D">
        <w:t xml:space="preserve"> på minst 25 pst. av berekna </w:t>
      </w:r>
      <w:proofErr w:type="spellStart"/>
      <w:r w:rsidRPr="00580C0D">
        <w:t>rentekostnadar</w:t>
      </w:r>
      <w:proofErr w:type="spellEnd"/>
      <w:r w:rsidRPr="00580C0D">
        <w:t>.</w:t>
      </w:r>
    </w:p>
    <w:p w14:paraId="77C6C982" w14:textId="77777777" w:rsidR="00F7113A" w:rsidRPr="00580C0D" w:rsidRDefault="00142E5B" w:rsidP="00580C0D">
      <w:r w:rsidRPr="00580C0D">
        <w:t xml:space="preserve">Ut </w:t>
      </w:r>
      <w:proofErr w:type="spellStart"/>
      <w:r w:rsidRPr="00580C0D">
        <w:t>ifrå</w:t>
      </w:r>
      <w:proofErr w:type="spellEnd"/>
      <w:r w:rsidRPr="00580C0D">
        <w:t xml:space="preserve"> forslaget til ekstra rentekompensasjon lagt fram i Kommuneproposisjonen 2022, er det </w:t>
      </w:r>
      <w:proofErr w:type="spellStart"/>
      <w:r w:rsidRPr="00580C0D">
        <w:t>berre</w:t>
      </w:r>
      <w:proofErr w:type="spellEnd"/>
      <w:r w:rsidRPr="00580C0D">
        <w:t xml:space="preserve"> Nordøyvegen i Møre og Romsdal som er aktuelt for </w:t>
      </w:r>
      <w:proofErr w:type="spellStart"/>
      <w:r w:rsidRPr="00580C0D">
        <w:t>eit</w:t>
      </w:r>
      <w:proofErr w:type="spellEnd"/>
      <w:r w:rsidRPr="00580C0D">
        <w:t xml:space="preserve"> slikt </w:t>
      </w:r>
      <w:proofErr w:type="spellStart"/>
      <w:r w:rsidRPr="00580C0D">
        <w:t>tilskot</w:t>
      </w:r>
      <w:proofErr w:type="spellEnd"/>
      <w:r w:rsidRPr="00580C0D">
        <w:t xml:space="preserve"> no. Regjeringa foreslår å gi Møre og Romsdal fylkeskommune 160 mill. kroner til dekking av </w:t>
      </w:r>
      <w:proofErr w:type="spellStart"/>
      <w:r w:rsidRPr="00580C0D">
        <w:t>kapitalkostnadar</w:t>
      </w:r>
      <w:proofErr w:type="spellEnd"/>
      <w:r w:rsidRPr="00580C0D">
        <w:t xml:space="preserve"> og dermed betre økonomien i Nordøyvegen-prosjektet. Beløpet </w:t>
      </w:r>
      <w:proofErr w:type="spellStart"/>
      <w:r w:rsidRPr="00580C0D">
        <w:t>utgjer</w:t>
      </w:r>
      <w:proofErr w:type="spellEnd"/>
      <w:r w:rsidRPr="00580C0D">
        <w:t xml:space="preserve"> 25 pst. av </w:t>
      </w:r>
      <w:proofErr w:type="spellStart"/>
      <w:r w:rsidRPr="00580C0D">
        <w:t>årlege</w:t>
      </w:r>
      <w:proofErr w:type="spellEnd"/>
      <w:r w:rsidRPr="00580C0D">
        <w:t xml:space="preserve">, berekna </w:t>
      </w:r>
      <w:proofErr w:type="spellStart"/>
      <w:r w:rsidRPr="00580C0D">
        <w:t>rentekostnadar</w:t>
      </w:r>
      <w:proofErr w:type="spellEnd"/>
      <w:r w:rsidRPr="00580C0D">
        <w:t xml:space="preserve"> over fem år for dette prosjektet, men vil bli utbetalt over to år.</w:t>
      </w:r>
    </w:p>
    <w:p w14:paraId="202D7587"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0B02907E" w14:textId="77777777" w:rsidR="00F7113A" w:rsidRPr="00580C0D" w:rsidRDefault="00142E5B" w:rsidP="00580C0D">
      <w:pPr>
        <w:pStyle w:val="avsnitt-tittel"/>
      </w:pPr>
      <w:proofErr w:type="spellStart"/>
      <w:r w:rsidRPr="00580C0D">
        <w:t>Eit</w:t>
      </w:r>
      <w:proofErr w:type="spellEnd"/>
      <w:r w:rsidRPr="00580C0D">
        <w:t xml:space="preserve"> </w:t>
      </w:r>
      <w:proofErr w:type="spellStart"/>
      <w:r w:rsidRPr="00580C0D">
        <w:t>meir</w:t>
      </w:r>
      <w:proofErr w:type="spellEnd"/>
      <w:r w:rsidRPr="00580C0D">
        <w:t xml:space="preserve"> </w:t>
      </w:r>
      <w:proofErr w:type="spellStart"/>
      <w:r w:rsidRPr="00580C0D">
        <w:t>utjamnande</w:t>
      </w:r>
      <w:proofErr w:type="spellEnd"/>
      <w:r w:rsidRPr="00580C0D">
        <w:t xml:space="preserve"> inntektssystem for </w:t>
      </w:r>
      <w:proofErr w:type="spellStart"/>
      <w:r w:rsidRPr="00580C0D">
        <w:t>kommunane</w:t>
      </w:r>
      <w:proofErr w:type="spellEnd"/>
    </w:p>
    <w:p w14:paraId="7C6DDA15" w14:textId="77777777" w:rsidR="00F7113A" w:rsidRPr="00580C0D" w:rsidRDefault="00142E5B" w:rsidP="00580C0D">
      <w:pPr>
        <w:pStyle w:val="avsnitt-undertittel"/>
      </w:pPr>
      <w:r w:rsidRPr="00580C0D">
        <w:t>Vedtak nr. 820, 13. juni 2023</w:t>
      </w:r>
    </w:p>
    <w:p w14:paraId="1D544D32" w14:textId="77777777" w:rsidR="00F7113A" w:rsidRPr="00580C0D" w:rsidRDefault="00142E5B" w:rsidP="00580C0D">
      <w:pPr>
        <w:pStyle w:val="blokksit"/>
        <w:rPr>
          <w:rStyle w:val="kursiv"/>
        </w:rPr>
      </w:pPr>
      <w:r w:rsidRPr="00580C0D">
        <w:rPr>
          <w:rStyle w:val="kursiv"/>
        </w:rPr>
        <w:t>«Stortinget ber regjeringen gjennom behandlingen av endringer i kommunenes inntektssystem sikre intensjonen om et inntektssystem for kommunene som er mer utjevnende enn dagens.»</w:t>
      </w:r>
    </w:p>
    <w:p w14:paraId="46222A7D"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112 S (2022–2023) </w:t>
      </w:r>
      <w:r w:rsidRPr="00580C0D">
        <w:rPr>
          <w:rStyle w:val="kursiv"/>
        </w:rPr>
        <w:t>Kommuneproposisjonen 2024</w:t>
      </w:r>
      <w:r w:rsidRPr="00580C0D">
        <w:t xml:space="preserve"> og </w:t>
      </w:r>
      <w:proofErr w:type="spellStart"/>
      <w:r w:rsidRPr="00580C0D">
        <w:t>Innst</w:t>
      </w:r>
      <w:proofErr w:type="spellEnd"/>
      <w:r w:rsidRPr="00580C0D">
        <w:t>. 488 S (2022–2023).</w:t>
      </w:r>
    </w:p>
    <w:p w14:paraId="27C4E783" w14:textId="77777777" w:rsidR="00F7113A" w:rsidRPr="00580C0D" w:rsidRDefault="00142E5B" w:rsidP="00580C0D">
      <w:r w:rsidRPr="00580C0D">
        <w:t xml:space="preserve">Inntektssystemet skal jamne ut </w:t>
      </w:r>
      <w:proofErr w:type="spellStart"/>
      <w:r w:rsidRPr="00580C0D">
        <w:t>dei</w:t>
      </w:r>
      <w:proofErr w:type="spellEnd"/>
      <w:r w:rsidRPr="00580C0D">
        <w:t xml:space="preserve"> økonomiske skilnadene mellom </w:t>
      </w:r>
      <w:proofErr w:type="spellStart"/>
      <w:r w:rsidRPr="00580C0D">
        <w:t>kommunar</w:t>
      </w:r>
      <w:proofErr w:type="spellEnd"/>
      <w:r w:rsidRPr="00580C0D">
        <w:t xml:space="preserve"> og </w:t>
      </w:r>
      <w:proofErr w:type="spellStart"/>
      <w:r w:rsidRPr="00580C0D">
        <w:t>medverke</w:t>
      </w:r>
      <w:proofErr w:type="spellEnd"/>
      <w:r w:rsidRPr="00580C0D">
        <w:t xml:space="preserve"> til at </w:t>
      </w:r>
      <w:proofErr w:type="spellStart"/>
      <w:r w:rsidRPr="00580C0D">
        <w:t>kommunane</w:t>
      </w:r>
      <w:proofErr w:type="spellEnd"/>
      <w:r w:rsidRPr="00580C0D">
        <w:t xml:space="preserve"> kan gi </w:t>
      </w:r>
      <w:proofErr w:type="spellStart"/>
      <w:r w:rsidRPr="00580C0D">
        <w:t>eit</w:t>
      </w:r>
      <w:proofErr w:type="spellEnd"/>
      <w:r w:rsidRPr="00580C0D">
        <w:t xml:space="preserve"> likeverdig </w:t>
      </w:r>
      <w:proofErr w:type="spellStart"/>
      <w:r w:rsidRPr="00580C0D">
        <w:t>tenestetilbod</w:t>
      </w:r>
      <w:proofErr w:type="spellEnd"/>
      <w:r w:rsidRPr="00580C0D">
        <w:t xml:space="preserve"> til </w:t>
      </w:r>
      <w:proofErr w:type="spellStart"/>
      <w:r w:rsidRPr="00580C0D">
        <w:t>innbyggarane</w:t>
      </w:r>
      <w:proofErr w:type="spellEnd"/>
      <w:r w:rsidRPr="00580C0D">
        <w:t xml:space="preserve">. For å fange opp </w:t>
      </w:r>
      <w:proofErr w:type="spellStart"/>
      <w:r w:rsidRPr="00580C0D">
        <w:t>endringar</w:t>
      </w:r>
      <w:proofErr w:type="spellEnd"/>
      <w:r w:rsidRPr="00580C0D">
        <w:t xml:space="preserve"> i kommunesektoren over tid må </w:t>
      </w:r>
      <w:proofErr w:type="spellStart"/>
      <w:r w:rsidRPr="00580C0D">
        <w:t>ein</w:t>
      </w:r>
      <w:proofErr w:type="spellEnd"/>
      <w:r w:rsidRPr="00580C0D">
        <w:t xml:space="preserve"> </w:t>
      </w:r>
      <w:proofErr w:type="spellStart"/>
      <w:r w:rsidRPr="00580C0D">
        <w:t>jamleg</w:t>
      </w:r>
      <w:proofErr w:type="spellEnd"/>
      <w:r w:rsidRPr="00580C0D">
        <w:t xml:space="preserve"> oppdatere systemet. </w:t>
      </w:r>
      <w:proofErr w:type="spellStart"/>
      <w:r w:rsidRPr="00580C0D">
        <w:t>Inntektssystemutvalet</w:t>
      </w:r>
      <w:proofErr w:type="spellEnd"/>
      <w:r w:rsidRPr="00580C0D">
        <w:t xml:space="preserve">, som leverte utgreiinga si </w:t>
      </w:r>
      <w:proofErr w:type="spellStart"/>
      <w:r w:rsidRPr="00580C0D">
        <w:t>hausten</w:t>
      </w:r>
      <w:proofErr w:type="spellEnd"/>
      <w:r w:rsidRPr="00580C0D">
        <w:t xml:space="preserve"> 2022, vurderte heile inntektssystemet for </w:t>
      </w:r>
      <w:proofErr w:type="spellStart"/>
      <w:r w:rsidRPr="00580C0D">
        <w:t>kommunane</w:t>
      </w:r>
      <w:proofErr w:type="spellEnd"/>
      <w:r w:rsidRPr="00580C0D">
        <w:t>, også denne problemstillinga.</w:t>
      </w:r>
    </w:p>
    <w:p w14:paraId="47F247DC" w14:textId="77777777" w:rsidR="00F7113A" w:rsidRPr="00580C0D" w:rsidRDefault="00142E5B" w:rsidP="00580C0D">
      <w:r w:rsidRPr="00580C0D">
        <w:t xml:space="preserve">Departementet vil vurdere </w:t>
      </w:r>
      <w:proofErr w:type="spellStart"/>
      <w:r w:rsidRPr="00580C0D">
        <w:t>utvalets</w:t>
      </w:r>
      <w:proofErr w:type="spellEnd"/>
      <w:r w:rsidRPr="00580C0D">
        <w:t xml:space="preserve"> </w:t>
      </w:r>
      <w:proofErr w:type="spellStart"/>
      <w:r w:rsidRPr="00580C0D">
        <w:t>tilrådingar</w:t>
      </w:r>
      <w:proofErr w:type="spellEnd"/>
      <w:r w:rsidRPr="00580C0D">
        <w:t xml:space="preserve"> og vil </w:t>
      </w:r>
      <w:proofErr w:type="spellStart"/>
      <w:r w:rsidRPr="00580C0D">
        <w:t>gjere</w:t>
      </w:r>
      <w:proofErr w:type="spellEnd"/>
      <w:r w:rsidRPr="00580C0D">
        <w:t xml:space="preserve"> </w:t>
      </w:r>
      <w:proofErr w:type="spellStart"/>
      <w:r w:rsidRPr="00580C0D">
        <w:t>ein</w:t>
      </w:r>
      <w:proofErr w:type="spellEnd"/>
      <w:r w:rsidRPr="00580C0D">
        <w:t xml:space="preserve"> </w:t>
      </w:r>
      <w:proofErr w:type="spellStart"/>
      <w:r w:rsidRPr="00580C0D">
        <w:t>heilskapleg</w:t>
      </w:r>
      <w:proofErr w:type="spellEnd"/>
      <w:r w:rsidRPr="00580C0D">
        <w:t xml:space="preserve"> gjennomgang av inntektssystemet for </w:t>
      </w:r>
      <w:proofErr w:type="spellStart"/>
      <w:r w:rsidRPr="00580C0D">
        <w:t>kommunane</w:t>
      </w:r>
      <w:proofErr w:type="spellEnd"/>
      <w:r w:rsidRPr="00580C0D">
        <w:t xml:space="preserve"> i ei eiga melding til Stortinget våren 2024.</w:t>
      </w:r>
    </w:p>
    <w:p w14:paraId="34BB9066" w14:textId="77777777" w:rsidR="00F7113A" w:rsidRPr="00580C0D" w:rsidRDefault="00142E5B" w:rsidP="00580C0D">
      <w:pPr>
        <w:pStyle w:val="avsnitt-tittel"/>
      </w:pPr>
      <w:r w:rsidRPr="00580C0D">
        <w:t xml:space="preserve">Evaluering av inntektssystemet for </w:t>
      </w:r>
      <w:proofErr w:type="spellStart"/>
      <w:r w:rsidRPr="00580C0D">
        <w:t>fylkeskommunar</w:t>
      </w:r>
      <w:proofErr w:type="spellEnd"/>
    </w:p>
    <w:p w14:paraId="1A9F6BDA" w14:textId="77777777" w:rsidR="00F7113A" w:rsidRPr="00580C0D" w:rsidRDefault="00142E5B" w:rsidP="00580C0D">
      <w:pPr>
        <w:pStyle w:val="avsnitt-undertittel"/>
      </w:pPr>
      <w:r w:rsidRPr="00580C0D">
        <w:t>Vedtak nr. 821, 13. juni 2023</w:t>
      </w:r>
    </w:p>
    <w:p w14:paraId="70F95904" w14:textId="77777777" w:rsidR="00F7113A" w:rsidRPr="00580C0D" w:rsidRDefault="00142E5B" w:rsidP="00580C0D">
      <w:pPr>
        <w:pStyle w:val="blokksit"/>
        <w:rPr>
          <w:rStyle w:val="kursiv"/>
        </w:rPr>
      </w:pPr>
      <w:r w:rsidRPr="00580C0D">
        <w:rPr>
          <w:rStyle w:val="kursiv"/>
        </w:rPr>
        <w:t>«Stortinget ber regjeringen komme tilbake med en evaluering av inntektssystemet for fylkeskommuner i forbindelse med fremleggelsen av kommuneproposisjonen våren 2027.»</w:t>
      </w:r>
    </w:p>
    <w:p w14:paraId="28D8F1F4"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112 S (2022–2023) </w:t>
      </w:r>
      <w:r w:rsidRPr="00580C0D">
        <w:rPr>
          <w:rStyle w:val="kursiv"/>
        </w:rPr>
        <w:t>Kommuneproposisjonen 2024</w:t>
      </w:r>
      <w:r w:rsidRPr="00580C0D">
        <w:t xml:space="preserve"> og </w:t>
      </w:r>
      <w:proofErr w:type="spellStart"/>
      <w:r w:rsidRPr="00580C0D">
        <w:t>Innst</w:t>
      </w:r>
      <w:proofErr w:type="spellEnd"/>
      <w:r w:rsidRPr="00580C0D">
        <w:t>. 488 S (2022–2023).</w:t>
      </w:r>
    </w:p>
    <w:p w14:paraId="25C6EF17" w14:textId="77777777" w:rsidR="00F7113A" w:rsidRPr="00580C0D" w:rsidRDefault="00142E5B" w:rsidP="00580C0D">
      <w:r w:rsidRPr="00580C0D">
        <w:t xml:space="preserve">Departementet tar sikte på å </w:t>
      </w:r>
      <w:proofErr w:type="spellStart"/>
      <w:r w:rsidRPr="00580C0D">
        <w:t>kome</w:t>
      </w:r>
      <w:proofErr w:type="spellEnd"/>
      <w:r w:rsidRPr="00580C0D">
        <w:t xml:space="preserve"> tilbake til saka våren 2027, slik Stortinget har bedt om.</w:t>
      </w:r>
    </w:p>
    <w:p w14:paraId="5BCF09D7" w14:textId="77777777" w:rsidR="00F7113A" w:rsidRPr="00580C0D" w:rsidRDefault="00142E5B" w:rsidP="00580C0D">
      <w:pPr>
        <w:pStyle w:val="avsnitt-tittel"/>
      </w:pPr>
      <w:r w:rsidRPr="00580C0D">
        <w:t xml:space="preserve">Namdalen og </w:t>
      </w:r>
      <w:proofErr w:type="spellStart"/>
      <w:r w:rsidRPr="00580C0D">
        <w:t>distriktstilskot</w:t>
      </w:r>
      <w:proofErr w:type="spellEnd"/>
      <w:r w:rsidRPr="00580C0D">
        <w:t xml:space="preserve"> Nord-</w:t>
      </w:r>
      <w:proofErr w:type="spellStart"/>
      <w:r w:rsidRPr="00580C0D">
        <w:t>Noreg</w:t>
      </w:r>
      <w:proofErr w:type="spellEnd"/>
    </w:p>
    <w:p w14:paraId="30B957B2" w14:textId="77777777" w:rsidR="00F7113A" w:rsidRPr="00580C0D" w:rsidRDefault="00142E5B" w:rsidP="00580C0D">
      <w:pPr>
        <w:pStyle w:val="avsnitt-undertittel"/>
      </w:pPr>
      <w:r w:rsidRPr="00580C0D">
        <w:t>Vedtak nr. 823, 13. juni 2023</w:t>
      </w:r>
    </w:p>
    <w:p w14:paraId="5166124B" w14:textId="77777777" w:rsidR="00F7113A" w:rsidRPr="00580C0D" w:rsidRDefault="00142E5B" w:rsidP="00580C0D">
      <w:pPr>
        <w:pStyle w:val="blokksit"/>
        <w:rPr>
          <w:rStyle w:val="kursiv"/>
        </w:rPr>
      </w:pPr>
      <w:r w:rsidRPr="00580C0D">
        <w:rPr>
          <w:rStyle w:val="kursiv"/>
        </w:rPr>
        <w:t>«Stortinget ber regjeringen vurdere om kommunene i Namdalen fortsatt skal sortere under distriktstilskudd Nord-Norge.»</w:t>
      </w:r>
    </w:p>
    <w:p w14:paraId="53D89DCA"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112 S (2022–2023) </w:t>
      </w:r>
      <w:r w:rsidRPr="00580C0D">
        <w:rPr>
          <w:rStyle w:val="kursiv"/>
        </w:rPr>
        <w:t>Kommuneproposisjonen 2024</w:t>
      </w:r>
      <w:r w:rsidRPr="00580C0D">
        <w:t xml:space="preserve"> og </w:t>
      </w:r>
      <w:proofErr w:type="spellStart"/>
      <w:r w:rsidRPr="00580C0D">
        <w:t>Innst</w:t>
      </w:r>
      <w:proofErr w:type="spellEnd"/>
      <w:r w:rsidRPr="00580C0D">
        <w:t>. 488 S (2022–2023).</w:t>
      </w:r>
    </w:p>
    <w:p w14:paraId="382A205B" w14:textId="77777777" w:rsidR="00F7113A" w:rsidRPr="00580C0D" w:rsidRDefault="00142E5B" w:rsidP="00580C0D">
      <w:r w:rsidRPr="00580C0D">
        <w:t xml:space="preserve">Inntektssystemet skal jamne ut </w:t>
      </w:r>
      <w:proofErr w:type="spellStart"/>
      <w:r w:rsidRPr="00580C0D">
        <w:t>dei</w:t>
      </w:r>
      <w:proofErr w:type="spellEnd"/>
      <w:r w:rsidRPr="00580C0D">
        <w:t xml:space="preserve"> økonomiske skilnadene mellom </w:t>
      </w:r>
      <w:proofErr w:type="spellStart"/>
      <w:r w:rsidRPr="00580C0D">
        <w:t>kommunar</w:t>
      </w:r>
      <w:proofErr w:type="spellEnd"/>
      <w:r w:rsidRPr="00580C0D">
        <w:t xml:space="preserve">, og </w:t>
      </w:r>
      <w:proofErr w:type="spellStart"/>
      <w:r w:rsidRPr="00580C0D">
        <w:t>medverke</w:t>
      </w:r>
      <w:proofErr w:type="spellEnd"/>
      <w:r w:rsidRPr="00580C0D">
        <w:t xml:space="preserve"> til at </w:t>
      </w:r>
      <w:proofErr w:type="spellStart"/>
      <w:r w:rsidRPr="00580C0D">
        <w:t>kommunane</w:t>
      </w:r>
      <w:proofErr w:type="spellEnd"/>
      <w:r w:rsidRPr="00580C0D">
        <w:t xml:space="preserve"> kan gi </w:t>
      </w:r>
      <w:proofErr w:type="spellStart"/>
      <w:r w:rsidRPr="00580C0D">
        <w:t>eit</w:t>
      </w:r>
      <w:proofErr w:type="spellEnd"/>
      <w:r w:rsidRPr="00580C0D">
        <w:t xml:space="preserve"> likeverdig </w:t>
      </w:r>
      <w:proofErr w:type="spellStart"/>
      <w:r w:rsidRPr="00580C0D">
        <w:t>tenestetilbod</w:t>
      </w:r>
      <w:proofErr w:type="spellEnd"/>
      <w:r w:rsidRPr="00580C0D">
        <w:t xml:space="preserve"> til </w:t>
      </w:r>
      <w:proofErr w:type="spellStart"/>
      <w:r w:rsidRPr="00580C0D">
        <w:t>innbyggarane</w:t>
      </w:r>
      <w:proofErr w:type="spellEnd"/>
      <w:r w:rsidRPr="00580C0D">
        <w:t xml:space="preserve">. For å fange opp </w:t>
      </w:r>
      <w:proofErr w:type="spellStart"/>
      <w:r w:rsidRPr="00580C0D">
        <w:t>endringar</w:t>
      </w:r>
      <w:proofErr w:type="spellEnd"/>
      <w:r w:rsidRPr="00580C0D">
        <w:t xml:space="preserve"> i kommunesektoren over tid, må </w:t>
      </w:r>
      <w:proofErr w:type="spellStart"/>
      <w:r w:rsidRPr="00580C0D">
        <w:t>ein</w:t>
      </w:r>
      <w:proofErr w:type="spellEnd"/>
      <w:r w:rsidRPr="00580C0D">
        <w:t xml:space="preserve"> </w:t>
      </w:r>
      <w:proofErr w:type="spellStart"/>
      <w:r w:rsidRPr="00580C0D">
        <w:t>jamleg</w:t>
      </w:r>
      <w:proofErr w:type="spellEnd"/>
      <w:r w:rsidRPr="00580C0D">
        <w:t xml:space="preserve"> oppdatere systemet. </w:t>
      </w:r>
      <w:proofErr w:type="spellStart"/>
      <w:r w:rsidRPr="00580C0D">
        <w:t>Inntektssystemutvalet</w:t>
      </w:r>
      <w:proofErr w:type="spellEnd"/>
      <w:r w:rsidRPr="00580C0D">
        <w:t xml:space="preserve">, som leverte utgreiinga si </w:t>
      </w:r>
      <w:proofErr w:type="spellStart"/>
      <w:r w:rsidRPr="00580C0D">
        <w:t>hausten</w:t>
      </w:r>
      <w:proofErr w:type="spellEnd"/>
      <w:r w:rsidRPr="00580C0D">
        <w:t xml:space="preserve"> 2022, vurderte heile inntektssystemet for </w:t>
      </w:r>
      <w:proofErr w:type="spellStart"/>
      <w:r w:rsidRPr="00580C0D">
        <w:t>kommunane</w:t>
      </w:r>
      <w:proofErr w:type="spellEnd"/>
      <w:r w:rsidRPr="00580C0D">
        <w:t>, også denne problemstillinga.</w:t>
      </w:r>
    </w:p>
    <w:p w14:paraId="432811F5" w14:textId="77777777" w:rsidR="00F7113A" w:rsidRPr="00580C0D" w:rsidRDefault="00142E5B" w:rsidP="00580C0D">
      <w:r w:rsidRPr="00580C0D">
        <w:t xml:space="preserve">Departementet vil vurdere </w:t>
      </w:r>
      <w:proofErr w:type="spellStart"/>
      <w:r w:rsidRPr="00580C0D">
        <w:t>utvalet</w:t>
      </w:r>
      <w:proofErr w:type="spellEnd"/>
      <w:r w:rsidRPr="00580C0D">
        <w:t xml:space="preserve"> sine </w:t>
      </w:r>
      <w:proofErr w:type="spellStart"/>
      <w:r w:rsidRPr="00580C0D">
        <w:t>tilrådingar</w:t>
      </w:r>
      <w:proofErr w:type="spellEnd"/>
      <w:r w:rsidRPr="00580C0D">
        <w:t xml:space="preserve"> og </w:t>
      </w:r>
      <w:proofErr w:type="spellStart"/>
      <w:r w:rsidRPr="00580C0D">
        <w:t>gjere</w:t>
      </w:r>
      <w:proofErr w:type="spellEnd"/>
      <w:r w:rsidRPr="00580C0D">
        <w:t xml:space="preserve"> </w:t>
      </w:r>
      <w:proofErr w:type="spellStart"/>
      <w:r w:rsidRPr="00580C0D">
        <w:t>ein</w:t>
      </w:r>
      <w:proofErr w:type="spellEnd"/>
      <w:r w:rsidRPr="00580C0D">
        <w:t xml:space="preserve"> </w:t>
      </w:r>
      <w:proofErr w:type="spellStart"/>
      <w:r w:rsidRPr="00580C0D">
        <w:t>heilskapleg</w:t>
      </w:r>
      <w:proofErr w:type="spellEnd"/>
      <w:r w:rsidRPr="00580C0D">
        <w:t xml:space="preserve"> gjennomgang av inntektssystemet for </w:t>
      </w:r>
      <w:proofErr w:type="spellStart"/>
      <w:r w:rsidRPr="00580C0D">
        <w:t>kommunane</w:t>
      </w:r>
      <w:proofErr w:type="spellEnd"/>
      <w:r w:rsidRPr="00580C0D">
        <w:t xml:space="preserve"> i ei eiga melding til Stortinget våren 2024.</w:t>
      </w:r>
    </w:p>
    <w:p w14:paraId="7345C81B" w14:textId="77777777" w:rsidR="00F7113A" w:rsidRPr="00580C0D" w:rsidRDefault="00142E5B" w:rsidP="00580C0D">
      <w:pPr>
        <w:pStyle w:val="avsnitt-tittel"/>
      </w:pPr>
      <w:r w:rsidRPr="00580C0D">
        <w:t>Evaluering av frikommuneforsøk</w:t>
      </w:r>
    </w:p>
    <w:p w14:paraId="571AA76C" w14:textId="77777777" w:rsidR="00F7113A" w:rsidRPr="00580C0D" w:rsidRDefault="00142E5B" w:rsidP="00580C0D">
      <w:pPr>
        <w:pStyle w:val="avsnitt-undertittel"/>
      </w:pPr>
      <w:r w:rsidRPr="00580C0D">
        <w:t>Vedtak nr. 824, 13. juni 2023</w:t>
      </w:r>
    </w:p>
    <w:p w14:paraId="3495BE90" w14:textId="77777777" w:rsidR="00F7113A" w:rsidRPr="00580C0D" w:rsidRDefault="00142E5B" w:rsidP="00580C0D">
      <w:pPr>
        <w:pStyle w:val="blokksit"/>
        <w:rPr>
          <w:rStyle w:val="kursiv"/>
        </w:rPr>
      </w:pPr>
      <w:r w:rsidRPr="00580C0D">
        <w:rPr>
          <w:rStyle w:val="kursiv"/>
        </w:rPr>
        <w:t>«Stortinget ber regjeringen komme tilbake med en evaluering av frikommuneforsøk på egnet tidspunkt.»</w:t>
      </w:r>
    </w:p>
    <w:p w14:paraId="6FBC7C77"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112 S (2022–2023) </w:t>
      </w:r>
      <w:r w:rsidRPr="00580C0D">
        <w:rPr>
          <w:rStyle w:val="kursiv"/>
        </w:rPr>
        <w:t>Kommuneproposisjonen 2024</w:t>
      </w:r>
      <w:r w:rsidRPr="00580C0D">
        <w:t xml:space="preserve"> og </w:t>
      </w:r>
      <w:proofErr w:type="spellStart"/>
      <w:r w:rsidRPr="00580C0D">
        <w:t>Innst</w:t>
      </w:r>
      <w:proofErr w:type="spellEnd"/>
      <w:r w:rsidRPr="00580C0D">
        <w:t xml:space="preserve">. 488 S (2022–2023). Regjeringa jobbar med å etablere </w:t>
      </w:r>
      <w:proofErr w:type="spellStart"/>
      <w:r w:rsidRPr="00580C0D">
        <w:t>eit</w:t>
      </w:r>
      <w:proofErr w:type="spellEnd"/>
      <w:r w:rsidRPr="00580C0D">
        <w:t xml:space="preserve"> opplegg for evaluering av forsøk og forsøksordninga. Kommunal- og </w:t>
      </w:r>
      <w:proofErr w:type="spellStart"/>
      <w:r w:rsidRPr="00580C0D">
        <w:t>distriktsdepartementet</w:t>
      </w:r>
      <w:proofErr w:type="spellEnd"/>
      <w:r w:rsidRPr="00580C0D">
        <w:t xml:space="preserve"> tar sikte på å lyse ut evalueringsoppdrag i løpet av </w:t>
      </w:r>
      <w:proofErr w:type="spellStart"/>
      <w:r w:rsidRPr="00580C0D">
        <w:t>hausten</w:t>
      </w:r>
      <w:proofErr w:type="spellEnd"/>
      <w:r w:rsidRPr="00580C0D">
        <w:t xml:space="preserve"> 2023.</w:t>
      </w:r>
    </w:p>
    <w:p w14:paraId="2CFFDF7C" w14:textId="77777777" w:rsidR="00F7113A" w:rsidRPr="00580C0D" w:rsidRDefault="00142E5B" w:rsidP="00580C0D">
      <w:r w:rsidRPr="00580C0D">
        <w:t xml:space="preserve">Som varsla i </w:t>
      </w:r>
      <w:proofErr w:type="spellStart"/>
      <w:r w:rsidRPr="00580C0D">
        <w:t>Prop</w:t>
      </w:r>
      <w:proofErr w:type="spellEnd"/>
      <w:r w:rsidRPr="00580C0D">
        <w:t xml:space="preserve">. 112 S (2022–2023) </w:t>
      </w:r>
      <w:r w:rsidRPr="00580C0D">
        <w:rPr>
          <w:rStyle w:val="kursiv"/>
        </w:rPr>
        <w:t>Kommuneproposisjonen 2024</w:t>
      </w:r>
      <w:r w:rsidRPr="00580C0D">
        <w:t xml:space="preserve">, kapittel 6.1 tar departementet sikte på å orientere Stortinget om status for ordninga for </w:t>
      </w:r>
      <w:proofErr w:type="spellStart"/>
      <w:r w:rsidRPr="00580C0D">
        <w:t>forsøkskommunar</w:t>
      </w:r>
      <w:proofErr w:type="spellEnd"/>
      <w:r w:rsidRPr="00580C0D">
        <w:t xml:space="preserve"> og om </w:t>
      </w:r>
      <w:proofErr w:type="spellStart"/>
      <w:r w:rsidRPr="00580C0D">
        <w:t>pågåande</w:t>
      </w:r>
      <w:proofErr w:type="spellEnd"/>
      <w:r w:rsidRPr="00580C0D">
        <w:t xml:space="preserve"> forsøk i </w:t>
      </w:r>
      <w:proofErr w:type="spellStart"/>
      <w:r w:rsidRPr="00580C0D">
        <w:t>dei</w:t>
      </w:r>
      <w:proofErr w:type="spellEnd"/>
      <w:r w:rsidRPr="00580C0D">
        <w:t xml:space="preserve"> </w:t>
      </w:r>
      <w:proofErr w:type="spellStart"/>
      <w:r w:rsidRPr="00580C0D">
        <w:t>årlege</w:t>
      </w:r>
      <w:proofErr w:type="spellEnd"/>
      <w:r w:rsidRPr="00580C0D">
        <w:t xml:space="preserve"> </w:t>
      </w:r>
      <w:proofErr w:type="spellStart"/>
      <w:r w:rsidRPr="00580C0D">
        <w:t>kommuneproposisjonane</w:t>
      </w:r>
      <w:proofErr w:type="spellEnd"/>
      <w:r w:rsidRPr="00580C0D">
        <w:t>.</w:t>
      </w:r>
    </w:p>
    <w:p w14:paraId="6F2D746E" w14:textId="77777777" w:rsidR="00F7113A" w:rsidRPr="00580C0D" w:rsidRDefault="00142E5B" w:rsidP="00580C0D">
      <w:pPr>
        <w:pStyle w:val="avsnitt-tittel"/>
      </w:pPr>
      <w:r w:rsidRPr="00580C0D">
        <w:t>Terskelbeløpet i Merkur-ordninga</w:t>
      </w:r>
    </w:p>
    <w:p w14:paraId="3DD89EBD" w14:textId="77777777" w:rsidR="00F7113A" w:rsidRPr="00580C0D" w:rsidRDefault="00142E5B" w:rsidP="00580C0D">
      <w:pPr>
        <w:pStyle w:val="avsnitt-undertittel"/>
      </w:pPr>
      <w:r w:rsidRPr="00580C0D">
        <w:t>Vedtak nr. 826, 13. juni 2023</w:t>
      </w:r>
    </w:p>
    <w:p w14:paraId="3A4E9F63" w14:textId="77777777" w:rsidR="00F7113A" w:rsidRPr="00580C0D" w:rsidRDefault="00142E5B" w:rsidP="00580C0D">
      <w:pPr>
        <w:pStyle w:val="blokksit"/>
        <w:rPr>
          <w:rStyle w:val="kursiv"/>
        </w:rPr>
      </w:pPr>
      <w:r w:rsidRPr="00580C0D">
        <w:rPr>
          <w:rStyle w:val="kursiv"/>
        </w:rPr>
        <w:t>«Stortinget ber regjeringen vurdere å øke terskelbeløpet for å komme inn i Merkur-ordningen.»</w:t>
      </w:r>
    </w:p>
    <w:p w14:paraId="754573ED"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112 S (2022–2023) </w:t>
      </w:r>
      <w:r w:rsidRPr="00580C0D">
        <w:rPr>
          <w:rStyle w:val="kursiv"/>
        </w:rPr>
        <w:t>Kommuneproposisjonen 2024</w:t>
      </w:r>
      <w:r w:rsidRPr="00580C0D">
        <w:t xml:space="preserve"> og </w:t>
      </w:r>
      <w:proofErr w:type="spellStart"/>
      <w:r w:rsidRPr="00580C0D">
        <w:t>Innst</w:t>
      </w:r>
      <w:proofErr w:type="spellEnd"/>
      <w:r w:rsidRPr="00580C0D">
        <w:t>. 488 S (2022–2023).</w:t>
      </w:r>
    </w:p>
    <w:p w14:paraId="047D3892" w14:textId="77777777" w:rsidR="00F7113A" w:rsidRPr="00580C0D" w:rsidRDefault="00142E5B" w:rsidP="00580C0D">
      <w:r w:rsidRPr="00580C0D">
        <w:t xml:space="preserve">Merkur-programmet prioriterer </w:t>
      </w:r>
      <w:proofErr w:type="spellStart"/>
      <w:r w:rsidRPr="00580C0D">
        <w:t>dei</w:t>
      </w:r>
      <w:proofErr w:type="spellEnd"/>
      <w:r w:rsidRPr="00580C0D">
        <w:t xml:space="preserve"> minste og mest perifere Merkur-</w:t>
      </w:r>
      <w:proofErr w:type="spellStart"/>
      <w:r w:rsidRPr="00580C0D">
        <w:t>butikkane</w:t>
      </w:r>
      <w:proofErr w:type="spellEnd"/>
      <w:r w:rsidRPr="00580C0D">
        <w:t xml:space="preserve">. Kommunal- og </w:t>
      </w:r>
      <w:proofErr w:type="spellStart"/>
      <w:r w:rsidRPr="00580C0D">
        <w:t>distriktsdepartementet</w:t>
      </w:r>
      <w:proofErr w:type="spellEnd"/>
      <w:r w:rsidRPr="00580C0D">
        <w:t xml:space="preserve"> vil denne </w:t>
      </w:r>
      <w:proofErr w:type="spellStart"/>
      <w:r w:rsidRPr="00580C0D">
        <w:t>hausten</w:t>
      </w:r>
      <w:proofErr w:type="spellEnd"/>
      <w:r w:rsidRPr="00580C0D">
        <w:t xml:space="preserve"> vurdere om prisstigning </w:t>
      </w:r>
      <w:proofErr w:type="spellStart"/>
      <w:r w:rsidRPr="00580C0D">
        <w:t>dei</w:t>
      </w:r>
      <w:proofErr w:type="spellEnd"/>
      <w:r w:rsidRPr="00580C0D">
        <w:t xml:space="preserve"> siste åra bør gi grunnlag for å heve terskelen for å få del i </w:t>
      </w:r>
      <w:proofErr w:type="spellStart"/>
      <w:r w:rsidRPr="00580C0D">
        <w:t>støtteordningane</w:t>
      </w:r>
      <w:proofErr w:type="spellEnd"/>
      <w:r w:rsidRPr="00580C0D">
        <w:t xml:space="preserve">, og sjå det i </w:t>
      </w:r>
      <w:proofErr w:type="spellStart"/>
      <w:r w:rsidRPr="00580C0D">
        <w:t>samanheng</w:t>
      </w:r>
      <w:proofErr w:type="spellEnd"/>
      <w:r w:rsidRPr="00580C0D">
        <w:t xml:space="preserve"> med den samla ramma for </w:t>
      </w:r>
      <w:proofErr w:type="spellStart"/>
      <w:r w:rsidRPr="00580C0D">
        <w:t>støtteordningane</w:t>
      </w:r>
      <w:proofErr w:type="spellEnd"/>
      <w:r w:rsidRPr="00580C0D">
        <w:t xml:space="preserve">. Ei eventuell heving av omsettingsgrensa for investeringsstøtte i Merkur-programmet vil </w:t>
      </w:r>
      <w:proofErr w:type="spellStart"/>
      <w:r w:rsidRPr="00580C0D">
        <w:t>truleg</w:t>
      </w:r>
      <w:proofErr w:type="spellEnd"/>
      <w:r w:rsidRPr="00580C0D">
        <w:t xml:space="preserve"> gi større konkurranse om </w:t>
      </w:r>
      <w:proofErr w:type="spellStart"/>
      <w:r w:rsidRPr="00580C0D">
        <w:t>dei</w:t>
      </w:r>
      <w:proofErr w:type="spellEnd"/>
      <w:r w:rsidRPr="00580C0D">
        <w:t xml:space="preserve"> økonomiske </w:t>
      </w:r>
      <w:proofErr w:type="spellStart"/>
      <w:r w:rsidRPr="00580C0D">
        <w:t>midlane</w:t>
      </w:r>
      <w:proofErr w:type="spellEnd"/>
      <w:r w:rsidRPr="00580C0D">
        <w:t xml:space="preserve">. Per 30. juni 2023 er </w:t>
      </w:r>
      <w:proofErr w:type="spellStart"/>
      <w:r w:rsidRPr="00580C0D">
        <w:t>investeringsstøttemidlane</w:t>
      </w:r>
      <w:proofErr w:type="spellEnd"/>
      <w:r w:rsidRPr="00580C0D">
        <w:t xml:space="preserve"> for 2023 </w:t>
      </w:r>
      <w:proofErr w:type="spellStart"/>
      <w:r w:rsidRPr="00580C0D">
        <w:t>allereie</w:t>
      </w:r>
      <w:proofErr w:type="spellEnd"/>
      <w:r w:rsidRPr="00580C0D">
        <w:t xml:space="preserve"> i all </w:t>
      </w:r>
      <w:proofErr w:type="spellStart"/>
      <w:r w:rsidRPr="00580C0D">
        <w:t>hovudsak</w:t>
      </w:r>
      <w:proofErr w:type="spellEnd"/>
      <w:r w:rsidRPr="00580C0D">
        <w:t xml:space="preserve"> disponert. Dei større Merkur-</w:t>
      </w:r>
      <w:proofErr w:type="spellStart"/>
      <w:r w:rsidRPr="00580C0D">
        <w:t>butikkane</w:t>
      </w:r>
      <w:proofErr w:type="spellEnd"/>
      <w:r w:rsidRPr="00580C0D">
        <w:t xml:space="preserve"> med over 13 mill. kroner i omsetting har uansett tilgang på kompetansedelen av Merkur, men </w:t>
      </w:r>
      <w:proofErr w:type="spellStart"/>
      <w:r w:rsidRPr="00580C0D">
        <w:t>ikkje</w:t>
      </w:r>
      <w:proofErr w:type="spellEnd"/>
      <w:r w:rsidRPr="00580C0D">
        <w:t xml:space="preserve"> høve til å søke om støtte til økonomiske </w:t>
      </w:r>
      <w:proofErr w:type="spellStart"/>
      <w:r w:rsidRPr="00580C0D">
        <w:t>investeringar</w:t>
      </w:r>
      <w:proofErr w:type="spellEnd"/>
      <w:r w:rsidRPr="00580C0D">
        <w:t xml:space="preserve">. Regjeringa vil gi </w:t>
      </w:r>
      <w:proofErr w:type="spellStart"/>
      <w:r w:rsidRPr="00580C0D">
        <w:t>ein</w:t>
      </w:r>
      <w:proofErr w:type="spellEnd"/>
      <w:r w:rsidRPr="00580C0D">
        <w:t xml:space="preserve"> omtale av vurderinga i </w:t>
      </w:r>
      <w:proofErr w:type="spellStart"/>
      <w:r w:rsidRPr="00580C0D">
        <w:t>Prop</w:t>
      </w:r>
      <w:proofErr w:type="spellEnd"/>
      <w:r w:rsidRPr="00580C0D">
        <w:t>. 1 S (2024–2025).</w:t>
      </w:r>
    </w:p>
    <w:p w14:paraId="52EFFB0D"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5B7EFC89" w14:textId="77777777" w:rsidR="00F7113A" w:rsidRPr="00580C0D" w:rsidRDefault="00142E5B" w:rsidP="00580C0D">
      <w:pPr>
        <w:pStyle w:val="avsnitt-tittel"/>
      </w:pPr>
      <w:r w:rsidRPr="00580C0D">
        <w:t xml:space="preserve">Etablering av solceller og/eller lokalprodusert energi på nye </w:t>
      </w:r>
      <w:proofErr w:type="spellStart"/>
      <w:r w:rsidRPr="00580C0D">
        <w:t>statlege</w:t>
      </w:r>
      <w:proofErr w:type="spellEnd"/>
      <w:r w:rsidRPr="00580C0D">
        <w:t xml:space="preserve"> byggeprosjekt</w:t>
      </w:r>
    </w:p>
    <w:p w14:paraId="31AAF34E" w14:textId="77777777" w:rsidR="00F7113A" w:rsidRPr="00580C0D" w:rsidRDefault="00142E5B" w:rsidP="00580C0D">
      <w:pPr>
        <w:pStyle w:val="avsnitt-undertittel"/>
      </w:pPr>
      <w:r w:rsidRPr="00580C0D">
        <w:t>Vedtak nr. 922, 16. juni 2023</w:t>
      </w:r>
    </w:p>
    <w:p w14:paraId="0644C185" w14:textId="77777777" w:rsidR="00F7113A" w:rsidRPr="00580C0D" w:rsidRDefault="00142E5B" w:rsidP="00580C0D">
      <w:pPr>
        <w:pStyle w:val="blokksit"/>
        <w:rPr>
          <w:rStyle w:val="kursiv"/>
        </w:rPr>
      </w:pPr>
      <w:r w:rsidRPr="00580C0D">
        <w:rPr>
          <w:rStyle w:val="kursiv"/>
        </w:rPr>
        <w:t>«Stortinget ber regjeringen stille krav om at det skal etableres solceller og/eller lokalprodusert energi på alle nye statlige byggeprosjekter med oppstart av et forprosjekt i 2024, der ikke spesielle hensyn tilsier noe annet. Kravet skal også gjelde ved større oppgraderinger og rehabiliteringer.»</w:t>
      </w:r>
    </w:p>
    <w:p w14:paraId="16C0B80D"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xml:space="preserve"> og </w:t>
      </w:r>
      <w:proofErr w:type="spellStart"/>
      <w:r w:rsidRPr="00580C0D">
        <w:t>Innst</w:t>
      </w:r>
      <w:proofErr w:type="spellEnd"/>
      <w:r w:rsidRPr="00580C0D">
        <w:t>. 490 S (2022–2023).</w:t>
      </w:r>
    </w:p>
    <w:p w14:paraId="7A618F0E" w14:textId="77777777" w:rsidR="00F7113A" w:rsidRPr="00580C0D" w:rsidRDefault="00142E5B" w:rsidP="00580C0D">
      <w:r w:rsidRPr="00580C0D">
        <w:t xml:space="preserve">Departementet tar sikte på å </w:t>
      </w:r>
      <w:proofErr w:type="spellStart"/>
      <w:r w:rsidRPr="00580C0D">
        <w:t>følgje</w:t>
      </w:r>
      <w:proofErr w:type="spellEnd"/>
      <w:r w:rsidRPr="00580C0D">
        <w:t xml:space="preserve"> opp oppmodingsvedtaket i </w:t>
      </w:r>
      <w:proofErr w:type="spellStart"/>
      <w:r w:rsidRPr="00580C0D">
        <w:t>komande</w:t>
      </w:r>
      <w:proofErr w:type="spellEnd"/>
      <w:r w:rsidRPr="00580C0D">
        <w:t xml:space="preserve"> prosjekt, og vil </w:t>
      </w:r>
      <w:proofErr w:type="spellStart"/>
      <w:r w:rsidRPr="00580C0D">
        <w:t>kome</w:t>
      </w:r>
      <w:proofErr w:type="spellEnd"/>
      <w:r w:rsidRPr="00580C0D">
        <w:t xml:space="preserve"> tilbake til Stortinget på eigna måte.</w:t>
      </w:r>
    </w:p>
    <w:p w14:paraId="0BB9FF1B" w14:textId="77777777" w:rsidR="00F7113A" w:rsidRPr="00580C0D" w:rsidRDefault="00142E5B" w:rsidP="00580C0D">
      <w:pPr>
        <w:pStyle w:val="avsnitt-tittel"/>
      </w:pPr>
      <w:r w:rsidRPr="00580C0D">
        <w:t xml:space="preserve">Bustøtte og </w:t>
      </w:r>
      <w:proofErr w:type="spellStart"/>
      <w:r w:rsidRPr="00580C0D">
        <w:t>trygdeoppgjer</w:t>
      </w:r>
      <w:proofErr w:type="spellEnd"/>
    </w:p>
    <w:p w14:paraId="797C5B63" w14:textId="77777777" w:rsidR="00F7113A" w:rsidRPr="00580C0D" w:rsidRDefault="00142E5B" w:rsidP="00580C0D">
      <w:pPr>
        <w:pStyle w:val="avsnitt-undertittel"/>
      </w:pPr>
      <w:r w:rsidRPr="00580C0D">
        <w:t>Vedtak nr. 930, 16. juni 2023</w:t>
      </w:r>
    </w:p>
    <w:p w14:paraId="32CAE817" w14:textId="77777777" w:rsidR="00F7113A" w:rsidRPr="00580C0D" w:rsidRDefault="00142E5B" w:rsidP="00580C0D">
      <w:pPr>
        <w:pStyle w:val="blokksit"/>
        <w:rPr>
          <w:rStyle w:val="kursiv"/>
        </w:rPr>
      </w:pPr>
      <w:r w:rsidRPr="00580C0D">
        <w:rPr>
          <w:rStyle w:val="kursiv"/>
        </w:rPr>
        <w:t>«Stortinget ber regjeringen sikre at ingen mister bostøtte som følge av etterbetalingen for de årlige trygdeoppgjørene.»</w:t>
      </w:r>
    </w:p>
    <w:p w14:paraId="2D368F67"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xml:space="preserve"> og </w:t>
      </w:r>
      <w:proofErr w:type="spellStart"/>
      <w:r w:rsidRPr="00580C0D">
        <w:t>Innst</w:t>
      </w:r>
      <w:proofErr w:type="spellEnd"/>
      <w:r w:rsidRPr="00580C0D">
        <w:t>. 490 S (2022–2023).</w:t>
      </w:r>
    </w:p>
    <w:p w14:paraId="21281C1D" w14:textId="77777777" w:rsidR="00F7113A" w:rsidRPr="00580C0D" w:rsidRDefault="00142E5B" w:rsidP="00580C0D">
      <w:r w:rsidRPr="00580C0D">
        <w:t xml:space="preserve">Kommunal- og </w:t>
      </w:r>
      <w:proofErr w:type="spellStart"/>
      <w:r w:rsidRPr="00580C0D">
        <w:t>distriktsdepartementet</w:t>
      </w:r>
      <w:proofErr w:type="spellEnd"/>
      <w:r w:rsidRPr="00580C0D">
        <w:t xml:space="preserve"> har gitt instruks til Husbanken om å skjerme alle </w:t>
      </w:r>
      <w:proofErr w:type="spellStart"/>
      <w:r w:rsidRPr="00580C0D">
        <w:t>etterbetalingar</w:t>
      </w:r>
      <w:proofErr w:type="spellEnd"/>
      <w:r w:rsidRPr="00580C0D">
        <w:t xml:space="preserve"> i juni 2023, slik at ingen </w:t>
      </w:r>
      <w:proofErr w:type="spellStart"/>
      <w:r w:rsidRPr="00580C0D">
        <w:t>tapar</w:t>
      </w:r>
      <w:proofErr w:type="spellEnd"/>
      <w:r w:rsidRPr="00580C0D">
        <w:t xml:space="preserve"> bustøtte på </w:t>
      </w:r>
      <w:proofErr w:type="spellStart"/>
      <w:r w:rsidRPr="00580C0D">
        <w:t>etterbetalingar</w:t>
      </w:r>
      <w:proofErr w:type="spellEnd"/>
      <w:r w:rsidRPr="00580C0D">
        <w:t xml:space="preserve"> etter </w:t>
      </w:r>
      <w:proofErr w:type="spellStart"/>
      <w:r w:rsidRPr="00580C0D">
        <w:t>trygdeoppgjeret</w:t>
      </w:r>
      <w:proofErr w:type="spellEnd"/>
      <w:r w:rsidRPr="00580C0D">
        <w:t xml:space="preserve">. Det er </w:t>
      </w:r>
      <w:proofErr w:type="spellStart"/>
      <w:r w:rsidRPr="00580C0D">
        <w:t>ikkje</w:t>
      </w:r>
      <w:proofErr w:type="spellEnd"/>
      <w:r w:rsidRPr="00580C0D">
        <w:t xml:space="preserve"> </w:t>
      </w:r>
      <w:proofErr w:type="spellStart"/>
      <w:r w:rsidRPr="00580C0D">
        <w:t>tilstrekkeleg</w:t>
      </w:r>
      <w:proofErr w:type="spellEnd"/>
      <w:r w:rsidRPr="00580C0D">
        <w:t xml:space="preserve"> greidd ut om og eventuelt korleis ei permanent skjermingsordning kan </w:t>
      </w:r>
      <w:proofErr w:type="spellStart"/>
      <w:r w:rsidRPr="00580C0D">
        <w:t>etablerast</w:t>
      </w:r>
      <w:proofErr w:type="spellEnd"/>
      <w:r w:rsidRPr="00580C0D">
        <w:t>.</w:t>
      </w:r>
    </w:p>
    <w:p w14:paraId="1ACB5922"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0627239A" w14:textId="77777777" w:rsidR="00F7113A" w:rsidRPr="00580C0D" w:rsidRDefault="00142E5B" w:rsidP="00580C0D">
      <w:pPr>
        <w:pStyle w:val="avsnitt-tittel"/>
      </w:pPr>
      <w:proofErr w:type="spellStart"/>
      <w:r w:rsidRPr="00580C0D">
        <w:t>Meir</w:t>
      </w:r>
      <w:proofErr w:type="spellEnd"/>
      <w:r w:rsidRPr="00580C0D">
        <w:t xml:space="preserve"> treffsikker </w:t>
      </w:r>
      <w:proofErr w:type="spellStart"/>
      <w:r w:rsidRPr="00580C0D">
        <w:t>bustøtteordning</w:t>
      </w:r>
      <w:proofErr w:type="spellEnd"/>
    </w:p>
    <w:p w14:paraId="268D91E7" w14:textId="77777777" w:rsidR="00F7113A" w:rsidRPr="00580C0D" w:rsidRDefault="00142E5B" w:rsidP="00580C0D">
      <w:pPr>
        <w:pStyle w:val="avsnitt-undertittel"/>
      </w:pPr>
      <w:r w:rsidRPr="00580C0D">
        <w:t>Vedtak nr. 931, 16. juni 2023</w:t>
      </w:r>
    </w:p>
    <w:p w14:paraId="20232549" w14:textId="77777777" w:rsidR="00F7113A" w:rsidRPr="00580C0D" w:rsidRDefault="00142E5B" w:rsidP="00580C0D">
      <w:pPr>
        <w:pStyle w:val="blokksit"/>
        <w:rPr>
          <w:rStyle w:val="kursiv"/>
        </w:rPr>
      </w:pPr>
      <w:r w:rsidRPr="00580C0D">
        <w:rPr>
          <w:rStyle w:val="kursiv"/>
        </w:rPr>
        <w:t>«Stortinget ber regjeringen i statsbudsjettet for 2024 fremme forslag om endringer i bostøtteregelverket som gjør ordningen mer treffsikker for husholdninger med lave inntekter og høye boutgifter.»</w:t>
      </w:r>
    </w:p>
    <w:p w14:paraId="7F5A173D"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xml:space="preserve"> og </w:t>
      </w:r>
      <w:proofErr w:type="spellStart"/>
      <w:r w:rsidRPr="00580C0D">
        <w:t>Innst</w:t>
      </w:r>
      <w:proofErr w:type="spellEnd"/>
      <w:r w:rsidRPr="00580C0D">
        <w:t>. 490 S (2022–2023).</w:t>
      </w:r>
    </w:p>
    <w:p w14:paraId="3E3A886E" w14:textId="77777777" w:rsidR="00F7113A" w:rsidRPr="00580C0D" w:rsidRDefault="00142E5B" w:rsidP="00580C0D">
      <w:r w:rsidRPr="00580C0D">
        <w:t xml:space="preserve">Ekspertgruppa som vart sett ned i 2020 for å gjennomgå bustøtta, leverte sin rapport i mai 2022. Gruppa etterlyser mellom anna ei forankring av </w:t>
      </w:r>
      <w:proofErr w:type="spellStart"/>
      <w:r w:rsidRPr="00580C0D">
        <w:t>regelverkssatsane</w:t>
      </w:r>
      <w:proofErr w:type="spellEnd"/>
      <w:r w:rsidRPr="00580C0D">
        <w:t xml:space="preserve"> i </w:t>
      </w:r>
      <w:proofErr w:type="spellStart"/>
      <w:r w:rsidRPr="00580C0D">
        <w:t>underliggande</w:t>
      </w:r>
      <w:proofErr w:type="spellEnd"/>
      <w:r w:rsidRPr="00580C0D">
        <w:t xml:space="preserve"> prinsipp og </w:t>
      </w:r>
      <w:proofErr w:type="spellStart"/>
      <w:r w:rsidRPr="00580C0D">
        <w:t>tilgjengeleg</w:t>
      </w:r>
      <w:proofErr w:type="spellEnd"/>
      <w:r w:rsidRPr="00580C0D">
        <w:t xml:space="preserve"> statistikk. </w:t>
      </w:r>
      <w:proofErr w:type="spellStart"/>
      <w:r w:rsidRPr="00580C0D">
        <w:t>Vidare</w:t>
      </w:r>
      <w:proofErr w:type="spellEnd"/>
      <w:r w:rsidRPr="00580C0D">
        <w:t xml:space="preserve"> </w:t>
      </w:r>
      <w:proofErr w:type="spellStart"/>
      <w:r w:rsidRPr="00580C0D">
        <w:t>peiker</w:t>
      </w:r>
      <w:proofErr w:type="spellEnd"/>
      <w:r w:rsidRPr="00580C0D">
        <w:t xml:space="preserve"> </w:t>
      </w:r>
      <w:proofErr w:type="spellStart"/>
      <w:r w:rsidRPr="00580C0D">
        <w:t>dei</w:t>
      </w:r>
      <w:proofErr w:type="spellEnd"/>
      <w:r w:rsidRPr="00580C0D">
        <w:t xml:space="preserve"> på at </w:t>
      </w:r>
      <w:proofErr w:type="spellStart"/>
      <w:r w:rsidRPr="00580C0D">
        <w:t>bustøtteordninga</w:t>
      </w:r>
      <w:proofErr w:type="spellEnd"/>
      <w:r w:rsidRPr="00580C0D">
        <w:t xml:space="preserve"> kan virke </w:t>
      </w:r>
      <w:proofErr w:type="spellStart"/>
      <w:r w:rsidRPr="00580C0D">
        <w:t>meir</w:t>
      </w:r>
      <w:proofErr w:type="spellEnd"/>
      <w:r w:rsidRPr="00580C0D">
        <w:t xml:space="preserve"> komplisert enn nødvendig. Departementet jobbar med å </w:t>
      </w:r>
      <w:proofErr w:type="spellStart"/>
      <w:r w:rsidRPr="00580C0D">
        <w:t>følgje</w:t>
      </w:r>
      <w:proofErr w:type="spellEnd"/>
      <w:r w:rsidRPr="00580C0D">
        <w:t xml:space="preserve"> opp ekspertgruppa sin rapport og ser </w:t>
      </w:r>
      <w:proofErr w:type="spellStart"/>
      <w:r w:rsidRPr="00580C0D">
        <w:t>oppmodningsvedtaket</w:t>
      </w:r>
      <w:proofErr w:type="spellEnd"/>
      <w:r w:rsidRPr="00580C0D">
        <w:t xml:space="preserve"> i lys av dette arbeidet.</w:t>
      </w:r>
    </w:p>
    <w:p w14:paraId="6690B4CE"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w:t>
      </w:r>
      <w:proofErr w:type="spellStart"/>
      <w:r w:rsidRPr="00580C0D">
        <w:t>ein</w:t>
      </w:r>
      <w:proofErr w:type="spellEnd"/>
      <w:r w:rsidRPr="00580C0D">
        <w:t xml:space="preserve"> eigna måte.</w:t>
      </w:r>
    </w:p>
    <w:p w14:paraId="587542AA" w14:textId="77777777" w:rsidR="00F7113A" w:rsidRPr="00580C0D" w:rsidRDefault="00142E5B" w:rsidP="00580C0D">
      <w:pPr>
        <w:pStyle w:val="avsnitt-tittel"/>
      </w:pPr>
      <w:r w:rsidRPr="00580C0D">
        <w:t>Etablering av solceller og/eller lokalprodusert energi på nye næringsbygg</w:t>
      </w:r>
    </w:p>
    <w:p w14:paraId="258B48F4" w14:textId="77777777" w:rsidR="00F7113A" w:rsidRPr="00580C0D" w:rsidRDefault="00142E5B" w:rsidP="00580C0D">
      <w:pPr>
        <w:pStyle w:val="avsnitt-undertittel"/>
      </w:pPr>
      <w:r w:rsidRPr="00580C0D">
        <w:t>Vedtak nr. 934, 16. juni 2023:</w:t>
      </w:r>
    </w:p>
    <w:p w14:paraId="6B7A8045" w14:textId="77777777" w:rsidR="00F7113A" w:rsidRPr="00580C0D" w:rsidRDefault="00142E5B" w:rsidP="00580C0D">
      <w:pPr>
        <w:pStyle w:val="blokksit"/>
        <w:rPr>
          <w:rStyle w:val="kursiv"/>
        </w:rPr>
      </w:pPr>
      <w:r w:rsidRPr="00580C0D">
        <w:rPr>
          <w:rStyle w:val="kursiv"/>
        </w:rPr>
        <w:t>«Stortinget ber regjeringen i løpet av første halvår 2024 sende på høring et forslag med krav om at det skal etableres solceller og/eller lokalprodusert energi på alle nye næringsbygg over 500 m</w:t>
      </w:r>
      <w:r w:rsidRPr="00580C0D">
        <w:rPr>
          <w:rStyle w:val="skrift-hevet"/>
        </w:rPr>
        <w:t>2</w:t>
      </w:r>
      <w:r w:rsidRPr="00580C0D">
        <w:rPr>
          <w:rStyle w:val="kursiv"/>
        </w:rPr>
        <w:t xml:space="preserve"> utenfor LNF-områder.»</w:t>
      </w:r>
    </w:p>
    <w:p w14:paraId="5597C9C8"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xml:space="preserve"> og </w:t>
      </w:r>
      <w:proofErr w:type="spellStart"/>
      <w:r w:rsidRPr="00580C0D">
        <w:t>Innst</w:t>
      </w:r>
      <w:proofErr w:type="spellEnd"/>
      <w:r w:rsidRPr="00580C0D">
        <w:t>. 490 S (2022–2023).</w:t>
      </w:r>
    </w:p>
    <w:p w14:paraId="3B24DB18" w14:textId="77777777" w:rsidR="00F7113A" w:rsidRPr="00580C0D" w:rsidRDefault="00142E5B" w:rsidP="00580C0D">
      <w:r w:rsidRPr="00580C0D">
        <w:t xml:space="preserve">Departementet tar sikte på å </w:t>
      </w:r>
      <w:proofErr w:type="spellStart"/>
      <w:r w:rsidRPr="00580C0D">
        <w:t>følgje</w:t>
      </w:r>
      <w:proofErr w:type="spellEnd"/>
      <w:r w:rsidRPr="00580C0D">
        <w:t xml:space="preserve"> opp oppmodingsvedtaket som </w:t>
      </w:r>
      <w:proofErr w:type="spellStart"/>
      <w:r w:rsidRPr="00580C0D">
        <w:t>ein</w:t>
      </w:r>
      <w:proofErr w:type="spellEnd"/>
      <w:r w:rsidRPr="00580C0D">
        <w:t xml:space="preserve"> del av arbeidet med </w:t>
      </w:r>
      <w:proofErr w:type="spellStart"/>
      <w:r w:rsidRPr="00580C0D">
        <w:t>endringar</w:t>
      </w:r>
      <w:proofErr w:type="spellEnd"/>
      <w:r w:rsidRPr="00580C0D">
        <w:t xml:space="preserve"> i </w:t>
      </w:r>
      <w:proofErr w:type="spellStart"/>
      <w:r w:rsidRPr="00580C0D">
        <w:t>byggteknisk</w:t>
      </w:r>
      <w:proofErr w:type="spellEnd"/>
      <w:r w:rsidRPr="00580C0D">
        <w:t xml:space="preserve"> forskrift og byggesaksforskrifta for å bidra til </w:t>
      </w:r>
      <w:proofErr w:type="spellStart"/>
      <w:r w:rsidRPr="00580C0D">
        <w:t>auka</w:t>
      </w:r>
      <w:proofErr w:type="spellEnd"/>
      <w:r w:rsidRPr="00580C0D">
        <w:t xml:space="preserve"> energieffektivitet, energifleksibilitet og lokal energiproduksjon.</w:t>
      </w:r>
    </w:p>
    <w:p w14:paraId="0FF5EE9B"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68CF5D57" w14:textId="77777777" w:rsidR="00F7113A" w:rsidRPr="00580C0D" w:rsidRDefault="00142E5B" w:rsidP="00580C0D">
      <w:pPr>
        <w:pStyle w:val="Overskrift2"/>
      </w:pPr>
      <w:r w:rsidRPr="00580C0D">
        <w:t>Stortingssesjon 2021–2022</w:t>
      </w:r>
    </w:p>
    <w:p w14:paraId="763CB2CF" w14:textId="77777777" w:rsidR="00F7113A" w:rsidRPr="00580C0D" w:rsidRDefault="00142E5B" w:rsidP="00580C0D">
      <w:pPr>
        <w:pStyle w:val="avsnitt-tittel"/>
      </w:pPr>
      <w:r w:rsidRPr="00580C0D">
        <w:t>Lokal energiproduksjon, energieffektivisering og ladeinfrastruktur i burettslag</w:t>
      </w:r>
    </w:p>
    <w:p w14:paraId="11A4B819" w14:textId="77777777" w:rsidR="00F7113A" w:rsidRPr="00580C0D" w:rsidRDefault="00142E5B" w:rsidP="00580C0D">
      <w:pPr>
        <w:pStyle w:val="avsnitt-undertittel"/>
      </w:pPr>
      <w:r w:rsidRPr="00580C0D">
        <w:t>Vedtak nr. 35 nr. 7, 2. desember 2021</w:t>
      </w:r>
    </w:p>
    <w:p w14:paraId="77374529" w14:textId="77777777" w:rsidR="00F7113A" w:rsidRPr="00580C0D" w:rsidRDefault="00142E5B" w:rsidP="00580C0D">
      <w:pPr>
        <w:pStyle w:val="blokksit"/>
        <w:rPr>
          <w:rStyle w:val="kursiv"/>
        </w:rPr>
      </w:pPr>
      <w:r w:rsidRPr="00580C0D">
        <w:rPr>
          <w:rStyle w:val="kursiv"/>
        </w:rPr>
        <w:t>«Stortinget ber regjeringen vurdere ordninger som støtter opp om etablering av lokal energiproduksjon, energieffektivisering og etablering av ladeinfrastruktur i borettslag.»</w:t>
      </w:r>
    </w:p>
    <w:p w14:paraId="1E652AEF" w14:textId="77777777" w:rsidR="00F7113A" w:rsidRPr="00580C0D" w:rsidRDefault="00142E5B" w:rsidP="00580C0D">
      <w:r w:rsidRPr="00580C0D">
        <w:t xml:space="preserve">Dokumentet som ligg til grunn er </w:t>
      </w:r>
      <w:proofErr w:type="spellStart"/>
      <w:r w:rsidRPr="00580C0D">
        <w:t>Innst</w:t>
      </w:r>
      <w:proofErr w:type="spellEnd"/>
      <w:r w:rsidRPr="00580C0D">
        <w:t xml:space="preserve">. 2 S (2021–2022) Innstilling </w:t>
      </w:r>
      <w:proofErr w:type="spellStart"/>
      <w:r w:rsidRPr="00580C0D">
        <w:t>frå</w:t>
      </w:r>
      <w:proofErr w:type="spellEnd"/>
      <w:r w:rsidRPr="00580C0D">
        <w:t xml:space="preserve"> finanskomiteen om nasjonalbudsjettet 2022 og forslaget til statsbudsjett for 2022.</w:t>
      </w:r>
    </w:p>
    <w:p w14:paraId="2A2CE22D" w14:textId="77777777" w:rsidR="00F7113A" w:rsidRPr="00580C0D" w:rsidRDefault="00142E5B" w:rsidP="00580C0D">
      <w:r w:rsidRPr="00580C0D">
        <w:t xml:space="preserve">Det er ei rekke tiltak, både gjennomførte og </w:t>
      </w:r>
      <w:proofErr w:type="spellStart"/>
      <w:r w:rsidRPr="00580C0D">
        <w:t>pågåande</w:t>
      </w:r>
      <w:proofErr w:type="spellEnd"/>
      <w:r w:rsidRPr="00580C0D">
        <w:t xml:space="preserve">, som </w:t>
      </w:r>
      <w:proofErr w:type="spellStart"/>
      <w:r w:rsidRPr="00580C0D">
        <w:t>støttar</w:t>
      </w:r>
      <w:proofErr w:type="spellEnd"/>
      <w:r w:rsidRPr="00580C0D">
        <w:t xml:space="preserve"> opp om energiproduksjon, energieffektivisering og </w:t>
      </w:r>
      <w:proofErr w:type="spellStart"/>
      <w:r w:rsidRPr="00580C0D">
        <w:t>lading</w:t>
      </w:r>
      <w:proofErr w:type="spellEnd"/>
      <w:r w:rsidRPr="00580C0D">
        <w:t xml:space="preserve"> av elbil i burettslag og andre </w:t>
      </w:r>
      <w:proofErr w:type="spellStart"/>
      <w:r w:rsidRPr="00580C0D">
        <w:t>bustader</w:t>
      </w:r>
      <w:proofErr w:type="spellEnd"/>
      <w:r w:rsidRPr="00580C0D">
        <w:t xml:space="preserve">. </w:t>
      </w:r>
      <w:proofErr w:type="spellStart"/>
      <w:r w:rsidRPr="00580C0D">
        <w:t>Andelseigarar</w:t>
      </w:r>
      <w:proofErr w:type="spellEnd"/>
      <w:r w:rsidRPr="00580C0D">
        <w:t xml:space="preserve"> i burettslag har fått rett til å </w:t>
      </w:r>
      <w:proofErr w:type="spellStart"/>
      <w:r w:rsidRPr="00580C0D">
        <w:t>setje</w:t>
      </w:r>
      <w:proofErr w:type="spellEnd"/>
      <w:r w:rsidRPr="00580C0D">
        <w:t xml:space="preserve"> opp ladepunkt. Det er krav i </w:t>
      </w:r>
      <w:proofErr w:type="spellStart"/>
      <w:r w:rsidRPr="00580C0D">
        <w:t>byggteknisk</w:t>
      </w:r>
      <w:proofErr w:type="spellEnd"/>
      <w:r w:rsidRPr="00580C0D">
        <w:t xml:space="preserve"> forskrift om at </w:t>
      </w:r>
      <w:proofErr w:type="spellStart"/>
      <w:r w:rsidRPr="00580C0D">
        <w:t>parkeringsplassar</w:t>
      </w:r>
      <w:proofErr w:type="spellEnd"/>
      <w:r w:rsidRPr="00580C0D">
        <w:t xml:space="preserve"> knytte til nye bygg skal </w:t>
      </w:r>
      <w:proofErr w:type="spellStart"/>
      <w:r w:rsidRPr="00580C0D">
        <w:t>vere</w:t>
      </w:r>
      <w:proofErr w:type="spellEnd"/>
      <w:r w:rsidRPr="00580C0D">
        <w:t xml:space="preserve"> ladeklare. Regjeringa har endra plusskundeordninga slik at </w:t>
      </w:r>
      <w:proofErr w:type="spellStart"/>
      <w:r w:rsidRPr="00580C0D">
        <w:t>straumkundar</w:t>
      </w:r>
      <w:proofErr w:type="spellEnd"/>
      <w:r w:rsidRPr="00580C0D">
        <w:t xml:space="preserve"> i burettslag kan sleppe </w:t>
      </w:r>
      <w:proofErr w:type="spellStart"/>
      <w:r w:rsidRPr="00580C0D">
        <w:t>nettleige</w:t>
      </w:r>
      <w:proofErr w:type="spellEnd"/>
      <w:r w:rsidRPr="00580C0D">
        <w:t xml:space="preserve"> og avgifter for forbruk av </w:t>
      </w:r>
      <w:proofErr w:type="spellStart"/>
      <w:r w:rsidRPr="00580C0D">
        <w:t>straum</w:t>
      </w:r>
      <w:proofErr w:type="spellEnd"/>
      <w:r w:rsidRPr="00580C0D">
        <w:t xml:space="preserve"> </w:t>
      </w:r>
      <w:proofErr w:type="spellStart"/>
      <w:r w:rsidRPr="00580C0D">
        <w:t>dei</w:t>
      </w:r>
      <w:proofErr w:type="spellEnd"/>
      <w:r w:rsidRPr="00580C0D">
        <w:t xml:space="preserve"> </w:t>
      </w:r>
      <w:proofErr w:type="spellStart"/>
      <w:r w:rsidRPr="00580C0D">
        <w:t>sjølv</w:t>
      </w:r>
      <w:proofErr w:type="spellEnd"/>
      <w:r w:rsidRPr="00580C0D">
        <w:t xml:space="preserve"> produserer og </w:t>
      </w:r>
      <w:proofErr w:type="spellStart"/>
      <w:r w:rsidRPr="00580C0D">
        <w:t>delar</w:t>
      </w:r>
      <w:proofErr w:type="spellEnd"/>
      <w:r w:rsidRPr="00580C0D">
        <w:t xml:space="preserve"> i burettslaget. </w:t>
      </w:r>
      <w:proofErr w:type="spellStart"/>
      <w:r w:rsidRPr="00580C0D">
        <w:t>Enova</w:t>
      </w:r>
      <w:proofErr w:type="spellEnd"/>
      <w:r w:rsidRPr="00580C0D">
        <w:t xml:space="preserve"> oppretta i 2022 kartleggingsstønad for klima- og energitiltak i burettslag. Dei </w:t>
      </w:r>
      <w:proofErr w:type="spellStart"/>
      <w:r w:rsidRPr="00580C0D">
        <w:t>støttar</w:t>
      </w:r>
      <w:proofErr w:type="spellEnd"/>
      <w:r w:rsidRPr="00580C0D">
        <w:t xml:space="preserve"> òg </w:t>
      </w:r>
      <w:proofErr w:type="spellStart"/>
      <w:r w:rsidRPr="00580C0D">
        <w:t>varmesentralar</w:t>
      </w:r>
      <w:proofErr w:type="spellEnd"/>
      <w:r w:rsidRPr="00580C0D">
        <w:t xml:space="preserve"> basert på fornybare energikjelder, der òg burettslag og </w:t>
      </w:r>
      <w:proofErr w:type="spellStart"/>
      <w:r w:rsidRPr="00580C0D">
        <w:t>sameige</w:t>
      </w:r>
      <w:proofErr w:type="spellEnd"/>
      <w:r w:rsidRPr="00580C0D">
        <w:t xml:space="preserve"> kan </w:t>
      </w:r>
      <w:proofErr w:type="spellStart"/>
      <w:r w:rsidRPr="00580C0D">
        <w:t>søkje</w:t>
      </w:r>
      <w:proofErr w:type="spellEnd"/>
      <w:r w:rsidRPr="00580C0D">
        <w:t xml:space="preserve">. I tillegg kan enkelte tiltak under </w:t>
      </w:r>
      <w:proofErr w:type="spellStart"/>
      <w:r w:rsidRPr="00580C0D">
        <w:t>Enova</w:t>
      </w:r>
      <w:proofErr w:type="spellEnd"/>
      <w:r w:rsidRPr="00580C0D">
        <w:t xml:space="preserve"> sitt </w:t>
      </w:r>
      <w:proofErr w:type="spellStart"/>
      <w:r w:rsidRPr="00580C0D">
        <w:t>tilskot</w:t>
      </w:r>
      <w:proofErr w:type="spellEnd"/>
      <w:r w:rsidRPr="00580C0D">
        <w:t xml:space="preserve"> </w:t>
      </w:r>
      <w:proofErr w:type="spellStart"/>
      <w:r w:rsidRPr="00580C0D">
        <w:t>vere</w:t>
      </w:r>
      <w:proofErr w:type="spellEnd"/>
      <w:r w:rsidRPr="00580C0D">
        <w:t xml:space="preserve"> relevante for </w:t>
      </w:r>
      <w:proofErr w:type="spellStart"/>
      <w:r w:rsidRPr="00580C0D">
        <w:t>dei</w:t>
      </w:r>
      <w:proofErr w:type="spellEnd"/>
      <w:r w:rsidRPr="00580C0D">
        <w:t xml:space="preserve"> som bur i burettslag og </w:t>
      </w:r>
      <w:proofErr w:type="spellStart"/>
      <w:r w:rsidRPr="00580C0D">
        <w:t>sameige</w:t>
      </w:r>
      <w:proofErr w:type="spellEnd"/>
      <w:r w:rsidRPr="00580C0D">
        <w:t xml:space="preserve">. </w:t>
      </w:r>
      <w:proofErr w:type="spellStart"/>
      <w:r w:rsidRPr="00580C0D">
        <w:t>Enova</w:t>
      </w:r>
      <w:proofErr w:type="spellEnd"/>
      <w:r w:rsidRPr="00580C0D">
        <w:t xml:space="preserve"> arbeider òg med ei styrka satsing på energi i breitt og energieffektivisering </w:t>
      </w:r>
      <w:proofErr w:type="spellStart"/>
      <w:r w:rsidRPr="00580C0D">
        <w:t>meir</w:t>
      </w:r>
      <w:proofErr w:type="spellEnd"/>
      <w:r w:rsidRPr="00580C0D">
        <w:t xml:space="preserve"> spesifikt. Dette </w:t>
      </w:r>
      <w:proofErr w:type="spellStart"/>
      <w:r w:rsidRPr="00580C0D">
        <w:t>inneber</w:t>
      </w:r>
      <w:proofErr w:type="spellEnd"/>
      <w:r w:rsidRPr="00580C0D">
        <w:t xml:space="preserve"> mellom anna </w:t>
      </w:r>
      <w:proofErr w:type="spellStart"/>
      <w:r w:rsidRPr="00580C0D">
        <w:t>ein</w:t>
      </w:r>
      <w:proofErr w:type="spellEnd"/>
      <w:r w:rsidRPr="00580C0D">
        <w:t xml:space="preserve"> ny investeringsstønad retta mot burettslag, </w:t>
      </w:r>
      <w:proofErr w:type="spellStart"/>
      <w:r w:rsidRPr="00580C0D">
        <w:t>sameige</w:t>
      </w:r>
      <w:proofErr w:type="spellEnd"/>
      <w:r w:rsidRPr="00580C0D">
        <w:t xml:space="preserve"> og yrkesbygg som </w:t>
      </w:r>
      <w:proofErr w:type="spellStart"/>
      <w:r w:rsidRPr="00580C0D">
        <w:t>koplar</w:t>
      </w:r>
      <w:proofErr w:type="spellEnd"/>
      <w:r w:rsidRPr="00580C0D">
        <w:t xml:space="preserve"> stønaden til energimerket og </w:t>
      </w:r>
      <w:proofErr w:type="spellStart"/>
      <w:r w:rsidRPr="00580C0D">
        <w:t>forbetra</w:t>
      </w:r>
      <w:proofErr w:type="spellEnd"/>
      <w:r w:rsidRPr="00580C0D">
        <w:t xml:space="preserve"> energiyting basert på ei grundig kartlegging. Samla sett </w:t>
      </w:r>
      <w:proofErr w:type="spellStart"/>
      <w:r w:rsidRPr="00580C0D">
        <w:t>støttar</w:t>
      </w:r>
      <w:proofErr w:type="spellEnd"/>
      <w:r w:rsidRPr="00580C0D">
        <w:t xml:space="preserve"> dette opp om lokal energiproduksjon, energieffektivisering og etablering av ladeinfrastruktur i burettslag </w:t>
      </w:r>
      <w:proofErr w:type="spellStart"/>
      <w:r w:rsidRPr="00580C0D">
        <w:t>utan</w:t>
      </w:r>
      <w:proofErr w:type="spellEnd"/>
      <w:r w:rsidRPr="00580C0D">
        <w:t xml:space="preserve"> at det er behov for nye </w:t>
      </w:r>
      <w:proofErr w:type="spellStart"/>
      <w:r w:rsidRPr="00580C0D">
        <w:t>ordningar</w:t>
      </w:r>
      <w:proofErr w:type="spellEnd"/>
      <w:r w:rsidRPr="00580C0D">
        <w:t xml:space="preserve">. Regjeringa vil legge fram </w:t>
      </w:r>
      <w:proofErr w:type="spellStart"/>
      <w:r w:rsidRPr="00580C0D">
        <w:t>ein</w:t>
      </w:r>
      <w:proofErr w:type="spellEnd"/>
      <w:r w:rsidRPr="00580C0D">
        <w:t xml:space="preserve"> handlingsplan for energieffektivisering i alle </w:t>
      </w:r>
      <w:proofErr w:type="spellStart"/>
      <w:r w:rsidRPr="00580C0D">
        <w:t>delar</w:t>
      </w:r>
      <w:proofErr w:type="spellEnd"/>
      <w:r w:rsidRPr="00580C0D">
        <w:t xml:space="preserve"> av norsk økonomi som har stor </w:t>
      </w:r>
      <w:proofErr w:type="spellStart"/>
      <w:r w:rsidRPr="00580C0D">
        <w:t>merksemd</w:t>
      </w:r>
      <w:proofErr w:type="spellEnd"/>
      <w:r w:rsidRPr="00580C0D">
        <w:t xml:space="preserve"> på redusert energibruk i bygg.</w:t>
      </w:r>
    </w:p>
    <w:p w14:paraId="16ED998A" w14:textId="77777777" w:rsidR="00F7113A" w:rsidRPr="00580C0D" w:rsidRDefault="00142E5B" w:rsidP="00580C0D">
      <w:r w:rsidRPr="00580C0D">
        <w:t xml:space="preserve">Departementet meiner med dette at </w:t>
      </w:r>
      <w:proofErr w:type="spellStart"/>
      <w:r w:rsidRPr="00580C0D">
        <w:t>oppmodningsvedtaket</w:t>
      </w:r>
      <w:proofErr w:type="spellEnd"/>
      <w:r w:rsidRPr="00580C0D">
        <w:t xml:space="preserve"> er </w:t>
      </w:r>
      <w:proofErr w:type="spellStart"/>
      <w:r w:rsidRPr="00580C0D">
        <w:t>følgt</w:t>
      </w:r>
      <w:proofErr w:type="spellEnd"/>
      <w:r w:rsidRPr="00580C0D">
        <w:t xml:space="preserve"> opp.</w:t>
      </w:r>
    </w:p>
    <w:p w14:paraId="3427F7A9" w14:textId="77777777" w:rsidR="00F7113A" w:rsidRPr="00580C0D" w:rsidRDefault="00142E5B" w:rsidP="00580C0D">
      <w:pPr>
        <w:pStyle w:val="avsnitt-tittel"/>
      </w:pPr>
      <w:r w:rsidRPr="00580C0D">
        <w:t xml:space="preserve">Nullutslepp eller fossilfrie </w:t>
      </w:r>
      <w:proofErr w:type="spellStart"/>
      <w:r w:rsidRPr="00580C0D">
        <w:t>anleggsplassar</w:t>
      </w:r>
      <w:proofErr w:type="spellEnd"/>
      <w:r w:rsidRPr="00580C0D">
        <w:t xml:space="preserve"> i </w:t>
      </w:r>
      <w:proofErr w:type="spellStart"/>
      <w:r w:rsidRPr="00580C0D">
        <w:t>planreglar</w:t>
      </w:r>
      <w:proofErr w:type="spellEnd"/>
    </w:p>
    <w:p w14:paraId="7C54CE88" w14:textId="77777777" w:rsidR="00F7113A" w:rsidRPr="00580C0D" w:rsidRDefault="00142E5B" w:rsidP="00580C0D">
      <w:pPr>
        <w:pStyle w:val="avsnitt-undertittel"/>
      </w:pPr>
      <w:r w:rsidRPr="00580C0D">
        <w:t>Vedtak nr. 35 nr. 15, 2. desember 2021</w:t>
      </w:r>
    </w:p>
    <w:p w14:paraId="5C8423D3" w14:textId="77777777" w:rsidR="00F7113A" w:rsidRPr="00580C0D" w:rsidRDefault="00142E5B" w:rsidP="00580C0D">
      <w:pPr>
        <w:pStyle w:val="blokksit"/>
        <w:rPr>
          <w:rStyle w:val="kursiv"/>
        </w:rPr>
      </w:pPr>
      <w:r w:rsidRPr="00580C0D">
        <w:rPr>
          <w:rStyle w:val="kursiv"/>
        </w:rPr>
        <w:t>«Stortinget ber regjeringen utrede muligheten for å endre plan- og bygningsloven for å sikre at kommunene har hjemmel til å kunne stille krav om nullutslipp eller fossilfrie anleggsplasser i planbestemmelser.»</w:t>
      </w:r>
    </w:p>
    <w:p w14:paraId="545F4F8F" w14:textId="77777777" w:rsidR="00F7113A" w:rsidRPr="00580C0D" w:rsidRDefault="00142E5B" w:rsidP="00580C0D">
      <w:r w:rsidRPr="00580C0D">
        <w:t xml:space="preserve">Dokumenta som ligg til grunn for vedtaket, er Meld. St. 1 (2021–2022) </w:t>
      </w:r>
      <w:r w:rsidRPr="00580C0D">
        <w:rPr>
          <w:rStyle w:val="kursiv"/>
        </w:rPr>
        <w:t>Nasjonalbudsjettet 2022</w:t>
      </w:r>
      <w:r w:rsidRPr="00580C0D">
        <w:t xml:space="preserve"> og </w:t>
      </w:r>
      <w:proofErr w:type="spellStart"/>
      <w:r w:rsidRPr="00580C0D">
        <w:t>Innst</w:t>
      </w:r>
      <w:proofErr w:type="spellEnd"/>
      <w:r w:rsidRPr="00580C0D">
        <w:t>. 2 S (2021–2022).</w:t>
      </w:r>
    </w:p>
    <w:p w14:paraId="677C0F17" w14:textId="77777777" w:rsidR="00F7113A" w:rsidRPr="00580C0D" w:rsidRDefault="00142E5B" w:rsidP="00580C0D">
      <w:r w:rsidRPr="00580C0D">
        <w:t xml:space="preserve">Kommunal- og </w:t>
      </w:r>
      <w:proofErr w:type="spellStart"/>
      <w:r w:rsidRPr="00580C0D">
        <w:t>distriktsdepartementet</w:t>
      </w:r>
      <w:proofErr w:type="spellEnd"/>
      <w:r w:rsidRPr="00580C0D">
        <w:t xml:space="preserve"> oppretta </w:t>
      </w:r>
      <w:proofErr w:type="spellStart"/>
      <w:r w:rsidRPr="00580C0D">
        <w:t>saman</w:t>
      </w:r>
      <w:proofErr w:type="spellEnd"/>
      <w:r w:rsidRPr="00580C0D">
        <w:t xml:space="preserve"> med Klima- og miljødepartementet ei arbeidsgruppe for å greie ut korleis </w:t>
      </w:r>
      <w:proofErr w:type="spellStart"/>
      <w:r w:rsidRPr="00580C0D">
        <w:t>kommunane</w:t>
      </w:r>
      <w:proofErr w:type="spellEnd"/>
      <w:r w:rsidRPr="00580C0D">
        <w:t xml:space="preserve"> skal kunne stille klimakrav til </w:t>
      </w:r>
      <w:proofErr w:type="spellStart"/>
      <w:r w:rsidRPr="00580C0D">
        <w:t>byggeplassar</w:t>
      </w:r>
      <w:proofErr w:type="spellEnd"/>
      <w:r w:rsidRPr="00580C0D">
        <w:t xml:space="preserve">, </w:t>
      </w:r>
      <w:proofErr w:type="spellStart"/>
      <w:r w:rsidRPr="00580C0D">
        <w:t>anten</w:t>
      </w:r>
      <w:proofErr w:type="spellEnd"/>
      <w:r w:rsidRPr="00580C0D">
        <w:t xml:space="preserve"> gjennom plan- og bygningslova eller </w:t>
      </w:r>
      <w:proofErr w:type="spellStart"/>
      <w:r w:rsidRPr="00580C0D">
        <w:t>forureiningslova</w:t>
      </w:r>
      <w:proofErr w:type="spellEnd"/>
      <w:r w:rsidRPr="00580C0D">
        <w:t xml:space="preserve">. Arbeidsgruppa ga Miljødirektoratet i oppdrag å greie ut korleis </w:t>
      </w:r>
      <w:proofErr w:type="spellStart"/>
      <w:r w:rsidRPr="00580C0D">
        <w:t>ein</w:t>
      </w:r>
      <w:proofErr w:type="spellEnd"/>
      <w:r w:rsidRPr="00580C0D">
        <w:t xml:space="preserve"> lovheimel kan </w:t>
      </w:r>
      <w:proofErr w:type="spellStart"/>
      <w:r w:rsidRPr="00580C0D">
        <w:t>innrettast</w:t>
      </w:r>
      <w:proofErr w:type="spellEnd"/>
      <w:r w:rsidRPr="00580C0D">
        <w:t xml:space="preserve">. Miljødirektoratet gjekk i </w:t>
      </w:r>
      <w:proofErr w:type="spellStart"/>
      <w:r w:rsidRPr="00580C0D">
        <w:t>si</w:t>
      </w:r>
      <w:proofErr w:type="spellEnd"/>
      <w:r w:rsidRPr="00580C0D">
        <w:t xml:space="preserve"> utgreiing langt i å </w:t>
      </w:r>
      <w:proofErr w:type="spellStart"/>
      <w:r w:rsidRPr="00580C0D">
        <w:t>peike</w:t>
      </w:r>
      <w:proofErr w:type="spellEnd"/>
      <w:r w:rsidRPr="00580C0D">
        <w:t xml:space="preserve"> på </w:t>
      </w:r>
      <w:proofErr w:type="spellStart"/>
      <w:r w:rsidRPr="00580C0D">
        <w:t>forureiningslova</w:t>
      </w:r>
      <w:proofErr w:type="spellEnd"/>
      <w:r w:rsidRPr="00580C0D">
        <w:t xml:space="preserve"> som eigna for </w:t>
      </w:r>
      <w:proofErr w:type="spellStart"/>
      <w:r w:rsidRPr="00580C0D">
        <w:t>ein</w:t>
      </w:r>
      <w:proofErr w:type="spellEnd"/>
      <w:r w:rsidRPr="00580C0D">
        <w:t xml:space="preserve"> lovheimel. På bakgrunn av dette har </w:t>
      </w:r>
      <w:proofErr w:type="spellStart"/>
      <w:r w:rsidRPr="00580C0D">
        <w:t>dei</w:t>
      </w:r>
      <w:proofErr w:type="spellEnd"/>
      <w:r w:rsidRPr="00580C0D">
        <w:t xml:space="preserve"> to departementa bede Miljødirektoratet om å utarbeide </w:t>
      </w:r>
      <w:proofErr w:type="spellStart"/>
      <w:r w:rsidRPr="00580C0D">
        <w:t>eit</w:t>
      </w:r>
      <w:proofErr w:type="spellEnd"/>
      <w:r w:rsidRPr="00580C0D">
        <w:t xml:space="preserve"> </w:t>
      </w:r>
      <w:proofErr w:type="spellStart"/>
      <w:r w:rsidRPr="00580C0D">
        <w:t>høyringsnotat</w:t>
      </w:r>
      <w:proofErr w:type="spellEnd"/>
      <w:r w:rsidRPr="00580C0D">
        <w:t xml:space="preserve"> der </w:t>
      </w:r>
      <w:proofErr w:type="spellStart"/>
      <w:r w:rsidRPr="00580C0D">
        <w:t>forureiningslova</w:t>
      </w:r>
      <w:proofErr w:type="spellEnd"/>
      <w:r w:rsidRPr="00580C0D">
        <w:t xml:space="preserve"> </w:t>
      </w:r>
      <w:proofErr w:type="spellStart"/>
      <w:r w:rsidRPr="00580C0D">
        <w:t>leggast</w:t>
      </w:r>
      <w:proofErr w:type="spellEnd"/>
      <w:r w:rsidRPr="00580C0D">
        <w:t xml:space="preserve"> til grunn for </w:t>
      </w:r>
      <w:proofErr w:type="spellStart"/>
      <w:r w:rsidRPr="00580C0D">
        <w:t>ein</w:t>
      </w:r>
      <w:proofErr w:type="spellEnd"/>
      <w:r w:rsidRPr="00580C0D">
        <w:t xml:space="preserve"> heimel. </w:t>
      </w:r>
      <w:proofErr w:type="spellStart"/>
      <w:r w:rsidRPr="00580C0D">
        <w:t>Høyringsnotatet</w:t>
      </w:r>
      <w:proofErr w:type="spellEnd"/>
      <w:r w:rsidRPr="00580C0D">
        <w:t xml:space="preserve"> er til vurdering i departementa.</w:t>
      </w:r>
    </w:p>
    <w:p w14:paraId="1D5BE603"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6993AFD8" w14:textId="77777777" w:rsidR="00F7113A" w:rsidRPr="00580C0D" w:rsidRDefault="00142E5B" w:rsidP="00580C0D">
      <w:pPr>
        <w:pStyle w:val="avsnitt-tittel"/>
      </w:pPr>
      <w:r w:rsidRPr="00580C0D">
        <w:t xml:space="preserve">Levekår i </w:t>
      </w:r>
      <w:proofErr w:type="spellStart"/>
      <w:r w:rsidRPr="00580C0D">
        <w:t>byar</w:t>
      </w:r>
      <w:proofErr w:type="spellEnd"/>
    </w:p>
    <w:p w14:paraId="61CDD87E" w14:textId="77777777" w:rsidR="00F7113A" w:rsidRPr="00580C0D" w:rsidRDefault="00142E5B" w:rsidP="00580C0D">
      <w:pPr>
        <w:pStyle w:val="avsnitt-undertittel"/>
      </w:pPr>
      <w:r w:rsidRPr="00580C0D">
        <w:t>Vedtak nr. 35 nr. 27, 2. desember 2021</w:t>
      </w:r>
    </w:p>
    <w:p w14:paraId="30F7509C" w14:textId="77777777" w:rsidR="00F7113A" w:rsidRPr="00580C0D" w:rsidRDefault="00142E5B" w:rsidP="00580C0D">
      <w:pPr>
        <w:pStyle w:val="blokksit"/>
        <w:rPr>
          <w:rStyle w:val="kursiv"/>
        </w:rPr>
      </w:pPr>
      <w:r w:rsidRPr="00580C0D">
        <w:rPr>
          <w:rStyle w:val="kursiv"/>
        </w:rPr>
        <w:t>«Stortinget ber regjeringen komme tilbake til Stortinget med en egen sak om levekår i byer innen utgangen av 2022, saken skal blant annet vurdere Jenssen-utvalgets forslag.»</w:t>
      </w:r>
    </w:p>
    <w:p w14:paraId="1ADC4DA9" w14:textId="77777777" w:rsidR="00F7113A" w:rsidRPr="00580C0D" w:rsidRDefault="00142E5B" w:rsidP="00580C0D">
      <w:r w:rsidRPr="00580C0D">
        <w:t xml:space="preserve">Dokumenta som ligg til grunn for vedtaket, er Meld. St. 1 (2021–2022) </w:t>
      </w:r>
      <w:r w:rsidRPr="00580C0D">
        <w:rPr>
          <w:rStyle w:val="kursiv"/>
        </w:rPr>
        <w:t>Nasjonalbudsjettet 2022</w:t>
      </w:r>
      <w:r w:rsidRPr="00580C0D">
        <w:t xml:space="preserve"> og </w:t>
      </w:r>
      <w:proofErr w:type="spellStart"/>
      <w:r w:rsidRPr="00580C0D">
        <w:t>Innst</w:t>
      </w:r>
      <w:proofErr w:type="spellEnd"/>
      <w:r w:rsidRPr="00580C0D">
        <w:t>. 2 S (2021–2022).</w:t>
      </w:r>
    </w:p>
    <w:p w14:paraId="109C0FD5" w14:textId="77777777" w:rsidR="00F7113A" w:rsidRPr="00580C0D" w:rsidRDefault="00142E5B" w:rsidP="00580C0D">
      <w:r w:rsidRPr="00580C0D">
        <w:t xml:space="preserve">Regjeringa la i august 2023 fram Meld. St. 28 (2022–2023) </w:t>
      </w:r>
      <w:r w:rsidRPr="00580C0D">
        <w:rPr>
          <w:rStyle w:val="kursiv"/>
        </w:rPr>
        <w:t>Gode bysamfunn med små skilnader.</w:t>
      </w:r>
    </w:p>
    <w:p w14:paraId="4E182423"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0F2F30AE" w14:textId="77777777" w:rsidR="00F7113A" w:rsidRPr="00580C0D" w:rsidRDefault="00142E5B" w:rsidP="00580C0D">
      <w:pPr>
        <w:pStyle w:val="avsnitt-tittel"/>
      </w:pPr>
      <w:proofErr w:type="spellStart"/>
      <w:r w:rsidRPr="00580C0D">
        <w:t>Blankoskøyter</w:t>
      </w:r>
      <w:proofErr w:type="spellEnd"/>
      <w:r w:rsidRPr="00580C0D">
        <w:t xml:space="preserve"> og plikt til tinglysing</w:t>
      </w:r>
    </w:p>
    <w:p w14:paraId="206B2E26" w14:textId="77777777" w:rsidR="00F7113A" w:rsidRPr="00580C0D" w:rsidRDefault="00142E5B" w:rsidP="00580C0D">
      <w:pPr>
        <w:pStyle w:val="avsnitt-undertittel"/>
      </w:pPr>
      <w:r w:rsidRPr="00580C0D">
        <w:t>Vedtak nr. 35 nr. 35, 2. desember 2021</w:t>
      </w:r>
    </w:p>
    <w:p w14:paraId="4AD61E5A" w14:textId="77777777" w:rsidR="00F7113A" w:rsidRPr="00580C0D" w:rsidRDefault="00142E5B" w:rsidP="00580C0D">
      <w:pPr>
        <w:pStyle w:val="blokksit"/>
        <w:rPr>
          <w:rStyle w:val="kursiv"/>
        </w:rPr>
      </w:pPr>
      <w:r w:rsidRPr="00580C0D">
        <w:rPr>
          <w:rStyle w:val="kursiv"/>
        </w:rPr>
        <w:t xml:space="preserve">«Stortinget ber regjeringen utrede bruken av </w:t>
      </w:r>
      <w:proofErr w:type="spellStart"/>
      <w:r w:rsidRPr="00580C0D">
        <w:rPr>
          <w:rStyle w:val="kursiv"/>
        </w:rPr>
        <w:t>blankoskjøter</w:t>
      </w:r>
      <w:proofErr w:type="spellEnd"/>
      <w:r w:rsidRPr="00580C0D">
        <w:rPr>
          <w:rStyle w:val="kursiv"/>
        </w:rPr>
        <w:t xml:space="preserve"> og plikt til tinglysing ved eiendomskjøp.»</w:t>
      </w:r>
    </w:p>
    <w:p w14:paraId="13574587" w14:textId="77777777" w:rsidR="00F7113A" w:rsidRPr="00580C0D" w:rsidRDefault="00142E5B" w:rsidP="00580C0D">
      <w:r w:rsidRPr="00580C0D">
        <w:t xml:space="preserve">Dokumenta som ligg til grunn for vedtaket, er Meld. St. 1 (2021–2022) </w:t>
      </w:r>
      <w:r w:rsidRPr="00580C0D">
        <w:rPr>
          <w:rStyle w:val="kursiv"/>
        </w:rPr>
        <w:t>Nasjonalbudsjettet 2022</w:t>
      </w:r>
      <w:r w:rsidRPr="00580C0D">
        <w:t xml:space="preserve"> og </w:t>
      </w:r>
      <w:proofErr w:type="spellStart"/>
      <w:r w:rsidRPr="00580C0D">
        <w:t>Innst</w:t>
      </w:r>
      <w:proofErr w:type="spellEnd"/>
      <w:r w:rsidRPr="00580C0D">
        <w:t>. 2 S (2021–2022).</w:t>
      </w:r>
    </w:p>
    <w:p w14:paraId="161315ED" w14:textId="77777777" w:rsidR="00F7113A" w:rsidRPr="00580C0D" w:rsidRDefault="00142E5B" w:rsidP="00580C0D">
      <w:r w:rsidRPr="00580C0D">
        <w:t xml:space="preserve">Oppmodingsvedtakets </w:t>
      </w:r>
      <w:proofErr w:type="spellStart"/>
      <w:r w:rsidRPr="00580C0D">
        <w:t>underliggande</w:t>
      </w:r>
      <w:proofErr w:type="spellEnd"/>
      <w:r w:rsidRPr="00580C0D">
        <w:t xml:space="preserve"> problemstilling må </w:t>
      </w:r>
      <w:proofErr w:type="spellStart"/>
      <w:r w:rsidRPr="00580C0D">
        <w:t>sjåast</w:t>
      </w:r>
      <w:proofErr w:type="spellEnd"/>
      <w:r w:rsidRPr="00580C0D">
        <w:t xml:space="preserve"> i </w:t>
      </w:r>
      <w:proofErr w:type="spellStart"/>
      <w:r w:rsidRPr="00580C0D">
        <w:t>samanheng</w:t>
      </w:r>
      <w:proofErr w:type="spellEnd"/>
      <w:r w:rsidRPr="00580C0D">
        <w:t xml:space="preserve"> med den </w:t>
      </w:r>
      <w:proofErr w:type="spellStart"/>
      <w:r w:rsidRPr="00580C0D">
        <w:t>moglege</w:t>
      </w:r>
      <w:proofErr w:type="spellEnd"/>
      <w:r w:rsidRPr="00580C0D">
        <w:t xml:space="preserve"> bruken til styresmaktene av </w:t>
      </w:r>
      <w:proofErr w:type="spellStart"/>
      <w:r w:rsidRPr="00580C0D">
        <w:t>opplysningar</w:t>
      </w:r>
      <w:proofErr w:type="spellEnd"/>
      <w:r w:rsidRPr="00580C0D">
        <w:t xml:space="preserve"> om </w:t>
      </w:r>
      <w:proofErr w:type="spellStart"/>
      <w:r w:rsidRPr="00580C0D">
        <w:t>eigarskap</w:t>
      </w:r>
      <w:proofErr w:type="spellEnd"/>
      <w:r w:rsidRPr="00580C0D">
        <w:t xml:space="preserve"> til </w:t>
      </w:r>
      <w:proofErr w:type="spellStart"/>
      <w:r w:rsidRPr="00580C0D">
        <w:t>aksjar</w:t>
      </w:r>
      <w:proofErr w:type="spellEnd"/>
      <w:r w:rsidRPr="00580C0D">
        <w:t xml:space="preserve"> og fast </w:t>
      </w:r>
      <w:proofErr w:type="spellStart"/>
      <w:r w:rsidRPr="00580C0D">
        <w:t>eigedom</w:t>
      </w:r>
      <w:proofErr w:type="spellEnd"/>
      <w:r w:rsidRPr="00580C0D">
        <w:t xml:space="preserve">. Finansdepartementet, Nærings- og fiskeridepartementet og Kommunal- og </w:t>
      </w:r>
      <w:proofErr w:type="spellStart"/>
      <w:r w:rsidRPr="00580C0D">
        <w:t>distriktsdepartementet</w:t>
      </w:r>
      <w:proofErr w:type="spellEnd"/>
      <w:r w:rsidRPr="00580C0D">
        <w:t xml:space="preserve"> har gitt Skatteetaten, </w:t>
      </w:r>
      <w:proofErr w:type="spellStart"/>
      <w:r w:rsidRPr="00580C0D">
        <w:t>Brønnøysundregistera</w:t>
      </w:r>
      <w:proofErr w:type="spellEnd"/>
      <w:r w:rsidRPr="00580C0D">
        <w:t xml:space="preserve"> og Kartverket i oppdrag å kartlegge styresmaktene si </w:t>
      </w:r>
      <w:proofErr w:type="spellStart"/>
      <w:r w:rsidRPr="00580C0D">
        <w:t>moglege</w:t>
      </w:r>
      <w:proofErr w:type="spellEnd"/>
      <w:r w:rsidRPr="00580C0D">
        <w:t xml:space="preserve"> bruk av </w:t>
      </w:r>
      <w:proofErr w:type="spellStart"/>
      <w:r w:rsidRPr="00580C0D">
        <w:t>opplysningar</w:t>
      </w:r>
      <w:proofErr w:type="spellEnd"/>
      <w:r w:rsidRPr="00580C0D">
        <w:t xml:space="preserve"> om </w:t>
      </w:r>
      <w:proofErr w:type="spellStart"/>
      <w:r w:rsidRPr="00580C0D">
        <w:t>eigarskapsforhold</w:t>
      </w:r>
      <w:proofErr w:type="spellEnd"/>
      <w:r w:rsidRPr="00580C0D">
        <w:t xml:space="preserve"> til </w:t>
      </w:r>
      <w:proofErr w:type="spellStart"/>
      <w:r w:rsidRPr="00580C0D">
        <w:t>aksjar</w:t>
      </w:r>
      <w:proofErr w:type="spellEnd"/>
      <w:r w:rsidRPr="00580C0D">
        <w:t xml:space="preserve"> og fast </w:t>
      </w:r>
      <w:proofErr w:type="spellStart"/>
      <w:r w:rsidRPr="00580C0D">
        <w:t>eigedom</w:t>
      </w:r>
      <w:proofErr w:type="spellEnd"/>
      <w:r w:rsidRPr="00580C0D">
        <w:t xml:space="preserve">. Dette kan gi grunnlag til å vurdere korleis styresmaktene kan arbeide </w:t>
      </w:r>
      <w:proofErr w:type="spellStart"/>
      <w:r w:rsidRPr="00580C0D">
        <w:t>vidare</w:t>
      </w:r>
      <w:proofErr w:type="spellEnd"/>
      <w:r w:rsidRPr="00580C0D">
        <w:t xml:space="preserve"> på området. Skatteetaten har ansvaret for å leie oppdraget og organisere samarbeidet med </w:t>
      </w:r>
      <w:proofErr w:type="spellStart"/>
      <w:r w:rsidRPr="00580C0D">
        <w:t>Brønnøysundregistera</w:t>
      </w:r>
      <w:proofErr w:type="spellEnd"/>
      <w:r w:rsidRPr="00580C0D">
        <w:t xml:space="preserve"> og Kartverket.</w:t>
      </w:r>
    </w:p>
    <w:p w14:paraId="753CDC51"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3ADD0A9C" w14:textId="77777777" w:rsidR="00F7113A" w:rsidRPr="00580C0D" w:rsidRDefault="00142E5B" w:rsidP="00580C0D">
      <w:pPr>
        <w:pStyle w:val="avsnitt-tittel"/>
      </w:pPr>
      <w:proofErr w:type="spellStart"/>
      <w:r w:rsidRPr="00580C0D">
        <w:t>Auka</w:t>
      </w:r>
      <w:proofErr w:type="spellEnd"/>
      <w:r w:rsidRPr="00580C0D">
        <w:t xml:space="preserve"> </w:t>
      </w:r>
      <w:proofErr w:type="spellStart"/>
      <w:r w:rsidRPr="00580C0D">
        <w:t>openheit</w:t>
      </w:r>
      <w:proofErr w:type="spellEnd"/>
      <w:r w:rsidRPr="00580C0D">
        <w:t xml:space="preserve"> i </w:t>
      </w:r>
      <w:proofErr w:type="spellStart"/>
      <w:r w:rsidRPr="00580C0D">
        <w:t>verksemda</w:t>
      </w:r>
      <w:proofErr w:type="spellEnd"/>
      <w:r w:rsidRPr="00580C0D">
        <w:t xml:space="preserve"> til private </w:t>
      </w:r>
      <w:proofErr w:type="spellStart"/>
      <w:r w:rsidRPr="00580C0D">
        <w:t>tilbydarar</w:t>
      </w:r>
      <w:proofErr w:type="spellEnd"/>
      <w:r w:rsidRPr="00580C0D">
        <w:t xml:space="preserve"> av </w:t>
      </w:r>
      <w:proofErr w:type="spellStart"/>
      <w:r w:rsidRPr="00580C0D">
        <w:t>offentleg</w:t>
      </w:r>
      <w:proofErr w:type="spellEnd"/>
      <w:r w:rsidRPr="00580C0D">
        <w:t xml:space="preserve"> finansierte </w:t>
      </w:r>
      <w:proofErr w:type="spellStart"/>
      <w:r w:rsidRPr="00580C0D">
        <w:t>velferdstenester</w:t>
      </w:r>
      <w:proofErr w:type="spellEnd"/>
    </w:p>
    <w:p w14:paraId="4CECCDD3" w14:textId="77777777" w:rsidR="00F7113A" w:rsidRPr="00580C0D" w:rsidRDefault="00142E5B" w:rsidP="00580C0D">
      <w:pPr>
        <w:pStyle w:val="avsnitt-undertittel"/>
      </w:pPr>
      <w:r w:rsidRPr="00580C0D">
        <w:t>Vedtak nr. 35 nr. 42, 2. desember 2021</w:t>
      </w:r>
    </w:p>
    <w:p w14:paraId="33A0F89C" w14:textId="77777777" w:rsidR="00F7113A" w:rsidRPr="00580C0D" w:rsidRDefault="00142E5B" w:rsidP="00580C0D">
      <w:pPr>
        <w:pStyle w:val="blokksit"/>
        <w:rPr>
          <w:rStyle w:val="kursiv"/>
        </w:rPr>
      </w:pPr>
      <w:r w:rsidRPr="00580C0D">
        <w:rPr>
          <w:rStyle w:val="kursiv"/>
        </w:rPr>
        <w:t>«Stortinget ber regjeringen fremme nødvendige tiltak for å sikre økt åpenhet og transparens i virksomheten til private tilbydere av offentlig finansierte velferdstjenester, herunder et offentlig register over alle private virksomheter som leverer offentlig finansierte velferdstjenester.»</w:t>
      </w:r>
    </w:p>
    <w:p w14:paraId="416E5429" w14:textId="77777777" w:rsidR="00F7113A" w:rsidRPr="00580C0D" w:rsidRDefault="00142E5B" w:rsidP="00580C0D">
      <w:r w:rsidRPr="00580C0D">
        <w:t xml:space="preserve">Dokumenta som ligg til grunn for vedtaket, er Meld. St. 1 (2021–2022) </w:t>
      </w:r>
      <w:r w:rsidRPr="00580C0D">
        <w:rPr>
          <w:rStyle w:val="kursiv"/>
        </w:rPr>
        <w:t>Nasjonalbudsjettet 2022</w:t>
      </w:r>
      <w:r w:rsidRPr="00580C0D">
        <w:t xml:space="preserve"> og </w:t>
      </w:r>
      <w:proofErr w:type="spellStart"/>
      <w:r w:rsidRPr="00580C0D">
        <w:t>Innst</w:t>
      </w:r>
      <w:proofErr w:type="spellEnd"/>
      <w:r w:rsidRPr="00580C0D">
        <w:t>. 2 S (2021–2022).</w:t>
      </w:r>
    </w:p>
    <w:p w14:paraId="409F7A6B" w14:textId="77777777" w:rsidR="00F7113A" w:rsidRPr="00580C0D" w:rsidRDefault="00142E5B" w:rsidP="00580C0D">
      <w:r w:rsidRPr="00580C0D">
        <w:t xml:space="preserve">Det </w:t>
      </w:r>
      <w:proofErr w:type="spellStart"/>
      <w:r w:rsidRPr="00580C0D">
        <w:t>regjeringsoppnemnte</w:t>
      </w:r>
      <w:proofErr w:type="spellEnd"/>
      <w:r w:rsidRPr="00580C0D">
        <w:t xml:space="preserve"> </w:t>
      </w:r>
      <w:proofErr w:type="spellStart"/>
      <w:r w:rsidRPr="00580C0D">
        <w:t>Avkommersialiseringsutvalet</w:t>
      </w:r>
      <w:proofErr w:type="spellEnd"/>
      <w:r w:rsidRPr="00580C0D">
        <w:t xml:space="preserve"> har som </w:t>
      </w:r>
      <w:proofErr w:type="spellStart"/>
      <w:r w:rsidRPr="00580C0D">
        <w:t>ein</w:t>
      </w:r>
      <w:proofErr w:type="spellEnd"/>
      <w:r w:rsidRPr="00580C0D">
        <w:t xml:space="preserve"> del av mandatet sitt å vurdere korleis kommersielle </w:t>
      </w:r>
      <w:proofErr w:type="spellStart"/>
      <w:r w:rsidRPr="00580C0D">
        <w:t>aktørar</w:t>
      </w:r>
      <w:proofErr w:type="spellEnd"/>
      <w:r w:rsidRPr="00580C0D">
        <w:t xml:space="preserve"> i </w:t>
      </w:r>
      <w:proofErr w:type="spellStart"/>
      <w:r w:rsidRPr="00580C0D">
        <w:t>velferdstenestene</w:t>
      </w:r>
      <w:proofErr w:type="spellEnd"/>
      <w:r w:rsidRPr="00580C0D">
        <w:t xml:space="preserve"> kan </w:t>
      </w:r>
      <w:proofErr w:type="spellStart"/>
      <w:r w:rsidRPr="00580C0D">
        <w:t>regulerast</w:t>
      </w:r>
      <w:proofErr w:type="spellEnd"/>
      <w:r w:rsidRPr="00580C0D">
        <w:t xml:space="preserve"> </w:t>
      </w:r>
      <w:proofErr w:type="spellStart"/>
      <w:r w:rsidRPr="00580C0D">
        <w:t>sterkare</w:t>
      </w:r>
      <w:proofErr w:type="spellEnd"/>
      <w:r w:rsidRPr="00580C0D">
        <w:t xml:space="preserve">, til dømes gjennom krav om </w:t>
      </w:r>
      <w:proofErr w:type="spellStart"/>
      <w:r w:rsidRPr="00580C0D">
        <w:t>openheit</w:t>
      </w:r>
      <w:proofErr w:type="spellEnd"/>
      <w:r w:rsidRPr="00580C0D">
        <w:t xml:space="preserve"> om økonomi, </w:t>
      </w:r>
      <w:proofErr w:type="spellStart"/>
      <w:r w:rsidRPr="00580C0D">
        <w:t>eigarskap</w:t>
      </w:r>
      <w:proofErr w:type="spellEnd"/>
      <w:r w:rsidRPr="00580C0D">
        <w:t xml:space="preserve"> og </w:t>
      </w:r>
      <w:proofErr w:type="spellStart"/>
      <w:r w:rsidRPr="00580C0D">
        <w:t>driftsavtalar</w:t>
      </w:r>
      <w:proofErr w:type="spellEnd"/>
      <w:r w:rsidRPr="00580C0D">
        <w:t xml:space="preserve">. </w:t>
      </w:r>
      <w:proofErr w:type="spellStart"/>
      <w:r w:rsidRPr="00580C0D">
        <w:t>Utvalet</w:t>
      </w:r>
      <w:proofErr w:type="spellEnd"/>
      <w:r w:rsidRPr="00580C0D">
        <w:t xml:space="preserve"> skal òg gi </w:t>
      </w:r>
      <w:proofErr w:type="spellStart"/>
      <w:r w:rsidRPr="00580C0D">
        <w:t>ein</w:t>
      </w:r>
      <w:proofErr w:type="spellEnd"/>
      <w:r w:rsidRPr="00580C0D">
        <w:t xml:space="preserve"> juridisk definisjon av ideell </w:t>
      </w:r>
      <w:proofErr w:type="spellStart"/>
      <w:r w:rsidRPr="00580C0D">
        <w:t>verksemd</w:t>
      </w:r>
      <w:proofErr w:type="spellEnd"/>
      <w:r w:rsidRPr="00580C0D">
        <w:t xml:space="preserve"> og vise korleis ideelle </w:t>
      </w:r>
      <w:proofErr w:type="spellStart"/>
      <w:r w:rsidRPr="00580C0D">
        <w:t>aktørar</w:t>
      </w:r>
      <w:proofErr w:type="spellEnd"/>
      <w:r w:rsidRPr="00580C0D">
        <w:t xml:space="preserve"> kan </w:t>
      </w:r>
      <w:proofErr w:type="spellStart"/>
      <w:r w:rsidRPr="00580C0D">
        <w:t>registrerast</w:t>
      </w:r>
      <w:proofErr w:type="spellEnd"/>
      <w:r w:rsidRPr="00580C0D">
        <w:t xml:space="preserve">, eksempelvis etter </w:t>
      </w:r>
      <w:proofErr w:type="spellStart"/>
      <w:r w:rsidRPr="00580C0D">
        <w:t>ein</w:t>
      </w:r>
      <w:proofErr w:type="spellEnd"/>
      <w:r w:rsidRPr="00580C0D">
        <w:t xml:space="preserve"> modell lik Frivillighetsregisteret. </w:t>
      </w:r>
      <w:proofErr w:type="spellStart"/>
      <w:r w:rsidRPr="00580C0D">
        <w:t>Avkommersialiseringsutvalet</w:t>
      </w:r>
      <w:proofErr w:type="spellEnd"/>
      <w:r w:rsidRPr="00580C0D">
        <w:t xml:space="preserve"> skal levere si utgreiing </w:t>
      </w:r>
      <w:proofErr w:type="spellStart"/>
      <w:r w:rsidRPr="00580C0D">
        <w:t>innan</w:t>
      </w:r>
      <w:proofErr w:type="spellEnd"/>
      <w:r w:rsidRPr="00580C0D">
        <w:t xml:space="preserve"> 1. juni 2024. I etterkant av at </w:t>
      </w:r>
      <w:proofErr w:type="spellStart"/>
      <w:r w:rsidRPr="00580C0D">
        <w:t>utvalet</w:t>
      </w:r>
      <w:proofErr w:type="spellEnd"/>
      <w:r w:rsidRPr="00580C0D">
        <w:t xml:space="preserve"> har avlevert utgreiinga, vil Kommunal- og </w:t>
      </w:r>
      <w:proofErr w:type="spellStart"/>
      <w:r w:rsidRPr="00580C0D">
        <w:t>distriktsdepartementet</w:t>
      </w:r>
      <w:proofErr w:type="spellEnd"/>
      <w:r w:rsidRPr="00580C0D">
        <w:t xml:space="preserve"> i samarbeid med aktuelle departement, vurdere korleis </w:t>
      </w:r>
      <w:proofErr w:type="spellStart"/>
      <w:r w:rsidRPr="00580C0D">
        <w:t>utvalet</w:t>
      </w:r>
      <w:proofErr w:type="spellEnd"/>
      <w:r w:rsidRPr="00580C0D">
        <w:t xml:space="preserve"> sine </w:t>
      </w:r>
      <w:proofErr w:type="spellStart"/>
      <w:r w:rsidRPr="00580C0D">
        <w:t>tilrådingar</w:t>
      </w:r>
      <w:proofErr w:type="spellEnd"/>
      <w:r w:rsidRPr="00580C0D">
        <w:t xml:space="preserve"> kan </w:t>
      </w:r>
      <w:proofErr w:type="spellStart"/>
      <w:r w:rsidRPr="00580C0D">
        <w:t>følgast</w:t>
      </w:r>
      <w:proofErr w:type="spellEnd"/>
      <w:r w:rsidRPr="00580C0D">
        <w:t xml:space="preserve"> opp.</w:t>
      </w:r>
    </w:p>
    <w:p w14:paraId="41282653"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3C53149F" w14:textId="77777777" w:rsidR="00F7113A" w:rsidRPr="00580C0D" w:rsidRDefault="00142E5B" w:rsidP="00580C0D">
      <w:pPr>
        <w:pStyle w:val="avsnitt-tittel"/>
      </w:pPr>
      <w:r w:rsidRPr="00580C0D">
        <w:t xml:space="preserve">Krav om organisering i sjølvstendig rettssubjekt for selskap som leverer </w:t>
      </w:r>
      <w:proofErr w:type="spellStart"/>
      <w:r w:rsidRPr="00580C0D">
        <w:t>offentleg</w:t>
      </w:r>
      <w:proofErr w:type="spellEnd"/>
      <w:r w:rsidRPr="00580C0D">
        <w:t xml:space="preserve"> finansierte </w:t>
      </w:r>
      <w:proofErr w:type="spellStart"/>
      <w:r w:rsidRPr="00580C0D">
        <w:t>velferdstenester</w:t>
      </w:r>
      <w:proofErr w:type="spellEnd"/>
    </w:p>
    <w:p w14:paraId="5A4AE2C3" w14:textId="77777777" w:rsidR="00F7113A" w:rsidRPr="00580C0D" w:rsidRDefault="00142E5B" w:rsidP="00580C0D">
      <w:pPr>
        <w:pStyle w:val="avsnitt-undertittel"/>
      </w:pPr>
      <w:r w:rsidRPr="00580C0D">
        <w:t>Vedtak nr. 35 nr. 43, 2. desember 2021</w:t>
      </w:r>
    </w:p>
    <w:p w14:paraId="05EA4C3A" w14:textId="77777777" w:rsidR="00F7113A" w:rsidRPr="00580C0D" w:rsidRDefault="00142E5B" w:rsidP="00580C0D">
      <w:pPr>
        <w:pStyle w:val="blokksit"/>
        <w:rPr>
          <w:rStyle w:val="kursiv"/>
        </w:rPr>
      </w:pPr>
      <w:r w:rsidRPr="00580C0D">
        <w:rPr>
          <w:rStyle w:val="kursiv"/>
        </w:rPr>
        <w:t>«Stortinget ber regjeringen utrede forslag om å stille krav til at selskaper som leverer offentlig finansierte velferdstjenester, organiseres i egne rettssubjekter hvor det ikke er tillatt å drive annen virksomhet enn offentlig finansierte velferdstjenester.»</w:t>
      </w:r>
    </w:p>
    <w:p w14:paraId="087B0A71" w14:textId="77777777" w:rsidR="00F7113A" w:rsidRPr="00580C0D" w:rsidRDefault="00142E5B" w:rsidP="00580C0D">
      <w:r w:rsidRPr="00580C0D">
        <w:t xml:space="preserve">Dokumenta som ligg til grunn for vedtaket, er Meld. St. 1 (2021–2022) </w:t>
      </w:r>
      <w:r w:rsidRPr="00580C0D">
        <w:rPr>
          <w:rStyle w:val="kursiv"/>
        </w:rPr>
        <w:t>Nasjonalbudsjettet 2022</w:t>
      </w:r>
      <w:r w:rsidRPr="00580C0D">
        <w:t xml:space="preserve"> og </w:t>
      </w:r>
      <w:proofErr w:type="spellStart"/>
      <w:r w:rsidRPr="00580C0D">
        <w:t>Innst</w:t>
      </w:r>
      <w:proofErr w:type="spellEnd"/>
      <w:r w:rsidRPr="00580C0D">
        <w:t>. 2 S (2021–2022).</w:t>
      </w:r>
    </w:p>
    <w:p w14:paraId="734C3B75" w14:textId="77777777" w:rsidR="00F7113A" w:rsidRPr="00580C0D" w:rsidRDefault="00142E5B" w:rsidP="00580C0D">
      <w:proofErr w:type="spellStart"/>
      <w:r w:rsidRPr="00580C0D">
        <w:t>Avkommersialiseringsutvalet</w:t>
      </w:r>
      <w:proofErr w:type="spellEnd"/>
      <w:r w:rsidRPr="00580C0D">
        <w:t xml:space="preserve"> skal vurdere korleis kommersielle </w:t>
      </w:r>
      <w:proofErr w:type="spellStart"/>
      <w:r w:rsidRPr="00580C0D">
        <w:t>aktørar</w:t>
      </w:r>
      <w:proofErr w:type="spellEnd"/>
      <w:r w:rsidRPr="00580C0D">
        <w:t xml:space="preserve"> kan </w:t>
      </w:r>
      <w:proofErr w:type="spellStart"/>
      <w:r w:rsidRPr="00580C0D">
        <w:t>regulerast</w:t>
      </w:r>
      <w:proofErr w:type="spellEnd"/>
      <w:r w:rsidRPr="00580C0D">
        <w:t xml:space="preserve"> </w:t>
      </w:r>
      <w:proofErr w:type="spellStart"/>
      <w:r w:rsidRPr="00580C0D">
        <w:t>strengare</w:t>
      </w:r>
      <w:proofErr w:type="spellEnd"/>
      <w:r w:rsidRPr="00580C0D">
        <w:t xml:space="preserve">. Det </w:t>
      </w:r>
      <w:proofErr w:type="spellStart"/>
      <w:r w:rsidRPr="00580C0D">
        <w:t>gjeld</w:t>
      </w:r>
      <w:proofErr w:type="spellEnd"/>
      <w:r w:rsidRPr="00580C0D">
        <w:t xml:space="preserve"> mellom anna krav om at </w:t>
      </w:r>
      <w:proofErr w:type="spellStart"/>
      <w:r w:rsidRPr="00580C0D">
        <w:t>verksemda</w:t>
      </w:r>
      <w:proofErr w:type="spellEnd"/>
      <w:r w:rsidRPr="00580C0D">
        <w:t xml:space="preserve"> skal </w:t>
      </w:r>
      <w:proofErr w:type="spellStart"/>
      <w:r w:rsidRPr="00580C0D">
        <w:t>drivast</w:t>
      </w:r>
      <w:proofErr w:type="spellEnd"/>
      <w:r w:rsidRPr="00580C0D">
        <w:t xml:space="preserve"> i </w:t>
      </w:r>
      <w:proofErr w:type="spellStart"/>
      <w:r w:rsidRPr="00580C0D">
        <w:t>eit</w:t>
      </w:r>
      <w:proofErr w:type="spellEnd"/>
      <w:r w:rsidRPr="00580C0D">
        <w:t xml:space="preserve"> sjølvstendig rettssubjekt, </w:t>
      </w:r>
      <w:proofErr w:type="spellStart"/>
      <w:r w:rsidRPr="00580C0D">
        <w:t>forbod</w:t>
      </w:r>
      <w:proofErr w:type="spellEnd"/>
      <w:r w:rsidRPr="00580C0D">
        <w:t xml:space="preserve"> mot å driva anna </w:t>
      </w:r>
      <w:proofErr w:type="spellStart"/>
      <w:r w:rsidRPr="00580C0D">
        <w:t>verksemd</w:t>
      </w:r>
      <w:proofErr w:type="spellEnd"/>
      <w:r w:rsidRPr="00580C0D">
        <w:t xml:space="preserve"> i same rettssubjekt, </w:t>
      </w:r>
      <w:proofErr w:type="spellStart"/>
      <w:r w:rsidRPr="00580C0D">
        <w:t>avgrensingar</w:t>
      </w:r>
      <w:proofErr w:type="spellEnd"/>
      <w:r w:rsidRPr="00580C0D">
        <w:t xml:space="preserve"> i </w:t>
      </w:r>
      <w:proofErr w:type="spellStart"/>
      <w:r w:rsidRPr="00580C0D">
        <w:t>moglegheita</w:t>
      </w:r>
      <w:proofErr w:type="spellEnd"/>
      <w:r w:rsidRPr="00580C0D">
        <w:t xml:space="preserve"> for å ta ut utbytte eller krav om at </w:t>
      </w:r>
      <w:proofErr w:type="spellStart"/>
      <w:r w:rsidRPr="00580C0D">
        <w:t>delar</w:t>
      </w:r>
      <w:proofErr w:type="spellEnd"/>
      <w:r w:rsidRPr="00580C0D">
        <w:t xml:space="preserve"> av </w:t>
      </w:r>
      <w:proofErr w:type="spellStart"/>
      <w:r w:rsidRPr="00580C0D">
        <w:t>overskotet</w:t>
      </w:r>
      <w:proofErr w:type="spellEnd"/>
      <w:r w:rsidRPr="00580C0D">
        <w:t xml:space="preserve"> skal </w:t>
      </w:r>
      <w:proofErr w:type="spellStart"/>
      <w:r w:rsidRPr="00580C0D">
        <w:t>reinvesterast</w:t>
      </w:r>
      <w:proofErr w:type="spellEnd"/>
      <w:r w:rsidRPr="00580C0D">
        <w:t xml:space="preserve"> i </w:t>
      </w:r>
      <w:proofErr w:type="spellStart"/>
      <w:r w:rsidRPr="00580C0D">
        <w:t>verksemda</w:t>
      </w:r>
      <w:proofErr w:type="spellEnd"/>
      <w:r w:rsidRPr="00580C0D">
        <w:t xml:space="preserve"> med </w:t>
      </w:r>
      <w:proofErr w:type="spellStart"/>
      <w:r w:rsidRPr="00580C0D">
        <w:t>meir</w:t>
      </w:r>
      <w:proofErr w:type="spellEnd"/>
      <w:r w:rsidRPr="00580C0D">
        <w:t xml:space="preserve">. </w:t>
      </w:r>
      <w:proofErr w:type="spellStart"/>
      <w:r w:rsidRPr="00580C0D">
        <w:t>Avkommersialiseringsutvalet</w:t>
      </w:r>
      <w:proofErr w:type="spellEnd"/>
      <w:r w:rsidRPr="00580C0D">
        <w:t xml:space="preserve"> skal levere si utgreiing </w:t>
      </w:r>
      <w:proofErr w:type="spellStart"/>
      <w:r w:rsidRPr="00580C0D">
        <w:t>innan</w:t>
      </w:r>
      <w:proofErr w:type="spellEnd"/>
      <w:r w:rsidRPr="00580C0D">
        <w:t xml:space="preserve"> 1. juni 2024.</w:t>
      </w:r>
    </w:p>
    <w:p w14:paraId="4E91F05D" w14:textId="77777777" w:rsidR="00F7113A" w:rsidRPr="00580C0D" w:rsidRDefault="00142E5B" w:rsidP="00580C0D">
      <w:r w:rsidRPr="00580C0D">
        <w:t xml:space="preserve">På barnehagefeltet er det </w:t>
      </w:r>
      <w:proofErr w:type="spellStart"/>
      <w:r w:rsidRPr="00580C0D">
        <w:t>allereie</w:t>
      </w:r>
      <w:proofErr w:type="spellEnd"/>
      <w:r w:rsidRPr="00580C0D">
        <w:t xml:space="preserve"> </w:t>
      </w:r>
      <w:proofErr w:type="spellStart"/>
      <w:r w:rsidRPr="00580C0D">
        <w:t>frå</w:t>
      </w:r>
      <w:proofErr w:type="spellEnd"/>
      <w:r w:rsidRPr="00580C0D">
        <w:t xml:space="preserve"> 1. januar 2023 innført </w:t>
      </w:r>
      <w:proofErr w:type="spellStart"/>
      <w:r w:rsidRPr="00580C0D">
        <w:t>eit</w:t>
      </w:r>
      <w:proofErr w:type="spellEnd"/>
      <w:r w:rsidRPr="00580C0D">
        <w:t xml:space="preserve"> krav i barnehagelova om at kvar privat barnehage skal </w:t>
      </w:r>
      <w:proofErr w:type="spellStart"/>
      <w:r w:rsidRPr="00580C0D">
        <w:t>vere</w:t>
      </w:r>
      <w:proofErr w:type="spellEnd"/>
      <w:r w:rsidRPr="00580C0D">
        <w:t xml:space="preserve"> </w:t>
      </w:r>
      <w:proofErr w:type="spellStart"/>
      <w:r w:rsidRPr="00580C0D">
        <w:t>eit</w:t>
      </w:r>
      <w:proofErr w:type="spellEnd"/>
      <w:r w:rsidRPr="00580C0D">
        <w:t xml:space="preserve"> sjølvstendig rettssubjekt.</w:t>
      </w:r>
    </w:p>
    <w:p w14:paraId="4FBEF92D"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 i etterkant av </w:t>
      </w:r>
      <w:proofErr w:type="spellStart"/>
      <w:r w:rsidRPr="00580C0D">
        <w:t>utvalet</w:t>
      </w:r>
      <w:proofErr w:type="spellEnd"/>
      <w:r w:rsidRPr="00580C0D">
        <w:t xml:space="preserve"> sitt arbeid.</w:t>
      </w:r>
    </w:p>
    <w:p w14:paraId="6C6A0192" w14:textId="77777777" w:rsidR="00F7113A" w:rsidRPr="00580C0D" w:rsidRDefault="00142E5B" w:rsidP="00580C0D">
      <w:pPr>
        <w:pStyle w:val="avsnitt-tittel"/>
      </w:pPr>
      <w:proofErr w:type="spellStart"/>
      <w:r w:rsidRPr="00580C0D">
        <w:t>Bustader</w:t>
      </w:r>
      <w:proofErr w:type="spellEnd"/>
      <w:r w:rsidRPr="00580C0D">
        <w:t xml:space="preserve"> for </w:t>
      </w:r>
      <w:proofErr w:type="spellStart"/>
      <w:r w:rsidRPr="00580C0D">
        <w:t>studentar</w:t>
      </w:r>
      <w:proofErr w:type="spellEnd"/>
      <w:r w:rsidRPr="00580C0D">
        <w:t xml:space="preserve"> i kommunale </w:t>
      </w:r>
      <w:proofErr w:type="spellStart"/>
      <w:r w:rsidRPr="00580C0D">
        <w:t>arealplanar</w:t>
      </w:r>
      <w:proofErr w:type="spellEnd"/>
    </w:p>
    <w:p w14:paraId="39CB3028" w14:textId="77777777" w:rsidR="00F7113A" w:rsidRPr="00580C0D" w:rsidRDefault="00142E5B" w:rsidP="00580C0D">
      <w:pPr>
        <w:pStyle w:val="avsnitt-undertittel"/>
      </w:pPr>
      <w:r w:rsidRPr="00580C0D">
        <w:t>Vedtak nr. 35 nr. 54, 2. desember 2021</w:t>
      </w:r>
    </w:p>
    <w:p w14:paraId="43033A95" w14:textId="77777777" w:rsidR="00F7113A" w:rsidRPr="00580C0D" w:rsidRDefault="00142E5B" w:rsidP="00580C0D">
      <w:pPr>
        <w:pStyle w:val="blokksit"/>
        <w:rPr>
          <w:rStyle w:val="kursiv"/>
        </w:rPr>
      </w:pPr>
      <w:r w:rsidRPr="00580C0D">
        <w:rPr>
          <w:rStyle w:val="kursiv"/>
        </w:rPr>
        <w:t>«Stortinget ber regjeringen vurdere forslag til endringer i plan- og bygningsloven om at studentboliger blir et eget formål i kommunale arealplaner, innen utgangen av 2022.»</w:t>
      </w:r>
    </w:p>
    <w:p w14:paraId="6DEB4DFA" w14:textId="77777777" w:rsidR="00F7113A" w:rsidRPr="00580C0D" w:rsidRDefault="00142E5B" w:rsidP="00580C0D">
      <w:r w:rsidRPr="00580C0D">
        <w:t xml:space="preserve">Dokumenta som ligg til grunn for vedtaket, er Meld. St. 1 (2021–2022) </w:t>
      </w:r>
      <w:r w:rsidRPr="00580C0D">
        <w:rPr>
          <w:rStyle w:val="kursiv"/>
        </w:rPr>
        <w:t>Nasjonalbudsjettet 2022</w:t>
      </w:r>
      <w:r w:rsidRPr="00580C0D">
        <w:t xml:space="preserve"> og </w:t>
      </w:r>
      <w:proofErr w:type="spellStart"/>
      <w:r w:rsidRPr="00580C0D">
        <w:t>Innst</w:t>
      </w:r>
      <w:proofErr w:type="spellEnd"/>
      <w:r w:rsidRPr="00580C0D">
        <w:t>. 2 S (2021–2022).</w:t>
      </w:r>
    </w:p>
    <w:p w14:paraId="771B6694" w14:textId="77777777" w:rsidR="00F7113A" w:rsidRPr="00580C0D" w:rsidRDefault="00142E5B" w:rsidP="00580C0D">
      <w:r w:rsidRPr="00580C0D">
        <w:t xml:space="preserve">Kommunal- og </w:t>
      </w:r>
      <w:proofErr w:type="spellStart"/>
      <w:r w:rsidRPr="00580C0D">
        <w:t>distriktsdepartementet</w:t>
      </w:r>
      <w:proofErr w:type="spellEnd"/>
      <w:r w:rsidRPr="00580C0D">
        <w:t xml:space="preserve"> ga i februar 2022 Oslo </w:t>
      </w:r>
      <w:proofErr w:type="spellStart"/>
      <w:r w:rsidRPr="00580C0D">
        <w:t>Economics</w:t>
      </w:r>
      <w:proofErr w:type="spellEnd"/>
      <w:r w:rsidRPr="00580C0D">
        <w:t xml:space="preserve"> og NIBR, Oslo Met i oppdrag å vurdere behovet til </w:t>
      </w:r>
      <w:proofErr w:type="spellStart"/>
      <w:r w:rsidRPr="00580C0D">
        <w:t>kommunane</w:t>
      </w:r>
      <w:proofErr w:type="spellEnd"/>
      <w:r w:rsidRPr="00580C0D">
        <w:t xml:space="preserve"> for å </w:t>
      </w:r>
      <w:proofErr w:type="spellStart"/>
      <w:r w:rsidRPr="00580C0D">
        <w:t>gjere</w:t>
      </w:r>
      <w:proofErr w:type="spellEnd"/>
      <w:r w:rsidRPr="00580C0D">
        <w:t xml:space="preserve"> </w:t>
      </w:r>
      <w:proofErr w:type="spellStart"/>
      <w:r w:rsidRPr="00580C0D">
        <w:t>bustader</w:t>
      </w:r>
      <w:proofErr w:type="spellEnd"/>
      <w:r w:rsidRPr="00580C0D">
        <w:t xml:space="preserve"> for </w:t>
      </w:r>
      <w:proofErr w:type="spellStart"/>
      <w:r w:rsidRPr="00580C0D">
        <w:t>studentar</w:t>
      </w:r>
      <w:proofErr w:type="spellEnd"/>
      <w:r w:rsidRPr="00580C0D">
        <w:t xml:space="preserve"> til </w:t>
      </w:r>
      <w:proofErr w:type="spellStart"/>
      <w:r w:rsidRPr="00580C0D">
        <w:t>eit</w:t>
      </w:r>
      <w:proofErr w:type="spellEnd"/>
      <w:r w:rsidRPr="00580C0D">
        <w:t xml:space="preserve"> eige </w:t>
      </w:r>
      <w:proofErr w:type="spellStart"/>
      <w:r w:rsidRPr="00580C0D">
        <w:t>arealføremål</w:t>
      </w:r>
      <w:proofErr w:type="spellEnd"/>
      <w:r w:rsidRPr="00580C0D">
        <w:t xml:space="preserve">, relevansen av </w:t>
      </w:r>
      <w:proofErr w:type="spellStart"/>
      <w:r w:rsidRPr="00580C0D">
        <w:t>eit</w:t>
      </w:r>
      <w:proofErr w:type="spellEnd"/>
      <w:r w:rsidRPr="00580C0D">
        <w:t xml:space="preserve"> lovforslag, og prinsipielle og juridiske </w:t>
      </w:r>
      <w:proofErr w:type="spellStart"/>
      <w:r w:rsidRPr="00580C0D">
        <w:t>problemstillingar</w:t>
      </w:r>
      <w:proofErr w:type="spellEnd"/>
      <w:r w:rsidRPr="00580C0D">
        <w:t xml:space="preserve"> knytt til dette. Oslo </w:t>
      </w:r>
      <w:proofErr w:type="spellStart"/>
      <w:r w:rsidRPr="00580C0D">
        <w:t>Economics</w:t>
      </w:r>
      <w:proofErr w:type="spellEnd"/>
      <w:r w:rsidRPr="00580C0D">
        <w:t xml:space="preserve"> og NIBR, Oslo Met leverte </w:t>
      </w:r>
      <w:proofErr w:type="spellStart"/>
      <w:r w:rsidRPr="00580C0D">
        <w:t>vurderingane</w:t>
      </w:r>
      <w:proofErr w:type="spellEnd"/>
      <w:r w:rsidRPr="00580C0D">
        <w:t xml:space="preserve"> sine til departementet 6. juli 2022. På grunn av </w:t>
      </w:r>
      <w:proofErr w:type="spellStart"/>
      <w:r w:rsidRPr="00580C0D">
        <w:t>dei</w:t>
      </w:r>
      <w:proofErr w:type="spellEnd"/>
      <w:r w:rsidRPr="00580C0D">
        <w:t xml:space="preserve"> økonomiske rammene er notatet </w:t>
      </w:r>
      <w:proofErr w:type="spellStart"/>
      <w:r w:rsidRPr="00580C0D">
        <w:t>ikkje</w:t>
      </w:r>
      <w:proofErr w:type="spellEnd"/>
      <w:r w:rsidRPr="00580C0D">
        <w:t xml:space="preserve"> ei fullstendig utgreiing. Mellom anna er </w:t>
      </w:r>
      <w:proofErr w:type="spellStart"/>
      <w:r w:rsidRPr="00580C0D">
        <w:t>ikkje</w:t>
      </w:r>
      <w:proofErr w:type="spellEnd"/>
      <w:r w:rsidRPr="00580C0D">
        <w:t xml:space="preserve"> </w:t>
      </w:r>
      <w:proofErr w:type="spellStart"/>
      <w:r w:rsidRPr="00580C0D">
        <w:t>dei</w:t>
      </w:r>
      <w:proofErr w:type="spellEnd"/>
      <w:r w:rsidRPr="00580C0D">
        <w:t xml:space="preserve"> samfunnsøkonomiske verknadene av ei lovendring vurdert, heller </w:t>
      </w:r>
      <w:proofErr w:type="spellStart"/>
      <w:r w:rsidRPr="00580C0D">
        <w:t>ikkje</w:t>
      </w:r>
      <w:proofErr w:type="spellEnd"/>
      <w:r w:rsidRPr="00580C0D">
        <w:t xml:space="preserve"> </w:t>
      </w:r>
      <w:proofErr w:type="spellStart"/>
      <w:r w:rsidRPr="00580C0D">
        <w:t>moglege</w:t>
      </w:r>
      <w:proofErr w:type="spellEnd"/>
      <w:r w:rsidRPr="00580C0D">
        <w:t xml:space="preserve"> verknader for sentrale </w:t>
      </w:r>
      <w:proofErr w:type="spellStart"/>
      <w:r w:rsidRPr="00580C0D">
        <w:t>aktørar</w:t>
      </w:r>
      <w:proofErr w:type="spellEnd"/>
      <w:r w:rsidRPr="00580C0D">
        <w:t xml:space="preserve"> som til dømes </w:t>
      </w:r>
      <w:proofErr w:type="spellStart"/>
      <w:r w:rsidRPr="00580C0D">
        <w:t>studentane</w:t>
      </w:r>
      <w:proofErr w:type="spellEnd"/>
      <w:r w:rsidRPr="00580C0D">
        <w:t xml:space="preserve"> sjølve, studentsamskipnadene og byggeselskap.</w:t>
      </w:r>
    </w:p>
    <w:p w14:paraId="713B3838" w14:textId="77777777" w:rsidR="00F7113A" w:rsidRPr="00580C0D" w:rsidRDefault="00142E5B" w:rsidP="00580C0D">
      <w:r w:rsidRPr="00580C0D">
        <w:t xml:space="preserve">Kommunal- og </w:t>
      </w:r>
      <w:proofErr w:type="spellStart"/>
      <w:r w:rsidRPr="00580C0D">
        <w:t>distriktsdepartementet</w:t>
      </w:r>
      <w:proofErr w:type="spellEnd"/>
      <w:r w:rsidRPr="00580C0D">
        <w:t xml:space="preserve"> meiner det er nødvendig å kartlegge verknadene av </w:t>
      </w:r>
      <w:proofErr w:type="spellStart"/>
      <w:r w:rsidRPr="00580C0D">
        <w:t>eit</w:t>
      </w:r>
      <w:proofErr w:type="spellEnd"/>
      <w:r w:rsidRPr="00580C0D">
        <w:t xml:space="preserve"> lovforslag </w:t>
      </w:r>
      <w:proofErr w:type="spellStart"/>
      <w:r w:rsidRPr="00580C0D">
        <w:t>meir</w:t>
      </w:r>
      <w:proofErr w:type="spellEnd"/>
      <w:r w:rsidRPr="00580C0D">
        <w:t xml:space="preserve"> for å kunne konkludere om departementet skal sende </w:t>
      </w:r>
      <w:proofErr w:type="spellStart"/>
      <w:r w:rsidRPr="00580C0D">
        <w:t>eit</w:t>
      </w:r>
      <w:proofErr w:type="spellEnd"/>
      <w:r w:rsidRPr="00580C0D">
        <w:t xml:space="preserve"> lovforslag på </w:t>
      </w:r>
      <w:proofErr w:type="spellStart"/>
      <w:r w:rsidRPr="00580C0D">
        <w:t>høyring</w:t>
      </w:r>
      <w:proofErr w:type="spellEnd"/>
      <w:r w:rsidRPr="00580C0D">
        <w:t>.</w:t>
      </w:r>
    </w:p>
    <w:p w14:paraId="07E8B150"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04E6EC02" w14:textId="77777777" w:rsidR="00F7113A" w:rsidRPr="00580C0D" w:rsidRDefault="00142E5B" w:rsidP="00580C0D">
      <w:pPr>
        <w:pStyle w:val="avsnitt-tittel"/>
      </w:pPr>
      <w:r w:rsidRPr="00580C0D">
        <w:t xml:space="preserve">Kompensere </w:t>
      </w:r>
      <w:proofErr w:type="spellStart"/>
      <w:r w:rsidRPr="00580C0D">
        <w:t>kommunane</w:t>
      </w:r>
      <w:proofErr w:type="spellEnd"/>
      <w:r w:rsidRPr="00580C0D">
        <w:t xml:space="preserve"> og </w:t>
      </w:r>
      <w:proofErr w:type="spellStart"/>
      <w:r w:rsidRPr="00580C0D">
        <w:t>fylkeskommunane</w:t>
      </w:r>
      <w:proofErr w:type="spellEnd"/>
      <w:r w:rsidRPr="00580C0D">
        <w:t xml:space="preserve"> som </w:t>
      </w:r>
      <w:proofErr w:type="spellStart"/>
      <w:r w:rsidRPr="00580C0D">
        <w:t>følgje</w:t>
      </w:r>
      <w:proofErr w:type="spellEnd"/>
      <w:r w:rsidRPr="00580C0D">
        <w:t xml:space="preserve"> av smitteverntiltak</w:t>
      </w:r>
    </w:p>
    <w:p w14:paraId="29F8C712" w14:textId="77777777" w:rsidR="00F7113A" w:rsidRPr="00580C0D" w:rsidRDefault="00142E5B" w:rsidP="00580C0D">
      <w:pPr>
        <w:pStyle w:val="avsnitt-undertittel"/>
      </w:pPr>
      <w:r w:rsidRPr="00580C0D">
        <w:t>Vedtak nr. 363, 24. januar 2022</w:t>
      </w:r>
    </w:p>
    <w:p w14:paraId="47F9B5CF" w14:textId="77777777" w:rsidR="00F7113A" w:rsidRPr="00580C0D" w:rsidRDefault="00142E5B" w:rsidP="00580C0D">
      <w:pPr>
        <w:pStyle w:val="blokksit"/>
        <w:rPr>
          <w:rStyle w:val="kursiv"/>
        </w:rPr>
      </w:pPr>
      <w:r w:rsidRPr="00580C0D">
        <w:rPr>
          <w:rStyle w:val="kursiv"/>
        </w:rPr>
        <w:t>«Stortinget ber regjeringen kompensere kommunene og fylkeskommunene for merutgifter og mindreinntekter som følge av nasjonale, regionale og lokale smitteverntiltak.»</w:t>
      </w:r>
    </w:p>
    <w:p w14:paraId="51C0AFD9"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51 S (2021–2022) </w:t>
      </w:r>
      <w:r w:rsidRPr="00580C0D">
        <w:rPr>
          <w:rStyle w:val="kursiv"/>
        </w:rPr>
        <w:t>Endringer i statsbudsjettet 2022 (økonomiske tiltak i møte med pandemien og ekstraordinære strømutgifter)</w:t>
      </w:r>
      <w:r w:rsidRPr="00580C0D">
        <w:t xml:space="preserve"> og </w:t>
      </w:r>
      <w:proofErr w:type="spellStart"/>
      <w:r w:rsidRPr="00580C0D">
        <w:t>Innst</w:t>
      </w:r>
      <w:proofErr w:type="spellEnd"/>
      <w:r w:rsidRPr="00580C0D">
        <w:t>. 119 S (2021–2022).</w:t>
      </w:r>
    </w:p>
    <w:p w14:paraId="6826F604" w14:textId="77777777" w:rsidR="00F7113A" w:rsidRPr="00580C0D" w:rsidRDefault="00142E5B" w:rsidP="00580C0D">
      <w:r w:rsidRPr="00580C0D">
        <w:t xml:space="preserve">Sjå </w:t>
      </w:r>
      <w:proofErr w:type="spellStart"/>
      <w:r w:rsidRPr="00580C0D">
        <w:t>nærare</w:t>
      </w:r>
      <w:proofErr w:type="spellEnd"/>
      <w:r w:rsidRPr="00580C0D">
        <w:t xml:space="preserve"> omtale under vedtak nr. 828, 17. juni 2022 om oppfølging av vedtaket.</w:t>
      </w:r>
    </w:p>
    <w:p w14:paraId="39B8DDA8"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041C4695" w14:textId="77777777" w:rsidR="00F7113A" w:rsidRPr="00580C0D" w:rsidRDefault="00142E5B" w:rsidP="00580C0D">
      <w:pPr>
        <w:pStyle w:val="avsnitt-tittel"/>
      </w:pPr>
      <w:proofErr w:type="spellStart"/>
      <w:r w:rsidRPr="00580C0D">
        <w:t>Leiarløningar</w:t>
      </w:r>
      <w:proofErr w:type="spellEnd"/>
      <w:r w:rsidRPr="00580C0D">
        <w:t xml:space="preserve"> i staten</w:t>
      </w:r>
    </w:p>
    <w:p w14:paraId="4BCC7FB8" w14:textId="77777777" w:rsidR="00F7113A" w:rsidRPr="00580C0D" w:rsidRDefault="00142E5B" w:rsidP="00580C0D">
      <w:pPr>
        <w:pStyle w:val="avsnitt-undertittel"/>
      </w:pPr>
      <w:r w:rsidRPr="00580C0D">
        <w:t>Vedtak nr. 413, 3. mars 2022</w:t>
      </w:r>
    </w:p>
    <w:p w14:paraId="7F4C9B85" w14:textId="77777777" w:rsidR="00F7113A" w:rsidRPr="00580C0D" w:rsidRDefault="00142E5B" w:rsidP="00580C0D">
      <w:pPr>
        <w:pStyle w:val="blokksit"/>
        <w:rPr>
          <w:rStyle w:val="kursiv"/>
        </w:rPr>
      </w:pPr>
      <w:r w:rsidRPr="00580C0D">
        <w:rPr>
          <w:rStyle w:val="kursiv"/>
        </w:rPr>
        <w:t>«Stortinget ber regjeringen komme tilbake til Stortinget på egnet måte når utvalget som skal gjennomgå lederlønnssystemet i staten, har lagt frem sin rapport.»</w:t>
      </w:r>
    </w:p>
    <w:p w14:paraId="38F729D0"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Kirsti </w:t>
      </w:r>
      <w:proofErr w:type="spellStart"/>
      <w:r w:rsidRPr="00580C0D">
        <w:t>Bergstø</w:t>
      </w:r>
      <w:proofErr w:type="spellEnd"/>
      <w:r w:rsidRPr="00580C0D">
        <w:t xml:space="preserve">, Audun Lysbakken, Grete Wold og Freddy André </w:t>
      </w:r>
      <w:proofErr w:type="spellStart"/>
      <w:r w:rsidRPr="00580C0D">
        <w:t>Øvstegård</w:t>
      </w:r>
      <w:proofErr w:type="spellEnd"/>
      <w:r w:rsidRPr="00580C0D">
        <w:t xml:space="preserve"> om </w:t>
      </w:r>
      <w:proofErr w:type="spellStart"/>
      <w:r w:rsidRPr="00580C0D">
        <w:t>lønsmoderasjon</w:t>
      </w:r>
      <w:proofErr w:type="spellEnd"/>
      <w:r w:rsidRPr="00580C0D">
        <w:t xml:space="preserve"> for høgtlønte i staten, jf. Dokument 8:22 S (2021–2022) og </w:t>
      </w:r>
      <w:proofErr w:type="spellStart"/>
      <w:r w:rsidRPr="00580C0D">
        <w:t>Innst</w:t>
      </w:r>
      <w:proofErr w:type="spellEnd"/>
      <w:r w:rsidRPr="00580C0D">
        <w:t>. 156 S (2021–2022).</w:t>
      </w:r>
    </w:p>
    <w:p w14:paraId="7D0BEAFF" w14:textId="77777777" w:rsidR="00F7113A" w:rsidRPr="00580C0D" w:rsidRDefault="00142E5B" w:rsidP="00580C0D">
      <w:proofErr w:type="spellStart"/>
      <w:r w:rsidRPr="00580C0D">
        <w:t>Leiarlønsutvalet</w:t>
      </w:r>
      <w:proofErr w:type="spellEnd"/>
      <w:r w:rsidRPr="00580C0D">
        <w:t xml:space="preserve"> overleverte rapporten sin til kommunal- og </w:t>
      </w:r>
      <w:proofErr w:type="spellStart"/>
      <w:r w:rsidRPr="00580C0D">
        <w:t>distriktsministeren</w:t>
      </w:r>
      <w:proofErr w:type="spellEnd"/>
      <w:r w:rsidRPr="00580C0D">
        <w:t xml:space="preserve"> 15. juni 2022.</w:t>
      </w:r>
    </w:p>
    <w:p w14:paraId="4D43420E" w14:textId="77777777" w:rsidR="00F7113A" w:rsidRPr="00580C0D" w:rsidRDefault="00142E5B" w:rsidP="00580C0D">
      <w:r w:rsidRPr="00580C0D">
        <w:t xml:space="preserve">Regjeringa er opptatt av å bidra til å rekruttere og </w:t>
      </w:r>
      <w:proofErr w:type="spellStart"/>
      <w:r w:rsidRPr="00580C0D">
        <w:t>behalde</w:t>
      </w:r>
      <w:proofErr w:type="spellEnd"/>
      <w:r w:rsidRPr="00580C0D">
        <w:t xml:space="preserve"> dyktige </w:t>
      </w:r>
      <w:proofErr w:type="spellStart"/>
      <w:r w:rsidRPr="00580C0D">
        <w:t>leiarar</w:t>
      </w:r>
      <w:proofErr w:type="spellEnd"/>
      <w:r w:rsidRPr="00580C0D">
        <w:t xml:space="preserve"> i staten, samstundes som det skal </w:t>
      </w:r>
      <w:proofErr w:type="spellStart"/>
      <w:r w:rsidRPr="00580C0D">
        <w:t>sikrast</w:t>
      </w:r>
      <w:proofErr w:type="spellEnd"/>
      <w:r w:rsidRPr="00580C0D">
        <w:t xml:space="preserve"> at </w:t>
      </w:r>
      <w:proofErr w:type="spellStart"/>
      <w:r w:rsidRPr="00580C0D">
        <w:t>leiarlønsutviklinga</w:t>
      </w:r>
      <w:proofErr w:type="spellEnd"/>
      <w:r w:rsidRPr="00580C0D">
        <w:t xml:space="preserve"> </w:t>
      </w:r>
      <w:proofErr w:type="spellStart"/>
      <w:r w:rsidRPr="00580C0D">
        <w:t>ikkje</w:t>
      </w:r>
      <w:proofErr w:type="spellEnd"/>
      <w:r w:rsidRPr="00580C0D">
        <w:t xml:space="preserve"> overskrid det som er </w:t>
      </w:r>
      <w:proofErr w:type="spellStart"/>
      <w:r w:rsidRPr="00580C0D">
        <w:t>gjennomsnittleg</w:t>
      </w:r>
      <w:proofErr w:type="spellEnd"/>
      <w:r w:rsidRPr="00580C0D">
        <w:t xml:space="preserve"> </w:t>
      </w:r>
      <w:proofErr w:type="spellStart"/>
      <w:r w:rsidRPr="00580C0D">
        <w:t>lønsutvikling</w:t>
      </w:r>
      <w:proofErr w:type="spellEnd"/>
      <w:r w:rsidRPr="00580C0D">
        <w:t xml:space="preserve"> i samfunnet. I Hurdalsplattforma går det fram at regjeringa vil lage nye retningslinjer for </w:t>
      </w:r>
      <w:proofErr w:type="spellStart"/>
      <w:r w:rsidRPr="00580C0D">
        <w:t>leiarløningar</w:t>
      </w:r>
      <w:proofErr w:type="spellEnd"/>
      <w:r w:rsidRPr="00580C0D">
        <w:t xml:space="preserve"> og andre type </w:t>
      </w:r>
      <w:proofErr w:type="spellStart"/>
      <w:r w:rsidRPr="00580C0D">
        <w:t>godtgjersler</w:t>
      </w:r>
      <w:proofErr w:type="spellEnd"/>
      <w:r w:rsidRPr="00580C0D">
        <w:t xml:space="preserve"> for </w:t>
      </w:r>
      <w:proofErr w:type="spellStart"/>
      <w:r w:rsidRPr="00580C0D">
        <w:t>leiarar</w:t>
      </w:r>
      <w:proofErr w:type="spellEnd"/>
      <w:r w:rsidRPr="00580C0D">
        <w:t xml:space="preserve"> i staten, som bidrar til reduserte </w:t>
      </w:r>
      <w:proofErr w:type="spellStart"/>
      <w:r w:rsidRPr="00580C0D">
        <w:t>lønsforskjellar</w:t>
      </w:r>
      <w:proofErr w:type="spellEnd"/>
      <w:r w:rsidRPr="00580C0D">
        <w:t xml:space="preserve">. Rapporten </w:t>
      </w:r>
      <w:proofErr w:type="spellStart"/>
      <w:r w:rsidRPr="00580C0D">
        <w:t>frå</w:t>
      </w:r>
      <w:proofErr w:type="spellEnd"/>
      <w:r w:rsidRPr="00580C0D">
        <w:t xml:space="preserve"> </w:t>
      </w:r>
      <w:proofErr w:type="spellStart"/>
      <w:r w:rsidRPr="00580C0D">
        <w:t>utvalet</w:t>
      </w:r>
      <w:proofErr w:type="spellEnd"/>
      <w:r w:rsidRPr="00580C0D">
        <w:t xml:space="preserve"> er </w:t>
      </w:r>
      <w:proofErr w:type="spellStart"/>
      <w:r w:rsidRPr="00580C0D">
        <w:t>eit</w:t>
      </w:r>
      <w:proofErr w:type="spellEnd"/>
      <w:r w:rsidRPr="00580C0D">
        <w:t xml:space="preserve"> viktig bidrag i dette arbeidet.</w:t>
      </w:r>
    </w:p>
    <w:p w14:paraId="2849F206" w14:textId="77777777" w:rsidR="00F7113A" w:rsidRPr="00580C0D" w:rsidRDefault="00142E5B" w:rsidP="00580C0D">
      <w:r w:rsidRPr="00580C0D">
        <w:t xml:space="preserve">Regjeringa må </w:t>
      </w:r>
      <w:proofErr w:type="spellStart"/>
      <w:r w:rsidRPr="00580C0D">
        <w:t>halde</w:t>
      </w:r>
      <w:proofErr w:type="spellEnd"/>
      <w:r w:rsidRPr="00580C0D">
        <w:t xml:space="preserve"> seg til inngåtte </w:t>
      </w:r>
      <w:proofErr w:type="spellStart"/>
      <w:r w:rsidRPr="00580C0D">
        <w:t>tariffavtalar</w:t>
      </w:r>
      <w:proofErr w:type="spellEnd"/>
      <w:r w:rsidRPr="00580C0D">
        <w:t xml:space="preserve"> med </w:t>
      </w:r>
      <w:proofErr w:type="spellStart"/>
      <w:r w:rsidRPr="00580C0D">
        <w:t>hovudsamanslutningane</w:t>
      </w:r>
      <w:proofErr w:type="spellEnd"/>
      <w:r w:rsidRPr="00580C0D">
        <w:t xml:space="preserve">, og kan </w:t>
      </w:r>
      <w:proofErr w:type="spellStart"/>
      <w:r w:rsidRPr="00580C0D">
        <w:t>ikkje</w:t>
      </w:r>
      <w:proofErr w:type="spellEnd"/>
      <w:r w:rsidRPr="00580C0D">
        <w:t xml:space="preserve"> </w:t>
      </w:r>
      <w:proofErr w:type="spellStart"/>
      <w:r w:rsidRPr="00580C0D">
        <w:t>einsidig</w:t>
      </w:r>
      <w:proofErr w:type="spellEnd"/>
      <w:r w:rsidRPr="00580C0D">
        <w:t xml:space="preserve"> endre systema for korleis </w:t>
      </w:r>
      <w:proofErr w:type="spellStart"/>
      <w:r w:rsidRPr="00580C0D">
        <w:t>ein</w:t>
      </w:r>
      <w:proofErr w:type="spellEnd"/>
      <w:r w:rsidRPr="00580C0D">
        <w:t xml:space="preserve"> </w:t>
      </w:r>
      <w:proofErr w:type="spellStart"/>
      <w:r w:rsidRPr="00580C0D">
        <w:t>løner</w:t>
      </w:r>
      <w:proofErr w:type="spellEnd"/>
      <w:r w:rsidRPr="00580C0D">
        <w:t xml:space="preserve"> </w:t>
      </w:r>
      <w:proofErr w:type="spellStart"/>
      <w:r w:rsidRPr="00580C0D">
        <w:t>leiarar</w:t>
      </w:r>
      <w:proofErr w:type="spellEnd"/>
      <w:r w:rsidRPr="00580C0D">
        <w:t xml:space="preserve"> i staten. Det vil derfor </w:t>
      </w:r>
      <w:proofErr w:type="spellStart"/>
      <w:r w:rsidRPr="00580C0D">
        <w:t>vere</w:t>
      </w:r>
      <w:proofErr w:type="spellEnd"/>
      <w:r w:rsidRPr="00580C0D">
        <w:t xml:space="preserve"> tett dialog med </w:t>
      </w:r>
      <w:proofErr w:type="spellStart"/>
      <w:r w:rsidRPr="00580C0D">
        <w:t>hovudsamanslutningane</w:t>
      </w:r>
      <w:proofErr w:type="spellEnd"/>
      <w:r w:rsidRPr="00580C0D">
        <w:t xml:space="preserve"> i dette arbeidet.</w:t>
      </w:r>
    </w:p>
    <w:p w14:paraId="37D688FA"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i </w:t>
      </w:r>
      <w:proofErr w:type="spellStart"/>
      <w:r w:rsidRPr="00580C0D">
        <w:t>lønsproposisjonen</w:t>
      </w:r>
      <w:proofErr w:type="spellEnd"/>
      <w:r w:rsidRPr="00580C0D">
        <w:t xml:space="preserve"> etter </w:t>
      </w:r>
      <w:proofErr w:type="spellStart"/>
      <w:r w:rsidRPr="00580C0D">
        <w:t>hovudtariffoppgjeret</w:t>
      </w:r>
      <w:proofErr w:type="spellEnd"/>
      <w:r w:rsidRPr="00580C0D">
        <w:t xml:space="preserve"> i 2024.</w:t>
      </w:r>
    </w:p>
    <w:p w14:paraId="3C51AC86" w14:textId="77777777" w:rsidR="00F7113A" w:rsidRPr="00580C0D" w:rsidRDefault="00142E5B" w:rsidP="00580C0D">
      <w:pPr>
        <w:pStyle w:val="avsnitt-tittel"/>
      </w:pPr>
      <w:r w:rsidRPr="00580C0D">
        <w:t>Vindkraft på land</w:t>
      </w:r>
    </w:p>
    <w:p w14:paraId="24545205" w14:textId="77777777" w:rsidR="00F7113A" w:rsidRPr="00580C0D" w:rsidRDefault="00142E5B" w:rsidP="00580C0D">
      <w:pPr>
        <w:pStyle w:val="avsnitt-undertittel"/>
      </w:pPr>
      <w:r w:rsidRPr="00580C0D">
        <w:t>Vedtak nr. 722, 10. juni 2022</w:t>
      </w:r>
    </w:p>
    <w:p w14:paraId="51DB4C47" w14:textId="77777777" w:rsidR="00F7113A" w:rsidRPr="00580C0D" w:rsidRDefault="00142E5B" w:rsidP="00580C0D">
      <w:pPr>
        <w:pStyle w:val="blokksit"/>
        <w:rPr>
          <w:rStyle w:val="kursiv"/>
        </w:rPr>
      </w:pPr>
      <w:r w:rsidRPr="00580C0D">
        <w:rPr>
          <w:rStyle w:val="kursiv"/>
        </w:rPr>
        <w:t>«Stortinget ber regjeringen snarest mulig sende på høring forslag til endringer i plan- og bygningsloven for behandling av vindkraft på land, slik at nye vindkraftanlegg kan behandles etter både energiloven og plan- og bygningsloven, med sikte på ikrafttredelse av lovendringen 1. januar 2023.»</w:t>
      </w:r>
    </w:p>
    <w:p w14:paraId="650A1E0D" w14:textId="77777777" w:rsidR="00F7113A" w:rsidRPr="00580C0D" w:rsidRDefault="00142E5B" w:rsidP="00580C0D">
      <w:r w:rsidRPr="00580C0D">
        <w:t xml:space="preserve">Dokumenta som ligg til grunn for vedtaket, er Meld. St. 11 (2021–2022) </w:t>
      </w:r>
      <w:r w:rsidRPr="00580C0D">
        <w:rPr>
          <w:rStyle w:val="kursiv"/>
        </w:rPr>
        <w:t>Tilleggsmelding til Meld. St. 36 (2020–2021)</w:t>
      </w:r>
      <w:r w:rsidRPr="00580C0D">
        <w:t xml:space="preserve"> </w:t>
      </w:r>
      <w:r w:rsidRPr="00580C0D">
        <w:rPr>
          <w:rStyle w:val="kursiv"/>
        </w:rPr>
        <w:t>Energi til arbeid – langsiktig verdiskaping fra norske energiressurser</w:t>
      </w:r>
      <w:r w:rsidRPr="00580C0D">
        <w:t xml:space="preserve"> og </w:t>
      </w:r>
      <w:proofErr w:type="spellStart"/>
      <w:r w:rsidRPr="00580C0D">
        <w:t>Innst</w:t>
      </w:r>
      <w:proofErr w:type="spellEnd"/>
      <w:r w:rsidRPr="00580C0D">
        <w:t>. 446 S (2021–2022).</w:t>
      </w:r>
    </w:p>
    <w:p w14:paraId="502FC5E4" w14:textId="77777777" w:rsidR="00F7113A" w:rsidRPr="00580C0D" w:rsidRDefault="00142E5B" w:rsidP="00580C0D">
      <w:r w:rsidRPr="00580C0D">
        <w:t xml:space="preserve">Regjeringa la våren 2023 fram </w:t>
      </w:r>
      <w:proofErr w:type="spellStart"/>
      <w:r w:rsidRPr="00580C0D">
        <w:t>Prop</w:t>
      </w:r>
      <w:proofErr w:type="spellEnd"/>
      <w:r w:rsidRPr="00580C0D">
        <w:t xml:space="preserve">. 111 L (2022–2023) </w:t>
      </w:r>
      <w:r w:rsidRPr="00580C0D">
        <w:rPr>
          <w:rStyle w:val="kursiv"/>
        </w:rPr>
        <w:t>Endringer i energiloven og plan- og bygningsloven (vindkraft på land)</w:t>
      </w:r>
      <w:r w:rsidRPr="00580C0D">
        <w:t xml:space="preserve"> for å </w:t>
      </w:r>
      <w:proofErr w:type="spellStart"/>
      <w:r w:rsidRPr="00580C0D">
        <w:t>styrkje</w:t>
      </w:r>
      <w:proofErr w:type="spellEnd"/>
      <w:r w:rsidRPr="00580C0D">
        <w:t xml:space="preserve"> den kommunale råderetten ved etablering av vindkraft på land. </w:t>
      </w:r>
      <w:proofErr w:type="spellStart"/>
      <w:r w:rsidRPr="00580C0D">
        <w:t>Endringane</w:t>
      </w:r>
      <w:proofErr w:type="spellEnd"/>
      <w:r w:rsidRPr="00580C0D">
        <w:t xml:space="preserve"> i plan- og bygningslova og energilova vart </w:t>
      </w:r>
      <w:proofErr w:type="spellStart"/>
      <w:r w:rsidRPr="00580C0D">
        <w:t>vedtekne</w:t>
      </w:r>
      <w:proofErr w:type="spellEnd"/>
      <w:r w:rsidRPr="00580C0D">
        <w:t xml:space="preserve"> av Stortinget 9. og 12. juni 2023, og </w:t>
      </w:r>
      <w:proofErr w:type="spellStart"/>
      <w:r w:rsidRPr="00580C0D">
        <w:t>vart</w:t>
      </w:r>
      <w:proofErr w:type="spellEnd"/>
      <w:r w:rsidRPr="00580C0D">
        <w:t xml:space="preserve"> satt i kraft </w:t>
      </w:r>
      <w:proofErr w:type="spellStart"/>
      <w:r w:rsidRPr="00580C0D">
        <w:t>frå</w:t>
      </w:r>
      <w:proofErr w:type="spellEnd"/>
      <w:r w:rsidRPr="00580C0D">
        <w:t xml:space="preserve"> 1. juli 2023. </w:t>
      </w:r>
      <w:proofErr w:type="spellStart"/>
      <w:r w:rsidRPr="00580C0D">
        <w:t>Endringane</w:t>
      </w:r>
      <w:proofErr w:type="spellEnd"/>
      <w:r w:rsidRPr="00580C0D">
        <w:t xml:space="preserve"> gir </w:t>
      </w:r>
      <w:proofErr w:type="spellStart"/>
      <w:r w:rsidRPr="00580C0D">
        <w:t>kommunane</w:t>
      </w:r>
      <w:proofErr w:type="spellEnd"/>
      <w:r w:rsidRPr="00580C0D">
        <w:t xml:space="preserve"> større formell styring over arealbruken i vindkraftsaker, mellom anna ved at det </w:t>
      </w:r>
      <w:proofErr w:type="spellStart"/>
      <w:r w:rsidRPr="00580C0D">
        <w:t>no</w:t>
      </w:r>
      <w:proofErr w:type="spellEnd"/>
      <w:r w:rsidRPr="00580C0D">
        <w:t xml:space="preserve"> er krav om at </w:t>
      </w:r>
      <w:proofErr w:type="spellStart"/>
      <w:r w:rsidRPr="00580C0D">
        <w:t>kommunane</w:t>
      </w:r>
      <w:proofErr w:type="spellEnd"/>
      <w:r w:rsidRPr="00580C0D">
        <w:t xml:space="preserve"> må vedta </w:t>
      </w:r>
      <w:proofErr w:type="spellStart"/>
      <w:r w:rsidRPr="00580C0D">
        <w:t>ein</w:t>
      </w:r>
      <w:proofErr w:type="spellEnd"/>
      <w:r w:rsidRPr="00580C0D">
        <w:t xml:space="preserve"> områderegulering før det kan bli gitt konsesjon etter energilova.</w:t>
      </w:r>
    </w:p>
    <w:p w14:paraId="53C7AE9E"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2E82C7BB" w14:textId="77777777" w:rsidR="00F7113A" w:rsidRPr="00580C0D" w:rsidRDefault="00142E5B" w:rsidP="00580C0D">
      <w:pPr>
        <w:pStyle w:val="avsnitt-tittel"/>
      </w:pPr>
      <w:r w:rsidRPr="00580C0D">
        <w:t>Energifleksibel oppvarming</w:t>
      </w:r>
    </w:p>
    <w:p w14:paraId="6A350CB9" w14:textId="77777777" w:rsidR="00F7113A" w:rsidRPr="00580C0D" w:rsidRDefault="00142E5B" w:rsidP="00580C0D">
      <w:pPr>
        <w:pStyle w:val="avsnitt-undertittel"/>
      </w:pPr>
      <w:r w:rsidRPr="00580C0D">
        <w:t>Vedtak nr. 726, 10. juni 2022</w:t>
      </w:r>
    </w:p>
    <w:p w14:paraId="10361377" w14:textId="77777777" w:rsidR="00F7113A" w:rsidRPr="00580C0D" w:rsidRDefault="00142E5B" w:rsidP="00580C0D">
      <w:pPr>
        <w:pStyle w:val="blokksit"/>
        <w:rPr>
          <w:rStyle w:val="kursiv"/>
        </w:rPr>
      </w:pPr>
      <w:r w:rsidRPr="00580C0D">
        <w:rPr>
          <w:rStyle w:val="kursiv"/>
        </w:rPr>
        <w:t xml:space="preserve">«Stortinget ber regjeringen utrede energieffekten og konsekvenser for </w:t>
      </w:r>
      <w:proofErr w:type="spellStart"/>
      <w:r w:rsidRPr="00580C0D">
        <w:rPr>
          <w:rStyle w:val="kursiv"/>
        </w:rPr>
        <w:t>byggekostnadene</w:t>
      </w:r>
      <w:proofErr w:type="spellEnd"/>
      <w:r w:rsidRPr="00580C0D">
        <w:rPr>
          <w:rStyle w:val="kursiv"/>
        </w:rPr>
        <w:t xml:space="preserve"> av å stramme inn kravet til energifleksibel oppvarming, og vurdere hvor mye kravet kan strammes inn.»</w:t>
      </w:r>
    </w:p>
    <w:p w14:paraId="0595722F" w14:textId="77777777" w:rsidR="00F7113A" w:rsidRPr="00580C0D" w:rsidRDefault="00142E5B" w:rsidP="00580C0D">
      <w:r w:rsidRPr="00580C0D">
        <w:t xml:space="preserve">Dokumenta som ligg til grunn for vedtaket, er </w:t>
      </w:r>
      <w:proofErr w:type="spellStart"/>
      <w:r w:rsidRPr="00580C0D">
        <w:t>Innst</w:t>
      </w:r>
      <w:proofErr w:type="spellEnd"/>
      <w:r w:rsidRPr="00580C0D">
        <w:t xml:space="preserve">. 446 S (2021–2022)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representantforslag om å forlenge strømkompensasjonen, representantforslag om å bygge opp ei kraftfull norsk havvindsatsing, representantforslag om energipolitikk for framtida, representantforslag om hurtigspor for </w:t>
      </w:r>
      <w:proofErr w:type="spellStart"/>
      <w:r w:rsidRPr="00580C0D">
        <w:t>flytande</w:t>
      </w:r>
      <w:proofErr w:type="spellEnd"/>
      <w:r w:rsidRPr="00580C0D">
        <w:t xml:space="preserve"> havvind, representantforslag om uavhengige </w:t>
      </w:r>
      <w:proofErr w:type="spellStart"/>
      <w:r w:rsidRPr="00580C0D">
        <w:t>konsekvensutgreiingar</w:t>
      </w:r>
      <w:proofErr w:type="spellEnd"/>
      <w:r w:rsidRPr="00580C0D">
        <w:t xml:space="preserve"> i </w:t>
      </w:r>
      <w:proofErr w:type="spellStart"/>
      <w:r w:rsidRPr="00580C0D">
        <w:t>vindkraftsakar</w:t>
      </w:r>
      <w:proofErr w:type="spellEnd"/>
      <w:r w:rsidRPr="00580C0D">
        <w:t xml:space="preserve"> og representantforslag om energi for framtida.</w:t>
      </w:r>
    </w:p>
    <w:p w14:paraId="514A2028" w14:textId="77777777" w:rsidR="00F7113A" w:rsidRPr="00580C0D" w:rsidRDefault="00142E5B" w:rsidP="00580C0D">
      <w:r w:rsidRPr="00580C0D">
        <w:t xml:space="preserve">Departementet tar sikte på å </w:t>
      </w:r>
      <w:proofErr w:type="spellStart"/>
      <w:r w:rsidRPr="00580C0D">
        <w:t>følgje</w:t>
      </w:r>
      <w:proofErr w:type="spellEnd"/>
      <w:r w:rsidRPr="00580C0D">
        <w:t xml:space="preserve"> opp oppmodingsvedtaket som </w:t>
      </w:r>
      <w:proofErr w:type="spellStart"/>
      <w:r w:rsidRPr="00580C0D">
        <w:t>ein</w:t>
      </w:r>
      <w:proofErr w:type="spellEnd"/>
      <w:r w:rsidRPr="00580C0D">
        <w:t xml:space="preserve"> del av arbeidet med </w:t>
      </w:r>
      <w:proofErr w:type="spellStart"/>
      <w:r w:rsidRPr="00580C0D">
        <w:t>endringar</w:t>
      </w:r>
      <w:proofErr w:type="spellEnd"/>
      <w:r w:rsidRPr="00580C0D">
        <w:t xml:space="preserve"> i </w:t>
      </w:r>
      <w:proofErr w:type="spellStart"/>
      <w:r w:rsidRPr="00580C0D">
        <w:t>byggteknisk</w:t>
      </w:r>
      <w:proofErr w:type="spellEnd"/>
      <w:r w:rsidRPr="00580C0D">
        <w:t xml:space="preserve"> forskrift og byggesaksforskrifta for å bidra til </w:t>
      </w:r>
      <w:proofErr w:type="spellStart"/>
      <w:r w:rsidRPr="00580C0D">
        <w:t>auka</w:t>
      </w:r>
      <w:proofErr w:type="spellEnd"/>
      <w:r w:rsidRPr="00580C0D">
        <w:t xml:space="preserve"> energieffektivitet, energifleksibilitet og lokal energiproduksjon.</w:t>
      </w:r>
    </w:p>
    <w:p w14:paraId="23C08962"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2C6328D4" w14:textId="77777777" w:rsidR="00F7113A" w:rsidRPr="00580C0D" w:rsidRDefault="00142E5B" w:rsidP="00580C0D">
      <w:pPr>
        <w:pStyle w:val="avsnitt-tittel"/>
      </w:pPr>
      <w:r w:rsidRPr="00580C0D">
        <w:t>Plan for breibanddekning II</w:t>
      </w:r>
    </w:p>
    <w:p w14:paraId="732217A4" w14:textId="77777777" w:rsidR="00F7113A" w:rsidRPr="00580C0D" w:rsidRDefault="00142E5B" w:rsidP="00580C0D">
      <w:pPr>
        <w:pStyle w:val="avsnitt-undertittel"/>
      </w:pPr>
      <w:r w:rsidRPr="00580C0D">
        <w:t>Vedtak nr. 791, 14. juni 2022</w:t>
      </w:r>
    </w:p>
    <w:p w14:paraId="7DF1EB7B" w14:textId="77777777" w:rsidR="00F7113A" w:rsidRPr="00580C0D" w:rsidRDefault="00142E5B" w:rsidP="00580C0D">
      <w:pPr>
        <w:pStyle w:val="blokksit"/>
        <w:rPr>
          <w:rStyle w:val="kursiv"/>
        </w:rPr>
      </w:pPr>
      <w:r w:rsidRPr="00580C0D">
        <w:rPr>
          <w:rStyle w:val="kursiv"/>
        </w:rPr>
        <w:t xml:space="preserve">«Stortinget ber regjeringen komme tilbake i statsbudsjettet for 2023 med status og plan for hvordan det kan legges til rette for at alle norske nødmeldingssentraler, rådhus og andre viktige offentlige administrasjonsbygg, skoler og transportknutepunkter skal ha tilbud om minst 1 </w:t>
      </w:r>
      <w:proofErr w:type="spellStart"/>
      <w:r w:rsidRPr="00580C0D">
        <w:rPr>
          <w:rStyle w:val="kursiv"/>
        </w:rPr>
        <w:t>Gbit</w:t>
      </w:r>
      <w:proofErr w:type="spellEnd"/>
      <w:r w:rsidRPr="00580C0D">
        <w:rPr>
          <w:rStyle w:val="kursiv"/>
        </w:rPr>
        <w:t>/s nedlastingshastighet og minst 100 Mbit/s opplastingshastighet innen utgangen av 2025.»</w:t>
      </w:r>
    </w:p>
    <w:p w14:paraId="44E3C618"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110 S (2021–2022) </w:t>
      </w:r>
      <w:r w:rsidRPr="00580C0D">
        <w:rPr>
          <w:rStyle w:val="kursiv"/>
        </w:rPr>
        <w:t>Kommuneproposisjonen 2023</w:t>
      </w:r>
      <w:r w:rsidRPr="00580C0D">
        <w:t xml:space="preserve"> og </w:t>
      </w:r>
      <w:proofErr w:type="spellStart"/>
      <w:r w:rsidRPr="00580C0D">
        <w:t>Innst</w:t>
      </w:r>
      <w:proofErr w:type="spellEnd"/>
      <w:r w:rsidRPr="00580C0D">
        <w:t>. 460 S (2021–2022).</w:t>
      </w:r>
    </w:p>
    <w:p w14:paraId="71335CA9" w14:textId="77777777" w:rsidR="00F7113A" w:rsidRPr="00580C0D" w:rsidRDefault="00142E5B" w:rsidP="00580C0D">
      <w:proofErr w:type="spellStart"/>
      <w:r w:rsidRPr="00580C0D">
        <w:t>Ifølgje</w:t>
      </w:r>
      <w:proofErr w:type="spellEnd"/>
      <w:r w:rsidRPr="00580C0D">
        <w:t xml:space="preserve"> </w:t>
      </w:r>
      <w:proofErr w:type="spellStart"/>
      <w:r w:rsidRPr="00580C0D">
        <w:t>berekningar</w:t>
      </w:r>
      <w:proofErr w:type="spellEnd"/>
      <w:r w:rsidRPr="00580C0D">
        <w:t xml:space="preserve"> </w:t>
      </w:r>
      <w:proofErr w:type="spellStart"/>
      <w:r w:rsidRPr="00580C0D">
        <w:t>frå</w:t>
      </w:r>
      <w:proofErr w:type="spellEnd"/>
      <w:r w:rsidRPr="00580C0D">
        <w:t xml:space="preserve"> Nasjonal kommunikasjonsmyndigheit var dekninga for </w:t>
      </w:r>
      <w:proofErr w:type="spellStart"/>
      <w:r w:rsidRPr="00580C0D">
        <w:t>fleire</w:t>
      </w:r>
      <w:proofErr w:type="spellEnd"/>
      <w:r w:rsidRPr="00580C0D">
        <w:t xml:space="preserve"> av </w:t>
      </w:r>
      <w:proofErr w:type="spellStart"/>
      <w:r w:rsidRPr="00580C0D">
        <w:t>dei</w:t>
      </w:r>
      <w:proofErr w:type="spellEnd"/>
      <w:r w:rsidRPr="00580C0D">
        <w:t xml:space="preserve"> ulike </w:t>
      </w:r>
      <w:proofErr w:type="spellStart"/>
      <w:r w:rsidRPr="00580C0D">
        <w:t>kategoriane</w:t>
      </w:r>
      <w:proofErr w:type="spellEnd"/>
      <w:r w:rsidRPr="00580C0D">
        <w:t xml:space="preserve"> av </w:t>
      </w:r>
      <w:proofErr w:type="spellStart"/>
      <w:r w:rsidRPr="00580C0D">
        <w:t>institusjonar</w:t>
      </w:r>
      <w:proofErr w:type="spellEnd"/>
      <w:r w:rsidRPr="00580C0D">
        <w:t xml:space="preserve"> og </w:t>
      </w:r>
      <w:proofErr w:type="spellStart"/>
      <w:r w:rsidRPr="00580C0D">
        <w:t>stadar</w:t>
      </w:r>
      <w:proofErr w:type="spellEnd"/>
      <w:r w:rsidRPr="00580C0D">
        <w:t xml:space="preserve"> som er </w:t>
      </w:r>
      <w:proofErr w:type="spellStart"/>
      <w:r w:rsidRPr="00580C0D">
        <w:t>nemnt</w:t>
      </w:r>
      <w:proofErr w:type="spellEnd"/>
      <w:r w:rsidRPr="00580C0D">
        <w:t xml:space="preserve"> i oppmodingsvedtaket 100 pst. ved utgangen av 2022, dette gjaldt mellom anna sjukehus, </w:t>
      </w:r>
      <w:proofErr w:type="spellStart"/>
      <w:r w:rsidRPr="00580C0D">
        <w:t>naudmeldingssentralar</w:t>
      </w:r>
      <w:proofErr w:type="spellEnd"/>
      <w:r w:rsidRPr="00580C0D">
        <w:t xml:space="preserve"> og </w:t>
      </w:r>
      <w:proofErr w:type="spellStart"/>
      <w:r w:rsidRPr="00580C0D">
        <w:t>flyplassar</w:t>
      </w:r>
      <w:proofErr w:type="spellEnd"/>
      <w:r w:rsidRPr="00580C0D">
        <w:t xml:space="preserve">. For andre </w:t>
      </w:r>
      <w:proofErr w:type="spellStart"/>
      <w:r w:rsidRPr="00580C0D">
        <w:t>kategoriar</w:t>
      </w:r>
      <w:proofErr w:type="spellEnd"/>
      <w:r w:rsidRPr="00580C0D">
        <w:t xml:space="preserve"> står </w:t>
      </w:r>
      <w:proofErr w:type="spellStart"/>
      <w:r w:rsidRPr="00580C0D">
        <w:t>framleis</w:t>
      </w:r>
      <w:proofErr w:type="spellEnd"/>
      <w:r w:rsidRPr="00580C0D">
        <w:t xml:space="preserve"> </w:t>
      </w:r>
      <w:proofErr w:type="spellStart"/>
      <w:r w:rsidRPr="00580C0D">
        <w:t>noko</w:t>
      </w:r>
      <w:proofErr w:type="spellEnd"/>
      <w:r w:rsidRPr="00580C0D">
        <w:t xml:space="preserve"> att før alle er dekt, dette </w:t>
      </w:r>
      <w:proofErr w:type="spellStart"/>
      <w:r w:rsidRPr="00580C0D">
        <w:t>gjeld</w:t>
      </w:r>
      <w:proofErr w:type="spellEnd"/>
      <w:r w:rsidRPr="00580C0D">
        <w:t xml:space="preserve"> mellom anna </w:t>
      </w:r>
      <w:proofErr w:type="spellStart"/>
      <w:r w:rsidRPr="00580C0D">
        <w:t>grunnskolar</w:t>
      </w:r>
      <w:proofErr w:type="spellEnd"/>
      <w:r w:rsidRPr="00580C0D">
        <w:t xml:space="preserve"> og trafikknutepunkt, med unntak av </w:t>
      </w:r>
      <w:proofErr w:type="spellStart"/>
      <w:r w:rsidRPr="00580C0D">
        <w:t>flyplassar</w:t>
      </w:r>
      <w:proofErr w:type="spellEnd"/>
      <w:r w:rsidRPr="00580C0D">
        <w:t xml:space="preserve">. Departementet vil legge til rette for at den </w:t>
      </w:r>
      <w:proofErr w:type="spellStart"/>
      <w:r w:rsidRPr="00580C0D">
        <w:t>eksisterande</w:t>
      </w:r>
      <w:proofErr w:type="spellEnd"/>
      <w:r w:rsidRPr="00580C0D">
        <w:t xml:space="preserve"> støtteordninga for breiband skal bidra til at alle </w:t>
      </w:r>
      <w:proofErr w:type="spellStart"/>
      <w:r w:rsidRPr="00580C0D">
        <w:t>dei</w:t>
      </w:r>
      <w:proofErr w:type="spellEnd"/>
      <w:r w:rsidRPr="00580C0D">
        <w:t xml:space="preserve"> </w:t>
      </w:r>
      <w:proofErr w:type="spellStart"/>
      <w:r w:rsidRPr="00580C0D">
        <w:t>nemnde</w:t>
      </w:r>
      <w:proofErr w:type="spellEnd"/>
      <w:r w:rsidRPr="00580C0D">
        <w:t xml:space="preserve"> </w:t>
      </w:r>
      <w:proofErr w:type="spellStart"/>
      <w:r w:rsidRPr="00580C0D">
        <w:t>institusjonane</w:t>
      </w:r>
      <w:proofErr w:type="spellEnd"/>
      <w:r w:rsidRPr="00580C0D">
        <w:t xml:space="preserve"> kan få </w:t>
      </w:r>
      <w:proofErr w:type="spellStart"/>
      <w:r w:rsidRPr="00580C0D">
        <w:t>tilbod</w:t>
      </w:r>
      <w:proofErr w:type="spellEnd"/>
      <w:r w:rsidRPr="00580C0D">
        <w:t xml:space="preserve"> om 1 </w:t>
      </w:r>
      <w:proofErr w:type="spellStart"/>
      <w:r w:rsidRPr="00580C0D">
        <w:t>Gbit</w:t>
      </w:r>
      <w:proofErr w:type="spellEnd"/>
      <w:r w:rsidRPr="00580C0D">
        <w:t xml:space="preserve">/s nedlastingshastigheit og minst 100 Mbit/s </w:t>
      </w:r>
      <w:proofErr w:type="spellStart"/>
      <w:r w:rsidRPr="00580C0D">
        <w:t>opplastingshastigheit</w:t>
      </w:r>
      <w:proofErr w:type="spellEnd"/>
      <w:r w:rsidRPr="00580C0D">
        <w:t xml:space="preserve"> </w:t>
      </w:r>
      <w:proofErr w:type="spellStart"/>
      <w:r w:rsidRPr="00580C0D">
        <w:t>innan</w:t>
      </w:r>
      <w:proofErr w:type="spellEnd"/>
      <w:r w:rsidRPr="00580C0D">
        <w:t xml:space="preserve"> utgangen av 2025.</w:t>
      </w:r>
    </w:p>
    <w:p w14:paraId="5A76A658"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14D86DFD" w14:textId="77777777" w:rsidR="00F7113A" w:rsidRPr="00580C0D" w:rsidRDefault="00142E5B" w:rsidP="00580C0D">
      <w:pPr>
        <w:pStyle w:val="avsnitt-tittel"/>
      </w:pPr>
      <w:r w:rsidRPr="00580C0D">
        <w:t>Frikommuneforsøk</w:t>
      </w:r>
    </w:p>
    <w:p w14:paraId="4E004B97" w14:textId="77777777" w:rsidR="00F7113A" w:rsidRPr="00580C0D" w:rsidRDefault="00142E5B" w:rsidP="00580C0D">
      <w:pPr>
        <w:pStyle w:val="avsnitt-undertittel"/>
      </w:pPr>
      <w:r w:rsidRPr="00580C0D">
        <w:t>Vedtak nr. 792, 14. juni 2022</w:t>
      </w:r>
    </w:p>
    <w:p w14:paraId="7C60C109" w14:textId="77777777" w:rsidR="00F7113A" w:rsidRPr="00580C0D" w:rsidRDefault="00142E5B" w:rsidP="00580C0D">
      <w:pPr>
        <w:pStyle w:val="blokksit"/>
        <w:rPr>
          <w:rStyle w:val="kursiv"/>
        </w:rPr>
      </w:pPr>
      <w:r w:rsidRPr="00580C0D">
        <w:rPr>
          <w:rStyle w:val="kursiv"/>
        </w:rPr>
        <w:t>«Stortinget ber regjeringen legge til rette for etablering av frikommuneforsøk etter inspirasjon fra Danmark og komme til Stortinget med en sak om dette senest i forbindelse med statsbudsjettet for 2023.»</w:t>
      </w:r>
    </w:p>
    <w:p w14:paraId="26DA66AA"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110 S (2021–2022) </w:t>
      </w:r>
      <w:r w:rsidRPr="00580C0D">
        <w:rPr>
          <w:rStyle w:val="kursiv"/>
        </w:rPr>
        <w:t>Kommuneproposisjonen 2023</w:t>
      </w:r>
      <w:r w:rsidRPr="00580C0D">
        <w:t xml:space="preserve"> og </w:t>
      </w:r>
      <w:proofErr w:type="spellStart"/>
      <w:r w:rsidRPr="00580C0D">
        <w:t>Innst</w:t>
      </w:r>
      <w:proofErr w:type="spellEnd"/>
      <w:r w:rsidRPr="00580C0D">
        <w:t>. 460 S (2021–2022).</w:t>
      </w:r>
    </w:p>
    <w:p w14:paraId="23A14CEB" w14:textId="77777777" w:rsidR="00F7113A" w:rsidRPr="00580C0D" w:rsidRDefault="00142E5B" w:rsidP="00580C0D">
      <w:r w:rsidRPr="00580C0D">
        <w:t xml:space="preserve">I tillegg blir det vist til </w:t>
      </w:r>
      <w:proofErr w:type="spellStart"/>
      <w:r w:rsidRPr="00580C0D">
        <w:t>Prop</w:t>
      </w:r>
      <w:proofErr w:type="spellEnd"/>
      <w:r w:rsidRPr="00580C0D">
        <w:t xml:space="preserve">. 112 S (2022–2023) </w:t>
      </w:r>
      <w:r w:rsidRPr="00580C0D">
        <w:rPr>
          <w:rStyle w:val="kursiv"/>
        </w:rPr>
        <w:t>Kommuneproposisjonen 2024</w:t>
      </w:r>
      <w:r w:rsidRPr="00580C0D">
        <w:t xml:space="preserve">, kapittel 6.1 der det går fram at departementet tar sikte på å orientere Stortinget om status for ordninga for </w:t>
      </w:r>
      <w:proofErr w:type="spellStart"/>
      <w:r w:rsidRPr="00580C0D">
        <w:t>forsøkskommunar</w:t>
      </w:r>
      <w:proofErr w:type="spellEnd"/>
      <w:r w:rsidRPr="00580C0D">
        <w:t xml:space="preserve"> og om </w:t>
      </w:r>
      <w:proofErr w:type="spellStart"/>
      <w:r w:rsidRPr="00580C0D">
        <w:t>pågåande</w:t>
      </w:r>
      <w:proofErr w:type="spellEnd"/>
      <w:r w:rsidRPr="00580C0D">
        <w:t xml:space="preserve"> forsøk i </w:t>
      </w:r>
      <w:proofErr w:type="spellStart"/>
      <w:r w:rsidRPr="00580C0D">
        <w:t>dei</w:t>
      </w:r>
      <w:proofErr w:type="spellEnd"/>
      <w:r w:rsidRPr="00580C0D">
        <w:t xml:space="preserve"> </w:t>
      </w:r>
      <w:proofErr w:type="spellStart"/>
      <w:r w:rsidRPr="00580C0D">
        <w:t>årlege</w:t>
      </w:r>
      <w:proofErr w:type="spellEnd"/>
      <w:r w:rsidRPr="00580C0D">
        <w:t xml:space="preserve"> </w:t>
      </w:r>
      <w:proofErr w:type="spellStart"/>
      <w:r w:rsidRPr="00580C0D">
        <w:t>kommuneproposisjonane</w:t>
      </w:r>
      <w:proofErr w:type="spellEnd"/>
      <w:r w:rsidRPr="00580C0D">
        <w:t>. Vi viser òg til vedtak nr. 824, 13. juni 2023 om evaluering av frikommuneforsøk og departementet si oppfølging av dette.</w:t>
      </w:r>
    </w:p>
    <w:p w14:paraId="7E109FF2" w14:textId="77777777" w:rsidR="00F7113A" w:rsidRPr="00580C0D" w:rsidRDefault="00142E5B" w:rsidP="00580C0D">
      <w:r w:rsidRPr="00580C0D">
        <w:t xml:space="preserve">I Hurdalsplattforma varsla regjeringa at den vil gi større fridom til kommunale og regionale </w:t>
      </w:r>
      <w:proofErr w:type="spellStart"/>
      <w:r w:rsidRPr="00580C0D">
        <w:t>myndigheiter</w:t>
      </w:r>
      <w:proofErr w:type="spellEnd"/>
      <w:r w:rsidRPr="00580C0D">
        <w:t xml:space="preserve">, som </w:t>
      </w:r>
      <w:proofErr w:type="spellStart"/>
      <w:r w:rsidRPr="00580C0D">
        <w:t>ein</w:t>
      </w:r>
      <w:proofErr w:type="spellEnd"/>
      <w:r w:rsidRPr="00580C0D">
        <w:t xml:space="preserve"> del av </w:t>
      </w:r>
      <w:proofErr w:type="spellStart"/>
      <w:r w:rsidRPr="00580C0D">
        <w:t>tillitsreforma</w:t>
      </w:r>
      <w:proofErr w:type="spellEnd"/>
      <w:r w:rsidRPr="00580C0D">
        <w:t xml:space="preserve">. Forsøk </w:t>
      </w:r>
      <w:proofErr w:type="spellStart"/>
      <w:r w:rsidRPr="00580C0D">
        <w:t>gjer</w:t>
      </w:r>
      <w:proofErr w:type="spellEnd"/>
      <w:r w:rsidRPr="00580C0D">
        <w:t xml:space="preserve"> det </w:t>
      </w:r>
      <w:proofErr w:type="spellStart"/>
      <w:r w:rsidRPr="00580C0D">
        <w:t>mogleg</w:t>
      </w:r>
      <w:proofErr w:type="spellEnd"/>
      <w:r w:rsidRPr="00580C0D">
        <w:t xml:space="preserve"> å drive innovasjon og utprøving der </w:t>
      </w:r>
      <w:proofErr w:type="spellStart"/>
      <w:r w:rsidRPr="00580C0D">
        <w:t>kommunane</w:t>
      </w:r>
      <w:proofErr w:type="spellEnd"/>
      <w:r w:rsidRPr="00580C0D">
        <w:t xml:space="preserve"> får unntak </w:t>
      </w:r>
      <w:proofErr w:type="spellStart"/>
      <w:r w:rsidRPr="00580C0D">
        <w:t>frå</w:t>
      </w:r>
      <w:proofErr w:type="spellEnd"/>
      <w:r w:rsidRPr="00580C0D">
        <w:t xml:space="preserve"> krav i lov og forskrift. Forsøkslova gir heimel for å igangsette forsøk, og </w:t>
      </w:r>
      <w:proofErr w:type="spellStart"/>
      <w:r w:rsidRPr="00580C0D">
        <w:t>ein</w:t>
      </w:r>
      <w:proofErr w:type="spellEnd"/>
      <w:r w:rsidRPr="00580C0D">
        <w:t xml:space="preserve"> del andre lover har spesifikke </w:t>
      </w:r>
      <w:proofErr w:type="spellStart"/>
      <w:r w:rsidRPr="00580C0D">
        <w:t>heimlar</w:t>
      </w:r>
      <w:proofErr w:type="spellEnd"/>
      <w:r w:rsidRPr="00580C0D">
        <w:t xml:space="preserve"> for å gi unntak </w:t>
      </w:r>
      <w:proofErr w:type="spellStart"/>
      <w:r w:rsidRPr="00580C0D">
        <w:t>frå</w:t>
      </w:r>
      <w:proofErr w:type="spellEnd"/>
      <w:r w:rsidRPr="00580C0D">
        <w:t xml:space="preserve"> lovkrav gjennom forsøk.</w:t>
      </w:r>
    </w:p>
    <w:p w14:paraId="5ED4F92E" w14:textId="77777777" w:rsidR="00F7113A" w:rsidRPr="00580C0D" w:rsidRDefault="00142E5B" w:rsidP="00580C0D">
      <w:r w:rsidRPr="00580C0D">
        <w:t xml:space="preserve">Regjeringa har </w:t>
      </w:r>
      <w:proofErr w:type="spellStart"/>
      <w:r w:rsidRPr="00580C0D">
        <w:t>no</w:t>
      </w:r>
      <w:proofErr w:type="spellEnd"/>
      <w:r w:rsidRPr="00580C0D">
        <w:t xml:space="preserve"> etablert ei frikommuneordning </w:t>
      </w:r>
      <w:proofErr w:type="spellStart"/>
      <w:r w:rsidRPr="00580C0D">
        <w:t>innanfor</w:t>
      </w:r>
      <w:proofErr w:type="spellEnd"/>
      <w:r w:rsidRPr="00580C0D">
        <w:t xml:space="preserve"> </w:t>
      </w:r>
      <w:proofErr w:type="spellStart"/>
      <w:r w:rsidRPr="00580C0D">
        <w:t>gjeldande</w:t>
      </w:r>
      <w:proofErr w:type="spellEnd"/>
      <w:r w:rsidRPr="00580C0D">
        <w:t xml:space="preserve"> </w:t>
      </w:r>
      <w:proofErr w:type="spellStart"/>
      <w:r w:rsidRPr="00580C0D">
        <w:t>forsøksheimlar</w:t>
      </w:r>
      <w:proofErr w:type="spellEnd"/>
      <w:r w:rsidRPr="00580C0D">
        <w:t xml:space="preserve">, og har invitert </w:t>
      </w:r>
      <w:proofErr w:type="spellStart"/>
      <w:r w:rsidRPr="00580C0D">
        <w:t>kommunar</w:t>
      </w:r>
      <w:proofErr w:type="spellEnd"/>
      <w:r w:rsidRPr="00580C0D">
        <w:t xml:space="preserve"> og </w:t>
      </w:r>
      <w:proofErr w:type="spellStart"/>
      <w:r w:rsidRPr="00580C0D">
        <w:t>fylkeskommunar</w:t>
      </w:r>
      <w:proofErr w:type="spellEnd"/>
      <w:r w:rsidRPr="00580C0D">
        <w:t xml:space="preserve"> til å </w:t>
      </w:r>
      <w:proofErr w:type="spellStart"/>
      <w:r w:rsidRPr="00580C0D">
        <w:t>søkje</w:t>
      </w:r>
      <w:proofErr w:type="spellEnd"/>
      <w:r w:rsidRPr="00580C0D">
        <w:t xml:space="preserve"> om forsøk. Fristen for å sende førebels søknad var 8. september 2023.</w:t>
      </w:r>
    </w:p>
    <w:p w14:paraId="2B6833B4" w14:textId="77777777" w:rsidR="00F7113A" w:rsidRPr="00580C0D" w:rsidRDefault="00142E5B" w:rsidP="00580C0D">
      <w:r w:rsidRPr="00580C0D">
        <w:t xml:space="preserve">Kommunal- og </w:t>
      </w:r>
      <w:proofErr w:type="spellStart"/>
      <w:r w:rsidRPr="00580C0D">
        <w:t>distriktsdepartementet</w:t>
      </w:r>
      <w:proofErr w:type="spellEnd"/>
      <w:r w:rsidRPr="00580C0D">
        <w:t xml:space="preserve"> og aktuelle fagdepartement kan etter ei vurdering av søknadene gi unntak </w:t>
      </w:r>
      <w:proofErr w:type="spellStart"/>
      <w:r w:rsidRPr="00580C0D">
        <w:t>frå</w:t>
      </w:r>
      <w:proofErr w:type="spellEnd"/>
      <w:r w:rsidRPr="00580C0D">
        <w:t xml:space="preserve"> </w:t>
      </w:r>
      <w:proofErr w:type="spellStart"/>
      <w:r w:rsidRPr="00580C0D">
        <w:t>gjeldande</w:t>
      </w:r>
      <w:proofErr w:type="spellEnd"/>
      <w:r w:rsidRPr="00580C0D">
        <w:t xml:space="preserve"> lovkrav med heimel i forsøkslova eller </w:t>
      </w:r>
      <w:proofErr w:type="spellStart"/>
      <w:r w:rsidRPr="00580C0D">
        <w:t>forsøksheimlar</w:t>
      </w:r>
      <w:proofErr w:type="spellEnd"/>
      <w:r w:rsidRPr="00580C0D">
        <w:t xml:space="preserve"> i særlover. Forsøka bør ha </w:t>
      </w:r>
      <w:proofErr w:type="spellStart"/>
      <w:r w:rsidRPr="00580C0D">
        <w:t>ein</w:t>
      </w:r>
      <w:proofErr w:type="spellEnd"/>
      <w:r w:rsidRPr="00580C0D">
        <w:t xml:space="preserve"> </w:t>
      </w:r>
      <w:proofErr w:type="spellStart"/>
      <w:r w:rsidRPr="00580C0D">
        <w:t>varigheit</w:t>
      </w:r>
      <w:proofErr w:type="spellEnd"/>
      <w:r w:rsidRPr="00580C0D">
        <w:t xml:space="preserve"> som er </w:t>
      </w:r>
      <w:proofErr w:type="spellStart"/>
      <w:r w:rsidRPr="00580C0D">
        <w:t>tilstrekkeleg</w:t>
      </w:r>
      <w:proofErr w:type="spellEnd"/>
      <w:r w:rsidRPr="00580C0D">
        <w:t xml:space="preserve"> lang til å vurdere om </w:t>
      </w:r>
      <w:proofErr w:type="spellStart"/>
      <w:r w:rsidRPr="00580C0D">
        <w:t>føremålet</w:t>
      </w:r>
      <w:proofErr w:type="spellEnd"/>
      <w:r w:rsidRPr="00580C0D">
        <w:t xml:space="preserve"> med forsøket blir oppnådd, normalt tre til fire år.</w:t>
      </w:r>
    </w:p>
    <w:p w14:paraId="579439A2" w14:textId="77777777" w:rsidR="00F7113A" w:rsidRPr="00580C0D" w:rsidRDefault="00142E5B" w:rsidP="00580C0D">
      <w:r w:rsidRPr="00580C0D">
        <w:t xml:space="preserve">Departementa samarbeider med KS om forsøksordninga og om </w:t>
      </w:r>
      <w:proofErr w:type="spellStart"/>
      <w:r w:rsidRPr="00580C0D">
        <w:t>eit</w:t>
      </w:r>
      <w:proofErr w:type="spellEnd"/>
      <w:r w:rsidRPr="00580C0D">
        <w:t xml:space="preserve"> opplegg for læring og erfaringsutveksling for </w:t>
      </w:r>
      <w:proofErr w:type="spellStart"/>
      <w:r w:rsidRPr="00580C0D">
        <w:t>kommunar</w:t>
      </w:r>
      <w:proofErr w:type="spellEnd"/>
      <w:r w:rsidRPr="00580C0D">
        <w:t xml:space="preserve"> og </w:t>
      </w:r>
      <w:proofErr w:type="spellStart"/>
      <w:r w:rsidRPr="00580C0D">
        <w:t>fylkeskommunar</w:t>
      </w:r>
      <w:proofErr w:type="spellEnd"/>
      <w:r w:rsidRPr="00580C0D">
        <w:t xml:space="preserve"> som deltar i ordninga.</w:t>
      </w:r>
    </w:p>
    <w:p w14:paraId="6C73F35C"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374C05C3" w14:textId="77777777" w:rsidR="00F7113A" w:rsidRPr="00580C0D" w:rsidRDefault="00142E5B" w:rsidP="00580C0D">
      <w:pPr>
        <w:pStyle w:val="avsnitt-tittel"/>
      </w:pPr>
      <w:proofErr w:type="spellStart"/>
      <w:r w:rsidRPr="00580C0D">
        <w:t>Meirutgifter</w:t>
      </w:r>
      <w:proofErr w:type="spellEnd"/>
      <w:r w:rsidRPr="00580C0D">
        <w:t xml:space="preserve"> til pandemien i </w:t>
      </w:r>
      <w:proofErr w:type="spellStart"/>
      <w:r w:rsidRPr="00580C0D">
        <w:t>kommunane</w:t>
      </w:r>
      <w:proofErr w:type="spellEnd"/>
      <w:r w:rsidRPr="00580C0D">
        <w:t xml:space="preserve"> og </w:t>
      </w:r>
      <w:proofErr w:type="spellStart"/>
      <w:r w:rsidRPr="00580C0D">
        <w:t>fylkeskommunane</w:t>
      </w:r>
      <w:proofErr w:type="spellEnd"/>
    </w:p>
    <w:p w14:paraId="7A85CEB2" w14:textId="77777777" w:rsidR="00F7113A" w:rsidRPr="00580C0D" w:rsidRDefault="00142E5B" w:rsidP="00580C0D">
      <w:pPr>
        <w:pStyle w:val="avsnitt-undertittel"/>
      </w:pPr>
      <w:r w:rsidRPr="00580C0D">
        <w:t>Vedtak nr. 828, 17. juni 2022</w:t>
      </w:r>
    </w:p>
    <w:p w14:paraId="7A578017" w14:textId="77777777" w:rsidR="00F7113A" w:rsidRPr="00580C0D" w:rsidRDefault="00142E5B" w:rsidP="00580C0D">
      <w:pPr>
        <w:pStyle w:val="blokksit"/>
        <w:rPr>
          <w:rStyle w:val="kursiv"/>
        </w:rPr>
      </w:pPr>
      <w:r w:rsidRPr="00580C0D">
        <w:rPr>
          <w:rStyle w:val="kursiv"/>
        </w:rPr>
        <w:t>«Stortinget ber regjeringen fremme forslag i nysalderingen av statsbudsjettet for 2022 om å kompensere merutgifter til pandemien i kommunene og fylkeskommunene i perioden 2020 til første halvår 2022.»</w:t>
      </w:r>
    </w:p>
    <w:p w14:paraId="09D9F542" w14:textId="77777777" w:rsidR="00F7113A" w:rsidRPr="00580C0D" w:rsidRDefault="00142E5B" w:rsidP="00580C0D">
      <w:r w:rsidRPr="00580C0D">
        <w:t xml:space="preserve">Dokumenta som ligg til grunn for vedtaket, er Meld. St. 2 (2021–2022) </w:t>
      </w:r>
      <w:r w:rsidRPr="00580C0D">
        <w:rPr>
          <w:rStyle w:val="kursiv"/>
        </w:rPr>
        <w:t>Revidert nasjonalbudsjett 2022</w:t>
      </w:r>
      <w:r w:rsidRPr="00580C0D">
        <w:t xml:space="preserve"> og </w:t>
      </w:r>
      <w:proofErr w:type="spellStart"/>
      <w:r w:rsidRPr="00580C0D">
        <w:t>Innst</w:t>
      </w:r>
      <w:proofErr w:type="spellEnd"/>
      <w:r w:rsidRPr="00580C0D">
        <w:t>. 450 S (2021–2022).</w:t>
      </w:r>
    </w:p>
    <w:p w14:paraId="09A2A50B" w14:textId="77777777" w:rsidR="00F7113A" w:rsidRPr="00580C0D" w:rsidRDefault="00142E5B" w:rsidP="00580C0D">
      <w:r w:rsidRPr="00580C0D">
        <w:t xml:space="preserve">Arbeidsgruppa som vurderte </w:t>
      </w:r>
      <w:proofErr w:type="spellStart"/>
      <w:r w:rsidRPr="00580C0D">
        <w:t>dei</w:t>
      </w:r>
      <w:proofErr w:type="spellEnd"/>
      <w:r w:rsidRPr="00580C0D">
        <w:t xml:space="preserve"> økonomiske </w:t>
      </w:r>
      <w:proofErr w:type="spellStart"/>
      <w:r w:rsidRPr="00580C0D">
        <w:t>konsekvensane</w:t>
      </w:r>
      <w:proofErr w:type="spellEnd"/>
      <w:r w:rsidRPr="00580C0D">
        <w:t xml:space="preserve"> av pandemien for kommunesektoren, la i september 2022 fram </w:t>
      </w:r>
      <w:proofErr w:type="spellStart"/>
      <w:r w:rsidRPr="00580C0D">
        <w:t>ein</w:t>
      </w:r>
      <w:proofErr w:type="spellEnd"/>
      <w:r w:rsidRPr="00580C0D">
        <w:t xml:space="preserve"> rapport som omhandla 1. halvår 2022. Anslaget for </w:t>
      </w:r>
      <w:proofErr w:type="spellStart"/>
      <w:r w:rsidRPr="00580C0D">
        <w:t>meirutgifter</w:t>
      </w:r>
      <w:proofErr w:type="spellEnd"/>
      <w:r w:rsidRPr="00580C0D">
        <w:t xml:space="preserve"> og inntektsbortfall for kommunesektoren i 1. halvår 2022 var 8,8 mrd. kroner.</w:t>
      </w:r>
    </w:p>
    <w:p w14:paraId="3FA25616" w14:textId="77777777" w:rsidR="00F7113A" w:rsidRPr="00580C0D" w:rsidRDefault="00142E5B" w:rsidP="00580C0D">
      <w:r w:rsidRPr="00580C0D">
        <w:t xml:space="preserve">Ved </w:t>
      </w:r>
      <w:proofErr w:type="spellStart"/>
      <w:r w:rsidRPr="00580C0D">
        <w:t>behandlinga</w:t>
      </w:r>
      <w:proofErr w:type="spellEnd"/>
      <w:r w:rsidRPr="00580C0D">
        <w:t xml:space="preserve"> av </w:t>
      </w:r>
      <w:proofErr w:type="spellStart"/>
      <w:r w:rsidRPr="00580C0D">
        <w:t>Prop</w:t>
      </w:r>
      <w:proofErr w:type="spellEnd"/>
      <w:r w:rsidRPr="00580C0D">
        <w:t xml:space="preserve">. 23 S (2022–2023) </w:t>
      </w:r>
      <w:proofErr w:type="spellStart"/>
      <w:r w:rsidRPr="00580C0D">
        <w:t>fekk</w:t>
      </w:r>
      <w:proofErr w:type="spellEnd"/>
      <w:r w:rsidRPr="00580C0D">
        <w:t xml:space="preserve"> kommunesektoren ei tilleggsløyving på 7,3 mrd. kroner, fordelt med 6,9 mrd. kroner til </w:t>
      </w:r>
      <w:proofErr w:type="spellStart"/>
      <w:r w:rsidRPr="00580C0D">
        <w:t>kommunane</w:t>
      </w:r>
      <w:proofErr w:type="spellEnd"/>
      <w:r w:rsidRPr="00580C0D">
        <w:t xml:space="preserve"> og 0,4 mrd. kroner til </w:t>
      </w:r>
      <w:proofErr w:type="spellStart"/>
      <w:r w:rsidRPr="00580C0D">
        <w:t>fylkeskommunane</w:t>
      </w:r>
      <w:proofErr w:type="spellEnd"/>
      <w:r w:rsidRPr="00580C0D">
        <w:t xml:space="preserve">. Dette kom i tillegg til ei løyving på 1,5 mrd. kroner som </w:t>
      </w:r>
      <w:proofErr w:type="spellStart"/>
      <w:r w:rsidRPr="00580C0D">
        <w:t>allereie</w:t>
      </w:r>
      <w:proofErr w:type="spellEnd"/>
      <w:r w:rsidRPr="00580C0D">
        <w:t xml:space="preserve"> var gitt. Med dette </w:t>
      </w:r>
      <w:proofErr w:type="spellStart"/>
      <w:r w:rsidRPr="00580C0D">
        <w:t>vart</w:t>
      </w:r>
      <w:proofErr w:type="spellEnd"/>
      <w:r w:rsidRPr="00580C0D">
        <w:t xml:space="preserve"> både </w:t>
      </w:r>
      <w:proofErr w:type="spellStart"/>
      <w:r w:rsidRPr="00580C0D">
        <w:t>kommunane</w:t>
      </w:r>
      <w:proofErr w:type="spellEnd"/>
      <w:r w:rsidRPr="00580C0D">
        <w:t xml:space="preserve"> og </w:t>
      </w:r>
      <w:proofErr w:type="spellStart"/>
      <w:r w:rsidRPr="00580C0D">
        <w:t>fylkeskommunane</w:t>
      </w:r>
      <w:proofErr w:type="spellEnd"/>
      <w:r w:rsidRPr="00580C0D">
        <w:t xml:space="preserve"> samla sett fullt ut kompenserte for </w:t>
      </w:r>
      <w:proofErr w:type="spellStart"/>
      <w:r w:rsidRPr="00580C0D">
        <w:t>meirutgifter</w:t>
      </w:r>
      <w:proofErr w:type="spellEnd"/>
      <w:r w:rsidRPr="00580C0D">
        <w:t xml:space="preserve"> og mindreinntekter i 1. halvår 2022. I 2020 og 2021 var koronakompensasjonen til kommunesektoren samla sett om lag 1,9 mrd. 2022-kroner </w:t>
      </w:r>
      <w:proofErr w:type="spellStart"/>
      <w:r w:rsidRPr="00580C0D">
        <w:t>høgare</w:t>
      </w:r>
      <w:proofErr w:type="spellEnd"/>
      <w:r w:rsidRPr="00580C0D">
        <w:t xml:space="preserve"> enn anslåtte </w:t>
      </w:r>
      <w:proofErr w:type="spellStart"/>
      <w:r w:rsidRPr="00580C0D">
        <w:t>meirutgifter</w:t>
      </w:r>
      <w:proofErr w:type="spellEnd"/>
      <w:r w:rsidRPr="00580C0D">
        <w:t xml:space="preserve"> og inntektsbortfall.</w:t>
      </w:r>
    </w:p>
    <w:p w14:paraId="51CD6195"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4F2577EE" w14:textId="77777777" w:rsidR="00F7113A" w:rsidRPr="00580C0D" w:rsidRDefault="00142E5B" w:rsidP="00580C0D">
      <w:pPr>
        <w:pStyle w:val="Overskrift2"/>
      </w:pPr>
      <w:r w:rsidRPr="00580C0D">
        <w:t>Stortingssesjon 2020–2021</w:t>
      </w:r>
    </w:p>
    <w:p w14:paraId="6B76C764" w14:textId="77777777" w:rsidR="00F7113A" w:rsidRPr="00580C0D" w:rsidRDefault="00142E5B" w:rsidP="00580C0D">
      <w:pPr>
        <w:pStyle w:val="avsnitt-tittel"/>
      </w:pPr>
      <w:r w:rsidRPr="00580C0D">
        <w:t xml:space="preserve">Utgreie rett til høghastigheitsinternett for alle </w:t>
      </w:r>
      <w:proofErr w:type="spellStart"/>
      <w:r w:rsidRPr="00580C0D">
        <w:t>husstandar</w:t>
      </w:r>
      <w:proofErr w:type="spellEnd"/>
    </w:p>
    <w:p w14:paraId="46CC30AD" w14:textId="77777777" w:rsidR="00F7113A" w:rsidRPr="00580C0D" w:rsidRDefault="00142E5B" w:rsidP="00580C0D">
      <w:pPr>
        <w:pStyle w:val="avsnitt-undertittel"/>
      </w:pPr>
      <w:r w:rsidRPr="00580C0D">
        <w:t>Vedtak nr. 1060, 1. juni 2021</w:t>
      </w:r>
    </w:p>
    <w:p w14:paraId="227445AD" w14:textId="77777777" w:rsidR="00F7113A" w:rsidRPr="00580C0D" w:rsidRDefault="00142E5B" w:rsidP="00580C0D">
      <w:pPr>
        <w:pStyle w:val="blokksit"/>
        <w:rPr>
          <w:rStyle w:val="kursiv"/>
        </w:rPr>
      </w:pPr>
      <w:r w:rsidRPr="00580C0D">
        <w:rPr>
          <w:rStyle w:val="kursiv"/>
        </w:rPr>
        <w:t>«Stortinget ber regjeringen utrede en rett til høyhastighetsinternett for alle husstander i Norge.»</w:t>
      </w:r>
    </w:p>
    <w:p w14:paraId="61A1B5BE" w14:textId="77777777" w:rsidR="00F7113A" w:rsidRPr="00580C0D" w:rsidRDefault="00142E5B" w:rsidP="00580C0D">
      <w:r w:rsidRPr="00580C0D">
        <w:t xml:space="preserve">Dokumenta som ligg til grunn for vedtaket, er Meld. St. 28 (2020–2021) </w:t>
      </w:r>
      <w:r w:rsidRPr="00580C0D">
        <w:rPr>
          <w:rStyle w:val="kursiv"/>
        </w:rPr>
        <w:t>Vår felles digitale grunnmur – Mobil-, bredbånds- og internettjenester</w:t>
      </w:r>
      <w:r w:rsidRPr="00580C0D">
        <w:t xml:space="preserve">, Dokument 8:151 S (2020–2021) og </w:t>
      </w:r>
      <w:proofErr w:type="spellStart"/>
      <w:r w:rsidRPr="00580C0D">
        <w:t>Innst</w:t>
      </w:r>
      <w:proofErr w:type="spellEnd"/>
      <w:r w:rsidRPr="00580C0D">
        <w:t>. 511 S (2020–2021).</w:t>
      </w:r>
    </w:p>
    <w:p w14:paraId="13C62732" w14:textId="340D637D" w:rsidR="00F7113A" w:rsidRPr="00580C0D" w:rsidRDefault="00142E5B" w:rsidP="00580C0D">
      <w:r w:rsidRPr="00580C0D">
        <w:t xml:space="preserve">Regjeringa har ambisiøse mål for breibanddekning, inkludert at alle </w:t>
      </w:r>
      <w:proofErr w:type="spellStart"/>
      <w:r w:rsidRPr="00580C0D">
        <w:t>husstandar</w:t>
      </w:r>
      <w:proofErr w:type="spellEnd"/>
      <w:r w:rsidRPr="00580C0D">
        <w:t xml:space="preserve"> skal ha </w:t>
      </w:r>
      <w:proofErr w:type="spellStart"/>
      <w:r w:rsidRPr="00580C0D">
        <w:t>tilbod</w:t>
      </w:r>
      <w:proofErr w:type="spellEnd"/>
      <w:r w:rsidRPr="00580C0D">
        <w:t xml:space="preserve"> om minst 100 Mbit/s nedlastingshastigheit </w:t>
      </w:r>
      <w:proofErr w:type="spellStart"/>
      <w:r w:rsidRPr="00580C0D">
        <w:t>innan</w:t>
      </w:r>
      <w:proofErr w:type="spellEnd"/>
      <w:r w:rsidRPr="00580C0D">
        <w:t xml:space="preserve"> 2025. Regjeringa foreslår </w:t>
      </w:r>
      <w:proofErr w:type="spellStart"/>
      <w:r w:rsidRPr="00580C0D">
        <w:t>ein</w:t>
      </w:r>
      <w:proofErr w:type="spellEnd"/>
      <w:r w:rsidRPr="00580C0D">
        <w:t xml:space="preserve"> </w:t>
      </w:r>
      <w:proofErr w:type="spellStart"/>
      <w:r w:rsidRPr="00580C0D">
        <w:t>auke</w:t>
      </w:r>
      <w:proofErr w:type="spellEnd"/>
      <w:r w:rsidRPr="00580C0D">
        <w:t xml:space="preserve"> på kap. 541, post 60 Breibandutbygging i 2024, og denne </w:t>
      </w:r>
      <w:proofErr w:type="spellStart"/>
      <w:r w:rsidRPr="00580C0D">
        <w:t>auken</w:t>
      </w:r>
      <w:proofErr w:type="spellEnd"/>
      <w:r w:rsidRPr="00580C0D">
        <w:t xml:space="preserve"> </w:t>
      </w:r>
      <w:proofErr w:type="spellStart"/>
      <w:r w:rsidRPr="00580C0D">
        <w:t>legg</w:t>
      </w:r>
      <w:proofErr w:type="spellEnd"/>
      <w:r w:rsidRPr="00580C0D">
        <w:t xml:space="preserve"> til rette for at </w:t>
      </w:r>
      <w:proofErr w:type="spellStart"/>
      <w:r w:rsidRPr="00580C0D">
        <w:t>fleire</w:t>
      </w:r>
      <w:proofErr w:type="spellEnd"/>
      <w:r w:rsidRPr="00580C0D">
        <w:t xml:space="preserve"> </w:t>
      </w:r>
      <w:proofErr w:type="spellStart"/>
      <w:r w:rsidRPr="00580C0D">
        <w:t>husstandar</w:t>
      </w:r>
      <w:proofErr w:type="spellEnd"/>
      <w:r w:rsidRPr="00580C0D">
        <w:t xml:space="preserve"> og </w:t>
      </w:r>
      <w:proofErr w:type="spellStart"/>
      <w:r w:rsidRPr="00580C0D">
        <w:t>verksemder</w:t>
      </w:r>
      <w:proofErr w:type="spellEnd"/>
      <w:r w:rsidRPr="00580C0D">
        <w:t xml:space="preserve"> skal få tilgang til </w:t>
      </w:r>
      <w:proofErr w:type="spellStart"/>
      <w:r w:rsidRPr="00580C0D">
        <w:t>høghastigheits</w:t>
      </w:r>
      <w:proofErr w:type="spellEnd"/>
      <w:r w:rsidRPr="00580C0D">
        <w:t xml:space="preserve"> breiband. Foreløpige tall </w:t>
      </w:r>
      <w:proofErr w:type="spellStart"/>
      <w:r w:rsidRPr="00580C0D">
        <w:t>frå</w:t>
      </w:r>
      <w:proofErr w:type="spellEnd"/>
      <w:r w:rsidRPr="00580C0D">
        <w:t xml:space="preserve"> Nasjonal kommunikasjonsmyndigheit viser at per første halvår 2023 var dekninga for breiband med 100 Mbit/s 96,6 pst.</w:t>
      </w:r>
      <w:r w:rsidR="00580C0D">
        <w:t xml:space="preserve"> </w:t>
      </w:r>
      <w:proofErr w:type="spellStart"/>
      <w:r w:rsidRPr="00580C0D">
        <w:t>Analysys</w:t>
      </w:r>
      <w:proofErr w:type="spellEnd"/>
      <w:r w:rsidRPr="00580C0D">
        <w:t xml:space="preserve"> Mason berekna for departementet i november 2022 at det på det </w:t>
      </w:r>
      <w:proofErr w:type="spellStart"/>
      <w:r w:rsidRPr="00580C0D">
        <w:t>dåverande</w:t>
      </w:r>
      <w:proofErr w:type="spellEnd"/>
      <w:r w:rsidRPr="00580C0D">
        <w:t xml:space="preserve"> tidspunktet ville koste i overkant av 1,5 </w:t>
      </w:r>
      <w:proofErr w:type="spellStart"/>
      <w:r w:rsidRPr="00580C0D">
        <w:t>milliardar</w:t>
      </w:r>
      <w:proofErr w:type="spellEnd"/>
      <w:r w:rsidRPr="00580C0D">
        <w:t xml:space="preserve"> kroner i </w:t>
      </w:r>
      <w:proofErr w:type="spellStart"/>
      <w:r w:rsidRPr="00580C0D">
        <w:t>offentleg</w:t>
      </w:r>
      <w:proofErr w:type="spellEnd"/>
      <w:r w:rsidRPr="00580C0D">
        <w:t xml:space="preserve"> stønad å bygge ut breiband med minst 100 Mbit/s til alle.</w:t>
      </w:r>
    </w:p>
    <w:p w14:paraId="33DA7598" w14:textId="77777777" w:rsidR="00F7113A" w:rsidRPr="00580C0D" w:rsidRDefault="00142E5B" w:rsidP="00580C0D">
      <w:proofErr w:type="spellStart"/>
      <w:r w:rsidRPr="00580C0D">
        <w:t>Ein</w:t>
      </w:r>
      <w:proofErr w:type="spellEnd"/>
      <w:r w:rsidRPr="00580C0D">
        <w:t xml:space="preserve"> rett til høghastighets internett for alle </w:t>
      </w:r>
      <w:proofErr w:type="spellStart"/>
      <w:r w:rsidRPr="00580C0D">
        <w:t>husstandar</w:t>
      </w:r>
      <w:proofErr w:type="spellEnd"/>
      <w:r w:rsidRPr="00580C0D">
        <w:t xml:space="preserve"> i </w:t>
      </w:r>
      <w:proofErr w:type="spellStart"/>
      <w:r w:rsidRPr="00580C0D">
        <w:t>Noreg</w:t>
      </w:r>
      <w:proofErr w:type="spellEnd"/>
      <w:r w:rsidRPr="00580C0D">
        <w:t xml:space="preserve"> vil kunne bli etablert gjennom </w:t>
      </w:r>
      <w:proofErr w:type="spellStart"/>
      <w:r w:rsidRPr="00580C0D">
        <w:t>ein</w:t>
      </w:r>
      <w:proofErr w:type="spellEnd"/>
      <w:r w:rsidRPr="00580C0D">
        <w:t xml:space="preserve"> leveringsplikt på </w:t>
      </w:r>
      <w:proofErr w:type="spellStart"/>
      <w:r w:rsidRPr="00580C0D">
        <w:t>ein</w:t>
      </w:r>
      <w:proofErr w:type="spellEnd"/>
      <w:r w:rsidRPr="00580C0D">
        <w:t xml:space="preserve"> eller </w:t>
      </w:r>
      <w:proofErr w:type="spellStart"/>
      <w:r w:rsidRPr="00580C0D">
        <w:t>fleire</w:t>
      </w:r>
      <w:proofErr w:type="spellEnd"/>
      <w:r w:rsidRPr="00580C0D">
        <w:t xml:space="preserve"> </w:t>
      </w:r>
      <w:proofErr w:type="spellStart"/>
      <w:r w:rsidRPr="00580C0D">
        <w:t>tilbydarar</w:t>
      </w:r>
      <w:proofErr w:type="spellEnd"/>
      <w:r w:rsidRPr="00580C0D">
        <w:t xml:space="preserve">. Regjeringa har </w:t>
      </w:r>
      <w:proofErr w:type="spellStart"/>
      <w:r w:rsidRPr="00580C0D">
        <w:t>høyrd</w:t>
      </w:r>
      <w:proofErr w:type="spellEnd"/>
      <w:r w:rsidRPr="00580C0D">
        <w:t xml:space="preserve"> </w:t>
      </w:r>
      <w:proofErr w:type="spellStart"/>
      <w:r w:rsidRPr="00580C0D">
        <w:t>eit</w:t>
      </w:r>
      <w:proofErr w:type="spellEnd"/>
      <w:r w:rsidRPr="00580C0D">
        <w:t xml:space="preserve"> forslag om </w:t>
      </w:r>
      <w:proofErr w:type="spellStart"/>
      <w:r w:rsidRPr="00580C0D">
        <w:t>ein</w:t>
      </w:r>
      <w:proofErr w:type="spellEnd"/>
      <w:r w:rsidRPr="00580C0D">
        <w:t xml:space="preserve"> lovheimel for å kunne pålegge leveringsplikt for breiband i </w:t>
      </w:r>
      <w:proofErr w:type="spellStart"/>
      <w:r w:rsidRPr="00580C0D">
        <w:t>Noreg</w:t>
      </w:r>
      <w:proofErr w:type="spellEnd"/>
      <w:r w:rsidRPr="00580C0D">
        <w:t xml:space="preserve">. Her foreslår regjeringa at det blir innført </w:t>
      </w:r>
      <w:proofErr w:type="spellStart"/>
      <w:r w:rsidRPr="00580C0D">
        <w:t>ein</w:t>
      </w:r>
      <w:proofErr w:type="spellEnd"/>
      <w:r w:rsidRPr="00580C0D">
        <w:t xml:space="preserve"> lovheimel for å kunne pålegge leveringsplikt for breiband i </w:t>
      </w:r>
      <w:proofErr w:type="spellStart"/>
      <w:r w:rsidRPr="00580C0D">
        <w:t>Noreg</w:t>
      </w:r>
      <w:proofErr w:type="spellEnd"/>
      <w:r w:rsidRPr="00580C0D">
        <w:t xml:space="preserve">. </w:t>
      </w:r>
      <w:proofErr w:type="spellStart"/>
      <w:r w:rsidRPr="00580C0D">
        <w:t>Høyringa</w:t>
      </w:r>
      <w:proofErr w:type="spellEnd"/>
      <w:r w:rsidRPr="00580C0D">
        <w:t xml:space="preserve"> </w:t>
      </w:r>
      <w:proofErr w:type="spellStart"/>
      <w:r w:rsidRPr="00580C0D">
        <w:t>inneheld</w:t>
      </w:r>
      <w:proofErr w:type="spellEnd"/>
      <w:r w:rsidRPr="00580C0D">
        <w:t xml:space="preserve"> </w:t>
      </w:r>
      <w:proofErr w:type="spellStart"/>
      <w:r w:rsidRPr="00580C0D">
        <w:t>ein</w:t>
      </w:r>
      <w:proofErr w:type="spellEnd"/>
      <w:r w:rsidRPr="00580C0D">
        <w:t xml:space="preserve"> </w:t>
      </w:r>
      <w:proofErr w:type="spellStart"/>
      <w:r w:rsidRPr="00580C0D">
        <w:t>nærmare</w:t>
      </w:r>
      <w:proofErr w:type="spellEnd"/>
      <w:r w:rsidRPr="00580C0D">
        <w:t xml:space="preserve"> omtale av korleis </w:t>
      </w:r>
      <w:proofErr w:type="spellStart"/>
      <w:r w:rsidRPr="00580C0D">
        <w:t>ein</w:t>
      </w:r>
      <w:proofErr w:type="spellEnd"/>
      <w:r w:rsidRPr="00580C0D">
        <w:t xml:space="preserve"> slik leveringsplikt kan </w:t>
      </w:r>
      <w:proofErr w:type="spellStart"/>
      <w:r w:rsidRPr="00580C0D">
        <w:t>innrettast</w:t>
      </w:r>
      <w:proofErr w:type="spellEnd"/>
      <w:r w:rsidRPr="00580C0D">
        <w:t>.</w:t>
      </w:r>
    </w:p>
    <w:p w14:paraId="5EDE062F"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06A01B3C" w14:textId="77777777" w:rsidR="00F7113A" w:rsidRPr="00580C0D" w:rsidRDefault="00142E5B" w:rsidP="00580C0D">
      <w:pPr>
        <w:pStyle w:val="avsnitt-tittel"/>
      </w:pPr>
      <w:r w:rsidRPr="00580C0D">
        <w:t xml:space="preserve">Mobil- og internettdekning langs </w:t>
      </w:r>
      <w:proofErr w:type="spellStart"/>
      <w:r w:rsidRPr="00580C0D">
        <w:t>eksisterande</w:t>
      </w:r>
      <w:proofErr w:type="spellEnd"/>
      <w:r w:rsidRPr="00580C0D">
        <w:t xml:space="preserve"> </w:t>
      </w:r>
      <w:proofErr w:type="spellStart"/>
      <w:r w:rsidRPr="00580C0D">
        <w:t>riksvegar</w:t>
      </w:r>
      <w:proofErr w:type="spellEnd"/>
    </w:p>
    <w:p w14:paraId="47417E53" w14:textId="77777777" w:rsidR="00F7113A" w:rsidRPr="00580C0D" w:rsidRDefault="00142E5B" w:rsidP="00580C0D">
      <w:pPr>
        <w:pStyle w:val="avsnitt-undertittel"/>
      </w:pPr>
      <w:r w:rsidRPr="00580C0D">
        <w:t>Vedtak nr. 1066, 1. juni 2021</w:t>
      </w:r>
    </w:p>
    <w:p w14:paraId="36981277" w14:textId="77777777" w:rsidR="00F7113A" w:rsidRPr="00580C0D" w:rsidRDefault="00142E5B" w:rsidP="00580C0D">
      <w:pPr>
        <w:pStyle w:val="blokksit"/>
        <w:rPr>
          <w:rStyle w:val="kursiv"/>
        </w:rPr>
      </w:pPr>
      <w:r w:rsidRPr="00580C0D">
        <w:rPr>
          <w:rStyle w:val="kursiv"/>
        </w:rPr>
        <w:t>«Stortinget ber regjeringen utarbeide en plan for utbygging av mobil- og internettdekning langs eksisterende riksveier, som spesifiserer dekningshull og kostnadene for utbedring av disse, og innarbeide dette i revidert nasjonalbudsjett for 2022.»</w:t>
      </w:r>
    </w:p>
    <w:p w14:paraId="030930AE" w14:textId="77777777" w:rsidR="00F7113A" w:rsidRPr="00580C0D" w:rsidRDefault="00142E5B" w:rsidP="00580C0D">
      <w:r w:rsidRPr="00580C0D">
        <w:t xml:space="preserve">Dokumenta som ligg til grunn for vedtaket, er Meld. St. 28 (2020–2021) </w:t>
      </w:r>
      <w:r w:rsidRPr="00580C0D">
        <w:rPr>
          <w:rStyle w:val="kursiv"/>
        </w:rPr>
        <w:t>Vår felles digitale grunnmur – Mobil-, bredbånds- og internettjenester</w:t>
      </w:r>
      <w:r w:rsidRPr="00580C0D">
        <w:t xml:space="preserve"> og </w:t>
      </w:r>
      <w:proofErr w:type="spellStart"/>
      <w:r w:rsidRPr="00580C0D">
        <w:t>Innst</w:t>
      </w:r>
      <w:proofErr w:type="spellEnd"/>
      <w:r w:rsidRPr="00580C0D">
        <w:t>. 511 S (2020–2021).</w:t>
      </w:r>
    </w:p>
    <w:p w14:paraId="129D47B3" w14:textId="77777777" w:rsidR="00F7113A" w:rsidRPr="00580C0D" w:rsidRDefault="00142E5B" w:rsidP="00580C0D">
      <w:r w:rsidRPr="00580C0D">
        <w:t xml:space="preserve">I </w:t>
      </w:r>
      <w:proofErr w:type="spellStart"/>
      <w:r w:rsidRPr="00580C0D">
        <w:t>Prop</w:t>
      </w:r>
      <w:proofErr w:type="spellEnd"/>
      <w:r w:rsidRPr="00580C0D">
        <w:t xml:space="preserve">. 1 S (2022–2023) for Kommunal- og </w:t>
      </w:r>
      <w:proofErr w:type="spellStart"/>
      <w:r w:rsidRPr="00580C0D">
        <w:t>distriktsdepartementet</w:t>
      </w:r>
      <w:proofErr w:type="spellEnd"/>
      <w:r w:rsidRPr="00580C0D">
        <w:t xml:space="preserve"> </w:t>
      </w:r>
      <w:proofErr w:type="spellStart"/>
      <w:r w:rsidRPr="00580C0D">
        <w:t>vart</w:t>
      </w:r>
      <w:proofErr w:type="spellEnd"/>
      <w:r w:rsidRPr="00580C0D">
        <w:t xml:space="preserve"> det opplyst at departementet har vurdert resultata av ei gjennomført ekstern utgreiing og funne ut at det er behov for å </w:t>
      </w:r>
      <w:proofErr w:type="spellStart"/>
      <w:r w:rsidRPr="00580C0D">
        <w:t>gjere</w:t>
      </w:r>
      <w:proofErr w:type="spellEnd"/>
      <w:r w:rsidRPr="00580C0D">
        <w:t xml:space="preserve"> </w:t>
      </w:r>
      <w:proofErr w:type="spellStart"/>
      <w:r w:rsidRPr="00580C0D">
        <w:t>ytterlegare</w:t>
      </w:r>
      <w:proofErr w:type="spellEnd"/>
      <w:r w:rsidRPr="00580C0D">
        <w:t xml:space="preserve"> </w:t>
      </w:r>
      <w:proofErr w:type="spellStart"/>
      <w:r w:rsidRPr="00580C0D">
        <w:t>studiar</w:t>
      </w:r>
      <w:proofErr w:type="spellEnd"/>
      <w:r w:rsidRPr="00580C0D">
        <w:t xml:space="preserve">. Departementet arbeider fortsett med ei ny utgreiing, som </w:t>
      </w:r>
      <w:proofErr w:type="spellStart"/>
      <w:r w:rsidRPr="00580C0D">
        <w:t>inneber</w:t>
      </w:r>
      <w:proofErr w:type="spellEnd"/>
      <w:r w:rsidRPr="00580C0D">
        <w:t xml:space="preserve"> å komplettere </w:t>
      </w:r>
      <w:proofErr w:type="spellStart"/>
      <w:r w:rsidRPr="00580C0D">
        <w:t>eksisterande</w:t>
      </w:r>
      <w:proofErr w:type="spellEnd"/>
      <w:r w:rsidRPr="00580C0D">
        <w:t xml:space="preserve"> resultat med </w:t>
      </w:r>
      <w:proofErr w:type="spellStart"/>
      <w:r w:rsidRPr="00580C0D">
        <w:t>fleire</w:t>
      </w:r>
      <w:proofErr w:type="spellEnd"/>
      <w:r w:rsidRPr="00580C0D">
        <w:t xml:space="preserve"> </w:t>
      </w:r>
      <w:proofErr w:type="spellStart"/>
      <w:r w:rsidRPr="00580C0D">
        <w:t>målingar</w:t>
      </w:r>
      <w:proofErr w:type="spellEnd"/>
      <w:r w:rsidRPr="00580C0D">
        <w:t xml:space="preserve"> langs enda </w:t>
      </w:r>
      <w:proofErr w:type="spellStart"/>
      <w:r w:rsidRPr="00580C0D">
        <w:t>fleire</w:t>
      </w:r>
      <w:proofErr w:type="spellEnd"/>
      <w:r w:rsidRPr="00580C0D">
        <w:t xml:space="preserve"> </w:t>
      </w:r>
      <w:proofErr w:type="spellStart"/>
      <w:r w:rsidRPr="00580C0D">
        <w:t>riksvegar</w:t>
      </w:r>
      <w:proofErr w:type="spellEnd"/>
      <w:r w:rsidRPr="00580C0D">
        <w:t xml:space="preserve">. Dette vil </w:t>
      </w:r>
      <w:proofErr w:type="spellStart"/>
      <w:r w:rsidRPr="00580C0D">
        <w:t>gjere</w:t>
      </w:r>
      <w:proofErr w:type="spellEnd"/>
      <w:r w:rsidRPr="00580C0D">
        <w:t xml:space="preserve"> det </w:t>
      </w:r>
      <w:proofErr w:type="spellStart"/>
      <w:r w:rsidRPr="00580C0D">
        <w:t>mogleg</w:t>
      </w:r>
      <w:proofErr w:type="spellEnd"/>
      <w:r w:rsidRPr="00580C0D">
        <w:t xml:space="preserve"> å få </w:t>
      </w:r>
      <w:proofErr w:type="spellStart"/>
      <w:r w:rsidRPr="00580C0D">
        <w:t>eit</w:t>
      </w:r>
      <w:proofErr w:type="spellEnd"/>
      <w:r w:rsidRPr="00580C0D">
        <w:t xml:space="preserve"> </w:t>
      </w:r>
      <w:proofErr w:type="spellStart"/>
      <w:r w:rsidRPr="00580C0D">
        <w:t>meir</w:t>
      </w:r>
      <w:proofErr w:type="spellEnd"/>
      <w:r w:rsidRPr="00580C0D">
        <w:t xml:space="preserve"> presist situasjonsbilde, og det vil gi </w:t>
      </w:r>
      <w:proofErr w:type="spellStart"/>
      <w:r w:rsidRPr="00580C0D">
        <w:t>eit</w:t>
      </w:r>
      <w:proofErr w:type="spellEnd"/>
      <w:r w:rsidRPr="00580C0D">
        <w:t xml:space="preserve"> betre grunnlag for å estimere kostnadene knytte til å </w:t>
      </w:r>
      <w:proofErr w:type="spellStart"/>
      <w:r w:rsidRPr="00580C0D">
        <w:t>utbetre</w:t>
      </w:r>
      <w:proofErr w:type="spellEnd"/>
      <w:r w:rsidRPr="00580C0D">
        <w:t xml:space="preserve"> </w:t>
      </w:r>
      <w:proofErr w:type="spellStart"/>
      <w:r w:rsidRPr="00580C0D">
        <w:t>dekningshol</w:t>
      </w:r>
      <w:proofErr w:type="spellEnd"/>
      <w:r w:rsidRPr="00580C0D">
        <w:t xml:space="preserve"> langs riksvegnettet.</w:t>
      </w:r>
    </w:p>
    <w:p w14:paraId="36D45241"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eigna måte.</w:t>
      </w:r>
    </w:p>
    <w:p w14:paraId="0A646940" w14:textId="77777777" w:rsidR="00F7113A" w:rsidRPr="00580C0D" w:rsidRDefault="00142E5B" w:rsidP="00580C0D">
      <w:pPr>
        <w:pStyle w:val="avsnitt-tittel"/>
      </w:pPr>
      <w:proofErr w:type="spellStart"/>
      <w:r w:rsidRPr="00580C0D">
        <w:t>Klarare</w:t>
      </w:r>
      <w:proofErr w:type="spellEnd"/>
      <w:r w:rsidRPr="00580C0D">
        <w:t xml:space="preserve"> </w:t>
      </w:r>
      <w:proofErr w:type="spellStart"/>
      <w:r w:rsidRPr="00580C0D">
        <w:t>reglar</w:t>
      </w:r>
      <w:proofErr w:type="spellEnd"/>
      <w:r w:rsidRPr="00580C0D">
        <w:t xml:space="preserve"> for krav til </w:t>
      </w:r>
      <w:proofErr w:type="spellStart"/>
      <w:r w:rsidRPr="00580C0D">
        <w:t>sløkkevatn</w:t>
      </w:r>
      <w:proofErr w:type="spellEnd"/>
    </w:p>
    <w:p w14:paraId="4926635D" w14:textId="77777777" w:rsidR="00F7113A" w:rsidRPr="00580C0D" w:rsidRDefault="00142E5B" w:rsidP="00580C0D">
      <w:pPr>
        <w:pStyle w:val="avsnitt-undertittel"/>
      </w:pPr>
      <w:r w:rsidRPr="00580C0D">
        <w:t>Vedtak nr. 1209, 10. juni 2021</w:t>
      </w:r>
    </w:p>
    <w:p w14:paraId="60BEB994" w14:textId="77777777" w:rsidR="00F7113A" w:rsidRPr="00580C0D" w:rsidRDefault="00142E5B" w:rsidP="00580C0D">
      <w:pPr>
        <w:pStyle w:val="blokksit"/>
        <w:rPr>
          <w:rStyle w:val="kursiv"/>
        </w:rPr>
      </w:pPr>
      <w:r w:rsidRPr="00580C0D">
        <w:rPr>
          <w:rStyle w:val="kursiv"/>
        </w:rPr>
        <w:t xml:space="preserve">«Stortinget ber regjeringen om å oppstille klare vilkår i regelverket for i hvilke tilfeller kommunene kan fravike de preaksepterte løsningene i </w:t>
      </w:r>
      <w:proofErr w:type="spellStart"/>
      <w:r w:rsidRPr="00580C0D">
        <w:rPr>
          <w:rStyle w:val="kursiv"/>
        </w:rPr>
        <w:t>byggteknisk</w:t>
      </w:r>
      <w:proofErr w:type="spellEnd"/>
      <w:r w:rsidRPr="00580C0D">
        <w:rPr>
          <w:rStyle w:val="kursiv"/>
        </w:rPr>
        <w:t xml:space="preserve"> forskrift (TEK17) § 11-17 og forskrift om brannforebygging § 21 til ugunst for utbygger hvor det </w:t>
      </w:r>
      <w:proofErr w:type="spellStart"/>
      <w:r w:rsidRPr="00580C0D">
        <w:rPr>
          <w:rStyle w:val="kursiv"/>
        </w:rPr>
        <w:t>brannprosjekteres</w:t>
      </w:r>
      <w:proofErr w:type="spellEnd"/>
      <w:r w:rsidRPr="00580C0D">
        <w:rPr>
          <w:rStyle w:val="kursiv"/>
        </w:rPr>
        <w:t xml:space="preserve"> med tankbil.»</w:t>
      </w:r>
    </w:p>
    <w:p w14:paraId="0FE257F5"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Hans Andreas </w:t>
      </w:r>
      <w:proofErr w:type="spellStart"/>
      <w:r w:rsidRPr="00580C0D">
        <w:t>Limi</w:t>
      </w:r>
      <w:proofErr w:type="spellEnd"/>
      <w:r w:rsidRPr="00580C0D">
        <w:t xml:space="preserve">, Erlend Wiborg, Per-Willy Amundsen, Kjell-Børge Freiberg og Helge André Njåstad om å sikre </w:t>
      </w:r>
      <w:proofErr w:type="spellStart"/>
      <w:r w:rsidRPr="00580C0D">
        <w:t>meir</w:t>
      </w:r>
      <w:proofErr w:type="spellEnd"/>
      <w:r w:rsidRPr="00580C0D">
        <w:t xml:space="preserve"> </w:t>
      </w:r>
      <w:proofErr w:type="spellStart"/>
      <w:r w:rsidRPr="00580C0D">
        <w:t>føreseielege</w:t>
      </w:r>
      <w:proofErr w:type="spellEnd"/>
      <w:r w:rsidRPr="00580C0D">
        <w:t xml:space="preserve"> </w:t>
      </w:r>
      <w:proofErr w:type="spellStart"/>
      <w:r w:rsidRPr="00580C0D">
        <w:t>reglar</w:t>
      </w:r>
      <w:proofErr w:type="spellEnd"/>
      <w:r w:rsidRPr="00580C0D">
        <w:t xml:space="preserve"> for krav til </w:t>
      </w:r>
      <w:proofErr w:type="spellStart"/>
      <w:r w:rsidRPr="00580C0D">
        <w:t>sløkkevatn</w:t>
      </w:r>
      <w:proofErr w:type="spellEnd"/>
      <w:r w:rsidRPr="00580C0D">
        <w:t xml:space="preserve">, jf. Dokument 8:238 S (2020–2021) og </w:t>
      </w:r>
      <w:proofErr w:type="spellStart"/>
      <w:r w:rsidRPr="00580C0D">
        <w:t>Innst</w:t>
      </w:r>
      <w:proofErr w:type="spellEnd"/>
      <w:r w:rsidRPr="00580C0D">
        <w:t xml:space="preserve">. 583 S (2020–2021). Kommunal- og </w:t>
      </w:r>
      <w:proofErr w:type="spellStart"/>
      <w:r w:rsidRPr="00580C0D">
        <w:t>distriktsdepartementet</w:t>
      </w:r>
      <w:proofErr w:type="spellEnd"/>
      <w:r w:rsidRPr="00580C0D">
        <w:t xml:space="preserve"> har ansvaret for </w:t>
      </w:r>
      <w:proofErr w:type="spellStart"/>
      <w:r w:rsidRPr="00580C0D">
        <w:t>byggteknisk</w:t>
      </w:r>
      <w:proofErr w:type="spellEnd"/>
      <w:r w:rsidRPr="00580C0D">
        <w:t xml:space="preserve"> forskrift, og Justis- og beredskapsdepartementet har ansvaret for forskrift om </w:t>
      </w:r>
      <w:proofErr w:type="spellStart"/>
      <w:r w:rsidRPr="00580C0D">
        <w:t>brannførebygging</w:t>
      </w:r>
      <w:proofErr w:type="spellEnd"/>
      <w:r w:rsidRPr="00580C0D">
        <w:t>.</w:t>
      </w:r>
    </w:p>
    <w:p w14:paraId="795508C6" w14:textId="77777777" w:rsidR="00F7113A" w:rsidRPr="00580C0D" w:rsidRDefault="00142E5B" w:rsidP="00580C0D">
      <w:r w:rsidRPr="00580C0D">
        <w:t xml:space="preserve">Direktoratet for </w:t>
      </w:r>
      <w:proofErr w:type="spellStart"/>
      <w:r w:rsidRPr="00580C0D">
        <w:t>byggkvalitet</w:t>
      </w:r>
      <w:proofErr w:type="spellEnd"/>
      <w:r w:rsidRPr="00580C0D">
        <w:t xml:space="preserve"> (</w:t>
      </w:r>
      <w:proofErr w:type="spellStart"/>
      <w:r w:rsidRPr="00580C0D">
        <w:t>DiBK</w:t>
      </w:r>
      <w:proofErr w:type="spellEnd"/>
      <w:r w:rsidRPr="00580C0D">
        <w:t xml:space="preserve">) har, i samarbeid med Direktoratet for </w:t>
      </w:r>
      <w:proofErr w:type="spellStart"/>
      <w:r w:rsidRPr="00580C0D">
        <w:t>samfunnssikkerheit</w:t>
      </w:r>
      <w:proofErr w:type="spellEnd"/>
      <w:r w:rsidRPr="00580C0D">
        <w:t xml:space="preserve"> og beredskap (DSB), endra </w:t>
      </w:r>
      <w:proofErr w:type="spellStart"/>
      <w:r w:rsidRPr="00580C0D">
        <w:t>rettleiaren</w:t>
      </w:r>
      <w:proofErr w:type="spellEnd"/>
      <w:r w:rsidRPr="00580C0D">
        <w:t xml:space="preserve"> til det relevante kravet i </w:t>
      </w:r>
      <w:proofErr w:type="spellStart"/>
      <w:r w:rsidRPr="00580C0D">
        <w:t>byggteknisk</w:t>
      </w:r>
      <w:proofErr w:type="spellEnd"/>
      <w:r w:rsidRPr="00580C0D">
        <w:t xml:space="preserve"> forskrift § 11-17, slik at det </w:t>
      </w:r>
      <w:proofErr w:type="spellStart"/>
      <w:r w:rsidRPr="00580C0D">
        <w:t>no</w:t>
      </w:r>
      <w:proofErr w:type="spellEnd"/>
      <w:r w:rsidRPr="00580C0D">
        <w:t xml:space="preserve"> er </w:t>
      </w:r>
      <w:proofErr w:type="spellStart"/>
      <w:r w:rsidRPr="00580C0D">
        <w:t>tydelegare</w:t>
      </w:r>
      <w:proofErr w:type="spellEnd"/>
      <w:r w:rsidRPr="00580C0D">
        <w:t xml:space="preserve"> når det kan </w:t>
      </w:r>
      <w:proofErr w:type="spellStart"/>
      <w:r w:rsidRPr="00580C0D">
        <w:t>prosjekterast</w:t>
      </w:r>
      <w:proofErr w:type="spellEnd"/>
      <w:r w:rsidRPr="00580C0D">
        <w:t xml:space="preserve"> med tankbil som </w:t>
      </w:r>
      <w:proofErr w:type="spellStart"/>
      <w:r w:rsidRPr="00580C0D">
        <w:t>sløkkevatn</w:t>
      </w:r>
      <w:proofErr w:type="spellEnd"/>
      <w:r w:rsidRPr="00580C0D">
        <w:t>.</w:t>
      </w:r>
    </w:p>
    <w:p w14:paraId="4E3E8BAA"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5080DCC9" w14:textId="77777777" w:rsidR="00F7113A" w:rsidRPr="00580C0D" w:rsidRDefault="00142E5B" w:rsidP="00580C0D">
      <w:pPr>
        <w:pStyle w:val="avsnitt-tittel"/>
      </w:pPr>
      <w:proofErr w:type="spellStart"/>
      <w:r w:rsidRPr="00580C0D">
        <w:t>Helsetenester</w:t>
      </w:r>
      <w:proofErr w:type="spellEnd"/>
      <w:r w:rsidRPr="00580C0D">
        <w:t xml:space="preserve"> nytta </w:t>
      </w:r>
      <w:proofErr w:type="spellStart"/>
      <w:r w:rsidRPr="00580C0D">
        <w:t>utanfor</w:t>
      </w:r>
      <w:proofErr w:type="spellEnd"/>
      <w:r w:rsidRPr="00580C0D">
        <w:t xml:space="preserve"> bustadkommunen</w:t>
      </w:r>
    </w:p>
    <w:p w14:paraId="7AA2F7AA" w14:textId="77777777" w:rsidR="00F7113A" w:rsidRPr="00580C0D" w:rsidRDefault="00142E5B" w:rsidP="00580C0D">
      <w:pPr>
        <w:pStyle w:val="avsnitt-undertittel"/>
      </w:pPr>
      <w:r w:rsidRPr="00580C0D">
        <w:t>Vedtak nr. 1252, 16. juni 2021</w:t>
      </w:r>
    </w:p>
    <w:p w14:paraId="59041D22" w14:textId="77777777" w:rsidR="00F7113A" w:rsidRPr="00580C0D" w:rsidRDefault="00142E5B" w:rsidP="00580C0D">
      <w:pPr>
        <w:pStyle w:val="blokksit"/>
        <w:rPr>
          <w:rStyle w:val="kursiv"/>
        </w:rPr>
      </w:pPr>
      <w:r w:rsidRPr="00580C0D">
        <w:rPr>
          <w:rStyle w:val="kursiv"/>
        </w:rPr>
        <w:t>«Stortinget ber regjeringen i oppfølgingen av utredningen fra Inntektssystemutvalget vurdere lovverket slik at helsetjenester benyttet utenfor bostedskommunen i større grad kan belastes den kommunen tjenestemottaker betaler skatt til.»</w:t>
      </w:r>
    </w:p>
    <w:p w14:paraId="0DDE7C3E"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192 S (2020–2021) </w:t>
      </w:r>
      <w:r w:rsidRPr="00580C0D">
        <w:rPr>
          <w:rStyle w:val="kursiv"/>
        </w:rPr>
        <w:t>Kommuneproposisjonen 2022</w:t>
      </w:r>
      <w:r w:rsidRPr="00580C0D">
        <w:t xml:space="preserve"> og </w:t>
      </w:r>
      <w:proofErr w:type="spellStart"/>
      <w:r w:rsidRPr="00580C0D">
        <w:t>Innst</w:t>
      </w:r>
      <w:proofErr w:type="spellEnd"/>
      <w:r w:rsidRPr="00580C0D">
        <w:t>. 660 S (2020–2021).</w:t>
      </w:r>
    </w:p>
    <w:p w14:paraId="2B5116AA" w14:textId="77777777" w:rsidR="00F7113A" w:rsidRPr="00580C0D" w:rsidRDefault="00142E5B" w:rsidP="00580C0D">
      <w:r w:rsidRPr="00580C0D">
        <w:t xml:space="preserve">Kommunen skal, i tråd med helse- og </w:t>
      </w:r>
      <w:proofErr w:type="spellStart"/>
      <w:r w:rsidRPr="00580C0D">
        <w:t>omsorgstenestelova</w:t>
      </w:r>
      <w:proofErr w:type="spellEnd"/>
      <w:r w:rsidRPr="00580C0D">
        <w:t xml:space="preserve">, </w:t>
      </w:r>
      <w:proofErr w:type="spellStart"/>
      <w:r w:rsidRPr="00580C0D">
        <w:t>sørgje</w:t>
      </w:r>
      <w:proofErr w:type="spellEnd"/>
      <w:r w:rsidRPr="00580C0D">
        <w:t xml:space="preserve"> for at </w:t>
      </w:r>
      <w:proofErr w:type="spellStart"/>
      <w:r w:rsidRPr="00580C0D">
        <w:t>personar</w:t>
      </w:r>
      <w:proofErr w:type="spellEnd"/>
      <w:r w:rsidRPr="00580C0D">
        <w:t xml:space="preserve"> som </w:t>
      </w:r>
      <w:proofErr w:type="spellStart"/>
      <w:r w:rsidRPr="00580C0D">
        <w:t>oppheld</w:t>
      </w:r>
      <w:proofErr w:type="spellEnd"/>
      <w:r w:rsidRPr="00580C0D">
        <w:t xml:space="preserve"> seg i kommunen har </w:t>
      </w:r>
      <w:proofErr w:type="spellStart"/>
      <w:r w:rsidRPr="00580C0D">
        <w:t>tilbod</w:t>
      </w:r>
      <w:proofErr w:type="spellEnd"/>
      <w:r w:rsidRPr="00580C0D">
        <w:t xml:space="preserve"> om nødvendige helse- og </w:t>
      </w:r>
      <w:proofErr w:type="spellStart"/>
      <w:r w:rsidRPr="00580C0D">
        <w:t>omsorgstenester</w:t>
      </w:r>
      <w:proofErr w:type="spellEnd"/>
      <w:r w:rsidRPr="00580C0D">
        <w:t xml:space="preserve">. Helse- og </w:t>
      </w:r>
      <w:proofErr w:type="spellStart"/>
      <w:r w:rsidRPr="00580C0D">
        <w:t>omsorgstenestene</w:t>
      </w:r>
      <w:proofErr w:type="spellEnd"/>
      <w:r w:rsidRPr="00580C0D">
        <w:t xml:space="preserve"> i </w:t>
      </w:r>
      <w:proofErr w:type="spellStart"/>
      <w:r w:rsidRPr="00580C0D">
        <w:t>kommunane</w:t>
      </w:r>
      <w:proofErr w:type="spellEnd"/>
      <w:r w:rsidRPr="00580C0D">
        <w:t xml:space="preserve"> blir i </w:t>
      </w:r>
      <w:proofErr w:type="spellStart"/>
      <w:r w:rsidRPr="00580C0D">
        <w:t>hovudsak</w:t>
      </w:r>
      <w:proofErr w:type="spellEnd"/>
      <w:r w:rsidRPr="00580C0D">
        <w:t xml:space="preserve"> finansierte av frie inntekter, som blir fordelte med utgangspunkt i folkeregistrerte </w:t>
      </w:r>
      <w:proofErr w:type="spellStart"/>
      <w:r w:rsidRPr="00580C0D">
        <w:t>innbyggarar</w:t>
      </w:r>
      <w:proofErr w:type="spellEnd"/>
      <w:r w:rsidRPr="00580C0D">
        <w:t xml:space="preserve"> i kommunen. Dette kan gi </w:t>
      </w:r>
      <w:proofErr w:type="spellStart"/>
      <w:r w:rsidRPr="00580C0D">
        <w:t>kommunar</w:t>
      </w:r>
      <w:proofErr w:type="spellEnd"/>
      <w:r w:rsidRPr="00580C0D">
        <w:t xml:space="preserve"> med mange </w:t>
      </w:r>
      <w:proofErr w:type="spellStart"/>
      <w:r w:rsidRPr="00580C0D">
        <w:t>hyttebebuarar</w:t>
      </w:r>
      <w:proofErr w:type="spellEnd"/>
      <w:r w:rsidRPr="00580C0D">
        <w:t xml:space="preserve"> utgifter som </w:t>
      </w:r>
      <w:proofErr w:type="spellStart"/>
      <w:r w:rsidRPr="00580C0D">
        <w:t>dei</w:t>
      </w:r>
      <w:proofErr w:type="spellEnd"/>
      <w:r w:rsidRPr="00580C0D">
        <w:t xml:space="preserve"> frie inntektene </w:t>
      </w:r>
      <w:proofErr w:type="spellStart"/>
      <w:r w:rsidRPr="00580C0D">
        <w:t>ikkje</w:t>
      </w:r>
      <w:proofErr w:type="spellEnd"/>
      <w:r w:rsidRPr="00580C0D">
        <w:t xml:space="preserve"> dekker. Samstundes har </w:t>
      </w:r>
      <w:proofErr w:type="spellStart"/>
      <w:r w:rsidRPr="00580C0D">
        <w:t>hyttekommunane</w:t>
      </w:r>
      <w:proofErr w:type="spellEnd"/>
      <w:r w:rsidRPr="00580C0D">
        <w:t xml:space="preserve"> også andre </w:t>
      </w:r>
      <w:proofErr w:type="spellStart"/>
      <w:r w:rsidRPr="00580C0D">
        <w:t>typar</w:t>
      </w:r>
      <w:proofErr w:type="spellEnd"/>
      <w:r w:rsidRPr="00580C0D">
        <w:t xml:space="preserve"> inntekter </w:t>
      </w:r>
      <w:proofErr w:type="spellStart"/>
      <w:r w:rsidRPr="00580C0D">
        <w:t>frå</w:t>
      </w:r>
      <w:proofErr w:type="spellEnd"/>
      <w:r w:rsidRPr="00580C0D">
        <w:t xml:space="preserve"> </w:t>
      </w:r>
      <w:proofErr w:type="spellStart"/>
      <w:r w:rsidRPr="00580C0D">
        <w:t>hyttebebuarane</w:t>
      </w:r>
      <w:proofErr w:type="spellEnd"/>
      <w:r w:rsidRPr="00580C0D">
        <w:t xml:space="preserve">, som kommunale avgifter, </w:t>
      </w:r>
      <w:proofErr w:type="spellStart"/>
      <w:r w:rsidRPr="00580C0D">
        <w:t>eigedomsskatt</w:t>
      </w:r>
      <w:proofErr w:type="spellEnd"/>
      <w:r w:rsidRPr="00580C0D">
        <w:t xml:space="preserve"> og positive ringverknader for lokalsamfunna. </w:t>
      </w:r>
      <w:proofErr w:type="spellStart"/>
      <w:r w:rsidRPr="00580C0D">
        <w:t>Fleire</w:t>
      </w:r>
      <w:proofErr w:type="spellEnd"/>
      <w:r w:rsidRPr="00580C0D">
        <w:t xml:space="preserve"> </w:t>
      </w:r>
      <w:proofErr w:type="spellStart"/>
      <w:r w:rsidRPr="00580C0D">
        <w:t>offentlege</w:t>
      </w:r>
      <w:proofErr w:type="spellEnd"/>
      <w:r w:rsidRPr="00580C0D">
        <w:t xml:space="preserve"> </w:t>
      </w:r>
      <w:proofErr w:type="spellStart"/>
      <w:r w:rsidRPr="00580C0D">
        <w:t>utval</w:t>
      </w:r>
      <w:proofErr w:type="spellEnd"/>
      <w:r w:rsidRPr="00580C0D">
        <w:t xml:space="preserve"> har </w:t>
      </w:r>
      <w:proofErr w:type="spellStart"/>
      <w:r w:rsidRPr="00580C0D">
        <w:t>peikt</w:t>
      </w:r>
      <w:proofErr w:type="spellEnd"/>
      <w:r w:rsidRPr="00580C0D">
        <w:t xml:space="preserve"> på problemstillinga med finansiering av </w:t>
      </w:r>
      <w:proofErr w:type="spellStart"/>
      <w:r w:rsidRPr="00580C0D">
        <w:t>helsetenester</w:t>
      </w:r>
      <w:proofErr w:type="spellEnd"/>
      <w:r w:rsidRPr="00580C0D">
        <w:t xml:space="preserve"> til </w:t>
      </w:r>
      <w:proofErr w:type="spellStart"/>
      <w:r w:rsidRPr="00580C0D">
        <w:t>personar</w:t>
      </w:r>
      <w:proofErr w:type="spellEnd"/>
      <w:r w:rsidRPr="00580C0D">
        <w:t xml:space="preserve"> </w:t>
      </w:r>
      <w:proofErr w:type="spellStart"/>
      <w:r w:rsidRPr="00580C0D">
        <w:t>utanfor</w:t>
      </w:r>
      <w:proofErr w:type="spellEnd"/>
      <w:r w:rsidRPr="00580C0D">
        <w:t xml:space="preserve"> bustadkommunen. </w:t>
      </w:r>
      <w:proofErr w:type="spellStart"/>
      <w:r w:rsidRPr="00580C0D">
        <w:t>Inntektssystemutvalet</w:t>
      </w:r>
      <w:proofErr w:type="spellEnd"/>
      <w:r w:rsidRPr="00580C0D">
        <w:t xml:space="preserve">, som leverte utgreiinga si </w:t>
      </w:r>
      <w:proofErr w:type="spellStart"/>
      <w:r w:rsidRPr="00580C0D">
        <w:t>hausten</w:t>
      </w:r>
      <w:proofErr w:type="spellEnd"/>
      <w:r w:rsidRPr="00580C0D">
        <w:t xml:space="preserve"> 2022, vurderte heile inntektssystemet for </w:t>
      </w:r>
      <w:proofErr w:type="spellStart"/>
      <w:r w:rsidRPr="00580C0D">
        <w:t>kommunane</w:t>
      </w:r>
      <w:proofErr w:type="spellEnd"/>
      <w:r w:rsidRPr="00580C0D">
        <w:t>, også denne problemstillinga.</w:t>
      </w:r>
    </w:p>
    <w:p w14:paraId="60DF3DD0" w14:textId="77777777" w:rsidR="00F7113A" w:rsidRPr="00580C0D" w:rsidRDefault="00142E5B" w:rsidP="00580C0D">
      <w:r w:rsidRPr="00580C0D">
        <w:t xml:space="preserve">Regjeringa vil vurdere </w:t>
      </w:r>
      <w:proofErr w:type="spellStart"/>
      <w:r w:rsidRPr="00580C0D">
        <w:t>inntektssystemutvalets</w:t>
      </w:r>
      <w:proofErr w:type="spellEnd"/>
      <w:r w:rsidRPr="00580C0D">
        <w:t xml:space="preserve"> </w:t>
      </w:r>
      <w:proofErr w:type="spellStart"/>
      <w:r w:rsidRPr="00580C0D">
        <w:t>tilrådingar</w:t>
      </w:r>
      <w:proofErr w:type="spellEnd"/>
      <w:r w:rsidRPr="00580C0D">
        <w:t xml:space="preserve"> og </w:t>
      </w:r>
      <w:proofErr w:type="spellStart"/>
      <w:r w:rsidRPr="00580C0D">
        <w:t>gjere</w:t>
      </w:r>
      <w:proofErr w:type="spellEnd"/>
      <w:r w:rsidRPr="00580C0D">
        <w:t xml:space="preserve"> </w:t>
      </w:r>
      <w:proofErr w:type="spellStart"/>
      <w:r w:rsidRPr="00580C0D">
        <w:t>ein</w:t>
      </w:r>
      <w:proofErr w:type="spellEnd"/>
      <w:r w:rsidRPr="00580C0D">
        <w:t xml:space="preserve"> </w:t>
      </w:r>
      <w:proofErr w:type="spellStart"/>
      <w:r w:rsidRPr="00580C0D">
        <w:t>heilskapleg</w:t>
      </w:r>
      <w:proofErr w:type="spellEnd"/>
      <w:r w:rsidRPr="00580C0D">
        <w:t xml:space="preserve"> gjennomgang av inntektssystemet for </w:t>
      </w:r>
      <w:proofErr w:type="spellStart"/>
      <w:r w:rsidRPr="00580C0D">
        <w:t>kommunane</w:t>
      </w:r>
      <w:proofErr w:type="spellEnd"/>
      <w:r w:rsidRPr="00580C0D">
        <w:t xml:space="preserve"> i ei eiga melding til Stortinget våren 2024.</w:t>
      </w:r>
    </w:p>
    <w:p w14:paraId="6F534E65" w14:textId="77777777" w:rsidR="00F7113A" w:rsidRPr="00580C0D" w:rsidRDefault="00142E5B" w:rsidP="00580C0D">
      <w:pPr>
        <w:pStyle w:val="Overskrift2"/>
      </w:pPr>
      <w:r w:rsidRPr="00580C0D">
        <w:t>Stortingssesjon 2018–2019</w:t>
      </w:r>
    </w:p>
    <w:p w14:paraId="69F35FDE" w14:textId="77777777" w:rsidR="00F7113A" w:rsidRPr="00580C0D" w:rsidRDefault="00142E5B" w:rsidP="00580C0D">
      <w:pPr>
        <w:pStyle w:val="avsnitt-tittel"/>
      </w:pPr>
      <w:r w:rsidRPr="00580C0D">
        <w:t xml:space="preserve">Opplysningsplikt for </w:t>
      </w:r>
      <w:proofErr w:type="spellStart"/>
      <w:r w:rsidRPr="00580C0D">
        <w:t>statsrådar</w:t>
      </w:r>
      <w:proofErr w:type="spellEnd"/>
      <w:r w:rsidRPr="00580C0D">
        <w:t xml:space="preserve"> og </w:t>
      </w:r>
      <w:proofErr w:type="spellStart"/>
      <w:r w:rsidRPr="00580C0D">
        <w:t>statssekretærar</w:t>
      </w:r>
      <w:proofErr w:type="spellEnd"/>
    </w:p>
    <w:p w14:paraId="38B1A622" w14:textId="77777777" w:rsidR="00F7113A" w:rsidRPr="00580C0D" w:rsidRDefault="00142E5B" w:rsidP="00580C0D">
      <w:pPr>
        <w:pStyle w:val="avsnitt-undertittel"/>
      </w:pPr>
      <w:r w:rsidRPr="00580C0D">
        <w:t>Vedtak nr. 55, 27. november 2018</w:t>
      </w:r>
    </w:p>
    <w:p w14:paraId="123F4211" w14:textId="77777777" w:rsidR="00F7113A" w:rsidRPr="00580C0D" w:rsidRDefault="00142E5B" w:rsidP="00580C0D">
      <w:pPr>
        <w:pStyle w:val="blokksit"/>
        <w:rPr>
          <w:rStyle w:val="kursiv"/>
        </w:rPr>
      </w:pPr>
      <w:r w:rsidRPr="00580C0D">
        <w:rPr>
          <w:rStyle w:val="kursiv"/>
        </w:rPr>
        <w:t>«Stortinget ber regjeringen utrede og sende på høring forslag om endring i lov om registrering av regjeringsmedlemmers verv og økonomiske interesserer. Herunder opplysningsplikt for statsråder og statssekretærer til å registrere sine tidligere oppdragsgivere og oppdragenes innhold der vedkommende, de siste to år før tiltredelse, har arbeidet med å fremme politiske eller næringsmessige interesser.»</w:t>
      </w:r>
    </w:p>
    <w:p w14:paraId="1FD6463E"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Karin Andersen, Torgeir </w:t>
      </w:r>
      <w:proofErr w:type="spellStart"/>
      <w:r w:rsidRPr="00580C0D">
        <w:t>Knag</w:t>
      </w:r>
      <w:proofErr w:type="spellEnd"/>
      <w:r w:rsidRPr="00580C0D">
        <w:t xml:space="preserve"> Fylkesnes, Kari Elisabeth </w:t>
      </w:r>
      <w:proofErr w:type="spellStart"/>
      <w:r w:rsidRPr="00580C0D">
        <w:t>Kaski</w:t>
      </w:r>
      <w:proofErr w:type="spellEnd"/>
      <w:r w:rsidRPr="00580C0D">
        <w:t xml:space="preserve">, Gina Barstad og Marius Meisfjord </w:t>
      </w:r>
      <w:proofErr w:type="spellStart"/>
      <w:r w:rsidRPr="00580C0D">
        <w:t>Jøsevold</w:t>
      </w:r>
      <w:proofErr w:type="spellEnd"/>
      <w:r w:rsidRPr="00580C0D">
        <w:t xml:space="preserve"> om opplysningsplikt for </w:t>
      </w:r>
      <w:proofErr w:type="spellStart"/>
      <w:r w:rsidRPr="00580C0D">
        <w:t>statsrådar</w:t>
      </w:r>
      <w:proofErr w:type="spellEnd"/>
      <w:r w:rsidRPr="00580C0D">
        <w:t xml:space="preserve"> og </w:t>
      </w:r>
      <w:proofErr w:type="spellStart"/>
      <w:r w:rsidRPr="00580C0D">
        <w:t>statssekretærar</w:t>
      </w:r>
      <w:proofErr w:type="spellEnd"/>
      <w:r w:rsidRPr="00580C0D">
        <w:t xml:space="preserve">, jf. Dokument 8:108 LS (2017–2018) og </w:t>
      </w:r>
      <w:proofErr w:type="spellStart"/>
      <w:r w:rsidRPr="00580C0D">
        <w:t>Innst</w:t>
      </w:r>
      <w:proofErr w:type="spellEnd"/>
      <w:r w:rsidRPr="00580C0D">
        <w:t>. 54 L (2018–2019).</w:t>
      </w:r>
    </w:p>
    <w:p w14:paraId="7A51779C" w14:textId="77777777" w:rsidR="00F7113A" w:rsidRPr="00580C0D" w:rsidRDefault="00142E5B" w:rsidP="00580C0D">
      <w:r w:rsidRPr="00580C0D">
        <w:t xml:space="preserve">Departementet sette </w:t>
      </w:r>
      <w:proofErr w:type="spellStart"/>
      <w:r w:rsidRPr="00580C0D">
        <w:t>hausten</w:t>
      </w:r>
      <w:proofErr w:type="spellEnd"/>
      <w:r w:rsidRPr="00580C0D">
        <w:t xml:space="preserve"> 2019 ned ei arbeidsgruppe for å utgreie forslaget. Arbeidsgruppa vart leia av Regjeringsadvokaten og hadde </w:t>
      </w:r>
      <w:proofErr w:type="spellStart"/>
      <w:r w:rsidRPr="00580C0D">
        <w:t>medlemmar</w:t>
      </w:r>
      <w:proofErr w:type="spellEnd"/>
      <w:r w:rsidRPr="00580C0D">
        <w:t xml:space="preserve"> </w:t>
      </w:r>
      <w:proofErr w:type="spellStart"/>
      <w:r w:rsidRPr="00580C0D">
        <w:t>frå</w:t>
      </w:r>
      <w:proofErr w:type="spellEnd"/>
      <w:r w:rsidRPr="00580C0D">
        <w:t xml:space="preserve"> Justis- og beredskapsdepartementet og Kommunal- og </w:t>
      </w:r>
      <w:proofErr w:type="spellStart"/>
      <w:r w:rsidRPr="00580C0D">
        <w:t>distriktsdepartementet</w:t>
      </w:r>
      <w:proofErr w:type="spellEnd"/>
      <w:r w:rsidRPr="00580C0D">
        <w:t>. Arbeidsgruppa leverte si utgreiing i juni 2022.</w:t>
      </w:r>
    </w:p>
    <w:p w14:paraId="226699A1" w14:textId="77777777" w:rsidR="00F7113A" w:rsidRPr="00580C0D" w:rsidRDefault="00142E5B" w:rsidP="00580C0D">
      <w:r w:rsidRPr="00580C0D">
        <w:t xml:space="preserve">Departementet arbeider med å vurdere oppmodingsvedtaket i samband med oppfølging av Europarådet sitt antikorrupsjonsorgan Group </w:t>
      </w:r>
      <w:proofErr w:type="spellStart"/>
      <w:r w:rsidRPr="00580C0D">
        <w:t>of</w:t>
      </w:r>
      <w:proofErr w:type="spellEnd"/>
      <w:r w:rsidRPr="00580C0D">
        <w:t xml:space="preserve"> States </w:t>
      </w:r>
      <w:proofErr w:type="spellStart"/>
      <w:r w:rsidRPr="00580C0D">
        <w:t>Against</w:t>
      </w:r>
      <w:proofErr w:type="spellEnd"/>
      <w:r w:rsidRPr="00580C0D">
        <w:t xml:space="preserve"> </w:t>
      </w:r>
      <w:proofErr w:type="spellStart"/>
      <w:r w:rsidRPr="00580C0D">
        <w:t>Corruption</w:t>
      </w:r>
      <w:proofErr w:type="spellEnd"/>
      <w:r w:rsidRPr="00580C0D">
        <w:t xml:space="preserve"> (GRECO) sin femte evalueringsrapport til </w:t>
      </w:r>
      <w:proofErr w:type="spellStart"/>
      <w:r w:rsidRPr="00580C0D">
        <w:t>Noreg</w:t>
      </w:r>
      <w:proofErr w:type="spellEnd"/>
      <w:r w:rsidRPr="00580C0D">
        <w:t xml:space="preserve"> og vil </w:t>
      </w:r>
      <w:proofErr w:type="spellStart"/>
      <w:r w:rsidRPr="00580C0D">
        <w:t>kome</w:t>
      </w:r>
      <w:proofErr w:type="spellEnd"/>
      <w:r w:rsidRPr="00580C0D">
        <w:t xml:space="preserve"> tilbake til Stortinget om saka på eigna måte.</w:t>
      </w:r>
    </w:p>
    <w:p w14:paraId="55207600" w14:textId="77777777" w:rsidR="00F7113A" w:rsidRPr="00580C0D" w:rsidRDefault="00142E5B" w:rsidP="00580C0D">
      <w:pPr>
        <w:pStyle w:val="Overskrift2"/>
      </w:pPr>
      <w:r w:rsidRPr="00580C0D">
        <w:t>Stortingssesjon 2016–2017</w:t>
      </w:r>
    </w:p>
    <w:p w14:paraId="595BC6E6" w14:textId="77777777" w:rsidR="00F7113A" w:rsidRPr="00580C0D" w:rsidRDefault="00142E5B" w:rsidP="00580C0D">
      <w:pPr>
        <w:pStyle w:val="avsnitt-tittel"/>
      </w:pPr>
      <w:r w:rsidRPr="00580C0D">
        <w:t xml:space="preserve">Stryke </w:t>
      </w:r>
      <w:proofErr w:type="spellStart"/>
      <w:r w:rsidRPr="00580C0D">
        <w:t>listekandidatar</w:t>
      </w:r>
      <w:proofErr w:type="spellEnd"/>
    </w:p>
    <w:p w14:paraId="30EA4AC9" w14:textId="77777777" w:rsidR="00F7113A" w:rsidRPr="00580C0D" w:rsidRDefault="00142E5B" w:rsidP="00580C0D">
      <w:pPr>
        <w:pStyle w:val="avsnitt-undertittel"/>
      </w:pPr>
      <w:r w:rsidRPr="00580C0D">
        <w:t>Vedtak nr. 700, 23. mai 2017</w:t>
      </w:r>
    </w:p>
    <w:p w14:paraId="2743C3B5" w14:textId="77777777" w:rsidR="00F7113A" w:rsidRPr="00580C0D" w:rsidRDefault="00142E5B" w:rsidP="00580C0D">
      <w:pPr>
        <w:pStyle w:val="blokksit"/>
        <w:rPr>
          <w:rStyle w:val="kursiv"/>
        </w:rPr>
      </w:pPr>
      <w:r w:rsidRPr="00580C0D">
        <w:rPr>
          <w:rStyle w:val="kursiv"/>
        </w:rPr>
        <w:t>«Stortinget ber regjeringen fremme forslag om å gjeninnføre velgernes mulighet til å stryke listekandidater ved fylkestings- og kommunestyrevalg.»</w:t>
      </w:r>
    </w:p>
    <w:p w14:paraId="6DB7C38E"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Helge André Njåstad, Ingebjørg Amanda </w:t>
      </w:r>
      <w:proofErr w:type="spellStart"/>
      <w:r w:rsidRPr="00580C0D">
        <w:t>Godskesen</w:t>
      </w:r>
      <w:proofErr w:type="spellEnd"/>
      <w:r w:rsidRPr="00580C0D">
        <w:t xml:space="preserve">, Harald T. Nesvik, Ingjerd Schou, Michael Tetzschner og Frank J. Jenssen om å tillate </w:t>
      </w:r>
      <w:proofErr w:type="spellStart"/>
      <w:r w:rsidRPr="00580C0D">
        <w:t>stryking</w:t>
      </w:r>
      <w:proofErr w:type="spellEnd"/>
      <w:r w:rsidRPr="00580C0D">
        <w:t xml:space="preserve"> av </w:t>
      </w:r>
      <w:proofErr w:type="spellStart"/>
      <w:r w:rsidRPr="00580C0D">
        <w:t>listekandidatar</w:t>
      </w:r>
      <w:proofErr w:type="spellEnd"/>
      <w:r w:rsidRPr="00580C0D">
        <w:t xml:space="preserve"> ved fylkestings- og </w:t>
      </w:r>
      <w:proofErr w:type="spellStart"/>
      <w:r w:rsidRPr="00580C0D">
        <w:t>kommunestyreval</w:t>
      </w:r>
      <w:proofErr w:type="spellEnd"/>
      <w:r w:rsidRPr="00580C0D">
        <w:t xml:space="preserve">, jf. Dokument 8:14 S og </w:t>
      </w:r>
      <w:proofErr w:type="spellStart"/>
      <w:r w:rsidRPr="00580C0D">
        <w:t>Innst</w:t>
      </w:r>
      <w:proofErr w:type="spellEnd"/>
      <w:r w:rsidRPr="00580C0D">
        <w:t>. 306 S (2016–2017).</w:t>
      </w:r>
    </w:p>
    <w:p w14:paraId="3DD5FF65" w14:textId="77777777" w:rsidR="00F7113A" w:rsidRPr="00580C0D" w:rsidRDefault="00142E5B" w:rsidP="00580C0D">
      <w:r w:rsidRPr="00580C0D">
        <w:t xml:space="preserve">Regjeringa la fram </w:t>
      </w:r>
      <w:proofErr w:type="spellStart"/>
      <w:r w:rsidRPr="00580C0D">
        <w:t>Prop</w:t>
      </w:r>
      <w:proofErr w:type="spellEnd"/>
      <w:r w:rsidRPr="00580C0D">
        <w:t xml:space="preserve">. 45 L (2022–2023) </w:t>
      </w:r>
      <w:r w:rsidRPr="00580C0D">
        <w:rPr>
          <w:rStyle w:val="kursiv"/>
        </w:rPr>
        <w:t>Lov om valg til Stortinget, fylkesting og kommunestyrer (valgloven)</w:t>
      </w:r>
      <w:r w:rsidRPr="00580C0D">
        <w:t xml:space="preserve"> i mars 2023. Spørsmålet om å tillate </w:t>
      </w:r>
      <w:proofErr w:type="spellStart"/>
      <w:r w:rsidRPr="00580C0D">
        <w:t>stryking</w:t>
      </w:r>
      <w:proofErr w:type="spellEnd"/>
      <w:r w:rsidRPr="00580C0D">
        <w:t xml:space="preserve"> av </w:t>
      </w:r>
      <w:proofErr w:type="spellStart"/>
      <w:r w:rsidRPr="00580C0D">
        <w:t>listekandidatar</w:t>
      </w:r>
      <w:proofErr w:type="spellEnd"/>
      <w:r w:rsidRPr="00580C0D">
        <w:t xml:space="preserve"> ved fylkestings- og </w:t>
      </w:r>
      <w:proofErr w:type="spellStart"/>
      <w:r w:rsidRPr="00580C0D">
        <w:t>kommunestyreval</w:t>
      </w:r>
      <w:proofErr w:type="spellEnd"/>
      <w:r w:rsidRPr="00580C0D">
        <w:t xml:space="preserve"> vart drøfta, men regjeringa gjekk </w:t>
      </w:r>
      <w:proofErr w:type="spellStart"/>
      <w:r w:rsidRPr="00580C0D">
        <w:t>ikkje</w:t>
      </w:r>
      <w:proofErr w:type="spellEnd"/>
      <w:r w:rsidRPr="00580C0D">
        <w:t xml:space="preserve"> inn for dette. Stortinget behandla proposisjonen i juni 2023 og vedtok ny </w:t>
      </w:r>
      <w:proofErr w:type="spellStart"/>
      <w:r w:rsidRPr="00580C0D">
        <w:t>vallov</w:t>
      </w:r>
      <w:proofErr w:type="spellEnd"/>
      <w:r w:rsidRPr="00580C0D">
        <w:t xml:space="preserve"> i tråd med regjeringas framlegg.</w:t>
      </w:r>
    </w:p>
    <w:p w14:paraId="55B3933E"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65248B49" w14:textId="77777777" w:rsidR="00F7113A" w:rsidRPr="00580C0D" w:rsidRDefault="00142E5B" w:rsidP="00580C0D">
      <w:pPr>
        <w:pStyle w:val="avsnitt-tittel"/>
      </w:pPr>
      <w:r w:rsidRPr="00580C0D">
        <w:t>Sørsamisk språk</w:t>
      </w:r>
    </w:p>
    <w:p w14:paraId="46006096" w14:textId="77777777" w:rsidR="00F7113A" w:rsidRPr="00580C0D" w:rsidRDefault="00142E5B" w:rsidP="00580C0D">
      <w:pPr>
        <w:pStyle w:val="avsnitt-undertittel"/>
      </w:pPr>
      <w:r w:rsidRPr="00580C0D">
        <w:t>Vedtak nr. 845, 8. juni 2017</w:t>
      </w:r>
    </w:p>
    <w:p w14:paraId="17863801" w14:textId="77777777" w:rsidR="00F7113A" w:rsidRPr="00580C0D" w:rsidRDefault="00142E5B" w:rsidP="00580C0D">
      <w:pPr>
        <w:pStyle w:val="blokksit"/>
        <w:rPr>
          <w:rStyle w:val="kursiv"/>
        </w:rPr>
      </w:pPr>
      <w:r w:rsidRPr="00580C0D">
        <w:rPr>
          <w:rStyle w:val="kursiv"/>
        </w:rPr>
        <w:t>«Stortinget ber regjeringen i oppfølgingen av NOU 2016: 18 Hjertespråket om å ha en særlig oppmerksomhet rettet mot sørsamisk språk og sammenhengene mellom språk, kultur og næring, og komme tilbake til Stortinget på en egnet måte med konkrete forslag til oppfølging av dette.»</w:t>
      </w:r>
    </w:p>
    <w:p w14:paraId="131F4C38"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 S (2017–2018) for Kommunal- og moderniseringsdepartementet og </w:t>
      </w:r>
      <w:proofErr w:type="spellStart"/>
      <w:r w:rsidRPr="00580C0D">
        <w:t>Innst</w:t>
      </w:r>
      <w:proofErr w:type="spellEnd"/>
      <w:r w:rsidRPr="00580C0D">
        <w:t>. 16 S (2017–2018).</w:t>
      </w:r>
    </w:p>
    <w:p w14:paraId="32BBA941" w14:textId="77777777" w:rsidR="00F7113A" w:rsidRPr="00580C0D" w:rsidRDefault="00142E5B" w:rsidP="00580C0D">
      <w:r w:rsidRPr="00580C0D">
        <w:t xml:space="preserve">Kommunal- og </w:t>
      </w:r>
      <w:proofErr w:type="spellStart"/>
      <w:r w:rsidRPr="00580C0D">
        <w:t>distriktsdepartementet</w:t>
      </w:r>
      <w:proofErr w:type="spellEnd"/>
      <w:r w:rsidRPr="00580C0D">
        <w:t xml:space="preserve"> har lagt fram forslag til </w:t>
      </w:r>
      <w:proofErr w:type="spellStart"/>
      <w:r w:rsidRPr="00580C0D">
        <w:t>endringar</w:t>
      </w:r>
      <w:proofErr w:type="spellEnd"/>
      <w:r w:rsidRPr="00580C0D">
        <w:t xml:space="preserve"> i </w:t>
      </w:r>
      <w:proofErr w:type="spellStart"/>
      <w:r w:rsidRPr="00580C0D">
        <w:t>språkreglane</w:t>
      </w:r>
      <w:proofErr w:type="spellEnd"/>
      <w:r w:rsidRPr="00580C0D">
        <w:t xml:space="preserve"> i samelova, sjå </w:t>
      </w:r>
      <w:proofErr w:type="spellStart"/>
      <w:r w:rsidRPr="00580C0D">
        <w:t>Prop</w:t>
      </w:r>
      <w:proofErr w:type="spellEnd"/>
      <w:r w:rsidRPr="00580C0D">
        <w:t xml:space="preserve">. 58 L (2022–2023) </w:t>
      </w:r>
      <w:r w:rsidRPr="00580C0D">
        <w:rPr>
          <w:rStyle w:val="kursiv"/>
        </w:rPr>
        <w:t>Endringer i sameloven (endringer i språkregler)</w:t>
      </w:r>
      <w:r w:rsidRPr="00580C0D">
        <w:t xml:space="preserve"> pkt. 2.4. Stortinget vedtok </w:t>
      </w:r>
      <w:proofErr w:type="spellStart"/>
      <w:r w:rsidRPr="00580C0D">
        <w:t>endringar</w:t>
      </w:r>
      <w:proofErr w:type="spellEnd"/>
      <w:r w:rsidRPr="00580C0D">
        <w:t xml:space="preserve"> i samelova 30. mai 2023 og </w:t>
      </w:r>
      <w:proofErr w:type="spellStart"/>
      <w:r w:rsidRPr="00580C0D">
        <w:t>reglane</w:t>
      </w:r>
      <w:proofErr w:type="spellEnd"/>
      <w:r w:rsidRPr="00580C0D">
        <w:t xml:space="preserve"> tredde i kraft 1. juli 2023. </w:t>
      </w:r>
      <w:proofErr w:type="spellStart"/>
      <w:r w:rsidRPr="00580C0D">
        <w:t>Lovendringane</w:t>
      </w:r>
      <w:proofErr w:type="spellEnd"/>
      <w:r w:rsidRPr="00580C0D">
        <w:t xml:space="preserve"> er </w:t>
      </w:r>
      <w:proofErr w:type="spellStart"/>
      <w:r w:rsidRPr="00580C0D">
        <w:t>eit</w:t>
      </w:r>
      <w:proofErr w:type="spellEnd"/>
      <w:r w:rsidRPr="00580C0D">
        <w:t xml:space="preserve"> ledd i regjeringa si oppfølging av NOU 2016: 18 </w:t>
      </w:r>
      <w:r w:rsidRPr="00580C0D">
        <w:rPr>
          <w:rStyle w:val="kursiv"/>
        </w:rPr>
        <w:t>Hjertespråket</w:t>
      </w:r>
      <w:r w:rsidRPr="00580C0D">
        <w:t>.</w:t>
      </w:r>
    </w:p>
    <w:p w14:paraId="64590332"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45DC742C" w14:textId="77777777" w:rsidR="00F7113A" w:rsidRPr="00580C0D" w:rsidRDefault="00142E5B" w:rsidP="00580C0D">
      <w:pPr>
        <w:pStyle w:val="Overskrift2"/>
      </w:pPr>
      <w:r w:rsidRPr="00580C0D">
        <w:t>Stortingssesjon 2015–2016</w:t>
      </w:r>
    </w:p>
    <w:p w14:paraId="3561A21D" w14:textId="77777777" w:rsidR="00F7113A" w:rsidRPr="00580C0D" w:rsidRDefault="00142E5B" w:rsidP="00580C0D">
      <w:pPr>
        <w:pStyle w:val="avsnitt-tittel"/>
      </w:pPr>
      <w:r w:rsidRPr="00580C0D">
        <w:t xml:space="preserve">Unntak </w:t>
      </w:r>
      <w:proofErr w:type="spellStart"/>
      <w:r w:rsidRPr="00580C0D">
        <w:t>frå</w:t>
      </w:r>
      <w:proofErr w:type="spellEnd"/>
      <w:r w:rsidRPr="00580C0D">
        <w:t xml:space="preserve"> plan- og bygningslova og grannelova ved nasjonal flyktningkrise</w:t>
      </w:r>
    </w:p>
    <w:p w14:paraId="7D94FC1C" w14:textId="77777777" w:rsidR="00F7113A" w:rsidRPr="00580C0D" w:rsidRDefault="00142E5B" w:rsidP="00580C0D">
      <w:pPr>
        <w:pStyle w:val="avsnitt-undertittel"/>
      </w:pPr>
      <w:r w:rsidRPr="00580C0D">
        <w:t>Vedtak nr. 646, 10. mai 2016</w:t>
      </w:r>
    </w:p>
    <w:p w14:paraId="5798CC9C" w14:textId="77777777" w:rsidR="00F7113A" w:rsidRPr="00580C0D" w:rsidRDefault="00142E5B" w:rsidP="00580C0D">
      <w:pPr>
        <w:pStyle w:val="blokksit"/>
        <w:rPr>
          <w:rStyle w:val="kursiv"/>
        </w:rPr>
      </w:pPr>
      <w:r w:rsidRPr="00580C0D">
        <w:rPr>
          <w:rStyle w:val="kursiv"/>
        </w:rP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14:paraId="1BEE620D"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43 L (2015–2016) </w:t>
      </w:r>
      <w:r w:rsidRPr="00580C0D">
        <w:rPr>
          <w:rStyle w:val="kursiv"/>
        </w:rPr>
        <w:t xml:space="preserve">Endringer i plan- og bygningsloven (unntak ved kriser, katastrofer eller andre ekstraordinære situasjoner i fredstid) </w:t>
      </w:r>
      <w:r w:rsidRPr="00580C0D">
        <w:t xml:space="preserve">og </w:t>
      </w:r>
      <w:proofErr w:type="spellStart"/>
      <w:r w:rsidRPr="00580C0D">
        <w:t>Innst</w:t>
      </w:r>
      <w:proofErr w:type="spellEnd"/>
      <w:r w:rsidRPr="00580C0D">
        <w:t>. 229 L (2015–2016).</w:t>
      </w:r>
    </w:p>
    <w:p w14:paraId="23345D59" w14:textId="77777777" w:rsidR="00F7113A" w:rsidRPr="00580C0D" w:rsidRDefault="00142E5B" w:rsidP="00580C0D">
      <w:r w:rsidRPr="00580C0D">
        <w:t xml:space="preserve">Departementet har </w:t>
      </w:r>
      <w:proofErr w:type="spellStart"/>
      <w:r w:rsidRPr="00580C0D">
        <w:t>fremja</w:t>
      </w:r>
      <w:proofErr w:type="spellEnd"/>
      <w:r w:rsidRPr="00580C0D">
        <w:t xml:space="preserve"> proposisjon om </w:t>
      </w:r>
      <w:proofErr w:type="spellStart"/>
      <w:r w:rsidRPr="00580C0D">
        <w:t>mellombelse</w:t>
      </w:r>
      <w:proofErr w:type="spellEnd"/>
      <w:r w:rsidRPr="00580C0D">
        <w:t xml:space="preserve"> </w:t>
      </w:r>
      <w:proofErr w:type="spellStart"/>
      <w:r w:rsidRPr="00580C0D">
        <w:t>lovendringar</w:t>
      </w:r>
      <w:proofErr w:type="spellEnd"/>
      <w:r w:rsidRPr="00580C0D">
        <w:t xml:space="preserve"> for å handtere pandemi (2020 og 2021) og </w:t>
      </w:r>
      <w:proofErr w:type="spellStart"/>
      <w:r w:rsidRPr="00580C0D">
        <w:t>auka</w:t>
      </w:r>
      <w:proofErr w:type="spellEnd"/>
      <w:r w:rsidRPr="00580C0D">
        <w:t xml:space="preserve"> framkomst av </w:t>
      </w:r>
      <w:proofErr w:type="spellStart"/>
      <w:r w:rsidRPr="00580C0D">
        <w:t>flyktningar</w:t>
      </w:r>
      <w:proofErr w:type="spellEnd"/>
      <w:r w:rsidRPr="00580C0D">
        <w:t xml:space="preserve"> som </w:t>
      </w:r>
      <w:proofErr w:type="spellStart"/>
      <w:r w:rsidRPr="00580C0D">
        <w:t>følgje</w:t>
      </w:r>
      <w:proofErr w:type="spellEnd"/>
      <w:r w:rsidRPr="00580C0D">
        <w:t xml:space="preserve"> av invasjonen av Ukraina (2022), som Stortinget har vedtatt. </w:t>
      </w:r>
      <w:proofErr w:type="spellStart"/>
      <w:r w:rsidRPr="00580C0D">
        <w:t>Gjeldande</w:t>
      </w:r>
      <w:proofErr w:type="spellEnd"/>
      <w:r w:rsidRPr="00580C0D">
        <w:t xml:space="preserve"> beredskapsføresegn for å handtere </w:t>
      </w:r>
      <w:proofErr w:type="spellStart"/>
      <w:r w:rsidRPr="00580C0D">
        <w:t>auka</w:t>
      </w:r>
      <w:proofErr w:type="spellEnd"/>
      <w:r w:rsidRPr="00580C0D">
        <w:t xml:space="preserve"> </w:t>
      </w:r>
      <w:proofErr w:type="spellStart"/>
      <w:r w:rsidRPr="00580C0D">
        <w:t>framkomstar</w:t>
      </w:r>
      <w:proofErr w:type="spellEnd"/>
      <w:r w:rsidRPr="00580C0D">
        <w:t xml:space="preserve">, er </w:t>
      </w:r>
      <w:proofErr w:type="spellStart"/>
      <w:r w:rsidRPr="00580C0D">
        <w:t>forlengt</w:t>
      </w:r>
      <w:proofErr w:type="spellEnd"/>
      <w:r w:rsidRPr="00580C0D">
        <w:t xml:space="preserve"> og gjeld fram til 1. juli 2024. Arbeidet med å </w:t>
      </w:r>
      <w:proofErr w:type="spellStart"/>
      <w:r w:rsidRPr="00580C0D">
        <w:t>følgje</w:t>
      </w:r>
      <w:proofErr w:type="spellEnd"/>
      <w:r w:rsidRPr="00580C0D">
        <w:t xml:space="preserve"> opp oppmodingsvedtaket har som </w:t>
      </w:r>
      <w:proofErr w:type="spellStart"/>
      <w:r w:rsidRPr="00580C0D">
        <w:t>følgje</w:t>
      </w:r>
      <w:proofErr w:type="spellEnd"/>
      <w:r w:rsidRPr="00580C0D">
        <w:t xml:space="preserve"> av dette blitt </w:t>
      </w:r>
      <w:proofErr w:type="spellStart"/>
      <w:r w:rsidRPr="00580C0D">
        <w:t>forseinka</w:t>
      </w:r>
      <w:proofErr w:type="spellEnd"/>
      <w:r w:rsidRPr="00580C0D">
        <w:t>. Arbeids- og inkluderingsdepartementet vil evaluere beredskapsføresegna.</w:t>
      </w:r>
    </w:p>
    <w:p w14:paraId="2AEDE3E5"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om saka på eigna måte.</w:t>
      </w:r>
    </w:p>
    <w:p w14:paraId="034C8364" w14:textId="77777777" w:rsidR="00F7113A" w:rsidRPr="00580C0D" w:rsidRDefault="00142E5B" w:rsidP="00580C0D">
      <w:pPr>
        <w:pStyle w:val="avsnitt-tittel"/>
      </w:pPr>
      <w:proofErr w:type="spellStart"/>
      <w:r w:rsidRPr="00580C0D">
        <w:t>Endringar</w:t>
      </w:r>
      <w:proofErr w:type="spellEnd"/>
      <w:r w:rsidRPr="00580C0D">
        <w:t xml:space="preserve"> i </w:t>
      </w:r>
      <w:proofErr w:type="spellStart"/>
      <w:r w:rsidRPr="00580C0D">
        <w:t>vallova</w:t>
      </w:r>
      <w:proofErr w:type="spellEnd"/>
    </w:p>
    <w:p w14:paraId="29593379" w14:textId="77777777" w:rsidR="00F7113A" w:rsidRPr="00580C0D" w:rsidRDefault="00142E5B" w:rsidP="00580C0D">
      <w:pPr>
        <w:pStyle w:val="avsnitt-undertittel"/>
      </w:pPr>
      <w:r w:rsidRPr="00580C0D">
        <w:t>Vedtak nr. 861, 10. juni 2016</w:t>
      </w:r>
    </w:p>
    <w:p w14:paraId="5E187FE0" w14:textId="77777777" w:rsidR="00F7113A" w:rsidRPr="00580C0D" w:rsidRDefault="00142E5B" w:rsidP="00580C0D">
      <w:pPr>
        <w:pStyle w:val="blokksit"/>
        <w:rPr>
          <w:rStyle w:val="kursiv"/>
        </w:rPr>
      </w:pPr>
      <w:r w:rsidRPr="00580C0D">
        <w:rPr>
          <w:rStyle w:val="kursiv"/>
        </w:rPr>
        <w:t>«Stortinget ber regjeringen komme tilbake med et nytt forslag til endringer i valgloven § 7-2 og § 11-5 første ledd (personvalg ved stortingsvalg), hvor også merknader og forslag i denne innstilling er vurdert. Lovendringen foreslås iverksatt fra stortingsvalget i 2021.»</w:t>
      </w:r>
    </w:p>
    <w:p w14:paraId="6CEE99D3"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73 L (2015–2016) </w:t>
      </w:r>
      <w:proofErr w:type="spellStart"/>
      <w:r w:rsidRPr="00580C0D">
        <w:rPr>
          <w:rStyle w:val="kursiv"/>
        </w:rPr>
        <w:t>Endringar</w:t>
      </w:r>
      <w:proofErr w:type="spellEnd"/>
      <w:r w:rsidRPr="00580C0D">
        <w:rPr>
          <w:rStyle w:val="kursiv"/>
        </w:rPr>
        <w:t xml:space="preserve"> i valgloven (</w:t>
      </w:r>
      <w:proofErr w:type="spellStart"/>
      <w:r w:rsidRPr="00580C0D">
        <w:rPr>
          <w:rStyle w:val="kursiv"/>
        </w:rPr>
        <w:t>personval</w:t>
      </w:r>
      <w:proofErr w:type="spellEnd"/>
      <w:r w:rsidRPr="00580C0D">
        <w:rPr>
          <w:rStyle w:val="kursiv"/>
        </w:rPr>
        <w:t xml:space="preserve"> ved </w:t>
      </w:r>
      <w:proofErr w:type="spellStart"/>
      <w:r w:rsidRPr="00580C0D">
        <w:rPr>
          <w:rStyle w:val="kursiv"/>
        </w:rPr>
        <w:t>stortingsval</w:t>
      </w:r>
      <w:proofErr w:type="spellEnd"/>
      <w:r w:rsidRPr="00580C0D">
        <w:rPr>
          <w:rStyle w:val="kursiv"/>
        </w:rPr>
        <w:t>, frist for godkjenning av førehandsstemmer mv.)</w:t>
      </w:r>
      <w:r w:rsidRPr="00580C0D">
        <w:t xml:space="preserve"> og </w:t>
      </w:r>
      <w:proofErr w:type="spellStart"/>
      <w:r w:rsidRPr="00580C0D">
        <w:t>Innst</w:t>
      </w:r>
      <w:proofErr w:type="spellEnd"/>
      <w:r w:rsidRPr="00580C0D">
        <w:t>. 402 L (2015–2016).</w:t>
      </w:r>
    </w:p>
    <w:p w14:paraId="1890319C" w14:textId="77777777" w:rsidR="00F7113A" w:rsidRPr="00580C0D" w:rsidRDefault="00142E5B" w:rsidP="00580C0D">
      <w:r w:rsidRPr="00580C0D">
        <w:t xml:space="preserve">Regjeringa la fram </w:t>
      </w:r>
      <w:proofErr w:type="spellStart"/>
      <w:r w:rsidRPr="00580C0D">
        <w:t>Prop</w:t>
      </w:r>
      <w:proofErr w:type="spellEnd"/>
      <w:r w:rsidRPr="00580C0D">
        <w:t xml:space="preserve">. 45 L (2022–2023) </w:t>
      </w:r>
      <w:r w:rsidRPr="00580C0D">
        <w:rPr>
          <w:rStyle w:val="kursiv"/>
        </w:rPr>
        <w:t>Lov om valg til Stortinget, fylkesting og kommunestyrer (valgloven)</w:t>
      </w:r>
      <w:r w:rsidRPr="00580C0D">
        <w:t xml:space="preserve"> i mars 2023. Spørsmålet om </w:t>
      </w:r>
      <w:proofErr w:type="spellStart"/>
      <w:r w:rsidRPr="00580C0D">
        <w:t>personval</w:t>
      </w:r>
      <w:proofErr w:type="spellEnd"/>
      <w:r w:rsidRPr="00580C0D">
        <w:t xml:space="preserve"> ved </w:t>
      </w:r>
      <w:proofErr w:type="spellStart"/>
      <w:r w:rsidRPr="00580C0D">
        <w:t>stortingsval</w:t>
      </w:r>
      <w:proofErr w:type="spellEnd"/>
      <w:r w:rsidRPr="00580C0D">
        <w:t xml:space="preserve"> vart drøfta, men regjeringa gjekk </w:t>
      </w:r>
      <w:proofErr w:type="spellStart"/>
      <w:r w:rsidRPr="00580C0D">
        <w:t>ikkje</w:t>
      </w:r>
      <w:proofErr w:type="spellEnd"/>
      <w:r w:rsidRPr="00580C0D">
        <w:t xml:space="preserve"> inn for dette. Stortinget behandla proposisjonen i juni 2023 og vedtok ny </w:t>
      </w:r>
      <w:proofErr w:type="spellStart"/>
      <w:r w:rsidRPr="00580C0D">
        <w:t>vallov</w:t>
      </w:r>
      <w:proofErr w:type="spellEnd"/>
      <w:r w:rsidRPr="00580C0D">
        <w:t xml:space="preserve"> i tråd med regjeringas framlegg.</w:t>
      </w:r>
    </w:p>
    <w:p w14:paraId="6ECBEE2F" w14:textId="77777777" w:rsidR="00F7113A" w:rsidRPr="00580C0D" w:rsidRDefault="00142E5B" w:rsidP="00580C0D">
      <w:r w:rsidRPr="00580C0D">
        <w:t xml:space="preserve">Departementet meiner med dette at oppmodingsvedtaket er </w:t>
      </w:r>
      <w:proofErr w:type="spellStart"/>
      <w:r w:rsidRPr="00580C0D">
        <w:t>følgt</w:t>
      </w:r>
      <w:proofErr w:type="spellEnd"/>
      <w:r w:rsidRPr="00580C0D">
        <w:t xml:space="preserve"> opp.</w:t>
      </w:r>
    </w:p>
    <w:p w14:paraId="207D69FA" w14:textId="77777777" w:rsidR="00F7113A" w:rsidRPr="00580C0D" w:rsidRDefault="00142E5B" w:rsidP="00580C0D">
      <w:pPr>
        <w:pStyle w:val="Overskrift1"/>
      </w:pPr>
      <w:r w:rsidRPr="00580C0D">
        <w:t>Kultur- og likestillingsdepartementet</w:t>
      </w:r>
    </w:p>
    <w:p w14:paraId="06575AB0" w14:textId="2627D3DB" w:rsidR="00F7113A" w:rsidRDefault="00142E5B" w:rsidP="00580C0D">
      <w:r w:rsidRPr="00580C0D">
        <w:t xml:space="preserve">Nedenfor gis en oversikt over oppfølging av anmodnings- og utredningsvedtak under Kultur- og likestillingsdepartementet. Oversikten inkluderer alle vedtak fra stortingssesjonen 2022–2023, samt de vedtakene fra tidligere stortingssesjoner som kontroll- og konstitusjonskomiteen i </w:t>
      </w:r>
      <w:proofErr w:type="spellStart"/>
      <w:r w:rsidRPr="00580C0D">
        <w:t>Innst</w:t>
      </w:r>
      <w:proofErr w:type="spellEnd"/>
      <w:r w:rsidRPr="00580C0D">
        <w:t>. 186 S (2022–2023) mente ikke var kvittert ut. I tabellen nedenfor angis det også hvorvidt departementet planlegger om rapporteringen knyttet til anmodningsvedtaket nå avsluttes, eller om departementet vil rapportere konkret på vedtaket også i neste års budsjettproposisjon.</w:t>
      </w:r>
    </w:p>
    <w:p w14:paraId="60F734E0" w14:textId="06B457AF" w:rsidR="001231A3" w:rsidRPr="00580C0D" w:rsidRDefault="001231A3" w:rsidP="001231A3">
      <w:pPr>
        <w:pStyle w:val="tabell-tittel"/>
      </w:pPr>
      <w:r w:rsidRPr="00580C0D">
        <w:t>Oversikt over anmodnings- og utredningsvedtak, ordnet etter sesjon og nummer</w:t>
      </w:r>
    </w:p>
    <w:p w14:paraId="603ED49F" w14:textId="77777777" w:rsidR="00F7113A" w:rsidRPr="00580C0D" w:rsidRDefault="00142E5B" w:rsidP="00580C0D">
      <w:pPr>
        <w:pStyle w:val="Tabellnavn"/>
      </w:pPr>
      <w:r w:rsidRPr="00580C0D">
        <w:t>04J1xx2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517"/>
        <w:gridCol w:w="1503"/>
      </w:tblGrid>
      <w:tr w:rsidR="00F7113A" w:rsidRPr="00580C0D" w14:paraId="5270347E" w14:textId="77777777" w:rsidTr="00BD6CF4">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837FD6" w14:textId="77777777" w:rsidR="00F7113A" w:rsidRPr="00580C0D" w:rsidRDefault="00142E5B" w:rsidP="001231A3">
            <w:r w:rsidRPr="00580C0D">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CBE826" w14:textId="77777777" w:rsidR="00F7113A" w:rsidRPr="00580C0D" w:rsidRDefault="00142E5B" w:rsidP="00BD6CF4">
            <w:pPr>
              <w:jc w:val="center"/>
            </w:pPr>
            <w:r w:rsidRPr="00580C0D">
              <w:t>Vedtak nr.</w:t>
            </w:r>
          </w:p>
        </w:tc>
        <w:tc>
          <w:tcPr>
            <w:tcW w:w="55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959E26" w14:textId="77777777" w:rsidR="00F7113A" w:rsidRPr="00580C0D" w:rsidRDefault="00142E5B" w:rsidP="001231A3">
            <w:r w:rsidRPr="00580C0D">
              <w:t>Stikkord</w:t>
            </w:r>
          </w:p>
        </w:tc>
        <w:tc>
          <w:tcPr>
            <w:tcW w:w="15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E0CEF4" w14:textId="77777777" w:rsidR="00F7113A" w:rsidRPr="00580C0D" w:rsidRDefault="00142E5B" w:rsidP="001231A3">
            <w:pPr>
              <w:jc w:val="right"/>
            </w:pPr>
            <w:r w:rsidRPr="00580C0D">
              <w:t xml:space="preserve">Rapportering </w:t>
            </w:r>
            <w:r w:rsidRPr="00580C0D">
              <w:br/>
              <w:t xml:space="preserve">avsluttes </w:t>
            </w:r>
            <w:r w:rsidRPr="00580C0D">
              <w:br/>
              <w:t>(Ja/Nei)</w:t>
            </w:r>
          </w:p>
        </w:tc>
      </w:tr>
      <w:tr w:rsidR="00F7113A" w:rsidRPr="00580C0D" w14:paraId="6D5229EB" w14:textId="77777777" w:rsidTr="00BD6CF4">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359A950C" w14:textId="77777777" w:rsidR="00F7113A" w:rsidRPr="00580C0D" w:rsidRDefault="00142E5B" w:rsidP="001231A3">
            <w:r w:rsidRPr="00580C0D">
              <w:t>2022–2023</w:t>
            </w:r>
          </w:p>
        </w:tc>
        <w:tc>
          <w:tcPr>
            <w:tcW w:w="1120" w:type="dxa"/>
            <w:tcBorders>
              <w:top w:val="single" w:sz="4" w:space="0" w:color="000000"/>
              <w:left w:val="nil"/>
              <w:bottom w:val="nil"/>
              <w:right w:val="nil"/>
            </w:tcBorders>
            <w:tcMar>
              <w:top w:w="128" w:type="dxa"/>
              <w:left w:w="43" w:type="dxa"/>
              <w:bottom w:w="43" w:type="dxa"/>
              <w:right w:w="43" w:type="dxa"/>
            </w:tcMar>
          </w:tcPr>
          <w:p w14:paraId="0654CDF2" w14:textId="77777777" w:rsidR="00F7113A" w:rsidRPr="00580C0D" w:rsidRDefault="00142E5B" w:rsidP="00BD6CF4">
            <w:pPr>
              <w:ind w:right="340"/>
              <w:jc w:val="right"/>
            </w:pPr>
            <w:r w:rsidRPr="00580C0D">
              <w:t>558</w:t>
            </w:r>
          </w:p>
        </w:tc>
        <w:tc>
          <w:tcPr>
            <w:tcW w:w="5517" w:type="dxa"/>
            <w:tcBorders>
              <w:top w:val="single" w:sz="4" w:space="0" w:color="000000"/>
              <w:left w:val="nil"/>
              <w:bottom w:val="nil"/>
              <w:right w:val="nil"/>
            </w:tcBorders>
            <w:tcMar>
              <w:top w:w="128" w:type="dxa"/>
              <w:left w:w="43" w:type="dxa"/>
              <w:bottom w:w="43" w:type="dxa"/>
              <w:right w:w="43" w:type="dxa"/>
            </w:tcMar>
          </w:tcPr>
          <w:p w14:paraId="7E6D758E" w14:textId="77777777" w:rsidR="00F7113A" w:rsidRPr="00580C0D" w:rsidRDefault="00142E5B" w:rsidP="001231A3">
            <w:r w:rsidRPr="00580C0D">
              <w:t>Forsterke og utvide arbeidet med Frivillighetsregisteret</w:t>
            </w:r>
          </w:p>
        </w:tc>
        <w:tc>
          <w:tcPr>
            <w:tcW w:w="1503" w:type="dxa"/>
            <w:tcBorders>
              <w:top w:val="single" w:sz="4" w:space="0" w:color="000000"/>
              <w:left w:val="nil"/>
              <w:bottom w:val="nil"/>
              <w:right w:val="nil"/>
            </w:tcBorders>
            <w:tcMar>
              <w:top w:w="128" w:type="dxa"/>
              <w:left w:w="43" w:type="dxa"/>
              <w:bottom w:w="43" w:type="dxa"/>
              <w:right w:w="43" w:type="dxa"/>
            </w:tcMar>
          </w:tcPr>
          <w:p w14:paraId="4843D514" w14:textId="77777777" w:rsidR="00F7113A" w:rsidRPr="00580C0D" w:rsidRDefault="00142E5B" w:rsidP="001231A3">
            <w:pPr>
              <w:jc w:val="right"/>
            </w:pPr>
            <w:r w:rsidRPr="00580C0D">
              <w:t>Nei</w:t>
            </w:r>
          </w:p>
        </w:tc>
      </w:tr>
      <w:tr w:rsidR="00F7113A" w:rsidRPr="00580C0D" w14:paraId="3ED1C09E"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041F0B6B"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3605C2D7" w14:textId="77777777" w:rsidR="00F7113A" w:rsidRPr="00580C0D" w:rsidRDefault="00142E5B" w:rsidP="00BD6CF4">
            <w:pPr>
              <w:ind w:right="340"/>
              <w:jc w:val="right"/>
            </w:pPr>
            <w:r w:rsidRPr="00580C0D">
              <w:t>559</w:t>
            </w:r>
          </w:p>
        </w:tc>
        <w:tc>
          <w:tcPr>
            <w:tcW w:w="5517" w:type="dxa"/>
            <w:tcBorders>
              <w:top w:val="nil"/>
              <w:left w:val="nil"/>
              <w:bottom w:val="nil"/>
              <w:right w:val="nil"/>
            </w:tcBorders>
            <w:tcMar>
              <w:top w:w="128" w:type="dxa"/>
              <w:left w:w="43" w:type="dxa"/>
              <w:bottom w:w="43" w:type="dxa"/>
              <w:right w:w="43" w:type="dxa"/>
            </w:tcMar>
          </w:tcPr>
          <w:p w14:paraId="16108A13" w14:textId="77777777" w:rsidR="00F7113A" w:rsidRPr="00580C0D" w:rsidRDefault="00142E5B" w:rsidP="001231A3">
            <w:r w:rsidRPr="00580C0D">
              <w:t>Enhetlig definisjon av frivillige organisasjoner</w:t>
            </w:r>
          </w:p>
        </w:tc>
        <w:tc>
          <w:tcPr>
            <w:tcW w:w="1503" w:type="dxa"/>
            <w:tcBorders>
              <w:top w:val="nil"/>
              <w:left w:val="nil"/>
              <w:bottom w:val="nil"/>
              <w:right w:val="nil"/>
            </w:tcBorders>
            <w:tcMar>
              <w:top w:w="128" w:type="dxa"/>
              <w:left w:w="43" w:type="dxa"/>
              <w:bottom w:w="43" w:type="dxa"/>
              <w:right w:w="43" w:type="dxa"/>
            </w:tcMar>
          </w:tcPr>
          <w:p w14:paraId="138DB7D2" w14:textId="77777777" w:rsidR="00F7113A" w:rsidRPr="00580C0D" w:rsidRDefault="00142E5B" w:rsidP="001231A3">
            <w:pPr>
              <w:jc w:val="right"/>
            </w:pPr>
            <w:r w:rsidRPr="00580C0D">
              <w:t>Nei</w:t>
            </w:r>
          </w:p>
        </w:tc>
      </w:tr>
      <w:tr w:rsidR="00F7113A" w:rsidRPr="00580C0D" w14:paraId="2AF3732E"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0FD73243"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DAFE50B" w14:textId="77777777" w:rsidR="00F7113A" w:rsidRPr="00580C0D" w:rsidRDefault="00142E5B" w:rsidP="00BD6CF4">
            <w:pPr>
              <w:ind w:right="340"/>
              <w:jc w:val="right"/>
            </w:pPr>
            <w:r w:rsidRPr="00580C0D">
              <w:t>560</w:t>
            </w:r>
          </w:p>
        </w:tc>
        <w:tc>
          <w:tcPr>
            <w:tcW w:w="5517" w:type="dxa"/>
            <w:tcBorders>
              <w:top w:val="nil"/>
              <w:left w:val="nil"/>
              <w:bottom w:val="nil"/>
              <w:right w:val="nil"/>
            </w:tcBorders>
            <w:tcMar>
              <w:top w:w="128" w:type="dxa"/>
              <w:left w:w="43" w:type="dxa"/>
              <w:bottom w:w="43" w:type="dxa"/>
              <w:right w:w="43" w:type="dxa"/>
            </w:tcMar>
          </w:tcPr>
          <w:p w14:paraId="6FF2B361" w14:textId="77777777" w:rsidR="00F7113A" w:rsidRPr="00580C0D" w:rsidRDefault="00142E5B" w:rsidP="001231A3">
            <w:r w:rsidRPr="00580C0D">
              <w:t>Harmonisere og forenkle søkbare ordninger</w:t>
            </w:r>
          </w:p>
        </w:tc>
        <w:tc>
          <w:tcPr>
            <w:tcW w:w="1503" w:type="dxa"/>
            <w:tcBorders>
              <w:top w:val="nil"/>
              <w:left w:val="nil"/>
              <w:bottom w:val="nil"/>
              <w:right w:val="nil"/>
            </w:tcBorders>
            <w:tcMar>
              <w:top w:w="128" w:type="dxa"/>
              <w:left w:w="43" w:type="dxa"/>
              <w:bottom w:w="43" w:type="dxa"/>
              <w:right w:w="43" w:type="dxa"/>
            </w:tcMar>
          </w:tcPr>
          <w:p w14:paraId="4CD88F04" w14:textId="77777777" w:rsidR="00F7113A" w:rsidRPr="00580C0D" w:rsidRDefault="00142E5B" w:rsidP="001231A3">
            <w:pPr>
              <w:jc w:val="right"/>
            </w:pPr>
            <w:r w:rsidRPr="00580C0D">
              <w:t>Nei</w:t>
            </w:r>
          </w:p>
        </w:tc>
      </w:tr>
      <w:tr w:rsidR="00F7113A" w:rsidRPr="00580C0D" w14:paraId="167FB059"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589686AC"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21B961F5" w14:textId="77777777" w:rsidR="00F7113A" w:rsidRPr="00580C0D" w:rsidRDefault="00142E5B" w:rsidP="00BD6CF4">
            <w:pPr>
              <w:ind w:right="340"/>
              <w:jc w:val="right"/>
            </w:pPr>
            <w:r w:rsidRPr="00580C0D">
              <w:t>607</w:t>
            </w:r>
          </w:p>
        </w:tc>
        <w:tc>
          <w:tcPr>
            <w:tcW w:w="5517" w:type="dxa"/>
            <w:tcBorders>
              <w:top w:val="nil"/>
              <w:left w:val="nil"/>
              <w:bottom w:val="nil"/>
              <w:right w:val="nil"/>
            </w:tcBorders>
            <w:tcMar>
              <w:top w:w="128" w:type="dxa"/>
              <w:left w:w="43" w:type="dxa"/>
              <w:bottom w:w="43" w:type="dxa"/>
              <w:right w:w="43" w:type="dxa"/>
            </w:tcMar>
          </w:tcPr>
          <w:p w14:paraId="5FEFB5F0" w14:textId="77777777" w:rsidR="00F7113A" w:rsidRPr="00580C0D" w:rsidRDefault="00142E5B" w:rsidP="001231A3">
            <w:r w:rsidRPr="00580C0D">
              <w:t>Vurdering av økonomiske levekår for personer med nedsatt funksjonsevne</w:t>
            </w:r>
          </w:p>
        </w:tc>
        <w:tc>
          <w:tcPr>
            <w:tcW w:w="1503" w:type="dxa"/>
            <w:tcBorders>
              <w:top w:val="nil"/>
              <w:left w:val="nil"/>
              <w:bottom w:val="nil"/>
              <w:right w:val="nil"/>
            </w:tcBorders>
            <w:tcMar>
              <w:top w:w="128" w:type="dxa"/>
              <w:left w:w="43" w:type="dxa"/>
              <w:bottom w:w="43" w:type="dxa"/>
              <w:right w:w="43" w:type="dxa"/>
            </w:tcMar>
          </w:tcPr>
          <w:p w14:paraId="0A23B266" w14:textId="77777777" w:rsidR="00F7113A" w:rsidRPr="00580C0D" w:rsidRDefault="00142E5B" w:rsidP="001231A3">
            <w:pPr>
              <w:jc w:val="right"/>
            </w:pPr>
            <w:r w:rsidRPr="00580C0D">
              <w:t xml:space="preserve">Nei </w:t>
            </w:r>
          </w:p>
        </w:tc>
      </w:tr>
      <w:tr w:rsidR="00F7113A" w:rsidRPr="00580C0D" w14:paraId="34993DA8"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3B9D1023"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1380E556" w14:textId="77777777" w:rsidR="00F7113A" w:rsidRPr="00580C0D" w:rsidRDefault="00142E5B" w:rsidP="00BD6CF4">
            <w:pPr>
              <w:ind w:right="340"/>
              <w:jc w:val="right"/>
            </w:pPr>
            <w:r w:rsidRPr="00580C0D">
              <w:t>637</w:t>
            </w:r>
          </w:p>
        </w:tc>
        <w:tc>
          <w:tcPr>
            <w:tcW w:w="5517" w:type="dxa"/>
            <w:tcBorders>
              <w:top w:val="nil"/>
              <w:left w:val="nil"/>
              <w:bottom w:val="nil"/>
              <w:right w:val="nil"/>
            </w:tcBorders>
            <w:tcMar>
              <w:top w:w="128" w:type="dxa"/>
              <w:left w:w="43" w:type="dxa"/>
              <w:bottom w:w="43" w:type="dxa"/>
              <w:right w:w="43" w:type="dxa"/>
            </w:tcMar>
          </w:tcPr>
          <w:p w14:paraId="52EAC6D1" w14:textId="77777777" w:rsidR="00F7113A" w:rsidRPr="00580C0D" w:rsidRDefault="00142E5B" w:rsidP="001231A3">
            <w:r w:rsidRPr="00580C0D">
              <w:t>Løfte idrett og friluftsliv i områdesatsingsprogrammet</w:t>
            </w:r>
          </w:p>
        </w:tc>
        <w:tc>
          <w:tcPr>
            <w:tcW w:w="1503" w:type="dxa"/>
            <w:tcBorders>
              <w:top w:val="nil"/>
              <w:left w:val="nil"/>
              <w:bottom w:val="nil"/>
              <w:right w:val="nil"/>
            </w:tcBorders>
            <w:tcMar>
              <w:top w:w="128" w:type="dxa"/>
              <w:left w:w="43" w:type="dxa"/>
              <w:bottom w:w="43" w:type="dxa"/>
              <w:right w:w="43" w:type="dxa"/>
            </w:tcMar>
          </w:tcPr>
          <w:p w14:paraId="13DA3112" w14:textId="77777777" w:rsidR="00F7113A" w:rsidRPr="00580C0D" w:rsidRDefault="00142E5B" w:rsidP="001231A3">
            <w:pPr>
              <w:jc w:val="right"/>
            </w:pPr>
            <w:r w:rsidRPr="00580C0D">
              <w:t>Ja</w:t>
            </w:r>
          </w:p>
        </w:tc>
      </w:tr>
      <w:tr w:rsidR="00F7113A" w:rsidRPr="00580C0D" w14:paraId="585EA650"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75DF1FC2"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0BD24B7E" w14:textId="77777777" w:rsidR="00F7113A" w:rsidRPr="00580C0D" w:rsidRDefault="00142E5B" w:rsidP="00BD6CF4">
            <w:pPr>
              <w:ind w:right="340"/>
              <w:jc w:val="right"/>
            </w:pPr>
            <w:r w:rsidRPr="00580C0D">
              <w:t>638</w:t>
            </w:r>
          </w:p>
        </w:tc>
        <w:tc>
          <w:tcPr>
            <w:tcW w:w="5517" w:type="dxa"/>
            <w:tcBorders>
              <w:top w:val="nil"/>
              <w:left w:val="nil"/>
              <w:bottom w:val="nil"/>
              <w:right w:val="nil"/>
            </w:tcBorders>
            <w:tcMar>
              <w:top w:w="128" w:type="dxa"/>
              <w:left w:w="43" w:type="dxa"/>
              <w:bottom w:w="43" w:type="dxa"/>
              <w:right w:w="43" w:type="dxa"/>
            </w:tcMar>
          </w:tcPr>
          <w:p w14:paraId="1DA6D78C" w14:textId="77777777" w:rsidR="00F7113A" w:rsidRPr="00580C0D" w:rsidRDefault="00142E5B" w:rsidP="001231A3">
            <w:r w:rsidRPr="00580C0D">
              <w:t>Legge fram plan for å inkludere alle barn som ønsker det i idrettslagene og friluftsliv lokalt</w:t>
            </w:r>
          </w:p>
        </w:tc>
        <w:tc>
          <w:tcPr>
            <w:tcW w:w="1503" w:type="dxa"/>
            <w:tcBorders>
              <w:top w:val="nil"/>
              <w:left w:val="nil"/>
              <w:bottom w:val="nil"/>
              <w:right w:val="nil"/>
            </w:tcBorders>
            <w:tcMar>
              <w:top w:w="128" w:type="dxa"/>
              <w:left w:w="43" w:type="dxa"/>
              <w:bottom w:w="43" w:type="dxa"/>
              <w:right w:w="43" w:type="dxa"/>
            </w:tcMar>
          </w:tcPr>
          <w:p w14:paraId="24A7E73C" w14:textId="77777777" w:rsidR="00F7113A" w:rsidRPr="00580C0D" w:rsidRDefault="00142E5B" w:rsidP="001231A3">
            <w:pPr>
              <w:jc w:val="right"/>
            </w:pPr>
            <w:r w:rsidRPr="00580C0D">
              <w:t>Nei</w:t>
            </w:r>
          </w:p>
        </w:tc>
      </w:tr>
      <w:tr w:rsidR="00F7113A" w:rsidRPr="00580C0D" w14:paraId="0AD10F47"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421F29C6"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0925B2F" w14:textId="77777777" w:rsidR="00F7113A" w:rsidRPr="00580C0D" w:rsidRDefault="00142E5B" w:rsidP="00BD6CF4">
            <w:pPr>
              <w:ind w:right="340"/>
              <w:jc w:val="right"/>
            </w:pPr>
            <w:r w:rsidRPr="00580C0D">
              <w:t>796</w:t>
            </w:r>
          </w:p>
        </w:tc>
        <w:tc>
          <w:tcPr>
            <w:tcW w:w="5517" w:type="dxa"/>
            <w:tcBorders>
              <w:top w:val="nil"/>
              <w:left w:val="nil"/>
              <w:bottom w:val="nil"/>
              <w:right w:val="nil"/>
            </w:tcBorders>
            <w:tcMar>
              <w:top w:w="128" w:type="dxa"/>
              <w:left w:w="43" w:type="dxa"/>
              <w:bottom w:w="43" w:type="dxa"/>
              <w:right w:w="43" w:type="dxa"/>
            </w:tcMar>
          </w:tcPr>
          <w:p w14:paraId="49C0F423" w14:textId="77777777" w:rsidR="00F7113A" w:rsidRPr="00580C0D" w:rsidRDefault="00142E5B" w:rsidP="001231A3">
            <w:r w:rsidRPr="00580C0D">
              <w:t>Universell utforming av lydbøker</w:t>
            </w:r>
          </w:p>
        </w:tc>
        <w:tc>
          <w:tcPr>
            <w:tcW w:w="1503" w:type="dxa"/>
            <w:tcBorders>
              <w:top w:val="nil"/>
              <w:left w:val="nil"/>
              <w:bottom w:val="nil"/>
              <w:right w:val="nil"/>
            </w:tcBorders>
            <w:tcMar>
              <w:top w:w="128" w:type="dxa"/>
              <w:left w:w="43" w:type="dxa"/>
              <w:bottom w:w="43" w:type="dxa"/>
              <w:right w:w="43" w:type="dxa"/>
            </w:tcMar>
          </w:tcPr>
          <w:p w14:paraId="0A62C94C" w14:textId="77777777" w:rsidR="00F7113A" w:rsidRPr="00580C0D" w:rsidRDefault="00142E5B" w:rsidP="001231A3">
            <w:pPr>
              <w:jc w:val="right"/>
            </w:pPr>
            <w:r w:rsidRPr="00580C0D">
              <w:t>Nei</w:t>
            </w:r>
          </w:p>
        </w:tc>
      </w:tr>
      <w:tr w:rsidR="00F7113A" w:rsidRPr="00580C0D" w14:paraId="423B4C3E"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1143BFC8"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6F211CD7" w14:textId="77777777" w:rsidR="00F7113A" w:rsidRPr="00580C0D" w:rsidRDefault="00142E5B" w:rsidP="00BD6CF4">
            <w:pPr>
              <w:ind w:right="340"/>
              <w:jc w:val="right"/>
            </w:pPr>
            <w:r w:rsidRPr="00580C0D">
              <w:t>797</w:t>
            </w:r>
          </w:p>
        </w:tc>
        <w:tc>
          <w:tcPr>
            <w:tcW w:w="5517" w:type="dxa"/>
            <w:tcBorders>
              <w:top w:val="nil"/>
              <w:left w:val="nil"/>
              <w:bottom w:val="nil"/>
              <w:right w:val="nil"/>
            </w:tcBorders>
            <w:tcMar>
              <w:top w:w="128" w:type="dxa"/>
              <w:left w:w="43" w:type="dxa"/>
              <w:bottom w:w="43" w:type="dxa"/>
              <w:right w:w="43" w:type="dxa"/>
            </w:tcMar>
          </w:tcPr>
          <w:p w14:paraId="645C655B" w14:textId="77777777" w:rsidR="00F7113A" w:rsidRPr="00580C0D" w:rsidRDefault="00142E5B" w:rsidP="001231A3">
            <w:r w:rsidRPr="00580C0D">
              <w:t>Regulering av strømmemarkedet i bokloven</w:t>
            </w:r>
          </w:p>
        </w:tc>
        <w:tc>
          <w:tcPr>
            <w:tcW w:w="1503" w:type="dxa"/>
            <w:tcBorders>
              <w:top w:val="nil"/>
              <w:left w:val="nil"/>
              <w:bottom w:val="nil"/>
              <w:right w:val="nil"/>
            </w:tcBorders>
            <w:tcMar>
              <w:top w:w="128" w:type="dxa"/>
              <w:left w:w="43" w:type="dxa"/>
              <w:bottom w:w="43" w:type="dxa"/>
              <w:right w:w="43" w:type="dxa"/>
            </w:tcMar>
          </w:tcPr>
          <w:p w14:paraId="47A93AA3" w14:textId="77777777" w:rsidR="00F7113A" w:rsidRPr="00580C0D" w:rsidRDefault="00142E5B" w:rsidP="001231A3">
            <w:pPr>
              <w:jc w:val="right"/>
            </w:pPr>
            <w:r w:rsidRPr="00580C0D">
              <w:t>Nei</w:t>
            </w:r>
          </w:p>
        </w:tc>
      </w:tr>
      <w:tr w:rsidR="00F7113A" w:rsidRPr="00580C0D" w14:paraId="5975D1BF"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77E8B5DF"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35961390" w14:textId="77777777" w:rsidR="00F7113A" w:rsidRPr="00580C0D" w:rsidRDefault="00142E5B" w:rsidP="00BD6CF4">
            <w:pPr>
              <w:ind w:right="340"/>
              <w:jc w:val="right"/>
            </w:pPr>
            <w:r w:rsidRPr="00580C0D">
              <w:t>798</w:t>
            </w:r>
          </w:p>
        </w:tc>
        <w:tc>
          <w:tcPr>
            <w:tcW w:w="5517" w:type="dxa"/>
            <w:tcBorders>
              <w:top w:val="nil"/>
              <w:left w:val="nil"/>
              <w:bottom w:val="nil"/>
              <w:right w:val="nil"/>
            </w:tcBorders>
            <w:tcMar>
              <w:top w:w="128" w:type="dxa"/>
              <w:left w:w="43" w:type="dxa"/>
              <w:bottom w:w="43" w:type="dxa"/>
              <w:right w:w="43" w:type="dxa"/>
            </w:tcMar>
          </w:tcPr>
          <w:p w14:paraId="59795659" w14:textId="77777777" w:rsidR="00F7113A" w:rsidRPr="00580C0D" w:rsidRDefault="00142E5B" w:rsidP="001231A3">
            <w:r w:rsidRPr="00580C0D">
              <w:t xml:space="preserve">Vurdere endringer i fastprisreglene for lærebøker for høyere utdanning og fagbøker for profesjonsmarkedet </w:t>
            </w:r>
          </w:p>
        </w:tc>
        <w:tc>
          <w:tcPr>
            <w:tcW w:w="1503" w:type="dxa"/>
            <w:tcBorders>
              <w:top w:val="nil"/>
              <w:left w:val="nil"/>
              <w:bottom w:val="nil"/>
              <w:right w:val="nil"/>
            </w:tcBorders>
            <w:tcMar>
              <w:top w:w="128" w:type="dxa"/>
              <w:left w:w="43" w:type="dxa"/>
              <w:bottom w:w="43" w:type="dxa"/>
              <w:right w:w="43" w:type="dxa"/>
            </w:tcMar>
          </w:tcPr>
          <w:p w14:paraId="1EF288C6" w14:textId="77777777" w:rsidR="00F7113A" w:rsidRPr="00580C0D" w:rsidRDefault="00142E5B" w:rsidP="001231A3">
            <w:pPr>
              <w:jc w:val="right"/>
            </w:pPr>
            <w:r w:rsidRPr="00580C0D">
              <w:t>Nei</w:t>
            </w:r>
          </w:p>
        </w:tc>
      </w:tr>
      <w:tr w:rsidR="00F7113A" w:rsidRPr="00580C0D" w14:paraId="25A60160"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17FC609C"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4812FA71" w14:textId="77777777" w:rsidR="00F7113A" w:rsidRPr="00580C0D" w:rsidRDefault="00142E5B" w:rsidP="00BD6CF4">
            <w:pPr>
              <w:ind w:right="340"/>
              <w:jc w:val="right"/>
            </w:pPr>
            <w:r w:rsidRPr="00580C0D">
              <w:t>799</w:t>
            </w:r>
          </w:p>
        </w:tc>
        <w:tc>
          <w:tcPr>
            <w:tcW w:w="5517" w:type="dxa"/>
            <w:tcBorders>
              <w:top w:val="nil"/>
              <w:left w:val="nil"/>
              <w:bottom w:val="nil"/>
              <w:right w:val="nil"/>
            </w:tcBorders>
            <w:tcMar>
              <w:top w:w="128" w:type="dxa"/>
              <w:left w:w="43" w:type="dxa"/>
              <w:bottom w:w="43" w:type="dxa"/>
              <w:right w:w="43" w:type="dxa"/>
            </w:tcMar>
          </w:tcPr>
          <w:p w14:paraId="1B1E9C9E" w14:textId="77777777" w:rsidR="00F7113A" w:rsidRPr="00580C0D" w:rsidRDefault="00142E5B" w:rsidP="001231A3">
            <w:r w:rsidRPr="00580C0D">
              <w:t>Vurdere virkningen av bokloven i markedet</w:t>
            </w:r>
          </w:p>
        </w:tc>
        <w:tc>
          <w:tcPr>
            <w:tcW w:w="1503" w:type="dxa"/>
            <w:tcBorders>
              <w:top w:val="nil"/>
              <w:left w:val="nil"/>
              <w:bottom w:val="nil"/>
              <w:right w:val="nil"/>
            </w:tcBorders>
            <w:tcMar>
              <w:top w:w="128" w:type="dxa"/>
              <w:left w:w="43" w:type="dxa"/>
              <w:bottom w:w="43" w:type="dxa"/>
              <w:right w:w="43" w:type="dxa"/>
            </w:tcMar>
          </w:tcPr>
          <w:p w14:paraId="006B0B88" w14:textId="77777777" w:rsidR="00F7113A" w:rsidRPr="00580C0D" w:rsidRDefault="00142E5B" w:rsidP="001231A3">
            <w:pPr>
              <w:jc w:val="right"/>
            </w:pPr>
            <w:r w:rsidRPr="00580C0D">
              <w:t>Nei</w:t>
            </w:r>
          </w:p>
        </w:tc>
      </w:tr>
      <w:tr w:rsidR="00F7113A" w:rsidRPr="00580C0D" w14:paraId="2B0D1369"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6C8F96B7"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5B95E3D3" w14:textId="77777777" w:rsidR="00F7113A" w:rsidRPr="00580C0D" w:rsidRDefault="00142E5B" w:rsidP="00BD6CF4">
            <w:pPr>
              <w:ind w:right="340"/>
              <w:jc w:val="right"/>
            </w:pPr>
            <w:r w:rsidRPr="00580C0D">
              <w:t>800</w:t>
            </w:r>
          </w:p>
        </w:tc>
        <w:tc>
          <w:tcPr>
            <w:tcW w:w="5517" w:type="dxa"/>
            <w:tcBorders>
              <w:top w:val="nil"/>
              <w:left w:val="nil"/>
              <w:bottom w:val="nil"/>
              <w:right w:val="nil"/>
            </w:tcBorders>
            <w:tcMar>
              <w:top w:w="128" w:type="dxa"/>
              <w:left w:w="43" w:type="dxa"/>
              <w:bottom w:w="43" w:type="dxa"/>
              <w:right w:w="43" w:type="dxa"/>
            </w:tcMar>
          </w:tcPr>
          <w:p w14:paraId="2052091E" w14:textId="77777777" w:rsidR="00F7113A" w:rsidRPr="00580C0D" w:rsidRDefault="00142E5B" w:rsidP="001231A3">
            <w:r w:rsidRPr="00580C0D">
              <w:t>Utrede muligheten for bestemmelser for folkebibliotekene om digitalt utlån av digitale verk</w:t>
            </w:r>
          </w:p>
        </w:tc>
        <w:tc>
          <w:tcPr>
            <w:tcW w:w="1503" w:type="dxa"/>
            <w:tcBorders>
              <w:top w:val="nil"/>
              <w:left w:val="nil"/>
              <w:bottom w:val="nil"/>
              <w:right w:val="nil"/>
            </w:tcBorders>
            <w:tcMar>
              <w:top w:w="128" w:type="dxa"/>
              <w:left w:w="43" w:type="dxa"/>
              <w:bottom w:w="43" w:type="dxa"/>
              <w:right w:w="43" w:type="dxa"/>
            </w:tcMar>
          </w:tcPr>
          <w:p w14:paraId="06349A38" w14:textId="77777777" w:rsidR="00F7113A" w:rsidRPr="00580C0D" w:rsidRDefault="00142E5B" w:rsidP="001231A3">
            <w:pPr>
              <w:jc w:val="right"/>
            </w:pPr>
            <w:r w:rsidRPr="00580C0D">
              <w:t>Nei</w:t>
            </w:r>
          </w:p>
        </w:tc>
      </w:tr>
      <w:tr w:rsidR="00F7113A" w:rsidRPr="00580C0D" w14:paraId="7D81B884"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2FAE7E69" w14:textId="77777777" w:rsidR="00F7113A" w:rsidRPr="00580C0D" w:rsidRDefault="00142E5B" w:rsidP="001231A3">
            <w:r w:rsidRPr="00580C0D">
              <w:t>2022–2023</w:t>
            </w:r>
          </w:p>
        </w:tc>
        <w:tc>
          <w:tcPr>
            <w:tcW w:w="1120" w:type="dxa"/>
            <w:tcBorders>
              <w:top w:val="nil"/>
              <w:left w:val="nil"/>
              <w:bottom w:val="nil"/>
              <w:right w:val="nil"/>
            </w:tcBorders>
            <w:tcMar>
              <w:top w:w="128" w:type="dxa"/>
              <w:left w:w="43" w:type="dxa"/>
              <w:bottom w:w="43" w:type="dxa"/>
              <w:right w:w="43" w:type="dxa"/>
            </w:tcMar>
          </w:tcPr>
          <w:p w14:paraId="54343EC3" w14:textId="77777777" w:rsidR="00F7113A" w:rsidRPr="00580C0D" w:rsidRDefault="00142E5B" w:rsidP="00BD6CF4">
            <w:pPr>
              <w:ind w:right="340"/>
              <w:jc w:val="right"/>
            </w:pPr>
            <w:r w:rsidRPr="00580C0D">
              <w:t>801</w:t>
            </w:r>
          </w:p>
        </w:tc>
        <w:tc>
          <w:tcPr>
            <w:tcW w:w="5517" w:type="dxa"/>
            <w:tcBorders>
              <w:top w:val="nil"/>
              <w:left w:val="nil"/>
              <w:bottom w:val="nil"/>
              <w:right w:val="nil"/>
            </w:tcBorders>
            <w:tcMar>
              <w:top w:w="128" w:type="dxa"/>
              <w:left w:w="43" w:type="dxa"/>
              <w:bottom w:w="43" w:type="dxa"/>
              <w:right w:w="43" w:type="dxa"/>
            </w:tcMar>
          </w:tcPr>
          <w:p w14:paraId="735896A7" w14:textId="77777777" w:rsidR="00F7113A" w:rsidRPr="00580C0D" w:rsidRDefault="00142E5B" w:rsidP="001231A3">
            <w:r w:rsidRPr="00580C0D">
              <w:t>Ekstern gjennomgang av avanseregulering i bokmarkedet</w:t>
            </w:r>
          </w:p>
        </w:tc>
        <w:tc>
          <w:tcPr>
            <w:tcW w:w="1503" w:type="dxa"/>
            <w:tcBorders>
              <w:top w:val="nil"/>
              <w:left w:val="nil"/>
              <w:bottom w:val="nil"/>
              <w:right w:val="nil"/>
            </w:tcBorders>
            <w:tcMar>
              <w:top w:w="128" w:type="dxa"/>
              <w:left w:w="43" w:type="dxa"/>
              <w:bottom w:w="43" w:type="dxa"/>
              <w:right w:w="43" w:type="dxa"/>
            </w:tcMar>
          </w:tcPr>
          <w:p w14:paraId="28988060" w14:textId="77777777" w:rsidR="00F7113A" w:rsidRPr="00580C0D" w:rsidRDefault="00142E5B" w:rsidP="001231A3">
            <w:pPr>
              <w:jc w:val="right"/>
            </w:pPr>
            <w:r w:rsidRPr="00580C0D">
              <w:t>Nei</w:t>
            </w:r>
          </w:p>
        </w:tc>
      </w:tr>
      <w:tr w:rsidR="00F7113A" w:rsidRPr="00580C0D" w14:paraId="2EF075F6"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74909164"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6926A9D4" w14:textId="77777777" w:rsidR="00F7113A" w:rsidRPr="00580C0D" w:rsidRDefault="00142E5B" w:rsidP="00BD6CF4">
            <w:pPr>
              <w:ind w:right="340"/>
              <w:jc w:val="right"/>
            </w:pPr>
            <w:r w:rsidRPr="00580C0D">
              <w:t>403</w:t>
            </w:r>
          </w:p>
        </w:tc>
        <w:tc>
          <w:tcPr>
            <w:tcW w:w="5517" w:type="dxa"/>
            <w:tcBorders>
              <w:top w:val="nil"/>
              <w:left w:val="nil"/>
              <w:bottom w:val="nil"/>
              <w:right w:val="nil"/>
            </w:tcBorders>
            <w:tcMar>
              <w:top w:w="128" w:type="dxa"/>
              <w:left w:w="43" w:type="dxa"/>
              <w:bottom w:w="43" w:type="dxa"/>
              <w:right w:w="43" w:type="dxa"/>
            </w:tcMar>
          </w:tcPr>
          <w:p w14:paraId="0B4E17A4" w14:textId="56A91AB3" w:rsidR="00F7113A" w:rsidRPr="00580C0D" w:rsidRDefault="00142E5B" w:rsidP="001231A3">
            <w:r w:rsidRPr="00580C0D">
              <w:t>Følge opp veilederen «Møteplasser for dataspill og data</w:t>
            </w:r>
            <w:r w:rsidR="00251BE9">
              <w:softHyphen/>
            </w:r>
            <w:r w:rsidRPr="00580C0D">
              <w:t>kultur»</w:t>
            </w:r>
          </w:p>
        </w:tc>
        <w:tc>
          <w:tcPr>
            <w:tcW w:w="1503" w:type="dxa"/>
            <w:tcBorders>
              <w:top w:val="nil"/>
              <w:left w:val="nil"/>
              <w:bottom w:val="nil"/>
              <w:right w:val="nil"/>
            </w:tcBorders>
            <w:tcMar>
              <w:top w:w="128" w:type="dxa"/>
              <w:left w:w="43" w:type="dxa"/>
              <w:bottom w:w="43" w:type="dxa"/>
              <w:right w:w="43" w:type="dxa"/>
            </w:tcMar>
          </w:tcPr>
          <w:p w14:paraId="4DED9816" w14:textId="77777777" w:rsidR="00F7113A" w:rsidRPr="00580C0D" w:rsidRDefault="00142E5B" w:rsidP="001231A3">
            <w:pPr>
              <w:jc w:val="right"/>
            </w:pPr>
            <w:r w:rsidRPr="00580C0D">
              <w:t>Nei</w:t>
            </w:r>
          </w:p>
        </w:tc>
      </w:tr>
      <w:tr w:rsidR="00F7113A" w:rsidRPr="00580C0D" w14:paraId="43316713"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59EA1C68"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0550AAE9" w14:textId="77777777" w:rsidR="00F7113A" w:rsidRPr="00580C0D" w:rsidRDefault="00142E5B" w:rsidP="00BD6CF4">
            <w:pPr>
              <w:ind w:right="340"/>
              <w:jc w:val="right"/>
            </w:pPr>
            <w:r w:rsidRPr="00580C0D">
              <w:t>501</w:t>
            </w:r>
          </w:p>
        </w:tc>
        <w:tc>
          <w:tcPr>
            <w:tcW w:w="5517" w:type="dxa"/>
            <w:tcBorders>
              <w:top w:val="nil"/>
              <w:left w:val="nil"/>
              <w:bottom w:val="nil"/>
              <w:right w:val="nil"/>
            </w:tcBorders>
            <w:tcMar>
              <w:top w:w="128" w:type="dxa"/>
              <w:left w:w="43" w:type="dxa"/>
              <w:bottom w:w="43" w:type="dxa"/>
              <w:right w:w="43" w:type="dxa"/>
            </w:tcMar>
          </w:tcPr>
          <w:p w14:paraId="02B95A0E" w14:textId="77777777" w:rsidR="00F7113A" w:rsidRPr="00580C0D" w:rsidRDefault="00142E5B" w:rsidP="001231A3">
            <w:r w:rsidRPr="00580C0D">
              <w:t>Styrke samarbeidet for en sunnere idrett og forebygging av kroppsmisnøye og spiseforstyrrelser i idretten</w:t>
            </w:r>
          </w:p>
        </w:tc>
        <w:tc>
          <w:tcPr>
            <w:tcW w:w="1503" w:type="dxa"/>
            <w:tcBorders>
              <w:top w:val="nil"/>
              <w:left w:val="nil"/>
              <w:bottom w:val="nil"/>
              <w:right w:val="nil"/>
            </w:tcBorders>
            <w:tcMar>
              <w:top w:w="128" w:type="dxa"/>
              <w:left w:w="43" w:type="dxa"/>
              <w:bottom w:w="43" w:type="dxa"/>
              <w:right w:w="43" w:type="dxa"/>
            </w:tcMar>
          </w:tcPr>
          <w:p w14:paraId="1BC08169" w14:textId="77777777" w:rsidR="00F7113A" w:rsidRPr="00580C0D" w:rsidRDefault="00142E5B" w:rsidP="001231A3">
            <w:pPr>
              <w:jc w:val="right"/>
            </w:pPr>
            <w:r w:rsidRPr="00580C0D">
              <w:t>Ja</w:t>
            </w:r>
          </w:p>
        </w:tc>
      </w:tr>
      <w:tr w:rsidR="00F7113A" w:rsidRPr="00580C0D" w14:paraId="013B3077" w14:textId="77777777" w:rsidTr="00BD6CF4">
        <w:trPr>
          <w:trHeight w:val="880"/>
        </w:trPr>
        <w:tc>
          <w:tcPr>
            <w:tcW w:w="1400" w:type="dxa"/>
            <w:tcBorders>
              <w:top w:val="nil"/>
              <w:left w:val="nil"/>
              <w:bottom w:val="nil"/>
              <w:right w:val="nil"/>
            </w:tcBorders>
            <w:tcMar>
              <w:top w:w="128" w:type="dxa"/>
              <w:left w:w="43" w:type="dxa"/>
              <w:bottom w:w="43" w:type="dxa"/>
              <w:right w:w="43" w:type="dxa"/>
            </w:tcMar>
          </w:tcPr>
          <w:p w14:paraId="594C0AC9"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5546946A" w14:textId="77777777" w:rsidR="00F7113A" w:rsidRPr="00580C0D" w:rsidRDefault="00142E5B" w:rsidP="00BD6CF4">
            <w:pPr>
              <w:ind w:right="340"/>
              <w:jc w:val="right"/>
            </w:pPr>
            <w:r w:rsidRPr="00580C0D">
              <w:t>502</w:t>
            </w:r>
          </w:p>
        </w:tc>
        <w:tc>
          <w:tcPr>
            <w:tcW w:w="5517" w:type="dxa"/>
            <w:tcBorders>
              <w:top w:val="nil"/>
              <w:left w:val="nil"/>
              <w:bottom w:val="nil"/>
              <w:right w:val="nil"/>
            </w:tcBorders>
            <w:tcMar>
              <w:top w:w="128" w:type="dxa"/>
              <w:left w:w="43" w:type="dxa"/>
              <w:bottom w:w="43" w:type="dxa"/>
              <w:right w:w="43" w:type="dxa"/>
            </w:tcMar>
          </w:tcPr>
          <w:p w14:paraId="0FB886B8" w14:textId="77777777" w:rsidR="00F7113A" w:rsidRPr="00580C0D" w:rsidRDefault="00142E5B" w:rsidP="001231A3">
            <w:r w:rsidRPr="00580C0D">
              <w:t>Handlingsplan for en tryggere idrett og forebygging av kroppsmisnøye og spiseforstyrrelser i idretten – sette ned kompetansegruppe</w:t>
            </w:r>
          </w:p>
        </w:tc>
        <w:tc>
          <w:tcPr>
            <w:tcW w:w="1503" w:type="dxa"/>
            <w:tcBorders>
              <w:top w:val="nil"/>
              <w:left w:val="nil"/>
              <w:bottom w:val="nil"/>
              <w:right w:val="nil"/>
            </w:tcBorders>
            <w:tcMar>
              <w:top w:w="128" w:type="dxa"/>
              <w:left w:w="43" w:type="dxa"/>
              <w:bottom w:w="43" w:type="dxa"/>
              <w:right w:w="43" w:type="dxa"/>
            </w:tcMar>
          </w:tcPr>
          <w:p w14:paraId="3514FD03" w14:textId="77777777" w:rsidR="00F7113A" w:rsidRPr="00580C0D" w:rsidRDefault="00142E5B" w:rsidP="001231A3">
            <w:pPr>
              <w:jc w:val="right"/>
            </w:pPr>
            <w:r w:rsidRPr="00580C0D">
              <w:t>Ja</w:t>
            </w:r>
          </w:p>
        </w:tc>
      </w:tr>
      <w:tr w:rsidR="00F7113A" w:rsidRPr="00580C0D" w14:paraId="5577DF71"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56BEE693" w14:textId="77777777" w:rsidR="00F7113A" w:rsidRPr="00580C0D" w:rsidRDefault="00142E5B" w:rsidP="001231A3">
            <w:r w:rsidRPr="00580C0D">
              <w:t>2021–2022</w:t>
            </w:r>
          </w:p>
        </w:tc>
        <w:tc>
          <w:tcPr>
            <w:tcW w:w="1120" w:type="dxa"/>
            <w:tcBorders>
              <w:top w:val="nil"/>
              <w:left w:val="nil"/>
              <w:bottom w:val="nil"/>
              <w:right w:val="nil"/>
            </w:tcBorders>
            <w:tcMar>
              <w:top w:w="128" w:type="dxa"/>
              <w:left w:w="43" w:type="dxa"/>
              <w:bottom w:w="43" w:type="dxa"/>
              <w:right w:w="43" w:type="dxa"/>
            </w:tcMar>
          </w:tcPr>
          <w:p w14:paraId="74A068B9" w14:textId="77777777" w:rsidR="00F7113A" w:rsidRPr="00580C0D" w:rsidRDefault="00142E5B" w:rsidP="00BD6CF4">
            <w:pPr>
              <w:ind w:right="340"/>
              <w:jc w:val="right"/>
            </w:pPr>
            <w:r w:rsidRPr="00580C0D">
              <w:t>503</w:t>
            </w:r>
          </w:p>
        </w:tc>
        <w:tc>
          <w:tcPr>
            <w:tcW w:w="5517" w:type="dxa"/>
            <w:tcBorders>
              <w:top w:val="nil"/>
              <w:left w:val="nil"/>
              <w:bottom w:val="nil"/>
              <w:right w:val="nil"/>
            </w:tcBorders>
            <w:tcMar>
              <w:top w:w="128" w:type="dxa"/>
              <w:left w:w="43" w:type="dxa"/>
              <w:bottom w:w="43" w:type="dxa"/>
              <w:right w:w="43" w:type="dxa"/>
            </w:tcMar>
          </w:tcPr>
          <w:p w14:paraId="48DE65E9" w14:textId="77777777" w:rsidR="00F7113A" w:rsidRPr="00580C0D" w:rsidRDefault="00142E5B" w:rsidP="001231A3">
            <w:r w:rsidRPr="00580C0D">
              <w:t>Handlingsplan for en tryggere idrett og forebygging av kroppsmisnøye og spiseforstyrrelser i idretten</w:t>
            </w:r>
          </w:p>
        </w:tc>
        <w:tc>
          <w:tcPr>
            <w:tcW w:w="1503" w:type="dxa"/>
            <w:tcBorders>
              <w:top w:val="nil"/>
              <w:left w:val="nil"/>
              <w:bottom w:val="nil"/>
              <w:right w:val="nil"/>
            </w:tcBorders>
            <w:tcMar>
              <w:top w:w="128" w:type="dxa"/>
              <w:left w:w="43" w:type="dxa"/>
              <w:bottom w:w="43" w:type="dxa"/>
              <w:right w:w="43" w:type="dxa"/>
            </w:tcMar>
          </w:tcPr>
          <w:p w14:paraId="16F87A48" w14:textId="77777777" w:rsidR="00F7113A" w:rsidRPr="00580C0D" w:rsidRDefault="00142E5B" w:rsidP="001231A3">
            <w:pPr>
              <w:jc w:val="right"/>
            </w:pPr>
            <w:r w:rsidRPr="00580C0D">
              <w:t>Nei</w:t>
            </w:r>
          </w:p>
        </w:tc>
      </w:tr>
      <w:tr w:rsidR="00F7113A" w:rsidRPr="00580C0D" w14:paraId="68274B3D"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72C3D03C"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5D1873FF" w14:textId="77777777" w:rsidR="00F7113A" w:rsidRPr="00580C0D" w:rsidRDefault="00142E5B" w:rsidP="00BD6CF4">
            <w:pPr>
              <w:ind w:right="340"/>
              <w:jc w:val="right"/>
            </w:pPr>
            <w:r w:rsidRPr="00580C0D">
              <w:t>755</w:t>
            </w:r>
          </w:p>
        </w:tc>
        <w:tc>
          <w:tcPr>
            <w:tcW w:w="5517" w:type="dxa"/>
            <w:tcBorders>
              <w:top w:val="nil"/>
              <w:left w:val="nil"/>
              <w:bottom w:val="nil"/>
              <w:right w:val="nil"/>
            </w:tcBorders>
            <w:tcMar>
              <w:top w:w="128" w:type="dxa"/>
              <w:left w:w="43" w:type="dxa"/>
              <w:bottom w:w="43" w:type="dxa"/>
              <w:right w:w="43" w:type="dxa"/>
            </w:tcMar>
          </w:tcPr>
          <w:p w14:paraId="0E26F48D" w14:textId="77777777" w:rsidR="00F7113A" w:rsidRPr="00580C0D" w:rsidRDefault="00142E5B" w:rsidP="001231A3">
            <w:r w:rsidRPr="00580C0D">
              <w:t>Stortingsmelding om seksuell trakassering</w:t>
            </w:r>
          </w:p>
        </w:tc>
        <w:tc>
          <w:tcPr>
            <w:tcW w:w="1503" w:type="dxa"/>
            <w:tcBorders>
              <w:top w:val="nil"/>
              <w:left w:val="nil"/>
              <w:bottom w:val="nil"/>
              <w:right w:val="nil"/>
            </w:tcBorders>
            <w:tcMar>
              <w:top w:w="128" w:type="dxa"/>
              <w:left w:w="43" w:type="dxa"/>
              <w:bottom w:w="43" w:type="dxa"/>
              <w:right w:w="43" w:type="dxa"/>
            </w:tcMar>
          </w:tcPr>
          <w:p w14:paraId="078082D1" w14:textId="77777777" w:rsidR="00F7113A" w:rsidRPr="00580C0D" w:rsidRDefault="00142E5B" w:rsidP="001231A3">
            <w:pPr>
              <w:jc w:val="right"/>
            </w:pPr>
            <w:r w:rsidRPr="00580C0D">
              <w:t xml:space="preserve">Nei </w:t>
            </w:r>
          </w:p>
        </w:tc>
      </w:tr>
      <w:tr w:rsidR="00F7113A" w:rsidRPr="00580C0D" w14:paraId="0A665653"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467E4FA8" w14:textId="77777777" w:rsidR="00F7113A" w:rsidRPr="00580C0D" w:rsidRDefault="00142E5B" w:rsidP="001231A3">
            <w:r w:rsidRPr="00580C0D">
              <w:t>2020–2021</w:t>
            </w:r>
          </w:p>
        </w:tc>
        <w:tc>
          <w:tcPr>
            <w:tcW w:w="1120" w:type="dxa"/>
            <w:tcBorders>
              <w:top w:val="nil"/>
              <w:left w:val="nil"/>
              <w:bottom w:val="nil"/>
              <w:right w:val="nil"/>
            </w:tcBorders>
            <w:tcMar>
              <w:top w:w="128" w:type="dxa"/>
              <w:left w:w="43" w:type="dxa"/>
              <w:bottom w:w="43" w:type="dxa"/>
              <w:right w:w="43" w:type="dxa"/>
            </w:tcMar>
          </w:tcPr>
          <w:p w14:paraId="76C2BA77" w14:textId="77777777" w:rsidR="00F7113A" w:rsidRPr="00580C0D" w:rsidRDefault="00142E5B" w:rsidP="00BD6CF4">
            <w:pPr>
              <w:ind w:right="340"/>
              <w:jc w:val="right"/>
            </w:pPr>
            <w:r w:rsidRPr="00580C0D">
              <w:t>788</w:t>
            </w:r>
          </w:p>
        </w:tc>
        <w:tc>
          <w:tcPr>
            <w:tcW w:w="5517" w:type="dxa"/>
            <w:tcBorders>
              <w:top w:val="nil"/>
              <w:left w:val="nil"/>
              <w:bottom w:val="nil"/>
              <w:right w:val="nil"/>
            </w:tcBorders>
            <w:tcMar>
              <w:top w:w="128" w:type="dxa"/>
              <w:left w:w="43" w:type="dxa"/>
              <w:bottom w:w="43" w:type="dxa"/>
              <w:right w:w="43" w:type="dxa"/>
            </w:tcMar>
          </w:tcPr>
          <w:p w14:paraId="277870A7" w14:textId="77777777" w:rsidR="00F7113A" w:rsidRPr="00580C0D" w:rsidRDefault="00142E5B" w:rsidP="001231A3">
            <w:r w:rsidRPr="00580C0D">
              <w:t>Innlemme symbolspråk i språkloven</w:t>
            </w:r>
          </w:p>
        </w:tc>
        <w:tc>
          <w:tcPr>
            <w:tcW w:w="1503" w:type="dxa"/>
            <w:tcBorders>
              <w:top w:val="nil"/>
              <w:left w:val="nil"/>
              <w:bottom w:val="nil"/>
              <w:right w:val="nil"/>
            </w:tcBorders>
            <w:tcMar>
              <w:top w:w="128" w:type="dxa"/>
              <w:left w:w="43" w:type="dxa"/>
              <w:bottom w:w="43" w:type="dxa"/>
              <w:right w:w="43" w:type="dxa"/>
            </w:tcMar>
          </w:tcPr>
          <w:p w14:paraId="52866F3D" w14:textId="77777777" w:rsidR="00F7113A" w:rsidRPr="00580C0D" w:rsidRDefault="00142E5B" w:rsidP="001231A3">
            <w:pPr>
              <w:jc w:val="right"/>
            </w:pPr>
            <w:r w:rsidRPr="00580C0D">
              <w:t>Nei</w:t>
            </w:r>
          </w:p>
        </w:tc>
      </w:tr>
      <w:tr w:rsidR="00F7113A" w:rsidRPr="00580C0D" w14:paraId="43ED805D"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130A557E" w14:textId="77777777" w:rsidR="00F7113A" w:rsidRPr="00580C0D" w:rsidRDefault="00142E5B" w:rsidP="001231A3">
            <w:r w:rsidRPr="00580C0D">
              <w:t>2018–2019</w:t>
            </w:r>
          </w:p>
        </w:tc>
        <w:tc>
          <w:tcPr>
            <w:tcW w:w="1120" w:type="dxa"/>
            <w:tcBorders>
              <w:top w:val="nil"/>
              <w:left w:val="nil"/>
              <w:bottom w:val="nil"/>
              <w:right w:val="nil"/>
            </w:tcBorders>
            <w:tcMar>
              <w:top w:w="128" w:type="dxa"/>
              <w:left w:w="43" w:type="dxa"/>
              <w:bottom w:w="43" w:type="dxa"/>
              <w:right w:w="43" w:type="dxa"/>
            </w:tcMar>
          </w:tcPr>
          <w:p w14:paraId="0E7E841D" w14:textId="77777777" w:rsidR="00F7113A" w:rsidRPr="00580C0D" w:rsidRDefault="00142E5B" w:rsidP="00BD6CF4">
            <w:pPr>
              <w:ind w:right="340"/>
              <w:jc w:val="right"/>
            </w:pPr>
            <w:r w:rsidRPr="00580C0D">
              <w:t>706</w:t>
            </w:r>
          </w:p>
        </w:tc>
        <w:tc>
          <w:tcPr>
            <w:tcW w:w="5517" w:type="dxa"/>
            <w:tcBorders>
              <w:top w:val="nil"/>
              <w:left w:val="nil"/>
              <w:bottom w:val="nil"/>
              <w:right w:val="nil"/>
            </w:tcBorders>
            <w:tcMar>
              <w:top w:w="128" w:type="dxa"/>
              <w:left w:w="43" w:type="dxa"/>
              <w:bottom w:w="43" w:type="dxa"/>
              <w:right w:w="43" w:type="dxa"/>
            </w:tcMar>
          </w:tcPr>
          <w:p w14:paraId="269F0F00" w14:textId="77777777" w:rsidR="00F7113A" w:rsidRPr="00580C0D" w:rsidRDefault="00142E5B" w:rsidP="001231A3">
            <w:r w:rsidRPr="00580C0D">
              <w:t>Endre forskrift om kringkasting</w:t>
            </w:r>
          </w:p>
        </w:tc>
        <w:tc>
          <w:tcPr>
            <w:tcW w:w="1503" w:type="dxa"/>
            <w:tcBorders>
              <w:top w:val="nil"/>
              <w:left w:val="nil"/>
              <w:bottom w:val="nil"/>
              <w:right w:val="nil"/>
            </w:tcBorders>
            <w:tcMar>
              <w:top w:w="128" w:type="dxa"/>
              <w:left w:w="43" w:type="dxa"/>
              <w:bottom w:w="43" w:type="dxa"/>
              <w:right w:w="43" w:type="dxa"/>
            </w:tcMar>
          </w:tcPr>
          <w:p w14:paraId="3F0F2AE6" w14:textId="77777777" w:rsidR="00F7113A" w:rsidRPr="00580C0D" w:rsidRDefault="00142E5B" w:rsidP="001231A3">
            <w:pPr>
              <w:jc w:val="right"/>
            </w:pPr>
            <w:r w:rsidRPr="00580C0D">
              <w:t>Nei</w:t>
            </w:r>
          </w:p>
        </w:tc>
      </w:tr>
      <w:tr w:rsidR="00F7113A" w:rsidRPr="00580C0D" w14:paraId="36BB3346" w14:textId="77777777" w:rsidTr="00BD6CF4">
        <w:trPr>
          <w:trHeight w:val="380"/>
        </w:trPr>
        <w:tc>
          <w:tcPr>
            <w:tcW w:w="1400" w:type="dxa"/>
            <w:tcBorders>
              <w:top w:val="nil"/>
              <w:left w:val="nil"/>
              <w:bottom w:val="nil"/>
              <w:right w:val="nil"/>
            </w:tcBorders>
            <w:tcMar>
              <w:top w:w="128" w:type="dxa"/>
              <w:left w:w="43" w:type="dxa"/>
              <w:bottom w:w="43" w:type="dxa"/>
              <w:right w:w="43" w:type="dxa"/>
            </w:tcMar>
          </w:tcPr>
          <w:p w14:paraId="09623C37"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18ACC7F3" w14:textId="77777777" w:rsidR="00F7113A" w:rsidRPr="00580C0D" w:rsidRDefault="00142E5B" w:rsidP="00BD6CF4">
            <w:pPr>
              <w:ind w:right="340"/>
              <w:jc w:val="right"/>
            </w:pPr>
            <w:r w:rsidRPr="00580C0D">
              <w:t>199</w:t>
            </w:r>
          </w:p>
        </w:tc>
        <w:tc>
          <w:tcPr>
            <w:tcW w:w="5517" w:type="dxa"/>
            <w:tcBorders>
              <w:top w:val="nil"/>
              <w:left w:val="nil"/>
              <w:bottom w:val="nil"/>
              <w:right w:val="nil"/>
            </w:tcBorders>
            <w:tcMar>
              <w:top w:w="128" w:type="dxa"/>
              <w:left w:w="43" w:type="dxa"/>
              <w:bottom w:w="43" w:type="dxa"/>
              <w:right w:w="43" w:type="dxa"/>
            </w:tcMar>
          </w:tcPr>
          <w:p w14:paraId="377F7112" w14:textId="77777777" w:rsidR="00F7113A" w:rsidRPr="00580C0D" w:rsidRDefault="00142E5B" w:rsidP="001231A3">
            <w:r w:rsidRPr="00580C0D">
              <w:t>Kunstnermelding</w:t>
            </w:r>
          </w:p>
        </w:tc>
        <w:tc>
          <w:tcPr>
            <w:tcW w:w="1503" w:type="dxa"/>
            <w:tcBorders>
              <w:top w:val="nil"/>
              <w:left w:val="nil"/>
              <w:bottom w:val="nil"/>
              <w:right w:val="nil"/>
            </w:tcBorders>
            <w:tcMar>
              <w:top w:w="128" w:type="dxa"/>
              <w:left w:w="43" w:type="dxa"/>
              <w:bottom w:w="43" w:type="dxa"/>
              <w:right w:w="43" w:type="dxa"/>
            </w:tcMar>
          </w:tcPr>
          <w:p w14:paraId="2F21976E" w14:textId="77777777" w:rsidR="00F7113A" w:rsidRPr="00580C0D" w:rsidRDefault="00142E5B" w:rsidP="001231A3">
            <w:pPr>
              <w:jc w:val="right"/>
            </w:pPr>
            <w:r w:rsidRPr="00580C0D">
              <w:t>Ja</w:t>
            </w:r>
          </w:p>
        </w:tc>
      </w:tr>
      <w:tr w:rsidR="00F7113A" w:rsidRPr="00580C0D" w14:paraId="0E034EB5"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46AAD5E0"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22DBDD3A" w14:textId="77777777" w:rsidR="00F7113A" w:rsidRPr="00580C0D" w:rsidRDefault="00142E5B" w:rsidP="00BD6CF4">
            <w:pPr>
              <w:ind w:right="340"/>
              <w:jc w:val="right"/>
            </w:pPr>
            <w:r w:rsidRPr="00580C0D">
              <w:t>695</w:t>
            </w:r>
          </w:p>
        </w:tc>
        <w:tc>
          <w:tcPr>
            <w:tcW w:w="5517" w:type="dxa"/>
            <w:tcBorders>
              <w:top w:val="nil"/>
              <w:left w:val="nil"/>
              <w:bottom w:val="nil"/>
              <w:right w:val="nil"/>
            </w:tcBorders>
            <w:tcMar>
              <w:top w:w="128" w:type="dxa"/>
              <w:left w:w="43" w:type="dxa"/>
              <w:bottom w:w="43" w:type="dxa"/>
              <w:right w:w="43" w:type="dxa"/>
            </w:tcMar>
          </w:tcPr>
          <w:p w14:paraId="67C2AE4B" w14:textId="77777777" w:rsidR="00F7113A" w:rsidRPr="00580C0D" w:rsidRDefault="00142E5B" w:rsidP="001231A3">
            <w:r w:rsidRPr="00580C0D">
              <w:t xml:space="preserve">Innføring av DNS-blokkering av nettsidene til uregulerte spillselskaper. </w:t>
            </w:r>
          </w:p>
        </w:tc>
        <w:tc>
          <w:tcPr>
            <w:tcW w:w="1503" w:type="dxa"/>
            <w:tcBorders>
              <w:top w:val="nil"/>
              <w:left w:val="nil"/>
              <w:bottom w:val="nil"/>
              <w:right w:val="nil"/>
            </w:tcBorders>
            <w:tcMar>
              <w:top w:w="128" w:type="dxa"/>
              <w:left w:w="43" w:type="dxa"/>
              <w:bottom w:w="43" w:type="dxa"/>
              <w:right w:w="43" w:type="dxa"/>
            </w:tcMar>
          </w:tcPr>
          <w:p w14:paraId="32A5643D" w14:textId="77777777" w:rsidR="00F7113A" w:rsidRPr="00580C0D" w:rsidRDefault="00142E5B" w:rsidP="001231A3">
            <w:pPr>
              <w:jc w:val="right"/>
            </w:pPr>
            <w:r w:rsidRPr="00580C0D">
              <w:t>Nei</w:t>
            </w:r>
          </w:p>
        </w:tc>
      </w:tr>
      <w:tr w:rsidR="00F7113A" w:rsidRPr="00580C0D" w14:paraId="11135F20"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2FEF215D"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03DFBBB0" w14:textId="77777777" w:rsidR="00F7113A" w:rsidRPr="00580C0D" w:rsidRDefault="00142E5B" w:rsidP="00BD6CF4">
            <w:pPr>
              <w:ind w:right="340"/>
              <w:jc w:val="right"/>
            </w:pPr>
            <w:r w:rsidRPr="00580C0D">
              <w:t>729</w:t>
            </w:r>
          </w:p>
        </w:tc>
        <w:tc>
          <w:tcPr>
            <w:tcW w:w="5517" w:type="dxa"/>
            <w:tcBorders>
              <w:top w:val="nil"/>
              <w:left w:val="nil"/>
              <w:bottom w:val="nil"/>
              <w:right w:val="nil"/>
            </w:tcBorders>
            <w:tcMar>
              <w:top w:w="128" w:type="dxa"/>
              <w:left w:w="43" w:type="dxa"/>
              <w:bottom w:w="43" w:type="dxa"/>
              <w:right w:w="43" w:type="dxa"/>
            </w:tcMar>
          </w:tcPr>
          <w:p w14:paraId="39300CAE" w14:textId="77777777" w:rsidR="00F7113A" w:rsidRPr="00580C0D" w:rsidRDefault="00142E5B" w:rsidP="001231A3">
            <w:r w:rsidRPr="00580C0D">
              <w:t>Utrede tvisteløsningsordning for fastsetting av rimelig vederlag</w:t>
            </w:r>
          </w:p>
        </w:tc>
        <w:tc>
          <w:tcPr>
            <w:tcW w:w="1503" w:type="dxa"/>
            <w:tcBorders>
              <w:top w:val="nil"/>
              <w:left w:val="nil"/>
              <w:bottom w:val="nil"/>
              <w:right w:val="nil"/>
            </w:tcBorders>
            <w:tcMar>
              <w:top w:w="128" w:type="dxa"/>
              <w:left w:w="43" w:type="dxa"/>
              <w:bottom w:w="43" w:type="dxa"/>
              <w:right w:w="43" w:type="dxa"/>
            </w:tcMar>
          </w:tcPr>
          <w:p w14:paraId="03633C77" w14:textId="77777777" w:rsidR="00F7113A" w:rsidRPr="00580C0D" w:rsidRDefault="00142E5B" w:rsidP="001231A3">
            <w:pPr>
              <w:jc w:val="right"/>
            </w:pPr>
            <w:r w:rsidRPr="00580C0D">
              <w:t>Nei</w:t>
            </w:r>
          </w:p>
        </w:tc>
      </w:tr>
      <w:tr w:rsidR="00F7113A" w:rsidRPr="00580C0D" w14:paraId="3602A091"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2F350373"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1FD22ECB" w14:textId="77777777" w:rsidR="00F7113A" w:rsidRPr="00580C0D" w:rsidRDefault="00142E5B" w:rsidP="00BD6CF4">
            <w:pPr>
              <w:ind w:right="340"/>
              <w:jc w:val="right"/>
            </w:pPr>
            <w:r w:rsidRPr="00580C0D">
              <w:t>730</w:t>
            </w:r>
          </w:p>
        </w:tc>
        <w:tc>
          <w:tcPr>
            <w:tcW w:w="5517" w:type="dxa"/>
            <w:tcBorders>
              <w:top w:val="nil"/>
              <w:left w:val="nil"/>
              <w:bottom w:val="nil"/>
              <w:right w:val="nil"/>
            </w:tcBorders>
            <w:tcMar>
              <w:top w:w="128" w:type="dxa"/>
              <w:left w:w="43" w:type="dxa"/>
              <w:bottom w:w="43" w:type="dxa"/>
              <w:right w:w="43" w:type="dxa"/>
            </w:tcMar>
          </w:tcPr>
          <w:p w14:paraId="5D59D752" w14:textId="77777777" w:rsidR="00F7113A" w:rsidRPr="00580C0D" w:rsidRDefault="00142E5B" w:rsidP="001231A3">
            <w:r w:rsidRPr="00580C0D">
              <w:t>Vurdere regler om at leverandører av nettjenester må bidra til at rettighetshavere får vederlag</w:t>
            </w:r>
          </w:p>
        </w:tc>
        <w:tc>
          <w:tcPr>
            <w:tcW w:w="1503" w:type="dxa"/>
            <w:tcBorders>
              <w:top w:val="nil"/>
              <w:left w:val="nil"/>
              <w:bottom w:val="nil"/>
              <w:right w:val="nil"/>
            </w:tcBorders>
            <w:tcMar>
              <w:top w:w="128" w:type="dxa"/>
              <w:left w:w="43" w:type="dxa"/>
              <w:bottom w:w="43" w:type="dxa"/>
              <w:right w:w="43" w:type="dxa"/>
            </w:tcMar>
          </w:tcPr>
          <w:p w14:paraId="5AA639C2" w14:textId="77777777" w:rsidR="00F7113A" w:rsidRPr="00580C0D" w:rsidRDefault="00142E5B" w:rsidP="001231A3">
            <w:pPr>
              <w:jc w:val="right"/>
            </w:pPr>
            <w:r w:rsidRPr="00580C0D">
              <w:t>Nei</w:t>
            </w:r>
          </w:p>
        </w:tc>
      </w:tr>
      <w:tr w:rsidR="00F7113A" w:rsidRPr="00580C0D" w14:paraId="2E522BEE"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1DD6B365"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50ACDF90" w14:textId="77777777" w:rsidR="00F7113A" w:rsidRPr="00580C0D" w:rsidRDefault="00142E5B" w:rsidP="00BD6CF4">
            <w:pPr>
              <w:ind w:right="340"/>
              <w:jc w:val="right"/>
            </w:pPr>
            <w:r w:rsidRPr="00580C0D">
              <w:t>731</w:t>
            </w:r>
          </w:p>
        </w:tc>
        <w:tc>
          <w:tcPr>
            <w:tcW w:w="5517" w:type="dxa"/>
            <w:tcBorders>
              <w:top w:val="nil"/>
              <w:left w:val="nil"/>
              <w:bottom w:val="nil"/>
              <w:right w:val="nil"/>
            </w:tcBorders>
            <w:tcMar>
              <w:top w:w="128" w:type="dxa"/>
              <w:left w:w="43" w:type="dxa"/>
              <w:bottom w:w="43" w:type="dxa"/>
              <w:right w:w="43" w:type="dxa"/>
            </w:tcMar>
          </w:tcPr>
          <w:p w14:paraId="13098828" w14:textId="77777777" w:rsidR="00F7113A" w:rsidRPr="00580C0D" w:rsidRDefault="00142E5B" w:rsidP="001231A3">
            <w:r w:rsidRPr="00580C0D">
              <w:t>Utrede om strømming av åndsverk i klasserom skal bli vederlagspliktig</w:t>
            </w:r>
          </w:p>
        </w:tc>
        <w:tc>
          <w:tcPr>
            <w:tcW w:w="1503" w:type="dxa"/>
            <w:tcBorders>
              <w:top w:val="nil"/>
              <w:left w:val="nil"/>
              <w:bottom w:val="nil"/>
              <w:right w:val="nil"/>
            </w:tcBorders>
            <w:tcMar>
              <w:top w:w="128" w:type="dxa"/>
              <w:left w:w="43" w:type="dxa"/>
              <w:bottom w:w="43" w:type="dxa"/>
              <w:right w:w="43" w:type="dxa"/>
            </w:tcMar>
          </w:tcPr>
          <w:p w14:paraId="6FB92F22" w14:textId="77777777" w:rsidR="00F7113A" w:rsidRPr="00580C0D" w:rsidRDefault="00142E5B" w:rsidP="001231A3">
            <w:pPr>
              <w:jc w:val="right"/>
            </w:pPr>
            <w:r w:rsidRPr="00580C0D">
              <w:t>Nei</w:t>
            </w:r>
          </w:p>
        </w:tc>
      </w:tr>
      <w:tr w:rsidR="00F7113A" w:rsidRPr="00580C0D" w14:paraId="29EDDE00"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216C179D"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4AD2A6D2" w14:textId="77777777" w:rsidR="00F7113A" w:rsidRPr="00580C0D" w:rsidRDefault="00142E5B" w:rsidP="00BD6CF4">
            <w:pPr>
              <w:ind w:right="340"/>
              <w:jc w:val="right"/>
            </w:pPr>
            <w:r w:rsidRPr="00580C0D">
              <w:t>894</w:t>
            </w:r>
          </w:p>
        </w:tc>
        <w:tc>
          <w:tcPr>
            <w:tcW w:w="5517" w:type="dxa"/>
            <w:tcBorders>
              <w:top w:val="nil"/>
              <w:left w:val="nil"/>
              <w:bottom w:val="nil"/>
              <w:right w:val="nil"/>
            </w:tcBorders>
            <w:tcMar>
              <w:top w:w="128" w:type="dxa"/>
              <w:left w:w="43" w:type="dxa"/>
              <w:bottom w:w="43" w:type="dxa"/>
              <w:right w:w="43" w:type="dxa"/>
            </w:tcMar>
          </w:tcPr>
          <w:p w14:paraId="0E569664" w14:textId="77777777" w:rsidR="00F7113A" w:rsidRPr="00580C0D" w:rsidRDefault="00142E5B" w:rsidP="001231A3">
            <w:r w:rsidRPr="00580C0D">
              <w:t>Tiltak i melding til Stortinget om sikring av menneskerettighetene for utviklingshemmede</w:t>
            </w:r>
          </w:p>
        </w:tc>
        <w:tc>
          <w:tcPr>
            <w:tcW w:w="1503" w:type="dxa"/>
            <w:tcBorders>
              <w:top w:val="nil"/>
              <w:left w:val="nil"/>
              <w:bottom w:val="nil"/>
              <w:right w:val="nil"/>
            </w:tcBorders>
            <w:tcMar>
              <w:top w:w="128" w:type="dxa"/>
              <w:left w:w="43" w:type="dxa"/>
              <w:bottom w:w="43" w:type="dxa"/>
              <w:right w:w="43" w:type="dxa"/>
            </w:tcMar>
          </w:tcPr>
          <w:p w14:paraId="2AD43479" w14:textId="77777777" w:rsidR="00F7113A" w:rsidRPr="00580C0D" w:rsidRDefault="00142E5B" w:rsidP="001231A3">
            <w:pPr>
              <w:jc w:val="right"/>
            </w:pPr>
            <w:r w:rsidRPr="00580C0D">
              <w:t>Ja</w:t>
            </w:r>
          </w:p>
        </w:tc>
      </w:tr>
      <w:tr w:rsidR="00F7113A" w:rsidRPr="00580C0D" w14:paraId="7DFFAF1B"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256A69E3"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7E6CF2AB" w14:textId="77777777" w:rsidR="00F7113A" w:rsidRPr="00580C0D" w:rsidRDefault="00142E5B" w:rsidP="00BD6CF4">
            <w:pPr>
              <w:ind w:right="340"/>
              <w:jc w:val="right"/>
            </w:pPr>
            <w:r w:rsidRPr="00580C0D">
              <w:t>895</w:t>
            </w:r>
          </w:p>
        </w:tc>
        <w:tc>
          <w:tcPr>
            <w:tcW w:w="5517" w:type="dxa"/>
            <w:tcBorders>
              <w:top w:val="nil"/>
              <w:left w:val="nil"/>
              <w:bottom w:val="nil"/>
              <w:right w:val="nil"/>
            </w:tcBorders>
            <w:tcMar>
              <w:top w:w="128" w:type="dxa"/>
              <w:left w:w="43" w:type="dxa"/>
              <w:bottom w:w="43" w:type="dxa"/>
              <w:right w:w="43" w:type="dxa"/>
            </w:tcMar>
          </w:tcPr>
          <w:p w14:paraId="34A675B8" w14:textId="30722F0D" w:rsidR="00F7113A" w:rsidRPr="00580C0D" w:rsidRDefault="00142E5B" w:rsidP="001231A3">
            <w:r w:rsidRPr="00580C0D">
              <w:t>Melding til Stortinget om sikring av menneskerettig</w:t>
            </w:r>
            <w:r w:rsidR="00251BE9">
              <w:softHyphen/>
            </w:r>
            <w:r w:rsidRPr="00580C0D">
              <w:t>hetene for utviklingshemmede</w:t>
            </w:r>
          </w:p>
        </w:tc>
        <w:tc>
          <w:tcPr>
            <w:tcW w:w="1503" w:type="dxa"/>
            <w:tcBorders>
              <w:top w:val="nil"/>
              <w:left w:val="nil"/>
              <w:bottom w:val="nil"/>
              <w:right w:val="nil"/>
            </w:tcBorders>
            <w:tcMar>
              <w:top w:w="128" w:type="dxa"/>
              <w:left w:w="43" w:type="dxa"/>
              <w:bottom w:w="43" w:type="dxa"/>
              <w:right w:w="43" w:type="dxa"/>
            </w:tcMar>
          </w:tcPr>
          <w:p w14:paraId="70FEE763" w14:textId="77777777" w:rsidR="00F7113A" w:rsidRPr="00580C0D" w:rsidRDefault="00142E5B" w:rsidP="001231A3">
            <w:pPr>
              <w:jc w:val="right"/>
            </w:pPr>
            <w:r w:rsidRPr="00580C0D">
              <w:t>Ja</w:t>
            </w:r>
          </w:p>
        </w:tc>
      </w:tr>
      <w:tr w:rsidR="00F7113A" w:rsidRPr="00580C0D" w14:paraId="7380604D"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54ED9F9C"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3B1106CD" w14:textId="77777777" w:rsidR="00F7113A" w:rsidRPr="00580C0D" w:rsidRDefault="00142E5B" w:rsidP="00BD6CF4">
            <w:pPr>
              <w:ind w:right="340"/>
              <w:jc w:val="right"/>
            </w:pPr>
            <w:r w:rsidRPr="00580C0D">
              <w:t>896</w:t>
            </w:r>
          </w:p>
        </w:tc>
        <w:tc>
          <w:tcPr>
            <w:tcW w:w="5517" w:type="dxa"/>
            <w:tcBorders>
              <w:top w:val="nil"/>
              <w:left w:val="nil"/>
              <w:bottom w:val="nil"/>
              <w:right w:val="nil"/>
            </w:tcBorders>
            <w:tcMar>
              <w:top w:w="128" w:type="dxa"/>
              <w:left w:w="43" w:type="dxa"/>
              <w:bottom w:w="43" w:type="dxa"/>
              <w:right w:w="43" w:type="dxa"/>
            </w:tcMar>
          </w:tcPr>
          <w:p w14:paraId="173ECC3A" w14:textId="2783E063" w:rsidR="00F7113A" w:rsidRPr="00580C0D" w:rsidRDefault="00142E5B" w:rsidP="001231A3">
            <w:r w:rsidRPr="00580C0D">
              <w:t>Melding til Stortinget om sikring av menneskerettig</w:t>
            </w:r>
            <w:r w:rsidR="00251BE9">
              <w:softHyphen/>
            </w:r>
            <w:r w:rsidRPr="00580C0D">
              <w:t>hetene for utviklingshemmede – rett til arbeid</w:t>
            </w:r>
          </w:p>
        </w:tc>
        <w:tc>
          <w:tcPr>
            <w:tcW w:w="1503" w:type="dxa"/>
            <w:tcBorders>
              <w:top w:val="nil"/>
              <w:left w:val="nil"/>
              <w:bottom w:val="nil"/>
              <w:right w:val="nil"/>
            </w:tcBorders>
            <w:tcMar>
              <w:top w:w="128" w:type="dxa"/>
              <w:left w:w="43" w:type="dxa"/>
              <w:bottom w:w="43" w:type="dxa"/>
              <w:right w:w="43" w:type="dxa"/>
            </w:tcMar>
          </w:tcPr>
          <w:p w14:paraId="5F2D9A2C" w14:textId="77777777" w:rsidR="00F7113A" w:rsidRPr="00580C0D" w:rsidRDefault="00142E5B" w:rsidP="001231A3">
            <w:pPr>
              <w:jc w:val="right"/>
            </w:pPr>
            <w:r w:rsidRPr="00580C0D">
              <w:t>Ja</w:t>
            </w:r>
          </w:p>
        </w:tc>
      </w:tr>
      <w:tr w:rsidR="00F7113A" w:rsidRPr="00580C0D" w14:paraId="39775B05"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1EFB4D68"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29D543C2" w14:textId="77777777" w:rsidR="00F7113A" w:rsidRPr="00580C0D" w:rsidRDefault="00142E5B" w:rsidP="00BD6CF4">
            <w:pPr>
              <w:ind w:right="340"/>
              <w:jc w:val="right"/>
            </w:pPr>
            <w:r w:rsidRPr="00580C0D">
              <w:t>897</w:t>
            </w:r>
          </w:p>
        </w:tc>
        <w:tc>
          <w:tcPr>
            <w:tcW w:w="5517" w:type="dxa"/>
            <w:tcBorders>
              <w:top w:val="nil"/>
              <w:left w:val="nil"/>
              <w:bottom w:val="nil"/>
              <w:right w:val="nil"/>
            </w:tcBorders>
            <w:tcMar>
              <w:top w:w="128" w:type="dxa"/>
              <w:left w:w="43" w:type="dxa"/>
              <w:bottom w:w="43" w:type="dxa"/>
              <w:right w:w="43" w:type="dxa"/>
            </w:tcMar>
          </w:tcPr>
          <w:p w14:paraId="75952D0F" w14:textId="09440791" w:rsidR="00F7113A" w:rsidRPr="00580C0D" w:rsidRDefault="00142E5B" w:rsidP="001231A3">
            <w:r w:rsidRPr="00580C0D">
              <w:t>Melding til Stortinget om sikring av menneskerettig</w:t>
            </w:r>
            <w:r w:rsidR="00251BE9">
              <w:softHyphen/>
            </w:r>
            <w:r w:rsidRPr="00580C0D">
              <w:t>hetene for utviklingshemmede – rett til helsetjenester</w:t>
            </w:r>
          </w:p>
        </w:tc>
        <w:tc>
          <w:tcPr>
            <w:tcW w:w="1503" w:type="dxa"/>
            <w:tcBorders>
              <w:top w:val="nil"/>
              <w:left w:val="nil"/>
              <w:bottom w:val="nil"/>
              <w:right w:val="nil"/>
            </w:tcBorders>
            <w:tcMar>
              <w:top w:w="128" w:type="dxa"/>
              <w:left w:w="43" w:type="dxa"/>
              <w:bottom w:w="43" w:type="dxa"/>
              <w:right w:w="43" w:type="dxa"/>
            </w:tcMar>
          </w:tcPr>
          <w:p w14:paraId="76EE9281" w14:textId="77777777" w:rsidR="00F7113A" w:rsidRPr="00580C0D" w:rsidRDefault="00142E5B" w:rsidP="001231A3">
            <w:pPr>
              <w:jc w:val="right"/>
            </w:pPr>
            <w:r w:rsidRPr="00580C0D">
              <w:t>Ja</w:t>
            </w:r>
          </w:p>
        </w:tc>
      </w:tr>
      <w:tr w:rsidR="00F7113A" w:rsidRPr="00580C0D" w14:paraId="6A4C2E29"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32EBA7E8"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15954800" w14:textId="77777777" w:rsidR="00F7113A" w:rsidRPr="00580C0D" w:rsidRDefault="00142E5B" w:rsidP="00BD6CF4">
            <w:pPr>
              <w:ind w:right="340"/>
              <w:jc w:val="right"/>
            </w:pPr>
            <w:r w:rsidRPr="00580C0D">
              <w:t>900</w:t>
            </w:r>
          </w:p>
        </w:tc>
        <w:tc>
          <w:tcPr>
            <w:tcW w:w="5517" w:type="dxa"/>
            <w:tcBorders>
              <w:top w:val="nil"/>
              <w:left w:val="nil"/>
              <w:bottom w:val="nil"/>
              <w:right w:val="nil"/>
            </w:tcBorders>
            <w:tcMar>
              <w:top w:w="128" w:type="dxa"/>
              <w:left w:w="43" w:type="dxa"/>
              <w:bottom w:w="43" w:type="dxa"/>
              <w:right w:w="43" w:type="dxa"/>
            </w:tcMar>
          </w:tcPr>
          <w:p w14:paraId="1AF7DDE0" w14:textId="11E2F1BD" w:rsidR="00F7113A" w:rsidRPr="00580C0D" w:rsidRDefault="00142E5B" w:rsidP="001231A3">
            <w:r w:rsidRPr="00580C0D">
              <w:t>Melding til Stortinget om sikring av menneskerettig</w:t>
            </w:r>
            <w:r w:rsidR="00251BE9">
              <w:softHyphen/>
            </w:r>
            <w:r w:rsidRPr="00580C0D">
              <w:t>hetene for utviklingshemmede – universell utforming skolebygg</w:t>
            </w:r>
          </w:p>
        </w:tc>
        <w:tc>
          <w:tcPr>
            <w:tcW w:w="1503" w:type="dxa"/>
            <w:tcBorders>
              <w:top w:val="nil"/>
              <w:left w:val="nil"/>
              <w:bottom w:val="nil"/>
              <w:right w:val="nil"/>
            </w:tcBorders>
            <w:tcMar>
              <w:top w:w="128" w:type="dxa"/>
              <w:left w:w="43" w:type="dxa"/>
              <w:bottom w:w="43" w:type="dxa"/>
              <w:right w:w="43" w:type="dxa"/>
            </w:tcMar>
          </w:tcPr>
          <w:p w14:paraId="3207A4DB" w14:textId="77777777" w:rsidR="00F7113A" w:rsidRPr="00580C0D" w:rsidRDefault="00142E5B" w:rsidP="001231A3">
            <w:pPr>
              <w:jc w:val="right"/>
            </w:pPr>
            <w:r w:rsidRPr="00580C0D">
              <w:t>Ja</w:t>
            </w:r>
          </w:p>
        </w:tc>
      </w:tr>
      <w:tr w:rsidR="00F7113A" w:rsidRPr="00580C0D" w14:paraId="35F571F4"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0793DB7A"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4E577F1B" w14:textId="77777777" w:rsidR="00F7113A" w:rsidRPr="00580C0D" w:rsidRDefault="00142E5B" w:rsidP="00BD6CF4">
            <w:pPr>
              <w:ind w:right="340"/>
              <w:jc w:val="right"/>
            </w:pPr>
            <w:r w:rsidRPr="00580C0D">
              <w:t>901</w:t>
            </w:r>
          </w:p>
        </w:tc>
        <w:tc>
          <w:tcPr>
            <w:tcW w:w="5517" w:type="dxa"/>
            <w:tcBorders>
              <w:top w:val="nil"/>
              <w:left w:val="nil"/>
              <w:bottom w:val="nil"/>
              <w:right w:val="nil"/>
            </w:tcBorders>
            <w:tcMar>
              <w:top w:w="128" w:type="dxa"/>
              <w:left w:w="43" w:type="dxa"/>
              <w:bottom w:w="43" w:type="dxa"/>
              <w:right w:w="43" w:type="dxa"/>
            </w:tcMar>
          </w:tcPr>
          <w:p w14:paraId="0DB419F6" w14:textId="4A608BA5" w:rsidR="00F7113A" w:rsidRPr="00580C0D" w:rsidRDefault="00142E5B" w:rsidP="001231A3">
            <w:r w:rsidRPr="00580C0D">
              <w:t>Melding til Stortinget om sikring av menneskerettig</w:t>
            </w:r>
            <w:r w:rsidR="00251BE9">
              <w:softHyphen/>
            </w:r>
            <w:r w:rsidRPr="00580C0D">
              <w:t>hetene for utviklingshemmede – kjøpe og eie bolig</w:t>
            </w:r>
          </w:p>
        </w:tc>
        <w:tc>
          <w:tcPr>
            <w:tcW w:w="1503" w:type="dxa"/>
            <w:tcBorders>
              <w:top w:val="nil"/>
              <w:left w:val="nil"/>
              <w:bottom w:val="nil"/>
              <w:right w:val="nil"/>
            </w:tcBorders>
            <w:tcMar>
              <w:top w:w="128" w:type="dxa"/>
              <w:left w:w="43" w:type="dxa"/>
              <w:bottom w:w="43" w:type="dxa"/>
              <w:right w:w="43" w:type="dxa"/>
            </w:tcMar>
          </w:tcPr>
          <w:p w14:paraId="51549C1A" w14:textId="77777777" w:rsidR="00F7113A" w:rsidRPr="00580C0D" w:rsidRDefault="00142E5B" w:rsidP="001231A3">
            <w:pPr>
              <w:jc w:val="right"/>
            </w:pPr>
            <w:r w:rsidRPr="00580C0D">
              <w:t>Ja</w:t>
            </w:r>
          </w:p>
        </w:tc>
      </w:tr>
      <w:tr w:rsidR="00F7113A" w:rsidRPr="00580C0D" w14:paraId="2C852643"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242175AF"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32AC7E76" w14:textId="77777777" w:rsidR="00F7113A" w:rsidRPr="00580C0D" w:rsidRDefault="00142E5B" w:rsidP="00BD6CF4">
            <w:pPr>
              <w:ind w:right="340"/>
              <w:jc w:val="right"/>
            </w:pPr>
            <w:r w:rsidRPr="00580C0D">
              <w:t>902</w:t>
            </w:r>
          </w:p>
        </w:tc>
        <w:tc>
          <w:tcPr>
            <w:tcW w:w="5517" w:type="dxa"/>
            <w:tcBorders>
              <w:top w:val="nil"/>
              <w:left w:val="nil"/>
              <w:bottom w:val="nil"/>
              <w:right w:val="nil"/>
            </w:tcBorders>
            <w:tcMar>
              <w:top w:w="128" w:type="dxa"/>
              <w:left w:w="43" w:type="dxa"/>
              <w:bottom w:w="43" w:type="dxa"/>
              <w:right w:w="43" w:type="dxa"/>
            </w:tcMar>
          </w:tcPr>
          <w:p w14:paraId="1E7C3E13" w14:textId="74DA0451" w:rsidR="00F7113A" w:rsidRPr="00580C0D" w:rsidRDefault="00142E5B" w:rsidP="001231A3">
            <w:r w:rsidRPr="00580C0D">
              <w:t>Melding til Stortinget om sikring av menneskerettig</w:t>
            </w:r>
            <w:r w:rsidR="00251BE9">
              <w:softHyphen/>
            </w:r>
            <w:r w:rsidRPr="00580C0D">
              <w:t xml:space="preserve">hetene for utviklingshemmede – likeverdige tjenester </w:t>
            </w:r>
          </w:p>
        </w:tc>
        <w:tc>
          <w:tcPr>
            <w:tcW w:w="1503" w:type="dxa"/>
            <w:tcBorders>
              <w:top w:val="nil"/>
              <w:left w:val="nil"/>
              <w:bottom w:val="nil"/>
              <w:right w:val="nil"/>
            </w:tcBorders>
            <w:tcMar>
              <w:top w:w="128" w:type="dxa"/>
              <w:left w:w="43" w:type="dxa"/>
              <w:bottom w:w="43" w:type="dxa"/>
              <w:right w:w="43" w:type="dxa"/>
            </w:tcMar>
          </w:tcPr>
          <w:p w14:paraId="1F662423" w14:textId="77777777" w:rsidR="00F7113A" w:rsidRPr="00580C0D" w:rsidRDefault="00142E5B" w:rsidP="001231A3">
            <w:pPr>
              <w:jc w:val="right"/>
            </w:pPr>
            <w:r w:rsidRPr="00580C0D">
              <w:t>Ja</w:t>
            </w:r>
          </w:p>
        </w:tc>
      </w:tr>
      <w:tr w:rsidR="00F7113A" w:rsidRPr="00580C0D" w14:paraId="76548852"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0B19A020"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71209F8C" w14:textId="77777777" w:rsidR="00F7113A" w:rsidRPr="00580C0D" w:rsidRDefault="00142E5B" w:rsidP="00BD6CF4">
            <w:pPr>
              <w:ind w:right="340"/>
              <w:jc w:val="right"/>
            </w:pPr>
            <w:r w:rsidRPr="00580C0D">
              <w:t>903</w:t>
            </w:r>
          </w:p>
        </w:tc>
        <w:tc>
          <w:tcPr>
            <w:tcW w:w="5517" w:type="dxa"/>
            <w:tcBorders>
              <w:top w:val="nil"/>
              <w:left w:val="nil"/>
              <w:bottom w:val="nil"/>
              <w:right w:val="nil"/>
            </w:tcBorders>
            <w:tcMar>
              <w:top w:w="128" w:type="dxa"/>
              <w:left w:w="43" w:type="dxa"/>
              <w:bottom w:w="43" w:type="dxa"/>
              <w:right w:w="43" w:type="dxa"/>
            </w:tcMar>
          </w:tcPr>
          <w:p w14:paraId="0B95B958" w14:textId="619AA56C" w:rsidR="00F7113A" w:rsidRPr="00580C0D" w:rsidRDefault="00142E5B" w:rsidP="001231A3">
            <w:r w:rsidRPr="00580C0D">
              <w:t>Melding til Stortinget om sikring av menneskerettig</w:t>
            </w:r>
            <w:r w:rsidR="00251BE9">
              <w:softHyphen/>
            </w:r>
            <w:r w:rsidRPr="00580C0D">
              <w:t xml:space="preserve">hetene for utviklingshemmede – koordinering av </w:t>
            </w:r>
            <w:r w:rsidR="00901405">
              <w:br/>
            </w:r>
            <w:r w:rsidRPr="00580C0D">
              <w:t>tjenester</w:t>
            </w:r>
          </w:p>
        </w:tc>
        <w:tc>
          <w:tcPr>
            <w:tcW w:w="1503" w:type="dxa"/>
            <w:tcBorders>
              <w:top w:val="nil"/>
              <w:left w:val="nil"/>
              <w:bottom w:val="nil"/>
              <w:right w:val="nil"/>
            </w:tcBorders>
            <w:tcMar>
              <w:top w:w="128" w:type="dxa"/>
              <w:left w:w="43" w:type="dxa"/>
              <w:bottom w:w="43" w:type="dxa"/>
              <w:right w:w="43" w:type="dxa"/>
            </w:tcMar>
          </w:tcPr>
          <w:p w14:paraId="09F425A3" w14:textId="77777777" w:rsidR="00F7113A" w:rsidRPr="00580C0D" w:rsidRDefault="00142E5B" w:rsidP="001231A3">
            <w:pPr>
              <w:jc w:val="right"/>
            </w:pPr>
            <w:r w:rsidRPr="00580C0D">
              <w:t>Ja</w:t>
            </w:r>
          </w:p>
        </w:tc>
      </w:tr>
      <w:tr w:rsidR="00F7113A" w:rsidRPr="00580C0D" w14:paraId="255076D8" w14:textId="77777777" w:rsidTr="00BD6CF4">
        <w:trPr>
          <w:trHeight w:val="880"/>
        </w:trPr>
        <w:tc>
          <w:tcPr>
            <w:tcW w:w="1400" w:type="dxa"/>
            <w:tcBorders>
              <w:top w:val="nil"/>
              <w:left w:val="nil"/>
              <w:bottom w:val="nil"/>
              <w:right w:val="nil"/>
            </w:tcBorders>
            <w:tcMar>
              <w:top w:w="128" w:type="dxa"/>
              <w:left w:w="43" w:type="dxa"/>
              <w:bottom w:w="43" w:type="dxa"/>
              <w:right w:w="43" w:type="dxa"/>
            </w:tcMar>
          </w:tcPr>
          <w:p w14:paraId="23FEB524"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7D77E996" w14:textId="77777777" w:rsidR="00F7113A" w:rsidRPr="00580C0D" w:rsidRDefault="00142E5B" w:rsidP="00BD6CF4">
            <w:pPr>
              <w:ind w:right="340"/>
              <w:jc w:val="right"/>
            </w:pPr>
            <w:r w:rsidRPr="00580C0D">
              <w:t>904</w:t>
            </w:r>
          </w:p>
        </w:tc>
        <w:tc>
          <w:tcPr>
            <w:tcW w:w="5517" w:type="dxa"/>
            <w:tcBorders>
              <w:top w:val="nil"/>
              <w:left w:val="nil"/>
              <w:bottom w:val="nil"/>
              <w:right w:val="nil"/>
            </w:tcBorders>
            <w:tcMar>
              <w:top w:w="128" w:type="dxa"/>
              <w:left w:w="43" w:type="dxa"/>
              <w:bottom w:w="43" w:type="dxa"/>
              <w:right w:w="43" w:type="dxa"/>
            </w:tcMar>
          </w:tcPr>
          <w:p w14:paraId="7C491294" w14:textId="5D0D1F15" w:rsidR="00F7113A" w:rsidRPr="00580C0D" w:rsidRDefault="00142E5B" w:rsidP="001231A3">
            <w:r w:rsidRPr="00580C0D">
              <w:t>Melding til Stortinget om sikring av menneskerettig</w:t>
            </w:r>
            <w:r w:rsidR="00251BE9">
              <w:softHyphen/>
            </w:r>
            <w:r w:rsidRPr="00580C0D">
              <w:t>hetene for utviklingshemmede – FN-konvensjonen om rettighetene til mennesker med nedsatt funksjonsevne</w:t>
            </w:r>
          </w:p>
        </w:tc>
        <w:tc>
          <w:tcPr>
            <w:tcW w:w="1503" w:type="dxa"/>
            <w:tcBorders>
              <w:top w:val="nil"/>
              <w:left w:val="nil"/>
              <w:bottom w:val="nil"/>
              <w:right w:val="nil"/>
            </w:tcBorders>
            <w:tcMar>
              <w:top w:w="128" w:type="dxa"/>
              <w:left w:w="43" w:type="dxa"/>
              <w:bottom w:w="43" w:type="dxa"/>
              <w:right w:w="43" w:type="dxa"/>
            </w:tcMar>
          </w:tcPr>
          <w:p w14:paraId="1A5AB7F8" w14:textId="77777777" w:rsidR="00F7113A" w:rsidRPr="00580C0D" w:rsidRDefault="00142E5B" w:rsidP="001231A3">
            <w:pPr>
              <w:jc w:val="right"/>
            </w:pPr>
            <w:r w:rsidRPr="00580C0D">
              <w:t>Ja</w:t>
            </w:r>
          </w:p>
        </w:tc>
      </w:tr>
      <w:tr w:rsidR="00F7113A" w:rsidRPr="00580C0D" w14:paraId="7066C25E"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1AEBF677"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695AFD55" w14:textId="77777777" w:rsidR="00F7113A" w:rsidRPr="00580C0D" w:rsidRDefault="00142E5B" w:rsidP="00BD6CF4">
            <w:pPr>
              <w:ind w:right="340"/>
              <w:jc w:val="right"/>
            </w:pPr>
            <w:r w:rsidRPr="00580C0D">
              <w:t>905</w:t>
            </w:r>
          </w:p>
        </w:tc>
        <w:tc>
          <w:tcPr>
            <w:tcW w:w="5517" w:type="dxa"/>
            <w:tcBorders>
              <w:top w:val="nil"/>
              <w:left w:val="nil"/>
              <w:bottom w:val="nil"/>
              <w:right w:val="nil"/>
            </w:tcBorders>
            <w:tcMar>
              <w:top w:w="128" w:type="dxa"/>
              <w:left w:w="43" w:type="dxa"/>
              <w:bottom w:w="43" w:type="dxa"/>
              <w:right w:w="43" w:type="dxa"/>
            </w:tcMar>
          </w:tcPr>
          <w:p w14:paraId="62B5985E" w14:textId="77777777" w:rsidR="00F7113A" w:rsidRPr="00580C0D" w:rsidRDefault="00142E5B" w:rsidP="001231A3">
            <w:r w:rsidRPr="00580C0D">
              <w:t>Melding til Stortinget om sikring av menneskerettighetene for utviklingshemmede – fritidsaktiviteter og livssyn</w:t>
            </w:r>
          </w:p>
        </w:tc>
        <w:tc>
          <w:tcPr>
            <w:tcW w:w="1503" w:type="dxa"/>
            <w:tcBorders>
              <w:top w:val="nil"/>
              <w:left w:val="nil"/>
              <w:bottom w:val="nil"/>
              <w:right w:val="nil"/>
            </w:tcBorders>
            <w:tcMar>
              <w:top w:w="128" w:type="dxa"/>
              <w:left w:w="43" w:type="dxa"/>
              <w:bottom w:w="43" w:type="dxa"/>
              <w:right w:w="43" w:type="dxa"/>
            </w:tcMar>
          </w:tcPr>
          <w:p w14:paraId="6BA33CF7" w14:textId="77777777" w:rsidR="00F7113A" w:rsidRPr="00580C0D" w:rsidRDefault="00142E5B" w:rsidP="001231A3">
            <w:pPr>
              <w:jc w:val="right"/>
            </w:pPr>
            <w:r w:rsidRPr="00580C0D">
              <w:t>Ja</w:t>
            </w:r>
          </w:p>
        </w:tc>
      </w:tr>
      <w:tr w:rsidR="00F7113A" w:rsidRPr="00580C0D" w14:paraId="50F0AA37" w14:textId="77777777" w:rsidTr="00BD6CF4">
        <w:trPr>
          <w:trHeight w:val="640"/>
        </w:trPr>
        <w:tc>
          <w:tcPr>
            <w:tcW w:w="1400" w:type="dxa"/>
            <w:tcBorders>
              <w:top w:val="nil"/>
              <w:left w:val="nil"/>
              <w:bottom w:val="nil"/>
              <w:right w:val="nil"/>
            </w:tcBorders>
            <w:tcMar>
              <w:top w:w="128" w:type="dxa"/>
              <w:left w:w="43" w:type="dxa"/>
              <w:bottom w:w="43" w:type="dxa"/>
              <w:right w:w="43" w:type="dxa"/>
            </w:tcMar>
          </w:tcPr>
          <w:p w14:paraId="313B8D0E" w14:textId="77777777" w:rsidR="00F7113A" w:rsidRPr="00580C0D" w:rsidRDefault="00142E5B" w:rsidP="001231A3">
            <w:r w:rsidRPr="00580C0D">
              <w:t>2017–2018</w:t>
            </w:r>
          </w:p>
        </w:tc>
        <w:tc>
          <w:tcPr>
            <w:tcW w:w="1120" w:type="dxa"/>
            <w:tcBorders>
              <w:top w:val="nil"/>
              <w:left w:val="nil"/>
              <w:bottom w:val="nil"/>
              <w:right w:val="nil"/>
            </w:tcBorders>
            <w:tcMar>
              <w:top w:w="128" w:type="dxa"/>
              <w:left w:w="43" w:type="dxa"/>
              <w:bottom w:w="43" w:type="dxa"/>
              <w:right w:w="43" w:type="dxa"/>
            </w:tcMar>
          </w:tcPr>
          <w:p w14:paraId="549F2422" w14:textId="77777777" w:rsidR="00F7113A" w:rsidRPr="00580C0D" w:rsidRDefault="00142E5B" w:rsidP="00BD6CF4">
            <w:pPr>
              <w:ind w:right="340"/>
              <w:jc w:val="right"/>
            </w:pPr>
            <w:r w:rsidRPr="00580C0D">
              <w:t>906</w:t>
            </w:r>
          </w:p>
        </w:tc>
        <w:tc>
          <w:tcPr>
            <w:tcW w:w="5517" w:type="dxa"/>
            <w:tcBorders>
              <w:top w:val="nil"/>
              <w:left w:val="nil"/>
              <w:bottom w:val="nil"/>
              <w:right w:val="nil"/>
            </w:tcBorders>
            <w:tcMar>
              <w:top w:w="128" w:type="dxa"/>
              <w:left w:w="43" w:type="dxa"/>
              <w:bottom w:w="43" w:type="dxa"/>
              <w:right w:w="43" w:type="dxa"/>
            </w:tcMar>
          </w:tcPr>
          <w:p w14:paraId="783A0237" w14:textId="5B6E4251" w:rsidR="00F7113A" w:rsidRPr="00580C0D" w:rsidRDefault="00142E5B" w:rsidP="001231A3">
            <w:r w:rsidRPr="00580C0D">
              <w:t>Melding til Stortinget om sikring av menneskerettig</w:t>
            </w:r>
            <w:r w:rsidR="00251BE9">
              <w:softHyphen/>
            </w:r>
            <w:r w:rsidRPr="00580C0D">
              <w:t>hetene for utviklingshemmede – skolefritidsordning</w:t>
            </w:r>
          </w:p>
        </w:tc>
        <w:tc>
          <w:tcPr>
            <w:tcW w:w="1503" w:type="dxa"/>
            <w:tcBorders>
              <w:top w:val="nil"/>
              <w:left w:val="nil"/>
              <w:bottom w:val="nil"/>
              <w:right w:val="nil"/>
            </w:tcBorders>
            <w:tcMar>
              <w:top w:w="128" w:type="dxa"/>
              <w:left w:w="43" w:type="dxa"/>
              <w:bottom w:w="43" w:type="dxa"/>
              <w:right w:w="43" w:type="dxa"/>
            </w:tcMar>
          </w:tcPr>
          <w:p w14:paraId="6473FE53" w14:textId="77777777" w:rsidR="00F7113A" w:rsidRPr="00580C0D" w:rsidRDefault="00142E5B" w:rsidP="001231A3">
            <w:pPr>
              <w:jc w:val="right"/>
            </w:pPr>
            <w:r w:rsidRPr="00580C0D">
              <w:t>Ja</w:t>
            </w:r>
          </w:p>
        </w:tc>
      </w:tr>
      <w:tr w:rsidR="00F7113A" w:rsidRPr="00580C0D" w14:paraId="4E43447B" w14:textId="77777777" w:rsidTr="00BD6CF4">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3BBEE7AF" w14:textId="77777777" w:rsidR="00F7113A" w:rsidRPr="00580C0D" w:rsidRDefault="00142E5B" w:rsidP="001231A3">
            <w:r w:rsidRPr="00580C0D">
              <w:t>2014–2015</w:t>
            </w:r>
          </w:p>
        </w:tc>
        <w:tc>
          <w:tcPr>
            <w:tcW w:w="1120" w:type="dxa"/>
            <w:tcBorders>
              <w:top w:val="nil"/>
              <w:left w:val="nil"/>
              <w:bottom w:val="single" w:sz="4" w:space="0" w:color="000000"/>
              <w:right w:val="nil"/>
            </w:tcBorders>
            <w:tcMar>
              <w:top w:w="128" w:type="dxa"/>
              <w:left w:w="43" w:type="dxa"/>
              <w:bottom w:w="43" w:type="dxa"/>
              <w:right w:w="43" w:type="dxa"/>
            </w:tcMar>
          </w:tcPr>
          <w:p w14:paraId="25CAE70A" w14:textId="77777777" w:rsidR="00F7113A" w:rsidRPr="00580C0D" w:rsidRDefault="00142E5B" w:rsidP="00BD6CF4">
            <w:pPr>
              <w:ind w:right="340"/>
              <w:jc w:val="right"/>
            </w:pPr>
            <w:r w:rsidRPr="00580C0D">
              <w:t>60</w:t>
            </w:r>
          </w:p>
        </w:tc>
        <w:tc>
          <w:tcPr>
            <w:tcW w:w="5517" w:type="dxa"/>
            <w:tcBorders>
              <w:top w:val="nil"/>
              <w:left w:val="nil"/>
              <w:bottom w:val="single" w:sz="4" w:space="0" w:color="000000"/>
              <w:right w:val="nil"/>
            </w:tcBorders>
            <w:tcMar>
              <w:top w:w="128" w:type="dxa"/>
              <w:left w:w="43" w:type="dxa"/>
              <w:bottom w:w="43" w:type="dxa"/>
              <w:right w:w="43" w:type="dxa"/>
            </w:tcMar>
          </w:tcPr>
          <w:p w14:paraId="740E2287" w14:textId="77777777" w:rsidR="00F7113A" w:rsidRPr="00580C0D" w:rsidRDefault="00142E5B" w:rsidP="001231A3">
            <w:r w:rsidRPr="00580C0D">
              <w:t>Nasjonalgalleriet</w:t>
            </w:r>
          </w:p>
        </w:tc>
        <w:tc>
          <w:tcPr>
            <w:tcW w:w="1503" w:type="dxa"/>
            <w:tcBorders>
              <w:top w:val="nil"/>
              <w:left w:val="nil"/>
              <w:bottom w:val="single" w:sz="4" w:space="0" w:color="000000"/>
              <w:right w:val="nil"/>
            </w:tcBorders>
            <w:tcMar>
              <w:top w:w="128" w:type="dxa"/>
              <w:left w:w="43" w:type="dxa"/>
              <w:bottom w:w="43" w:type="dxa"/>
              <w:right w:w="43" w:type="dxa"/>
            </w:tcMar>
          </w:tcPr>
          <w:p w14:paraId="5D4F8236" w14:textId="77777777" w:rsidR="00F7113A" w:rsidRPr="00580C0D" w:rsidRDefault="00142E5B" w:rsidP="001231A3">
            <w:pPr>
              <w:jc w:val="right"/>
            </w:pPr>
            <w:r w:rsidRPr="00580C0D">
              <w:t>Nei</w:t>
            </w:r>
          </w:p>
        </w:tc>
      </w:tr>
    </w:tbl>
    <w:p w14:paraId="74D03437" w14:textId="77777777" w:rsidR="00F7113A" w:rsidRPr="00580C0D" w:rsidRDefault="00142E5B" w:rsidP="001A1B0B">
      <w:pPr>
        <w:pStyle w:val="Overskrift2"/>
        <w:numPr>
          <w:ilvl w:val="1"/>
          <w:numId w:val="31"/>
        </w:numPr>
      </w:pPr>
      <w:r w:rsidRPr="00580C0D">
        <w:t>Stortingssesjon 2022–2023</w:t>
      </w:r>
    </w:p>
    <w:p w14:paraId="7270209B" w14:textId="77777777" w:rsidR="00F7113A" w:rsidRPr="00580C0D" w:rsidRDefault="00142E5B" w:rsidP="00580C0D">
      <w:pPr>
        <w:pStyle w:val="avsnitt-tittel"/>
      </w:pPr>
      <w:r w:rsidRPr="00580C0D">
        <w:t>Forsterke og utvide arbeidet med Frivillighetsregisteret</w:t>
      </w:r>
    </w:p>
    <w:p w14:paraId="529FD99C" w14:textId="77777777" w:rsidR="00F7113A" w:rsidRPr="00580C0D" w:rsidRDefault="00142E5B" w:rsidP="00580C0D">
      <w:pPr>
        <w:pStyle w:val="avsnitt-undertittel"/>
      </w:pPr>
      <w:r w:rsidRPr="00580C0D">
        <w:t>Vedtak nr. 558, 28. mars 2023</w:t>
      </w:r>
    </w:p>
    <w:p w14:paraId="596C26E3" w14:textId="77777777" w:rsidR="00F7113A" w:rsidRPr="00580C0D" w:rsidRDefault="00142E5B" w:rsidP="00580C0D">
      <w:pPr>
        <w:pStyle w:val="blokksit"/>
        <w:rPr>
          <w:rStyle w:val="kursiv"/>
        </w:rPr>
      </w:pPr>
      <w:r w:rsidRPr="00580C0D">
        <w:rPr>
          <w:rStyle w:val="kursiv"/>
        </w:rPr>
        <w:t>«Stortinget ber regjeringen forsterke og utvide arbeidet med Frivillighetsregisteret, blant annet slik at informasjon fra registeret danner grunnlag for samtlige søknadsordninger administrert på statlig nivå. Arbeidet skal gjøres i samråd med frivillig sektor.»</w:t>
      </w:r>
    </w:p>
    <w:p w14:paraId="251CBDEA"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249 S (2022–2023) og Dokument 8:49 S (2022–2023) </w:t>
      </w:r>
      <w:r w:rsidRPr="00580C0D">
        <w:rPr>
          <w:rStyle w:val="kursiv"/>
        </w:rPr>
        <w:t>Representantforslag om en bedre støtteordning for organisasjoner og frivilligheten.</w:t>
      </w:r>
    </w:p>
    <w:p w14:paraId="5AAE7F9D" w14:textId="77777777" w:rsidR="00F7113A" w:rsidRPr="00580C0D" w:rsidRDefault="00142E5B" w:rsidP="00580C0D">
      <w:r w:rsidRPr="00580C0D">
        <w:t xml:space="preserve">Kultur- og likestillingsdepartementet følger opp anbefalingene i rapporten </w:t>
      </w:r>
      <w:r w:rsidRPr="00580C0D">
        <w:rPr>
          <w:rStyle w:val="kursiv"/>
        </w:rPr>
        <w:t>Videreutvikling av Frivillighetsregisteret</w:t>
      </w:r>
      <w:r w:rsidRPr="00580C0D">
        <w:t xml:space="preserve">, i samarbeid med Brønnøysundregistrene, Lotteri- og stiftelsestilsynet og frivillig sektor. Brønnøysundregistrene har igangsatt et prosjekt, med støtte fra Medfinansieringsordningen, som tar sikte på at flere, og mer oppdaterte, opplysninger legges til Frivillighetsregisteret. Prosjektet sikter også mot å </w:t>
      </w:r>
      <w:proofErr w:type="gramStart"/>
      <w:r w:rsidRPr="00580C0D">
        <w:t>integrere</w:t>
      </w:r>
      <w:proofErr w:type="gramEnd"/>
      <w:r w:rsidRPr="00580C0D">
        <w:t xml:space="preserve"> Frivillighetsregisteret tettere med relevante statlige forvaltningssystemer, og skal også samordnes med tilskudd.no. Videre vil Kultur- og likestillingsdepartementet høsten 2023 starte arbeidet med å revidere frivillighetsregisterloven. </w:t>
      </w:r>
      <w:proofErr w:type="spellStart"/>
      <w:r w:rsidRPr="00580C0D">
        <w:t>Lovgjennomgangen</w:t>
      </w:r>
      <w:proofErr w:type="spellEnd"/>
      <w:r w:rsidRPr="00580C0D">
        <w:t xml:space="preserve"> tar blant annet sikte på å legge til rette for forenkling i forvaltningen overfor frivillig sektor. Regjeringen kommer tilbake til Stortinget på egnet måte.</w:t>
      </w:r>
    </w:p>
    <w:p w14:paraId="7362A06B" w14:textId="77777777" w:rsidR="00F7113A" w:rsidRPr="00580C0D" w:rsidRDefault="00142E5B" w:rsidP="00580C0D">
      <w:pPr>
        <w:pStyle w:val="avsnitt-tittel"/>
      </w:pPr>
      <w:r w:rsidRPr="00580C0D">
        <w:t>Enhetlig definisjon av frivillige organisasjoner</w:t>
      </w:r>
    </w:p>
    <w:p w14:paraId="29B128C6" w14:textId="77777777" w:rsidR="00F7113A" w:rsidRPr="00580C0D" w:rsidRDefault="00142E5B" w:rsidP="00580C0D">
      <w:pPr>
        <w:pStyle w:val="avsnitt-undertittel"/>
      </w:pPr>
      <w:r w:rsidRPr="00580C0D">
        <w:t>Vedtak nr. 559, 28. mars 2023</w:t>
      </w:r>
    </w:p>
    <w:p w14:paraId="0C76102B" w14:textId="77777777" w:rsidR="00F7113A" w:rsidRPr="00580C0D" w:rsidRDefault="00142E5B" w:rsidP="00580C0D">
      <w:pPr>
        <w:pStyle w:val="blokksit"/>
        <w:rPr>
          <w:rStyle w:val="kursiv"/>
        </w:rPr>
      </w:pPr>
      <w:r w:rsidRPr="00580C0D">
        <w:rPr>
          <w:rStyle w:val="kursiv"/>
        </w:rPr>
        <w:t>«Stortinget ber regjeringen sikre at man i større grad bruker en enhetlig definisjon av «frivillig organisasjon» i den statlige forvaltningen, med utgangspunkt i registreringsrett i Frivillighetsregisteret.»</w:t>
      </w:r>
    </w:p>
    <w:p w14:paraId="28570C1A"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249 S (2022–2023) og Dokument 8:49 S (2022–2023) </w:t>
      </w:r>
      <w:r w:rsidRPr="00580C0D">
        <w:rPr>
          <w:rStyle w:val="kursiv"/>
        </w:rPr>
        <w:t>Representantforslag om en bedre støtteordning for organisasjoner og frivilligheten.</w:t>
      </w:r>
    </w:p>
    <w:p w14:paraId="2E780A0D" w14:textId="77777777" w:rsidR="00F7113A" w:rsidRPr="00580C0D" w:rsidRDefault="00142E5B" w:rsidP="00580C0D">
      <w:r w:rsidRPr="00580C0D">
        <w:t>Kultur- og likestillingsdepartementet starter høsten 2023 arbeidet med å revidere frivillighetsregisterloven. Registreringsrett i Frivillighetsregisteret skal i den forbindelse gjennomgås. Som en oppfølging av lovarbeidet vil Kultur- og likestillingsdepartementet vurdere hvordan registreringsrett i Frivillighetsregisteret kan gjøres til felles inngangskriterium i ordninger som berører frivillig sektor. Regjeringen kommer tilbake til Stortinget på egnet måte.</w:t>
      </w:r>
    </w:p>
    <w:p w14:paraId="4E266EF0" w14:textId="77777777" w:rsidR="00F7113A" w:rsidRPr="00580C0D" w:rsidRDefault="00142E5B" w:rsidP="00580C0D">
      <w:pPr>
        <w:pStyle w:val="avsnitt-tittel"/>
      </w:pPr>
      <w:r w:rsidRPr="00580C0D">
        <w:t>Harmonisere og forenkle søkbare ordninger</w:t>
      </w:r>
    </w:p>
    <w:p w14:paraId="337ABB57" w14:textId="77777777" w:rsidR="00F7113A" w:rsidRPr="00580C0D" w:rsidRDefault="00142E5B" w:rsidP="00580C0D">
      <w:pPr>
        <w:pStyle w:val="avsnitt-undertittel"/>
      </w:pPr>
      <w:r w:rsidRPr="00580C0D">
        <w:t>Vedtak nr. 560, 28. mars 2023</w:t>
      </w:r>
    </w:p>
    <w:p w14:paraId="0671BD65" w14:textId="77777777" w:rsidR="00F7113A" w:rsidRPr="00580C0D" w:rsidRDefault="00142E5B" w:rsidP="00580C0D">
      <w:pPr>
        <w:pStyle w:val="blokksit"/>
        <w:rPr>
          <w:rStyle w:val="kursiv"/>
        </w:rPr>
      </w:pPr>
      <w:r w:rsidRPr="00580C0D">
        <w:rPr>
          <w:rStyle w:val="kursiv"/>
        </w:rPr>
        <w:t>«Stortinget ber regjeringen igangsette et arbeid for å harmonisere og forenkle de mange søkbare ordningene som forvaltes av departement, direktorat og statlig sektor, herunder vurdere mer samkjørte systemer for søknader og rapportering for statlige tilskuddsordninger, samkjørte søknadsfrister og tidspunkt for svar/utbetaling, og innføre raskere saksbehandling av tilskudd og regler for overføring av tilskudd til neste budsjettår når tildelingen kommer seint, og en tilrettelegging for at tilskudd i større grad gis som flerårige tilskudd og driftstilskudd. Arbeidet skal gjøres i samråd med frivillig sektor.»</w:t>
      </w:r>
    </w:p>
    <w:p w14:paraId="547B756D"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249 S (2022–2023) og Dokument 8:49 S (2022–2023) </w:t>
      </w:r>
      <w:r w:rsidRPr="00580C0D">
        <w:rPr>
          <w:rStyle w:val="kursiv"/>
        </w:rPr>
        <w:t>Representantforslag om en bedre støtteordning for organisasjoner og frivilligheten.</w:t>
      </w:r>
    </w:p>
    <w:p w14:paraId="1F54B71C" w14:textId="77777777" w:rsidR="00F7113A" w:rsidRPr="00580C0D" w:rsidRDefault="00142E5B" w:rsidP="00580C0D">
      <w:r w:rsidRPr="00580C0D">
        <w:t xml:space="preserve">Oppfølging av anmodningsvedtaket krever koordinert innsats fra flere statlige etater. Revidering av frivillighetsregisterloven, som startes opp høsten 2023, vil berede grunnen for at registrering i Frivillighetsregisteret kan være inngangskriterium for statlige ordninger beregnet for frivillig sektor. Prosjektet som ledes av Brønnøysundregistrene har som målsetting at Frivillighetsregisteret skal inneholde flere og mer oppdaterte opplysninger, og at registeret skal bli tettere integrert med andre statlige forvaltningssystemer. Disse to prosjektene vil danne utgangspunkt for en mer enhetlig statlig forvaltning av tilskudd til frivillig sektor. Hele 13 departementer forvalter tilskudd til frivillig sektor, og det er derfor avgjørende at felles grep blir </w:t>
      </w:r>
      <w:proofErr w:type="gramStart"/>
      <w:r w:rsidRPr="00580C0D">
        <w:t>implementert</w:t>
      </w:r>
      <w:proofErr w:type="gramEnd"/>
      <w:r w:rsidRPr="00580C0D">
        <w:t xml:space="preserve"> i hele departementsfellesskapet. Kultur- og likestillingsdepartementet har tatt initiativ til å opprette et tverrdepartementalt forum for den statlige frivillighetspolitikken. Felles retningslinjer for statlige tilskudd til frivillig sektor og forenkling av statlige tilskuddsordninger vil drøftes i forumet.</w:t>
      </w:r>
    </w:p>
    <w:p w14:paraId="10015EDA" w14:textId="77777777" w:rsidR="00F7113A" w:rsidRPr="00580C0D" w:rsidRDefault="00142E5B" w:rsidP="00580C0D">
      <w:r w:rsidRPr="00580C0D">
        <w:t>Regjeringen kommer tilbake til Stortinget på egnet måte.</w:t>
      </w:r>
    </w:p>
    <w:p w14:paraId="1FA09515" w14:textId="77777777" w:rsidR="00F7113A" w:rsidRPr="00580C0D" w:rsidRDefault="00142E5B" w:rsidP="00580C0D">
      <w:pPr>
        <w:pStyle w:val="avsnitt-tittel"/>
      </w:pPr>
      <w:r w:rsidRPr="00580C0D">
        <w:t>Vurdering av økonomiske levekår for personer med nedsatt funksjonsevne</w:t>
      </w:r>
    </w:p>
    <w:p w14:paraId="6E840FD5" w14:textId="77777777" w:rsidR="00F7113A" w:rsidRPr="00580C0D" w:rsidRDefault="00142E5B" w:rsidP="00580C0D">
      <w:pPr>
        <w:pStyle w:val="avsnitt-undertittel"/>
      </w:pPr>
      <w:r w:rsidRPr="00580C0D">
        <w:t>Vedtak nr. 607, 18. april 2023</w:t>
      </w:r>
    </w:p>
    <w:p w14:paraId="5B6049F9" w14:textId="77777777" w:rsidR="00F7113A" w:rsidRPr="00580C0D" w:rsidRDefault="00142E5B" w:rsidP="00580C0D">
      <w:pPr>
        <w:pStyle w:val="blokksit"/>
        <w:rPr>
          <w:rStyle w:val="kursiv"/>
        </w:rPr>
      </w:pPr>
      <w:r w:rsidRPr="00580C0D">
        <w:rPr>
          <w:rStyle w:val="kursiv"/>
        </w:rPr>
        <w:t xml:space="preserve">«Stortinget ber regjeringen i oppfølgingen av Likestillings- og </w:t>
      </w:r>
      <w:proofErr w:type="spellStart"/>
      <w:r w:rsidRPr="00580C0D">
        <w:rPr>
          <w:rStyle w:val="kursiv"/>
        </w:rPr>
        <w:t>mangfoldsutvalget</w:t>
      </w:r>
      <w:proofErr w:type="spellEnd"/>
      <w:r w:rsidRPr="00580C0D">
        <w:rPr>
          <w:rStyle w:val="kursiv"/>
        </w:rPr>
        <w:t xml:space="preserve"> gjøre en vurdering av de økonomiske levekårene og tiltak for personer med nedsatt funksjonsevne og deres nærmeste familie, og komme tilbake til Stortinget på egnet måte.»</w:t>
      </w:r>
    </w:p>
    <w:p w14:paraId="1802CF5E"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224 S (2022–2023) og Dokument 8:77 S (2022–2023) </w:t>
      </w:r>
      <w:r w:rsidRPr="00580C0D">
        <w:rPr>
          <w:rStyle w:val="kursiv"/>
        </w:rPr>
        <w:t>Representantforslag om hva det koster å være funksjonsnedsatt – et offentlig utvalg som skal utrede de økonomiske levekårene for personer med nedsatt funksjonsevne og deres nærmeste familie.</w:t>
      </w:r>
    </w:p>
    <w:p w14:paraId="3EDA10EE" w14:textId="77777777" w:rsidR="00F7113A" w:rsidRPr="00580C0D" w:rsidRDefault="00142E5B" w:rsidP="00580C0D">
      <w:r w:rsidRPr="00580C0D">
        <w:t xml:space="preserve">Likestilling- og </w:t>
      </w:r>
      <w:proofErr w:type="spellStart"/>
      <w:r w:rsidRPr="00580C0D">
        <w:t>mangfoldsutvalgets</w:t>
      </w:r>
      <w:proofErr w:type="spellEnd"/>
      <w:r w:rsidRPr="00580C0D">
        <w:t xml:space="preserve"> utredning NOU 2023: 13 </w:t>
      </w:r>
      <w:r w:rsidRPr="00580C0D">
        <w:rPr>
          <w:rStyle w:val="kursiv"/>
        </w:rPr>
        <w:t>På høy tid – realisering av funksjonshindredes rettigheter</w:t>
      </w:r>
      <w:r w:rsidRPr="00580C0D">
        <w:t xml:space="preserve"> ble overlevert kultur- og likestillingsministeren 2. mai 2023. Utredningen inneholder ingen særlig vurdering av økonomiske levekår.</w:t>
      </w:r>
    </w:p>
    <w:p w14:paraId="4EC854C0" w14:textId="77777777" w:rsidR="00F7113A" w:rsidRPr="00580C0D" w:rsidRDefault="00142E5B" w:rsidP="00580C0D">
      <w:r w:rsidRPr="00580C0D">
        <w:t xml:space="preserve">Kultur- og likestillingsdepartementet har gitt </w:t>
      </w:r>
      <w:proofErr w:type="spellStart"/>
      <w:r w:rsidRPr="00580C0D">
        <w:t>Bufdir</w:t>
      </w:r>
      <w:proofErr w:type="spellEnd"/>
      <w:r w:rsidRPr="00580C0D">
        <w:t xml:space="preserve"> i oppdrag å innhente en undersøkelse av de økonomiske levekårene for personer med funksjonsnedsettelse og deres familier. Regjeringen kommer tilbake til Stortinget på egnet måte.</w:t>
      </w:r>
    </w:p>
    <w:p w14:paraId="76681EDE" w14:textId="77777777" w:rsidR="00F7113A" w:rsidRPr="00580C0D" w:rsidRDefault="00142E5B" w:rsidP="00580C0D">
      <w:pPr>
        <w:pStyle w:val="avsnitt-tittel"/>
      </w:pPr>
      <w:r w:rsidRPr="00580C0D">
        <w:t>Løfte idrett og friluftsliv i områdesatsingsprogrammet</w:t>
      </w:r>
    </w:p>
    <w:p w14:paraId="137511AE" w14:textId="77777777" w:rsidR="00F7113A" w:rsidRPr="00580C0D" w:rsidRDefault="00142E5B" w:rsidP="00580C0D">
      <w:pPr>
        <w:pStyle w:val="avsnitt-undertittel"/>
      </w:pPr>
      <w:r w:rsidRPr="00580C0D">
        <w:t>Vedtak nr. 637, 9. mai 2023</w:t>
      </w:r>
    </w:p>
    <w:p w14:paraId="0D33EA66" w14:textId="77777777" w:rsidR="00F7113A" w:rsidRPr="00580C0D" w:rsidRDefault="00142E5B" w:rsidP="00580C0D">
      <w:pPr>
        <w:pStyle w:val="blokksit"/>
        <w:rPr>
          <w:rStyle w:val="kursiv"/>
        </w:rPr>
      </w:pPr>
      <w:r w:rsidRPr="00580C0D">
        <w:rPr>
          <w:rStyle w:val="kursiv"/>
        </w:rPr>
        <w:t>«Stortinget ber regjeringen løfte idrett og friluftsliv som en satsing i sitt arbeid med områdesatsingsprogrammet ut 2024, og ha som mål å øke driftstilskuddet til idrettsklubber i levekårsutsatte områder.»</w:t>
      </w:r>
    </w:p>
    <w:p w14:paraId="1BB408A6"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291 S (2022–2023) og Dokument 8:121 S (2022–2023)</w:t>
      </w:r>
      <w:r w:rsidRPr="00580C0D">
        <w:rPr>
          <w:rStyle w:val="kursiv"/>
        </w:rPr>
        <w:t>.</w:t>
      </w:r>
    </w:p>
    <w:p w14:paraId="64BC879E" w14:textId="77777777" w:rsidR="00F7113A" w:rsidRPr="00580C0D" w:rsidRDefault="00142E5B" w:rsidP="00580C0D">
      <w:r w:rsidRPr="00580C0D">
        <w:t>Over Kommunal- og distriksdepartementets budsjett bevilges det tilskudd til områdesatsing i byer (kap. 590 Planlegging og byutvikling, post 65 Områdesatsing i byer). Tilskuddet har brede mål og kriterier, slik at kommunene har et handlingsrom for å prioritere innsatsen innenfor årlige handlingsplaner. Kriterier for tilskuddet er blant annet at innsatsen skal omfatte tiltak som bidrar til gode og trygge bo-, oppvekst- og nærmiljøer og inkludering og deltakelse på ulike samfunnsarenaer og i frivilligheten. Det er en forutsetning fra departementet at kommunene ser tiltakene som de får tilskudd til på kap. 590, post 65 i sammenheng med andre statlige midler til de geografiske områdene som satsingen omfatter.</w:t>
      </w:r>
    </w:p>
    <w:p w14:paraId="2FABA4E5" w14:textId="77777777" w:rsidR="00F7113A" w:rsidRPr="00580C0D" w:rsidRDefault="00142E5B" w:rsidP="00580C0D">
      <w:r w:rsidRPr="00580C0D">
        <w:t xml:space="preserve">Klima- og miljødepartementet har siden 2017 øremerket midler på kap. 1420 Miljødirektoratet, post 78 </w:t>
      </w:r>
      <w:proofErr w:type="spellStart"/>
      <w:r w:rsidRPr="00580C0D">
        <w:t>Friluftslivformål</w:t>
      </w:r>
      <w:proofErr w:type="spellEnd"/>
      <w:r w:rsidRPr="00580C0D">
        <w:t xml:space="preserve"> til utvikling av grønne områder i områdesatsingene i Oslo. I 2023 utgjør dette beløpet 5 mill. kroner. Disse midlene brukes sammen med kommunens midler til å utvikle og tilrettelegge turveier, parker og andre grøntområder for friluftsliv og rekreasjon. I tillegg kan det etter søknad gis midler til sikring og tilrettelegging av friluftslivsområder innenfor alle områdesatsingene, gjennom ordningene på kap. 1420 Miljødirektoratet, post 30 Statlige erverv, bevaring av viktige friluftslivsområder og post 78 </w:t>
      </w:r>
      <w:proofErr w:type="spellStart"/>
      <w:r w:rsidRPr="00580C0D">
        <w:t>Friluftsformål</w:t>
      </w:r>
      <w:proofErr w:type="spellEnd"/>
      <w:r w:rsidRPr="00580C0D">
        <w:t>.</w:t>
      </w:r>
    </w:p>
    <w:p w14:paraId="66E1BFA1" w14:textId="77777777" w:rsidR="00F7113A" w:rsidRPr="00580C0D" w:rsidRDefault="00142E5B" w:rsidP="00580C0D">
      <w:r w:rsidRPr="00580C0D">
        <w:t>Kultur- og likestillingsdepartementet har fordelt et tilskudd på 125 mill. kroner fra spillemiddeloverskuddet til idretten i levekårsutsatte områder som en ekstrainnsats i 2023. Oslo, Bergen, Trondheim, Drammen og Stavanger, som er kommuner som er en del av områdesatsingsprogrammet, er tildelt over 45 mill. kroner av midlene. Midlene skal bidra til å holde foreldrebetalingen og aktiviteter som er kostnadsdrivende nede.</w:t>
      </w:r>
    </w:p>
    <w:p w14:paraId="7D81668A" w14:textId="77777777" w:rsidR="00F7113A" w:rsidRPr="00580C0D" w:rsidRDefault="00142E5B" w:rsidP="00580C0D">
      <w:r w:rsidRPr="00580C0D">
        <w:t>Anmodningsvedtaket anses som fulgt opp, og rapporteringen avsluttes.</w:t>
      </w:r>
    </w:p>
    <w:p w14:paraId="6847C147" w14:textId="77777777" w:rsidR="00F7113A" w:rsidRPr="00580C0D" w:rsidRDefault="00142E5B" w:rsidP="00580C0D">
      <w:pPr>
        <w:pStyle w:val="avsnitt-tittel"/>
      </w:pPr>
      <w:r w:rsidRPr="00580C0D">
        <w:t>Legge fram plan for å inkludere alle barn som ønsker det, i idrettslagene og friluftsliv lokalt</w:t>
      </w:r>
    </w:p>
    <w:p w14:paraId="23CEB875" w14:textId="77777777" w:rsidR="00F7113A" w:rsidRPr="00580C0D" w:rsidRDefault="00142E5B" w:rsidP="00580C0D">
      <w:pPr>
        <w:pStyle w:val="avsnitt-undertittel"/>
      </w:pPr>
      <w:r w:rsidRPr="00580C0D">
        <w:t>Vedtak nr. 638, 9. mai 2023</w:t>
      </w:r>
    </w:p>
    <w:p w14:paraId="4C87170D" w14:textId="77777777" w:rsidR="00F7113A" w:rsidRPr="00580C0D" w:rsidRDefault="00142E5B" w:rsidP="00580C0D">
      <w:pPr>
        <w:pStyle w:val="blokksit"/>
        <w:rPr>
          <w:rStyle w:val="kursiv"/>
        </w:rPr>
      </w:pPr>
      <w:r w:rsidRPr="00580C0D">
        <w:rPr>
          <w:rStyle w:val="kursiv"/>
        </w:rPr>
        <w:t>«Stortinget ber regjeringen legge fram en plan for hvordan staten skal bidra til å inkludere alle barn som ønsker det, i idrettslagene og friluftsliv lokalt, slik at store kostnader ikke er til hinder for deltakelsen for den enkelte.»</w:t>
      </w:r>
    </w:p>
    <w:p w14:paraId="758C308D"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291 S (2022–2023) og Dokument 8:121 S (2022–2023)</w:t>
      </w:r>
      <w:r w:rsidRPr="00580C0D">
        <w:rPr>
          <w:rStyle w:val="kursiv"/>
        </w:rPr>
        <w:t>.</w:t>
      </w:r>
    </w:p>
    <w:p w14:paraId="1E2F8178" w14:textId="77777777" w:rsidR="00F7113A" w:rsidRPr="00580C0D" w:rsidRDefault="00142E5B" w:rsidP="00580C0D">
      <w:r w:rsidRPr="00580C0D">
        <w:t>Regjeringen starter høsten 2023 arbeidet med en handlingsplan for økt deltakelse i kultur-, idretts- og friluftslivsaktiviteter. Frivillig sektor vil involveres i arbeidet. Regjeringen vil følge opp vedtaket med den kommende handlingsplanen for deltakelse.</w:t>
      </w:r>
    </w:p>
    <w:p w14:paraId="1F868FF8" w14:textId="77777777" w:rsidR="00F7113A" w:rsidRPr="00580C0D" w:rsidRDefault="00142E5B" w:rsidP="00580C0D">
      <w:pPr>
        <w:pStyle w:val="avsnitt-tittel"/>
      </w:pPr>
      <w:r w:rsidRPr="00580C0D">
        <w:t>Universell utforming av lydbøker</w:t>
      </w:r>
    </w:p>
    <w:p w14:paraId="084DD97D" w14:textId="77777777" w:rsidR="00F7113A" w:rsidRPr="00580C0D" w:rsidRDefault="00142E5B" w:rsidP="00580C0D">
      <w:pPr>
        <w:pStyle w:val="avsnitt-undertittel"/>
      </w:pPr>
      <w:r w:rsidRPr="00580C0D">
        <w:t>Vedtak nr. 796, 8. juni 2023</w:t>
      </w:r>
    </w:p>
    <w:p w14:paraId="2D9D5353" w14:textId="77777777" w:rsidR="00F7113A" w:rsidRPr="00580C0D" w:rsidRDefault="00142E5B" w:rsidP="00580C0D">
      <w:pPr>
        <w:pStyle w:val="blokksit"/>
        <w:rPr>
          <w:rStyle w:val="kursiv"/>
        </w:rPr>
      </w:pPr>
      <w:r w:rsidRPr="00580C0D">
        <w:rPr>
          <w:rStyle w:val="kursiv"/>
        </w:rPr>
        <w:t>«Stortinget ber regjeringen utrede universell utforming av lydbøker.»</w:t>
      </w:r>
    </w:p>
    <w:p w14:paraId="07925280"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461 L (2022–2023) og </w:t>
      </w:r>
      <w:proofErr w:type="spellStart"/>
      <w:r w:rsidRPr="00580C0D">
        <w:t>Prop</w:t>
      </w:r>
      <w:proofErr w:type="spellEnd"/>
      <w:r w:rsidRPr="00580C0D">
        <w:t xml:space="preserve">. 82 L (2022–2023) </w:t>
      </w:r>
      <w:r w:rsidRPr="00580C0D">
        <w:rPr>
          <w:rStyle w:val="kursiv"/>
        </w:rPr>
        <w:t>Lov om omsetning av bøker (bokloven).</w:t>
      </w:r>
    </w:p>
    <w:p w14:paraId="1373A695" w14:textId="77777777" w:rsidR="00F7113A" w:rsidRPr="00580C0D" w:rsidRDefault="00142E5B" w:rsidP="00580C0D">
      <w:r w:rsidRPr="00580C0D">
        <w:t>Regjeringen vil utrede problemstillingen og komme tilbake til Stortinget på egnet måte.</w:t>
      </w:r>
    </w:p>
    <w:p w14:paraId="56CA70CD" w14:textId="77777777" w:rsidR="00F7113A" w:rsidRPr="00580C0D" w:rsidRDefault="00142E5B" w:rsidP="00580C0D">
      <w:pPr>
        <w:pStyle w:val="avsnitt-tittel"/>
      </w:pPr>
      <w:r w:rsidRPr="00580C0D">
        <w:t>Regulering av strømmemarkedet i bokloven</w:t>
      </w:r>
    </w:p>
    <w:p w14:paraId="2F565E09" w14:textId="77777777" w:rsidR="00F7113A" w:rsidRPr="00580C0D" w:rsidRDefault="00142E5B" w:rsidP="00580C0D">
      <w:pPr>
        <w:pStyle w:val="avsnitt-undertittel"/>
      </w:pPr>
      <w:r w:rsidRPr="00580C0D">
        <w:t>Vedtak nr. 797, 8. juni 2023</w:t>
      </w:r>
    </w:p>
    <w:p w14:paraId="1F6258E3" w14:textId="77777777" w:rsidR="00F7113A" w:rsidRPr="00580C0D" w:rsidRDefault="00142E5B" w:rsidP="00580C0D">
      <w:pPr>
        <w:pStyle w:val="blokksit"/>
        <w:rPr>
          <w:rStyle w:val="kursiv"/>
        </w:rPr>
      </w:pPr>
      <w:r w:rsidRPr="00580C0D">
        <w:rPr>
          <w:rStyle w:val="kursiv"/>
        </w:rPr>
        <w:t>«Stortinget ber regjeringen utrede hvordan strømmemarkedet kan reguleres i bokloven, og komme tilbake til Stortinget på egnet måte. Utredningen bør blant annet inkludere en endring av bokloven som sikrer ikke-diskriminering av innholdsleverandører av strømmetjenester for litteratur, samt en grundig vurdering av å opprette en særskilt uavhengig nemnd som skal vurdere mulige brudd på bokloven, enten for rådgivende uttalelser eller også med vedtakskompetanse.»</w:t>
      </w:r>
    </w:p>
    <w:p w14:paraId="1AF8B93C"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461 L (2022–2023) og </w:t>
      </w:r>
      <w:proofErr w:type="spellStart"/>
      <w:r w:rsidRPr="00580C0D">
        <w:t>Prop</w:t>
      </w:r>
      <w:proofErr w:type="spellEnd"/>
      <w:r w:rsidRPr="00580C0D">
        <w:t xml:space="preserve">. 82 L (2022–2023) </w:t>
      </w:r>
      <w:r w:rsidRPr="00580C0D">
        <w:rPr>
          <w:rStyle w:val="kursiv"/>
        </w:rPr>
        <w:t>Lov om omsetning av bøker (bokloven).</w:t>
      </w:r>
    </w:p>
    <w:p w14:paraId="52E6F22F" w14:textId="77777777" w:rsidR="00F7113A" w:rsidRPr="00580C0D" w:rsidRDefault="00142E5B" w:rsidP="00580C0D">
      <w:r w:rsidRPr="00580C0D">
        <w:t>Regjeringen vil utrede problemstillingen og komme tilbake til Stortinget på egnet måte.</w:t>
      </w:r>
    </w:p>
    <w:p w14:paraId="00E5E88B" w14:textId="77777777" w:rsidR="00F7113A" w:rsidRPr="00580C0D" w:rsidRDefault="00142E5B" w:rsidP="00580C0D">
      <w:pPr>
        <w:pStyle w:val="avsnitt-tittel"/>
      </w:pPr>
      <w:r w:rsidRPr="00580C0D">
        <w:t>Vurdere endringer i fastprisreglene for lærebøker for høyere utdanning og fagbøker for profesjonsmarkedet</w:t>
      </w:r>
    </w:p>
    <w:p w14:paraId="0F16CC74" w14:textId="77777777" w:rsidR="00F7113A" w:rsidRPr="00580C0D" w:rsidRDefault="00142E5B" w:rsidP="00580C0D">
      <w:pPr>
        <w:pStyle w:val="avsnitt-undertittel"/>
      </w:pPr>
      <w:r w:rsidRPr="00580C0D">
        <w:t>Vedtak nr. 798, 8. juni 2023</w:t>
      </w:r>
    </w:p>
    <w:p w14:paraId="78AE3B35" w14:textId="77777777" w:rsidR="00F7113A" w:rsidRPr="00580C0D" w:rsidRDefault="00142E5B" w:rsidP="00580C0D">
      <w:pPr>
        <w:pStyle w:val="blokksit"/>
        <w:rPr>
          <w:rStyle w:val="kursiv"/>
        </w:rPr>
      </w:pPr>
      <w:r w:rsidRPr="00580C0D">
        <w:rPr>
          <w:rStyle w:val="kursiv"/>
        </w:rPr>
        <w:t xml:space="preserve">«Stortinget ber regjeringen i løpet av 2024 vurdere om man lettere kan inkludere lærebøker for høyere utdanning og fagbøker for profesjonsmarkedet i digitale læringstjenester i fastprisperioden, og komme tilbake til Stortinget på egnet måte. Det bør vurderes konsekvenser av å endre bokloven slik at omsetning ut over eksemplarsalg også tillates i fastprisperioden for lærebøker for høyere utdanning, og at fagbøker for profesjonsmarkedet enten får valgfri fastpris eller en fastprisordning som kun gjelder papirformat i seks måneder, eller at det legges opp til at fastprisperioden for denne </w:t>
      </w:r>
      <w:proofErr w:type="spellStart"/>
      <w:r w:rsidRPr="00580C0D">
        <w:rPr>
          <w:rStyle w:val="kursiv"/>
        </w:rPr>
        <w:t>bokgruppen</w:t>
      </w:r>
      <w:proofErr w:type="spellEnd"/>
      <w:r w:rsidRPr="00580C0D">
        <w:rPr>
          <w:rStyle w:val="kursiv"/>
        </w:rPr>
        <w:t xml:space="preserve"> kan reguleres i forskrift.»</w:t>
      </w:r>
    </w:p>
    <w:p w14:paraId="4F224704"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461 L (2022–2023) og </w:t>
      </w:r>
      <w:proofErr w:type="spellStart"/>
      <w:r w:rsidRPr="00580C0D">
        <w:t>Prop</w:t>
      </w:r>
      <w:proofErr w:type="spellEnd"/>
      <w:r w:rsidRPr="00580C0D">
        <w:t xml:space="preserve">. 82 L (2022–2023) </w:t>
      </w:r>
      <w:r w:rsidRPr="00580C0D">
        <w:rPr>
          <w:rStyle w:val="kursiv"/>
        </w:rPr>
        <w:t>Lov om omsetning av bøker (bokloven).</w:t>
      </w:r>
    </w:p>
    <w:p w14:paraId="710B561E" w14:textId="77777777" w:rsidR="00F7113A" w:rsidRPr="00580C0D" w:rsidRDefault="00142E5B" w:rsidP="00580C0D">
      <w:r w:rsidRPr="00580C0D">
        <w:t>Regjeringen vil utrede spørsmålene i løpet av 2024 og komme tilbake til Stortinget på egnet måte.</w:t>
      </w:r>
    </w:p>
    <w:p w14:paraId="5AF3ABCA" w14:textId="77777777" w:rsidR="00F7113A" w:rsidRPr="00580C0D" w:rsidRDefault="00142E5B" w:rsidP="00580C0D">
      <w:pPr>
        <w:pStyle w:val="avsnitt-tittel"/>
      </w:pPr>
      <w:r w:rsidRPr="00580C0D">
        <w:t>Vurdere virkningen av bokloven i markedet</w:t>
      </w:r>
    </w:p>
    <w:p w14:paraId="51125DFE" w14:textId="77777777" w:rsidR="00F7113A" w:rsidRPr="00580C0D" w:rsidRDefault="00142E5B" w:rsidP="00580C0D">
      <w:pPr>
        <w:pStyle w:val="avsnitt-undertittel"/>
      </w:pPr>
      <w:r w:rsidRPr="00580C0D">
        <w:t>Vedtak nr. 799, 8. juni 2023</w:t>
      </w:r>
    </w:p>
    <w:p w14:paraId="48ACAB8B" w14:textId="77777777" w:rsidR="00F7113A" w:rsidRPr="00580C0D" w:rsidRDefault="00142E5B" w:rsidP="00580C0D">
      <w:pPr>
        <w:pStyle w:val="blokksit"/>
        <w:rPr>
          <w:rStyle w:val="kursiv"/>
        </w:rPr>
      </w:pPr>
      <w:r w:rsidRPr="00580C0D">
        <w:rPr>
          <w:rStyle w:val="kursiv"/>
        </w:rPr>
        <w:t>«Stortinget ber regjeringen fortløpende vurdere virkningen av bokloven i markedet, herunder hvordan bokdefinisjonen fungerer og grenseoppgangen mellom bøker, læringsressurser og andre typer digitale produkter.»</w:t>
      </w:r>
    </w:p>
    <w:p w14:paraId="233DDE45"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461 L (2022–2023) og </w:t>
      </w:r>
      <w:proofErr w:type="spellStart"/>
      <w:r w:rsidRPr="00580C0D">
        <w:t>Prop</w:t>
      </w:r>
      <w:proofErr w:type="spellEnd"/>
      <w:r w:rsidRPr="00580C0D">
        <w:t xml:space="preserve">. 82 L (2022–2023) </w:t>
      </w:r>
      <w:r w:rsidRPr="00580C0D">
        <w:rPr>
          <w:rStyle w:val="kursiv"/>
        </w:rPr>
        <w:t>Lov om omsetning av bøker (bokloven).</w:t>
      </w:r>
    </w:p>
    <w:p w14:paraId="1784D0B0" w14:textId="77777777" w:rsidR="00F7113A" w:rsidRPr="00580C0D" w:rsidRDefault="00142E5B" w:rsidP="00580C0D">
      <w:r w:rsidRPr="00580C0D">
        <w:t>Loven trer i kraft 1. januar 2024. Regjeringen vil komme tilbake til Stortinget på egnet måte når loven har virket i noe tid.</w:t>
      </w:r>
    </w:p>
    <w:p w14:paraId="5D46BEB0" w14:textId="77777777" w:rsidR="00F7113A" w:rsidRPr="00580C0D" w:rsidRDefault="00142E5B" w:rsidP="00580C0D">
      <w:pPr>
        <w:pStyle w:val="avsnitt-tittel"/>
      </w:pPr>
      <w:r w:rsidRPr="00580C0D">
        <w:t>Utrede muligheten for bestemmelser for folkebibliotekene om digitalt utlån av digitale verk</w:t>
      </w:r>
    </w:p>
    <w:p w14:paraId="7E0E3C1A" w14:textId="77777777" w:rsidR="00F7113A" w:rsidRPr="00580C0D" w:rsidRDefault="00142E5B" w:rsidP="00580C0D">
      <w:pPr>
        <w:pStyle w:val="avsnitt-undertittel"/>
      </w:pPr>
      <w:r w:rsidRPr="00580C0D">
        <w:t>Vedtak nr. 800, 8. juni 2023</w:t>
      </w:r>
    </w:p>
    <w:p w14:paraId="0324AD4E" w14:textId="77777777" w:rsidR="00F7113A" w:rsidRPr="00580C0D" w:rsidRDefault="00142E5B" w:rsidP="00580C0D">
      <w:pPr>
        <w:pStyle w:val="blokksit"/>
        <w:rPr>
          <w:rStyle w:val="kursiv"/>
        </w:rPr>
      </w:pPr>
      <w:r w:rsidRPr="00580C0D">
        <w:rPr>
          <w:rStyle w:val="kursiv"/>
        </w:rPr>
        <w:t>«Stortinget ber regjeringen så snart som mulig utrede om det er mulig å fastsette bestemmelser for folkebibliotekene om digitalt utlån av digitale verk.»</w:t>
      </w:r>
    </w:p>
    <w:p w14:paraId="3119468E"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461 L (2022–2023) og </w:t>
      </w:r>
      <w:proofErr w:type="spellStart"/>
      <w:r w:rsidRPr="00580C0D">
        <w:t>Prop</w:t>
      </w:r>
      <w:proofErr w:type="spellEnd"/>
      <w:r w:rsidRPr="00580C0D">
        <w:t xml:space="preserve">. 82 L (2022–2023) </w:t>
      </w:r>
      <w:r w:rsidRPr="00580C0D">
        <w:rPr>
          <w:rStyle w:val="kursiv"/>
        </w:rPr>
        <w:t>Lov om omsetning av bøker (bokloven).</w:t>
      </w:r>
    </w:p>
    <w:p w14:paraId="31B4786D" w14:textId="77777777" w:rsidR="00F7113A" w:rsidRPr="00580C0D" w:rsidRDefault="00142E5B" w:rsidP="00580C0D">
      <w:r w:rsidRPr="00580C0D">
        <w:t>Kultur- og likestillingsdepartementet vil høsten 2023 sette ut et oppdrag om å utrede problemstillingen. Regjeringen vil komme tilbake til Stortinget på egnet måte.</w:t>
      </w:r>
    </w:p>
    <w:p w14:paraId="737CB8F9" w14:textId="77777777" w:rsidR="00F7113A" w:rsidRPr="00580C0D" w:rsidRDefault="00142E5B" w:rsidP="00580C0D">
      <w:pPr>
        <w:pStyle w:val="avsnitt-tittel"/>
      </w:pPr>
      <w:r w:rsidRPr="00580C0D">
        <w:t>Ekstern gjennomgang av avanseregulering i bokmarkedet</w:t>
      </w:r>
    </w:p>
    <w:p w14:paraId="12D11E53" w14:textId="77777777" w:rsidR="00F7113A" w:rsidRPr="00580C0D" w:rsidRDefault="00142E5B" w:rsidP="00580C0D">
      <w:pPr>
        <w:pStyle w:val="avsnitt-undertittel"/>
      </w:pPr>
      <w:r w:rsidRPr="00580C0D">
        <w:t>Vedtak nr. 801, 8. juni 2023</w:t>
      </w:r>
    </w:p>
    <w:p w14:paraId="7B84FEFC" w14:textId="77777777" w:rsidR="00F7113A" w:rsidRPr="00580C0D" w:rsidRDefault="00142E5B" w:rsidP="00580C0D">
      <w:pPr>
        <w:pStyle w:val="blokksit"/>
        <w:rPr>
          <w:rStyle w:val="kursiv"/>
        </w:rPr>
      </w:pPr>
      <w:r w:rsidRPr="00580C0D">
        <w:rPr>
          <w:rStyle w:val="kursiv"/>
        </w:rPr>
        <w:t>«Stortinget ber regjeringen gjennomføre en ekstern gjennomgang av avanseregulering, som varslet, for å avstemme de ulike innspillene fra bokbransjen, før bestemmelsen om slik regulering settes i kraft.»</w:t>
      </w:r>
    </w:p>
    <w:p w14:paraId="38370986"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461 L (2022–2023) og </w:t>
      </w:r>
      <w:proofErr w:type="spellStart"/>
      <w:r w:rsidRPr="00580C0D">
        <w:t>Prop</w:t>
      </w:r>
      <w:proofErr w:type="spellEnd"/>
      <w:r w:rsidRPr="00580C0D">
        <w:t xml:space="preserve">. 82 L (2022–2023) </w:t>
      </w:r>
      <w:r w:rsidRPr="00580C0D">
        <w:rPr>
          <w:rStyle w:val="kursiv"/>
        </w:rPr>
        <w:t>Lov om omsetning av bøker (bokloven).</w:t>
      </w:r>
    </w:p>
    <w:p w14:paraId="32753CD0" w14:textId="77777777" w:rsidR="00F7113A" w:rsidRPr="00580C0D" w:rsidRDefault="00142E5B" w:rsidP="00580C0D">
      <w:r w:rsidRPr="00580C0D">
        <w:t>Kultur- og likestillingsdepartementet vil høsten 2023 sette ut et oppdrag om å utrede problemstillingen. Regjeringen vil komme tilbake til Stortinget på egnet måte.</w:t>
      </w:r>
    </w:p>
    <w:p w14:paraId="56AAB6F3" w14:textId="77777777" w:rsidR="00F7113A" w:rsidRPr="00580C0D" w:rsidRDefault="00142E5B" w:rsidP="00580C0D">
      <w:pPr>
        <w:pStyle w:val="Overskrift2"/>
      </w:pPr>
      <w:r w:rsidRPr="00580C0D">
        <w:t>Stortingssesjon 2021–2022</w:t>
      </w:r>
    </w:p>
    <w:p w14:paraId="6E397BBD" w14:textId="77777777" w:rsidR="00F7113A" w:rsidRPr="00580C0D" w:rsidRDefault="00142E5B" w:rsidP="00580C0D">
      <w:pPr>
        <w:pStyle w:val="avsnitt-tittel"/>
      </w:pPr>
      <w:r w:rsidRPr="00580C0D">
        <w:t>Følge opp veilederen «Møteplasser for dataspill og datakultur»</w:t>
      </w:r>
    </w:p>
    <w:p w14:paraId="2E4CFE58" w14:textId="77777777" w:rsidR="00F7113A" w:rsidRPr="00580C0D" w:rsidRDefault="00142E5B" w:rsidP="00580C0D">
      <w:pPr>
        <w:pStyle w:val="avsnitt-undertittel"/>
      </w:pPr>
      <w:r w:rsidRPr="00580C0D">
        <w:t>Vedtak nr. 403, 1. mars 2022</w:t>
      </w:r>
    </w:p>
    <w:p w14:paraId="5AC63309" w14:textId="77777777" w:rsidR="00F7113A" w:rsidRPr="00580C0D" w:rsidRDefault="00142E5B" w:rsidP="00580C0D">
      <w:pPr>
        <w:pStyle w:val="blokksit"/>
        <w:rPr>
          <w:rStyle w:val="kursiv"/>
        </w:rPr>
      </w:pPr>
      <w:r w:rsidRPr="00580C0D">
        <w:rPr>
          <w:rStyle w:val="kursiv"/>
        </w:rPr>
        <w:t>«Stortinget ber regjeringen følge opp veilederen «Møteplasser for dataspill og datakultur» og vurdere hvordan man ytterligere kan bidra til å gjøre det enklere for kommuner og andre som ønsker å utvikle attraktive, tilgjengelige og inkluderende møteplasser der barn og ungdom som er interesserte i datakultur, opplever å bli sett og kan føle seg trygge.»</w:t>
      </w:r>
    </w:p>
    <w:p w14:paraId="00A0BB89"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155 S (2021–2022) og Dokument 8:24 S (2021–2022) </w:t>
      </w:r>
      <w:r w:rsidRPr="00580C0D">
        <w:rPr>
          <w:rStyle w:val="kursiv"/>
        </w:rPr>
        <w:t xml:space="preserve">Representantforslag om et løft for den digitale </w:t>
      </w:r>
      <w:proofErr w:type="spellStart"/>
      <w:r w:rsidRPr="00580C0D">
        <w:rPr>
          <w:rStyle w:val="kursiv"/>
        </w:rPr>
        <w:t>spillkulturen</w:t>
      </w:r>
      <w:proofErr w:type="spellEnd"/>
      <w:r w:rsidRPr="00580C0D">
        <w:rPr>
          <w:rStyle w:val="kursiv"/>
        </w:rPr>
        <w:t>.</w:t>
      </w:r>
    </w:p>
    <w:p w14:paraId="31473363" w14:textId="77777777" w:rsidR="00F7113A" w:rsidRPr="00580C0D" w:rsidRDefault="00142E5B" w:rsidP="00580C0D">
      <w:r w:rsidRPr="00580C0D">
        <w:t>Regjeringen vil følge opp vedtaket med den kommende strategien for dataspillpolitikken.</w:t>
      </w:r>
    </w:p>
    <w:p w14:paraId="138B34C9" w14:textId="77777777" w:rsidR="00F7113A" w:rsidRPr="00580C0D" w:rsidRDefault="00142E5B" w:rsidP="00580C0D">
      <w:pPr>
        <w:pStyle w:val="avsnitt-tittel"/>
      </w:pPr>
      <w:r w:rsidRPr="00580C0D">
        <w:t>Styrke samarbeidet for en sunnere idrett og forebygging av kroppsmisnøye og spiseforstyrrelser i idretten</w:t>
      </w:r>
    </w:p>
    <w:p w14:paraId="5E74BD80" w14:textId="77777777" w:rsidR="00F7113A" w:rsidRPr="00580C0D" w:rsidRDefault="00142E5B" w:rsidP="00580C0D">
      <w:pPr>
        <w:pStyle w:val="avsnitt-undertittel"/>
      </w:pPr>
      <w:r w:rsidRPr="00580C0D">
        <w:t>Vedtak 501, 28. april 2022</w:t>
      </w:r>
    </w:p>
    <w:p w14:paraId="3F96BBB8" w14:textId="77777777" w:rsidR="00F7113A" w:rsidRPr="00580C0D" w:rsidRDefault="00142E5B" w:rsidP="00580C0D">
      <w:pPr>
        <w:pStyle w:val="blokksit"/>
        <w:rPr>
          <w:rStyle w:val="kursiv"/>
        </w:rPr>
      </w:pPr>
      <w:r w:rsidRPr="00580C0D">
        <w:rPr>
          <w:rStyle w:val="kursiv"/>
        </w:rPr>
        <w:t>«Stortinget ber regjeringen om å ha god dialog med idretten for å styrke samarbeidet for en sunnere idrett og å bidra til å hindre kroppsmisnøye og spiseforstyrrelser.»</w:t>
      </w:r>
    </w:p>
    <w:p w14:paraId="14AC4655"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246 S (2021–2022) og Dokument 8:71 S (2021–2022) </w:t>
      </w:r>
      <w:r w:rsidRPr="00580C0D">
        <w:rPr>
          <w:rStyle w:val="kursiv"/>
        </w:rPr>
        <w:t>Representantforslag om en tryggere idrett og forebygging av kroppsmisnøye og spiseforstyrrelser i idretten.</w:t>
      </w:r>
    </w:p>
    <w:p w14:paraId="3012DF1B" w14:textId="77777777" w:rsidR="00F7113A" w:rsidRPr="00580C0D" w:rsidRDefault="00142E5B" w:rsidP="00580C0D">
      <w:r w:rsidRPr="00580C0D">
        <w:t xml:space="preserve">Regjeringen har løpende dialog med Norges idrettsforbund og olympiske og paralympiske komité (NIF). Det framgår av Kultur- og likestillingsdepartementets </w:t>
      </w:r>
      <w:proofErr w:type="spellStart"/>
      <w:r w:rsidRPr="00580C0D">
        <w:t>tilskuddsbrev</w:t>
      </w:r>
      <w:proofErr w:type="spellEnd"/>
      <w:r w:rsidRPr="00580C0D">
        <w:t xml:space="preserve"> til NIF for 2023 at idrettens arbeid mot spiseforstyrrelser «Sunn idrett» skal prioriteres innenfor rammen av det statlige tilskuddet.</w:t>
      </w:r>
    </w:p>
    <w:p w14:paraId="5F05D970" w14:textId="77777777" w:rsidR="00F7113A" w:rsidRPr="00580C0D" w:rsidRDefault="00142E5B" w:rsidP="00580C0D">
      <w:r w:rsidRPr="00580C0D">
        <w:t>Anmodningsvedtaket anses som fulgt opp, og rapporteringen avsluttes.</w:t>
      </w:r>
    </w:p>
    <w:p w14:paraId="7E73743A" w14:textId="77777777" w:rsidR="00F7113A" w:rsidRPr="00580C0D" w:rsidRDefault="00142E5B" w:rsidP="00580C0D">
      <w:pPr>
        <w:pStyle w:val="avsnitt-tittel"/>
      </w:pPr>
      <w:r w:rsidRPr="00580C0D">
        <w:t>Handlingsplan for en tryggere idrett og forebygging av kroppsmisnøye og spiseforstyrrelser i idretten – sette ned kompetansegruppe</w:t>
      </w:r>
    </w:p>
    <w:p w14:paraId="2E3ECD68" w14:textId="77777777" w:rsidR="00F7113A" w:rsidRPr="00580C0D" w:rsidRDefault="00142E5B" w:rsidP="00580C0D">
      <w:pPr>
        <w:pStyle w:val="avsnitt-undertittel"/>
      </w:pPr>
      <w:r w:rsidRPr="00580C0D">
        <w:t>Vedtak 502, 28. april 2022</w:t>
      </w:r>
    </w:p>
    <w:p w14:paraId="3A5ADDD5" w14:textId="77777777" w:rsidR="00F7113A" w:rsidRPr="00580C0D" w:rsidRDefault="00142E5B" w:rsidP="00580C0D">
      <w:pPr>
        <w:pStyle w:val="blokksit"/>
        <w:rPr>
          <w:rStyle w:val="kursiv"/>
        </w:rPr>
      </w:pPr>
      <w:r w:rsidRPr="00580C0D">
        <w:rPr>
          <w:rStyle w:val="kursiv"/>
        </w:rPr>
        <w:t>«Stortinget ber regjeringen sette ned en tverrfaglig, koordinerende kompetansegruppe hvor Norges idrettsforbund inviteres til administrativt å lede utarbeidelsen av et forslag til en handlingsplan for en tryggere idrett og forebygging av kroppsmisnøye og spiseforstyrrelser i idretten.»</w:t>
      </w:r>
    </w:p>
    <w:p w14:paraId="4AFD000E"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246 S (2021–2022) og Dokument 8:71 S (2021–2022) </w:t>
      </w:r>
      <w:r w:rsidRPr="00580C0D">
        <w:rPr>
          <w:rStyle w:val="kursiv"/>
        </w:rPr>
        <w:t>Representantforslag om en tryggere idrett og forebygging av kroppsmisnøye og spiseforstyrrelser i idretten.</w:t>
      </w:r>
    </w:p>
    <w:p w14:paraId="66F80475" w14:textId="77777777" w:rsidR="00F7113A" w:rsidRPr="00580C0D" w:rsidRDefault="00142E5B" w:rsidP="00580C0D">
      <w:r w:rsidRPr="00580C0D">
        <w:t>Regjeringen har invitert NIF til å nedsette og lede arbeidet med handlingsplan for en tryggere idrett, og for å forebygge kroppsmisnøye og spiseforstyrrelser.</w:t>
      </w:r>
    </w:p>
    <w:p w14:paraId="53CFE182" w14:textId="77777777" w:rsidR="00F7113A" w:rsidRPr="00580C0D" w:rsidRDefault="00142E5B" w:rsidP="00580C0D">
      <w:r w:rsidRPr="00580C0D">
        <w:t>NIF har satt ned en arbeidsgruppe og utformet mandat for gruppas arbeid. Utvalget er bredt sammensatt og består av representanter for idretten, helsesektoren og forskningsmiljøer. Kultur- og likestillingsdepartementet bidrar med midler til utvalgsarbeidet.</w:t>
      </w:r>
    </w:p>
    <w:p w14:paraId="690B0C5E" w14:textId="77777777" w:rsidR="00F7113A" w:rsidRPr="00580C0D" w:rsidRDefault="00142E5B" w:rsidP="00580C0D">
      <w:r w:rsidRPr="00580C0D">
        <w:t>Anmodningsvedtaket anses som fulgt opp, og rapporteringen avsluttes.</w:t>
      </w:r>
    </w:p>
    <w:p w14:paraId="67E671AD" w14:textId="77777777" w:rsidR="00F7113A" w:rsidRPr="00580C0D" w:rsidRDefault="00142E5B" w:rsidP="00580C0D">
      <w:pPr>
        <w:pStyle w:val="avsnitt-tittel"/>
      </w:pPr>
      <w:r w:rsidRPr="00580C0D">
        <w:t>Handlingsplan for en tryggere idrett og forebygging av kroppsmisnøye og spiseforstyrrelser i idretten</w:t>
      </w:r>
    </w:p>
    <w:p w14:paraId="0EA3D989" w14:textId="77777777" w:rsidR="00F7113A" w:rsidRPr="00580C0D" w:rsidRDefault="00142E5B" w:rsidP="00580C0D">
      <w:pPr>
        <w:pStyle w:val="avsnitt-undertittel"/>
      </w:pPr>
      <w:r w:rsidRPr="00580C0D">
        <w:t>Vedtak 503, 28. april 2022</w:t>
      </w:r>
    </w:p>
    <w:p w14:paraId="3EDD0E86" w14:textId="77777777" w:rsidR="00F7113A" w:rsidRPr="00580C0D" w:rsidRDefault="00142E5B" w:rsidP="00580C0D">
      <w:pPr>
        <w:pStyle w:val="blokksit"/>
        <w:rPr>
          <w:rStyle w:val="kursiv"/>
        </w:rPr>
      </w:pPr>
      <w:r w:rsidRPr="00580C0D">
        <w:rPr>
          <w:rStyle w:val="kursiv"/>
        </w:rPr>
        <w:t>«Stortinget ber regjeringen legge frem et forslag til en handlingsplan for en tryggere idrett og forebygging av kroppsmisnøye og spiseforstyrrelser i idretten, som bygger på forslaget utarbeidet av en tverrfaglig, koordinerende kompetansegruppe. Dette forslaget til handlingsplan skal legges frem i et samarbeid mellom Kulturdepartementet, Helse- og omsorgsdepartementet og Kunnskapsdepartementet.»</w:t>
      </w:r>
    </w:p>
    <w:p w14:paraId="4182F589"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246 S (2021–2022) og Dokument 8:71 S (2021–2022) </w:t>
      </w:r>
      <w:r w:rsidRPr="00580C0D">
        <w:rPr>
          <w:rStyle w:val="kursiv"/>
        </w:rPr>
        <w:t>Representantforslag om en tryggere idrett og forebygging av kroppsmisnøye og spiseforstyrrelser i idretten.</w:t>
      </w:r>
    </w:p>
    <w:p w14:paraId="58124DDA" w14:textId="77777777" w:rsidR="00F7113A" w:rsidRPr="00580C0D" w:rsidRDefault="00142E5B" w:rsidP="00580C0D">
      <w:r w:rsidRPr="00580C0D">
        <w:t>Regjeringen har løpende dialog med NIF om saken. NIF rapporterer at arbeidsgruppa er godt i gang med arbeidet og vil legge fram sine erfaringer og anbefalinger i form av en handlingsplan mot slutten av 2023. Planen skal inneholde strategiske og operative forslag til løsninger i idretten og miljøet rundt, som foresatte, skoler, utdanningsinstitusjoner og helsevesen. Gruppen skal også komme med forslag til hvordan de forskjellige tiltakene kan finansieres.</w:t>
      </w:r>
    </w:p>
    <w:p w14:paraId="5141902B" w14:textId="77777777" w:rsidR="00F7113A" w:rsidRPr="00580C0D" w:rsidRDefault="00142E5B" w:rsidP="00580C0D">
      <w:r w:rsidRPr="00580C0D">
        <w:t>Regjeringen kommer tilbake til Stortinget på egnet måte.</w:t>
      </w:r>
    </w:p>
    <w:p w14:paraId="5B4491A5" w14:textId="77777777" w:rsidR="00F7113A" w:rsidRPr="00580C0D" w:rsidRDefault="00142E5B" w:rsidP="00580C0D">
      <w:pPr>
        <w:pStyle w:val="Overskrift2"/>
      </w:pPr>
      <w:r w:rsidRPr="00580C0D">
        <w:t>Stortingssesjon 2020–2021</w:t>
      </w:r>
    </w:p>
    <w:p w14:paraId="7094407A" w14:textId="77777777" w:rsidR="00F7113A" w:rsidRPr="00580C0D" w:rsidRDefault="00142E5B" w:rsidP="00580C0D">
      <w:pPr>
        <w:pStyle w:val="avsnitt-tittel"/>
      </w:pPr>
      <w:r w:rsidRPr="00580C0D">
        <w:t>Stortingsmelding om seksuell trakassering</w:t>
      </w:r>
    </w:p>
    <w:p w14:paraId="027A8AD9" w14:textId="77777777" w:rsidR="00F7113A" w:rsidRPr="00580C0D" w:rsidRDefault="00142E5B" w:rsidP="00580C0D">
      <w:pPr>
        <w:pStyle w:val="avsnitt-undertittel"/>
      </w:pPr>
      <w:r w:rsidRPr="00580C0D">
        <w:t>Vedtak nr. 755, 11. mars 2021</w:t>
      </w:r>
    </w:p>
    <w:p w14:paraId="322D6A7E" w14:textId="77777777" w:rsidR="00F7113A" w:rsidRPr="00580C0D" w:rsidRDefault="00142E5B" w:rsidP="00580C0D">
      <w:pPr>
        <w:pStyle w:val="blokksit"/>
        <w:rPr>
          <w:rStyle w:val="kursiv"/>
        </w:rPr>
      </w:pPr>
      <w:r w:rsidRPr="00580C0D">
        <w:rPr>
          <w:rStyle w:val="kursiv"/>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135B3E71"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270 S (2020–2021) og Dokument 8:135 S (2019–2020) </w:t>
      </w:r>
      <w:r w:rsidRPr="00580C0D">
        <w:rPr>
          <w:rStyle w:val="kursiv"/>
        </w:rPr>
        <w:t>Representantforslag om en norsk offentlig utredning om seksuell trakassering.</w:t>
      </w:r>
    </w:p>
    <w:p w14:paraId="2E77374A" w14:textId="77777777" w:rsidR="00F7113A" w:rsidRPr="00580C0D" w:rsidRDefault="00142E5B" w:rsidP="00580C0D">
      <w:r w:rsidRPr="00580C0D">
        <w:t>Regjeringen har igangsatt arbeid med en melding til Stortinget om seksuell trakassering. Den skal kartlegge omfanget av seksuell trakassering i arbeidslivet, innenfor skole og utdanning og på barn og voksnes fritidsarenaer. Meldingen vil gjøre rede for utfordringer og foreslå forebyggende tiltak.</w:t>
      </w:r>
    </w:p>
    <w:p w14:paraId="2E90DB3D" w14:textId="77777777" w:rsidR="00F7113A" w:rsidRPr="00580C0D" w:rsidRDefault="00142E5B" w:rsidP="00580C0D">
      <w:pPr>
        <w:pStyle w:val="avsnitt-tittel"/>
      </w:pPr>
      <w:r w:rsidRPr="00580C0D">
        <w:t>Innlemme symbolspråk i språkloven</w:t>
      </w:r>
    </w:p>
    <w:p w14:paraId="06378656" w14:textId="77777777" w:rsidR="00F7113A" w:rsidRPr="00580C0D" w:rsidRDefault="00142E5B" w:rsidP="00580C0D">
      <w:pPr>
        <w:pStyle w:val="avsnitt-undertittel"/>
      </w:pPr>
      <w:r w:rsidRPr="00580C0D">
        <w:t>Vedtak nr. 788, 25. mars 2021</w:t>
      </w:r>
    </w:p>
    <w:p w14:paraId="1B29362F" w14:textId="77777777" w:rsidR="00F7113A" w:rsidRPr="00580C0D" w:rsidRDefault="00142E5B" w:rsidP="00580C0D">
      <w:pPr>
        <w:pStyle w:val="blokksit"/>
        <w:rPr>
          <w:rStyle w:val="kursiv"/>
        </w:rPr>
      </w:pPr>
      <w:r w:rsidRPr="00580C0D">
        <w:rPr>
          <w:rStyle w:val="kursiv"/>
        </w:rPr>
        <w:t>«Stortinget ber regjeringen komme tilbake til Stortinget med en sak om symbolspråk, der det foreslås hvordan retten til symbolspråk kan innlemmes i språkloven.»</w:t>
      </w:r>
    </w:p>
    <w:p w14:paraId="1710719C" w14:textId="77777777" w:rsidR="00F7113A" w:rsidRPr="00580C0D" w:rsidRDefault="00142E5B" w:rsidP="00580C0D">
      <w:r w:rsidRPr="00580C0D">
        <w:t xml:space="preserve">Dokumentene som ligger til grunn for anmodningsvedtaket, er </w:t>
      </w:r>
      <w:proofErr w:type="spellStart"/>
      <w:r w:rsidRPr="00580C0D">
        <w:t>Innst</w:t>
      </w:r>
      <w:proofErr w:type="spellEnd"/>
      <w:r w:rsidRPr="00580C0D">
        <w:t xml:space="preserve">. 253 L (2020–2021) og </w:t>
      </w:r>
      <w:proofErr w:type="spellStart"/>
      <w:r w:rsidRPr="00580C0D">
        <w:t>Prop</w:t>
      </w:r>
      <w:proofErr w:type="spellEnd"/>
      <w:r w:rsidRPr="00580C0D">
        <w:t xml:space="preserve">. 108 L (2019–2020) </w:t>
      </w:r>
      <w:r w:rsidRPr="00580C0D">
        <w:rPr>
          <w:rStyle w:val="kursiv"/>
        </w:rPr>
        <w:t>Lov om språk.</w:t>
      </w:r>
    </w:p>
    <w:p w14:paraId="6CE31A8D" w14:textId="77777777" w:rsidR="00F7113A" w:rsidRPr="00580C0D" w:rsidRDefault="00142E5B" w:rsidP="00580C0D">
      <w:r w:rsidRPr="00580C0D">
        <w:t>Språkloven trådte i kraft 1. januar 2022. Språkloven gir ingen konkrete, individuelle rettigheter, bortsett fra de rettene som er videreført fra målloven, og som gjelder nynorsk og bokmål. Formålet med loven er å sikre status og vern for norsk, samiske språk, kvensk, romani, romanes og norsk tegnspråk.</w:t>
      </w:r>
    </w:p>
    <w:p w14:paraId="5F7E8BDB" w14:textId="77777777" w:rsidR="00F7113A" w:rsidRPr="00580C0D" w:rsidRDefault="00142E5B" w:rsidP="00580C0D">
      <w:r w:rsidRPr="00580C0D">
        <w:t xml:space="preserve">Gjennom dialogmøter er det avklart at interesseorganisasjonene ønsker seg en anerkjennelse av ASK (alternativ og supplerende kommunikasjon) som språk – ut fra en argumentasjon fra miljøene om at ASK er et språk på linje med de andre språkene som er omfattet av språkloven. Departementet anerkjenner på den ene siden det viktige likestillingsperspektivet som ligger i en slik argumentasjon. På den andre siden viser relevante språkfaglige miljøer til at ASK er et </w:t>
      </w:r>
      <w:proofErr w:type="spellStart"/>
      <w:r w:rsidRPr="00580C0D">
        <w:t>kommunikativt</w:t>
      </w:r>
      <w:proofErr w:type="spellEnd"/>
      <w:r w:rsidRPr="00580C0D">
        <w:t xml:space="preserve"> verktøy for å uttrykke språk, og at det ikke regnes som et språk i konvensjonell lingvistisk forstand. Språkloven omfatter nettopp konvensjonelle språk.</w:t>
      </w:r>
    </w:p>
    <w:p w14:paraId="14C83B7C" w14:textId="77777777" w:rsidR="00F7113A" w:rsidRPr="00580C0D" w:rsidRDefault="00142E5B" w:rsidP="00580C0D">
      <w:r w:rsidRPr="00580C0D">
        <w:t>Muligheten til å kommunisere er en grunnleggende rettighet. Kommunikasjon påvirker tilgangen til og kvaliteten på offentlige tjenester. Det er viktig at offentlige myndigheter og virksomheter vurderer hensynet til personer som har behov for alternativ og supplerende kommunikasjon når de utformer sektorpolitikk og tjenester. Kultur- og likestillingsdepartementet vurderer i samråd med berørte aktører og departementer hvordan dette ansvaret kan uttrykkes tydeligere i språkpolitikken og relevant regelverk. Regjeringen kommer tilbake til Stortinget på egnet måte.</w:t>
      </w:r>
    </w:p>
    <w:p w14:paraId="609EBF3D" w14:textId="77777777" w:rsidR="00F7113A" w:rsidRPr="00580C0D" w:rsidRDefault="00142E5B" w:rsidP="00580C0D">
      <w:pPr>
        <w:pStyle w:val="Overskrift2"/>
      </w:pPr>
      <w:r w:rsidRPr="00580C0D">
        <w:t>Stortingssesjon 2018–2019</w:t>
      </w:r>
    </w:p>
    <w:p w14:paraId="451B7408" w14:textId="77777777" w:rsidR="00F7113A" w:rsidRPr="00580C0D" w:rsidRDefault="00142E5B" w:rsidP="00580C0D">
      <w:pPr>
        <w:pStyle w:val="avsnitt-tittel"/>
      </w:pPr>
      <w:r w:rsidRPr="00580C0D">
        <w:t>Endre forskrift om kringkasting</w:t>
      </w:r>
    </w:p>
    <w:p w14:paraId="493F2DD3" w14:textId="77777777" w:rsidR="00F7113A" w:rsidRPr="00580C0D" w:rsidRDefault="00142E5B" w:rsidP="00580C0D">
      <w:pPr>
        <w:pStyle w:val="avsnitt-undertittel"/>
      </w:pPr>
      <w:r w:rsidRPr="00580C0D">
        <w:t>Vedtak nr. 706, 21. juni 2019</w:t>
      </w:r>
    </w:p>
    <w:p w14:paraId="17CDC61B" w14:textId="77777777" w:rsidR="00F7113A" w:rsidRPr="00580C0D" w:rsidRDefault="00142E5B" w:rsidP="00580C0D">
      <w:pPr>
        <w:pStyle w:val="blokksit"/>
        <w:rPr>
          <w:rStyle w:val="kursiv"/>
        </w:rPr>
      </w:pPr>
      <w:r w:rsidRPr="00580C0D">
        <w:rPr>
          <w:rStyle w:val="kursiv"/>
        </w:rPr>
        <w:t>«Stortinget ber regjeringen endre forskrift om kringkasting slik at fotball-VM og fotball-EM for kvinner anses som begivenheter av vesentlig samfunnsmessig betydning, på linje med andre tilsvarende idrettsarrangementer, og sikres vederlagsfri visning.»</w:t>
      </w:r>
    </w:p>
    <w:p w14:paraId="4C35B41A" w14:textId="77777777" w:rsidR="00F7113A" w:rsidRPr="00580C0D" w:rsidRDefault="00142E5B" w:rsidP="00580C0D">
      <w:r w:rsidRPr="00580C0D">
        <w:t xml:space="preserve">Vedtaket ble truffet ved behandlingen av </w:t>
      </w:r>
      <w:proofErr w:type="spellStart"/>
      <w:r w:rsidRPr="00580C0D">
        <w:t>Innst</w:t>
      </w:r>
      <w:proofErr w:type="spellEnd"/>
      <w:r w:rsidRPr="00580C0D">
        <w:t xml:space="preserve">. 391 S (2018–2019) </w:t>
      </w:r>
      <w:r w:rsidRPr="00580C0D">
        <w:rPr>
          <w:rStyle w:val="kursiv"/>
        </w:rPr>
        <w:t>Innstilling fra finanskomiteen om revidert nasjonalbudsjett 2019, om tilleggsbevilgninger og omprioriteringer i statsbudsjettet 2019, og om endringer i skatter og avgifter i statsbudsjettet for 2019</w:t>
      </w:r>
      <w:r w:rsidRPr="00580C0D">
        <w:t>.</w:t>
      </w:r>
    </w:p>
    <w:p w14:paraId="434B2F6C" w14:textId="77777777" w:rsidR="00F7113A" w:rsidRPr="00580C0D" w:rsidRDefault="00142E5B" w:rsidP="00580C0D">
      <w:r w:rsidRPr="00580C0D">
        <w:t>Kultur- og likestillingsdepartementet har i høringsnotat om forslag til gjennomføring av endringsdirektivet til AMT-direktivet foreslått å legge til fotball-VM og fotball-EM for kvinner i listen over viktige begivenheter i kringkastingsforskriften. Høringen er avsluttet og departementet jobber videre med forslaget. Regjeringen kommer tilbake til Stortinget på egnet måte.</w:t>
      </w:r>
    </w:p>
    <w:p w14:paraId="3667243E" w14:textId="77777777" w:rsidR="00F7113A" w:rsidRPr="00580C0D" w:rsidRDefault="00142E5B" w:rsidP="00580C0D">
      <w:pPr>
        <w:pStyle w:val="Overskrift2"/>
      </w:pPr>
      <w:r w:rsidRPr="00580C0D">
        <w:t>Stortingssesjon 2017–2018</w:t>
      </w:r>
    </w:p>
    <w:p w14:paraId="2DE6287B" w14:textId="77777777" w:rsidR="00F7113A" w:rsidRPr="00580C0D" w:rsidRDefault="00142E5B" w:rsidP="00580C0D">
      <w:pPr>
        <w:pStyle w:val="avsnitt-tittel"/>
      </w:pPr>
      <w:r w:rsidRPr="00580C0D">
        <w:t>Kunstnermelding</w:t>
      </w:r>
    </w:p>
    <w:p w14:paraId="71ABB4DF" w14:textId="77777777" w:rsidR="00F7113A" w:rsidRPr="00580C0D" w:rsidRDefault="00142E5B" w:rsidP="00580C0D">
      <w:pPr>
        <w:pStyle w:val="avsnitt-undertittel"/>
      </w:pPr>
      <w:r w:rsidRPr="00580C0D">
        <w:t>Vedtak nr. 199, 12. desember 2017</w:t>
      </w:r>
    </w:p>
    <w:p w14:paraId="6346C612" w14:textId="77777777" w:rsidR="00F7113A" w:rsidRPr="00580C0D" w:rsidRDefault="00142E5B" w:rsidP="00580C0D">
      <w:pPr>
        <w:pStyle w:val="blokksit"/>
        <w:rPr>
          <w:rStyle w:val="kursiv"/>
        </w:rPr>
      </w:pPr>
      <w:r w:rsidRPr="00580C0D">
        <w:rPr>
          <w:rStyle w:val="kursiv"/>
        </w:rPr>
        <w:t>«Stortinget ber regjeringen komme tilbake til Stortinget med en egen Kunstnermelding»</w:t>
      </w:r>
    </w:p>
    <w:p w14:paraId="2D299282" w14:textId="77777777" w:rsidR="00F7113A" w:rsidRPr="00580C0D" w:rsidRDefault="00142E5B" w:rsidP="00580C0D">
      <w:r w:rsidRPr="00580C0D">
        <w:t xml:space="preserve">Dokumentene som ligger til grunn for vedtaket, er </w:t>
      </w:r>
      <w:proofErr w:type="spellStart"/>
      <w:r w:rsidRPr="00580C0D">
        <w:t>Innst</w:t>
      </w:r>
      <w:proofErr w:type="spellEnd"/>
      <w:r w:rsidRPr="00580C0D">
        <w:t xml:space="preserve">. 14 S (2017–2018) og </w:t>
      </w:r>
      <w:proofErr w:type="spellStart"/>
      <w:r w:rsidRPr="00580C0D">
        <w:t>Prop</w:t>
      </w:r>
      <w:proofErr w:type="spellEnd"/>
      <w:r w:rsidRPr="00580C0D">
        <w:t>. 1 S (2017–2018).</w:t>
      </w:r>
    </w:p>
    <w:p w14:paraId="2EE64345" w14:textId="77777777" w:rsidR="00F7113A" w:rsidRPr="00580C0D" w:rsidRDefault="00142E5B" w:rsidP="00580C0D">
      <w:r w:rsidRPr="00580C0D">
        <w:t xml:space="preserve">Anmodningsvedtaket anses som fulgt opp gjennom Meld. St. 22 (2022–2023) </w:t>
      </w:r>
      <w:proofErr w:type="spellStart"/>
      <w:r w:rsidRPr="00580C0D">
        <w:rPr>
          <w:rStyle w:val="kursiv"/>
        </w:rPr>
        <w:t>Kunstnarkår</w:t>
      </w:r>
      <w:proofErr w:type="spellEnd"/>
      <w:r w:rsidRPr="00580C0D">
        <w:rPr>
          <w:rStyle w:val="kursiv"/>
        </w:rPr>
        <w:t xml:space="preserve">, </w:t>
      </w:r>
      <w:r w:rsidRPr="00580C0D">
        <w:t>som regjeringen la fram 9. juni 2023. Meldingen presenterer regjeringens mål for kunstnerpolitikken framover, jf. omtale under programkategori 08.20. Anmodningsvedtaket anses som fulgt opp, og rapporteringen avsluttes.</w:t>
      </w:r>
    </w:p>
    <w:p w14:paraId="52AF70D4" w14:textId="77777777" w:rsidR="00F7113A" w:rsidRPr="00580C0D" w:rsidRDefault="00142E5B" w:rsidP="00580C0D">
      <w:pPr>
        <w:pStyle w:val="avsnitt-tittel"/>
      </w:pPr>
      <w:r w:rsidRPr="00580C0D">
        <w:t>Innføring av DNS-blokkering av nettsidene til uregulerte spillselskaper</w:t>
      </w:r>
    </w:p>
    <w:p w14:paraId="2F8848C9" w14:textId="77777777" w:rsidR="00F7113A" w:rsidRPr="00580C0D" w:rsidRDefault="00142E5B" w:rsidP="00580C0D">
      <w:pPr>
        <w:pStyle w:val="avsnitt-undertittel"/>
      </w:pPr>
      <w:r w:rsidRPr="00580C0D">
        <w:t>Vedtak nr. 695, 7. mai 2018</w:t>
      </w:r>
    </w:p>
    <w:p w14:paraId="1A5D23B5" w14:textId="77777777" w:rsidR="00F7113A" w:rsidRPr="00580C0D" w:rsidRDefault="00142E5B" w:rsidP="00580C0D">
      <w:pPr>
        <w:pStyle w:val="blokksit"/>
        <w:rPr>
          <w:rStyle w:val="kursiv"/>
        </w:rPr>
      </w:pPr>
      <w:r w:rsidRPr="00580C0D">
        <w:rPr>
          <w:rStyle w:val="kursiv"/>
        </w:rPr>
        <w:t>«Stortinget ber regjeringen stanse pengespill hos uregulerte pengespillselskaper ved å innføre DNS-blokkering av nettsidene deres. Regjeringen bes i budsjett for 2019 omtale fremdriftsplanen for dette arbeidet.»</w:t>
      </w:r>
    </w:p>
    <w:p w14:paraId="022FA4AF" w14:textId="77777777" w:rsidR="00F7113A" w:rsidRPr="00580C0D" w:rsidRDefault="00142E5B" w:rsidP="00580C0D">
      <w:r w:rsidRPr="00580C0D">
        <w:t xml:space="preserve">Dokumentet som ligger til grunn for anmodningsvedtaket, er </w:t>
      </w:r>
      <w:proofErr w:type="spellStart"/>
      <w:r w:rsidRPr="00580C0D">
        <w:t>Innst</w:t>
      </w:r>
      <w:proofErr w:type="spellEnd"/>
      <w:r w:rsidRPr="00580C0D">
        <w:t xml:space="preserve">. 242 S (2017–2018). jf. Dokument 8:110 S (2017–2018) </w:t>
      </w:r>
      <w:r w:rsidRPr="00580C0D">
        <w:rPr>
          <w:rStyle w:val="kursiv"/>
        </w:rPr>
        <w:t xml:space="preserve">Representantforslag om en mer ansvarlig </w:t>
      </w:r>
      <w:proofErr w:type="spellStart"/>
      <w:r w:rsidRPr="00580C0D">
        <w:rPr>
          <w:rStyle w:val="kursiv"/>
        </w:rPr>
        <w:t>spillpolitikk</w:t>
      </w:r>
      <w:proofErr w:type="spellEnd"/>
      <w:r w:rsidRPr="00580C0D">
        <w:rPr>
          <w:rStyle w:val="kursiv"/>
        </w:rPr>
        <w:t>.</w:t>
      </w:r>
    </w:p>
    <w:p w14:paraId="78CD7D73" w14:textId="77777777" w:rsidR="00F7113A" w:rsidRPr="00580C0D" w:rsidRDefault="00142E5B" w:rsidP="00580C0D">
      <w:r w:rsidRPr="00580C0D">
        <w:t xml:space="preserve">Kultur- og likestillingsdepartementet sendte 21. september 2021 et lovforslag på høring om DNS-blokkering på nettsider med uregulerte pengespill. Departementet sendte 13. april 2023 på høring et tillegg til det opprinnelige høringsnotatet, med en redegjørelse for forslagets </w:t>
      </w:r>
      <w:proofErr w:type="spellStart"/>
      <w:r w:rsidRPr="00580C0D">
        <w:t>personvernmessige</w:t>
      </w:r>
      <w:proofErr w:type="spellEnd"/>
      <w:r w:rsidRPr="00580C0D">
        <w:t xml:space="preserve"> konsekvenser som hadde høringsfrist 25. mai 2023. Regjeringen vil fremme en lovproposisjon om forslaget for Stortinget høsten 2023.</w:t>
      </w:r>
    </w:p>
    <w:p w14:paraId="7E52A79A" w14:textId="77777777" w:rsidR="00F7113A" w:rsidRPr="00580C0D" w:rsidRDefault="00142E5B" w:rsidP="00580C0D">
      <w:pPr>
        <w:pStyle w:val="avsnitt-tittel"/>
      </w:pPr>
      <w:r w:rsidRPr="00580C0D">
        <w:t>Utrede tvisteløsningsordning for fastsetting av rimelig vederlag</w:t>
      </w:r>
    </w:p>
    <w:p w14:paraId="43F4B568" w14:textId="77777777" w:rsidR="00F7113A" w:rsidRPr="00580C0D" w:rsidRDefault="00142E5B" w:rsidP="00580C0D">
      <w:pPr>
        <w:pStyle w:val="avsnitt-undertittel"/>
      </w:pPr>
      <w:r w:rsidRPr="00580C0D">
        <w:t>Vedtak nr. 729, 15. mai 2018</w:t>
      </w:r>
    </w:p>
    <w:p w14:paraId="1DE0375E" w14:textId="77777777" w:rsidR="00F7113A" w:rsidRPr="00580C0D" w:rsidRDefault="00142E5B" w:rsidP="00580C0D">
      <w:pPr>
        <w:pStyle w:val="blokksit"/>
        <w:rPr>
          <w:rStyle w:val="kursiv"/>
        </w:rPr>
      </w:pPr>
      <w:r w:rsidRPr="00580C0D">
        <w:rPr>
          <w:rStyle w:val="kursiv"/>
        </w:rPr>
        <w:t>«Stortinget ber regjeringen utrede en tvisteløsningsordning for fastsetting av rimelig vederlag og komme tilbake til Stortinget med egen sak på egnet måte.»</w:t>
      </w:r>
    </w:p>
    <w:p w14:paraId="3DB8C9CB" w14:textId="77777777" w:rsidR="00F7113A" w:rsidRPr="00580C0D" w:rsidRDefault="00142E5B" w:rsidP="00580C0D">
      <w:r w:rsidRPr="00580C0D">
        <w:t xml:space="preserve">Dokumentet som ligger til grunn for anmodningsvedtaket, er </w:t>
      </w:r>
      <w:proofErr w:type="spellStart"/>
      <w:r w:rsidRPr="00580C0D">
        <w:t>Innst</w:t>
      </w:r>
      <w:proofErr w:type="spellEnd"/>
      <w:r w:rsidRPr="00580C0D">
        <w:t xml:space="preserve">. 258 L (2017–2018), jf. </w:t>
      </w:r>
      <w:proofErr w:type="spellStart"/>
      <w:r w:rsidRPr="00580C0D">
        <w:t>Prop</w:t>
      </w:r>
      <w:proofErr w:type="spellEnd"/>
      <w:r w:rsidRPr="00580C0D">
        <w:t>. 104 L (2016–2017)</w:t>
      </w:r>
      <w:r w:rsidRPr="00580C0D">
        <w:rPr>
          <w:rStyle w:val="kursiv"/>
        </w:rPr>
        <w:t xml:space="preserve"> Lov om opphavsrett til åndsverk (åndsverkloven).</w:t>
      </w:r>
    </w:p>
    <w:p w14:paraId="752256DF" w14:textId="77777777" w:rsidR="00F7113A" w:rsidRPr="00580C0D" w:rsidRDefault="00142E5B" w:rsidP="00580C0D">
      <w:r w:rsidRPr="00580C0D">
        <w:t>Departementet vil utrede saken og sende et forslag på alminnelig høring, og deretter komme tilbake til Stortinget. Utredningen vil skje i sammenheng med gjennomføringen av EUs digitalmarkedsdirektiv ((EU) 2019/790).</w:t>
      </w:r>
    </w:p>
    <w:p w14:paraId="416B98F4" w14:textId="77777777" w:rsidR="00F7113A" w:rsidRPr="00580C0D" w:rsidRDefault="00142E5B" w:rsidP="00580C0D">
      <w:pPr>
        <w:pStyle w:val="avsnitt-tittel"/>
      </w:pPr>
      <w:r w:rsidRPr="00580C0D">
        <w:t>Vurdere regler om at leverandører av nettjenester må bidra til at rettighetshavere får vederlag</w:t>
      </w:r>
    </w:p>
    <w:p w14:paraId="57D7B0DD" w14:textId="77777777" w:rsidR="00F7113A" w:rsidRPr="00580C0D" w:rsidRDefault="00142E5B" w:rsidP="00580C0D">
      <w:pPr>
        <w:pStyle w:val="avsnitt-undertittel"/>
      </w:pPr>
      <w:r w:rsidRPr="00580C0D">
        <w:t>Vedtak nr. 730, 15. mai 2018</w:t>
      </w:r>
    </w:p>
    <w:p w14:paraId="08A90187" w14:textId="77777777" w:rsidR="00F7113A" w:rsidRPr="00580C0D" w:rsidRDefault="00142E5B" w:rsidP="00580C0D">
      <w:pPr>
        <w:pStyle w:val="blokksit"/>
        <w:rPr>
          <w:rStyle w:val="kursiv"/>
        </w:rPr>
      </w:pPr>
      <w:r w:rsidRPr="00580C0D">
        <w:rPr>
          <w:rStyle w:val="kursiv"/>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56AC5974" w14:textId="77777777" w:rsidR="00F7113A" w:rsidRPr="00580C0D" w:rsidRDefault="00142E5B" w:rsidP="00580C0D">
      <w:r w:rsidRPr="00580C0D">
        <w:t xml:space="preserve">Dokumentet som ligger til grunn for anmodningsvedtaket, er </w:t>
      </w:r>
      <w:proofErr w:type="spellStart"/>
      <w:r w:rsidRPr="00580C0D">
        <w:t>Innst</w:t>
      </w:r>
      <w:proofErr w:type="spellEnd"/>
      <w:r w:rsidRPr="00580C0D">
        <w:t xml:space="preserve">. 258 L (2017–2018), jf. </w:t>
      </w:r>
      <w:proofErr w:type="spellStart"/>
      <w:r w:rsidRPr="00580C0D">
        <w:t>Prop</w:t>
      </w:r>
      <w:proofErr w:type="spellEnd"/>
      <w:r w:rsidRPr="00580C0D">
        <w:t xml:space="preserve">. 104 L (2016–2017) </w:t>
      </w:r>
      <w:r w:rsidRPr="00580C0D">
        <w:rPr>
          <w:rStyle w:val="kursiv"/>
        </w:rPr>
        <w:t>Lov om opphavsrett til åndsverk (åndsverkloven).</w:t>
      </w:r>
    </w:p>
    <w:p w14:paraId="2CF0A6EF" w14:textId="77777777" w:rsidR="00F7113A" w:rsidRPr="00580C0D" w:rsidRDefault="00142E5B" w:rsidP="00580C0D">
      <w:r w:rsidRPr="00580C0D">
        <w:t xml:space="preserve">Den såkalte </w:t>
      </w:r>
      <w:proofErr w:type="spellStart"/>
      <w:r w:rsidRPr="00580C0D">
        <w:t>verdigap</w:t>
      </w:r>
      <w:proofErr w:type="spellEnd"/>
      <w:r w:rsidRPr="00580C0D">
        <w:t>-problematikken gjelder i hele Europa og er omfattet av digitalmarkedsdirektivet ((EU) 2019/790). Anmodningsvedtaket vil bli behandlet i forbindelse med gjennomføringen av direktivet. Regjeringen vil komme tilbake til Stortinget på egnet måte.</w:t>
      </w:r>
    </w:p>
    <w:p w14:paraId="2740F8F7" w14:textId="77777777" w:rsidR="00F7113A" w:rsidRPr="00580C0D" w:rsidRDefault="00142E5B" w:rsidP="00580C0D">
      <w:pPr>
        <w:pStyle w:val="avsnitt-tittel"/>
      </w:pPr>
      <w:r w:rsidRPr="00580C0D">
        <w:t>Utrede om strømming av åndsverk i klasserom skal bli vederlagspliktig</w:t>
      </w:r>
    </w:p>
    <w:p w14:paraId="029BE2EB" w14:textId="77777777" w:rsidR="00F7113A" w:rsidRPr="00580C0D" w:rsidRDefault="00142E5B" w:rsidP="00580C0D">
      <w:pPr>
        <w:pStyle w:val="avsnitt-undertittel"/>
      </w:pPr>
      <w:r w:rsidRPr="00580C0D">
        <w:t>Vedtak nr. 731, 15. mai 2018</w:t>
      </w:r>
    </w:p>
    <w:p w14:paraId="315CF3EA" w14:textId="77777777" w:rsidR="00F7113A" w:rsidRPr="00580C0D" w:rsidRDefault="00142E5B" w:rsidP="00580C0D">
      <w:pPr>
        <w:pStyle w:val="blokksit"/>
        <w:rPr>
          <w:rStyle w:val="kursiv"/>
        </w:rPr>
      </w:pPr>
      <w:r w:rsidRPr="00580C0D">
        <w:rPr>
          <w:rStyle w:val="kursiv"/>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560627BC" w14:textId="77777777" w:rsidR="00F7113A" w:rsidRPr="00580C0D" w:rsidRDefault="00142E5B" w:rsidP="00580C0D">
      <w:r w:rsidRPr="00580C0D">
        <w:t xml:space="preserve">Dokumentet som ligger til grunn for anmodningsvedtaket, er </w:t>
      </w:r>
      <w:proofErr w:type="spellStart"/>
      <w:r w:rsidRPr="00580C0D">
        <w:t>Innst</w:t>
      </w:r>
      <w:proofErr w:type="spellEnd"/>
      <w:r w:rsidRPr="00580C0D">
        <w:t xml:space="preserve">. 258 L (2017–2018), jf. </w:t>
      </w:r>
      <w:proofErr w:type="spellStart"/>
      <w:r w:rsidRPr="00580C0D">
        <w:t>Prop</w:t>
      </w:r>
      <w:proofErr w:type="spellEnd"/>
      <w:r w:rsidRPr="00580C0D">
        <w:t xml:space="preserve">. 104 L (2016–2017) </w:t>
      </w:r>
      <w:r w:rsidRPr="00580C0D">
        <w:rPr>
          <w:rStyle w:val="kursiv"/>
        </w:rPr>
        <w:t>Lov om opphavsrett til åndsverk (åndsverkloven).</w:t>
      </w:r>
    </w:p>
    <w:p w14:paraId="452F2BF7" w14:textId="77777777" w:rsidR="00F7113A" w:rsidRPr="00580C0D" w:rsidRDefault="00142E5B" w:rsidP="00580C0D">
      <w:r w:rsidRPr="00580C0D">
        <w:t xml:space="preserve">Regjeringen vil følge opp anmodningsvedtaket i forbindelse med den varslede gjennomgangen av åndsverklovens undervisningsbestemmelser. Dette vil skje når EUs digitalmarkedsdirektiv ((EU) 2019/790) skal gjennomføres i norsk rett, jf. også omtale i </w:t>
      </w:r>
      <w:proofErr w:type="spellStart"/>
      <w:r w:rsidRPr="00580C0D">
        <w:t>Prop</w:t>
      </w:r>
      <w:proofErr w:type="spellEnd"/>
      <w:r w:rsidRPr="00580C0D">
        <w:t xml:space="preserve">. 104 L (2016–2017) </w:t>
      </w:r>
      <w:r w:rsidRPr="00580C0D">
        <w:rPr>
          <w:rStyle w:val="kursiv"/>
        </w:rPr>
        <w:t>Lov om opphavsrett til åndsverk mv. (åndsverkloven)</w:t>
      </w:r>
      <w:r w:rsidRPr="00580C0D">
        <w:t>. Regjeringen vil komme tilbake til Stortinget på egnet måte.</w:t>
      </w:r>
    </w:p>
    <w:p w14:paraId="3DB68650" w14:textId="77777777" w:rsidR="00F7113A" w:rsidRPr="00580C0D" w:rsidRDefault="00142E5B" w:rsidP="00580C0D">
      <w:pPr>
        <w:pStyle w:val="avsnitt-tittel"/>
      </w:pPr>
      <w:r w:rsidRPr="00580C0D">
        <w:t>Tiltak i melding til Stortinget om sikring av menneskerettighetene for utviklingshemmede</w:t>
      </w:r>
    </w:p>
    <w:p w14:paraId="1E4B6DE7" w14:textId="77777777" w:rsidR="00F7113A" w:rsidRPr="00580C0D" w:rsidRDefault="00142E5B" w:rsidP="00580C0D">
      <w:pPr>
        <w:pStyle w:val="avsnitt-undertittel"/>
      </w:pPr>
      <w:r w:rsidRPr="00580C0D">
        <w:t>Vedtak nr. 894, 12. juni 2018</w:t>
      </w:r>
    </w:p>
    <w:p w14:paraId="4EC3EB4B" w14:textId="77777777" w:rsidR="00F7113A" w:rsidRPr="00580C0D" w:rsidRDefault="00142E5B" w:rsidP="00580C0D">
      <w:pPr>
        <w:pStyle w:val="blokksit"/>
        <w:rPr>
          <w:rStyle w:val="kursiv"/>
        </w:rPr>
      </w:pPr>
      <w:r w:rsidRPr="00580C0D">
        <w:rPr>
          <w:rStyle w:val="kursiv"/>
        </w:rPr>
        <w:t>«Stortinget ber regjeringen legge frem en Stortingsmelding med forslag til tiltak for at utviklingshemmede skal få oppfylt sine menneskerettigheter på lik linje med andre.»</w:t>
      </w:r>
    </w:p>
    <w:p w14:paraId="4D2674D0" w14:textId="77777777" w:rsidR="00F7113A" w:rsidRPr="00580C0D" w:rsidRDefault="00142E5B" w:rsidP="00580C0D">
      <w:r w:rsidRPr="00580C0D">
        <w:t xml:space="preserve">Dokumentet som ligger til grunn for vedtaket, er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575C1DDD" w14:textId="77777777" w:rsidR="00F7113A" w:rsidRPr="00580C0D" w:rsidRDefault="00142E5B" w:rsidP="00580C0D">
      <w:r w:rsidRPr="00580C0D">
        <w:t xml:space="preserve">Anmodningsvedtaket anses som fulgt opp gjennom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som regjeringen la fram 4. november 2022. I meldingen redegjør regjeringen for det menneskerettslige grunnlaget for politikken for personer med utviklingshemming. Meldingen inneholder en analyse av hvordan situasjonen er i dag, sammen med en beskrivelse av tidligere politikk. Meldingen utdyper noen av de overordnede utfordringene på feltet, og innsatser for å møte disse utfordringene.</w:t>
      </w:r>
    </w:p>
    <w:p w14:paraId="03F27A03" w14:textId="77777777" w:rsidR="00F7113A" w:rsidRPr="00580C0D" w:rsidRDefault="00142E5B" w:rsidP="00580C0D">
      <w:r w:rsidRPr="00580C0D">
        <w:t xml:space="preserve">Anmodningsvedtak nr. 894 blir oppfattet som Stortingets </w:t>
      </w:r>
      <w:proofErr w:type="spellStart"/>
      <w:r w:rsidRPr="00580C0D">
        <w:t>hovedvedtak</w:t>
      </w:r>
      <w:proofErr w:type="spellEnd"/>
      <w:r w:rsidRPr="00580C0D">
        <w:t xml:space="preserve"> knyttet til representantforslaget om rettigheter og likeverd for utviklingshemmede og om tiltak som styrker de grunnleggende rettighetene til mennesker med utviklingshemming. Vedtakene nr. 895–906, med unntak av vedtak 898, er knyttet til tema og innhold i stortingsmeldingen. Kultur- og likestillingsdepartementet har koordinert regjeringens oppfølging av vedtak 894 og tilknyttede vedtak under dette.</w:t>
      </w:r>
    </w:p>
    <w:p w14:paraId="083F6696" w14:textId="77777777" w:rsidR="00F7113A" w:rsidRPr="00580C0D" w:rsidRDefault="00142E5B" w:rsidP="00580C0D">
      <w:r w:rsidRPr="00580C0D">
        <w:t>Anmodningsvedtaket anses som fulgt opp, og rapporteringen avsluttes.</w:t>
      </w:r>
    </w:p>
    <w:p w14:paraId="034F4364" w14:textId="77777777" w:rsidR="00F7113A" w:rsidRPr="00580C0D" w:rsidRDefault="00142E5B" w:rsidP="00580C0D">
      <w:pPr>
        <w:pStyle w:val="avsnitt-tittel"/>
      </w:pPr>
      <w:r w:rsidRPr="00580C0D">
        <w:t>Melding til Stortinget om sikring av menneskerettighetene for utviklingshemmede</w:t>
      </w:r>
    </w:p>
    <w:p w14:paraId="12D8FDF7" w14:textId="77777777" w:rsidR="00F7113A" w:rsidRPr="00580C0D" w:rsidRDefault="00142E5B" w:rsidP="00580C0D">
      <w:pPr>
        <w:pStyle w:val="avsnitt-undertittel"/>
      </w:pPr>
      <w:r w:rsidRPr="00580C0D">
        <w:t>Vedtak nr. 895, 12. juni 2018</w:t>
      </w:r>
    </w:p>
    <w:p w14:paraId="2993ADC6"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utviklingshemmedes rett til å uttrykke sin mening eller hevde sin rett på lik linje med andre.»</w:t>
      </w:r>
    </w:p>
    <w:p w14:paraId="217E4286"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03CACE00"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se rapportering på vedtak nr. 894. Retten til å uttrykke sin mening og å få sine rettigheter oppfylt er sentrale tema i meldingen. Anmodningsvedtaket anses som fulgt opp, og rapporteringen avsluttes.</w:t>
      </w:r>
    </w:p>
    <w:p w14:paraId="164D75C6" w14:textId="77777777" w:rsidR="00F7113A" w:rsidRPr="00580C0D" w:rsidRDefault="00142E5B" w:rsidP="00580C0D">
      <w:pPr>
        <w:pStyle w:val="avsnitt-tittel"/>
      </w:pPr>
      <w:r w:rsidRPr="00580C0D">
        <w:t>Melding til Stortinget om sikring av menneskerettighetene for utviklingshemmede – rett til arbeid</w:t>
      </w:r>
    </w:p>
    <w:p w14:paraId="34ABE102" w14:textId="77777777" w:rsidR="00F7113A" w:rsidRPr="00580C0D" w:rsidRDefault="00142E5B" w:rsidP="00580C0D">
      <w:pPr>
        <w:pStyle w:val="avsnitt-undertittel"/>
      </w:pPr>
      <w:r w:rsidRPr="00580C0D">
        <w:t>Vedtak 896, 12. juni 2018</w:t>
      </w:r>
    </w:p>
    <w:p w14:paraId="40E3C66B"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tiltak som sikrer utviklingshemmede retten til arbeid, herunder tilrettelagt yrkesfagutdanning.»</w:t>
      </w:r>
    </w:p>
    <w:p w14:paraId="7D3FD5A7"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14F45F42"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Meldingen har et eget kapittel om retten til arbeid. Anmodningsvedtaket anses som fulgt opp, og rapporteringen avsluttes.</w:t>
      </w:r>
    </w:p>
    <w:p w14:paraId="7DF7168D" w14:textId="77777777" w:rsidR="00F7113A" w:rsidRPr="00580C0D" w:rsidRDefault="00142E5B" w:rsidP="00580C0D">
      <w:pPr>
        <w:pStyle w:val="avsnitt-tittel"/>
      </w:pPr>
      <w:r w:rsidRPr="00580C0D">
        <w:t>Melding til Stortinget om sikring av menneskerettighetene for utviklingshemmede – rett til helsetjenester</w:t>
      </w:r>
    </w:p>
    <w:p w14:paraId="0B292C8A" w14:textId="77777777" w:rsidR="00F7113A" w:rsidRPr="00580C0D" w:rsidRDefault="00142E5B" w:rsidP="00580C0D">
      <w:pPr>
        <w:pStyle w:val="avsnitt-undertittel"/>
      </w:pPr>
      <w:r w:rsidRPr="00580C0D">
        <w:t>Vedtak 897, 12. juni 2018</w:t>
      </w:r>
    </w:p>
    <w:p w14:paraId="459E73CA"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utviklingshemmedes rett til lik tilgang til helsetjenester av god kvalitet som resten av befolkningen.»</w:t>
      </w:r>
    </w:p>
    <w:p w14:paraId="6ACCD510"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4F16A7FE"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Meldingen har et eget kapittel om retten til helse. Anmodningsvedtaket anses som fulgt opp, og rapporteringen avsluttes.</w:t>
      </w:r>
    </w:p>
    <w:p w14:paraId="3337ABBE" w14:textId="77777777" w:rsidR="00F7113A" w:rsidRPr="00580C0D" w:rsidRDefault="00142E5B" w:rsidP="00580C0D">
      <w:pPr>
        <w:pStyle w:val="avsnitt-tittel"/>
      </w:pPr>
      <w:r w:rsidRPr="00580C0D">
        <w:t>Melding til Stortinget om sikring av menneskerettighetene for utviklingshemmede – universell utforming skolebygg</w:t>
      </w:r>
    </w:p>
    <w:p w14:paraId="79C46426" w14:textId="77777777" w:rsidR="00F7113A" w:rsidRPr="00580C0D" w:rsidRDefault="00142E5B" w:rsidP="00580C0D">
      <w:pPr>
        <w:pStyle w:val="avsnitt-undertittel"/>
      </w:pPr>
      <w:r w:rsidRPr="00580C0D">
        <w:t>Vedtak 900, 12. juni 2018</w:t>
      </w:r>
    </w:p>
    <w:p w14:paraId="7E42F49F"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14:paraId="69AF6A7A"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0994A7C2"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Meldingen har et eget kapittel om retten til utdanning. Anmodningsvedtaket anses som fulgt opp, og rapporteringen avsluttes.</w:t>
      </w:r>
    </w:p>
    <w:p w14:paraId="26F4845C" w14:textId="77777777" w:rsidR="00F7113A" w:rsidRPr="00580C0D" w:rsidRDefault="00142E5B" w:rsidP="00580C0D">
      <w:pPr>
        <w:pStyle w:val="avsnitt-tittel"/>
      </w:pPr>
      <w:r w:rsidRPr="00580C0D">
        <w:t>Melding til Stortinget om sikring av menneskerettighetene for utviklingshemmede – kjøpe og eie bolig</w:t>
      </w:r>
    </w:p>
    <w:p w14:paraId="0D8690D2" w14:textId="77777777" w:rsidR="00F7113A" w:rsidRPr="00580C0D" w:rsidRDefault="00142E5B" w:rsidP="00580C0D">
      <w:pPr>
        <w:pStyle w:val="avsnitt-undertittel"/>
      </w:pPr>
      <w:r w:rsidRPr="00580C0D">
        <w:t>Vedtak 901, 12. juni 2018</w:t>
      </w:r>
    </w:p>
    <w:p w14:paraId="7E6E8221"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at utviklingshemmede skal ha samme mulighet til å kjøpe og eie egen bolig som andre.»</w:t>
      </w:r>
    </w:p>
    <w:p w14:paraId="708334E1"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7490968B"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Meldingen har et eget kapittel om retten til bolig. Anmodningsvedtaket anses som fulgt opp, og rapporteringen avsluttes.</w:t>
      </w:r>
    </w:p>
    <w:p w14:paraId="69EC479B" w14:textId="77777777" w:rsidR="00F7113A" w:rsidRPr="00580C0D" w:rsidRDefault="00142E5B" w:rsidP="00580C0D">
      <w:pPr>
        <w:pStyle w:val="avsnitt-tittel"/>
      </w:pPr>
      <w:r w:rsidRPr="00580C0D">
        <w:t>Melding til Stortinget om sikring av menneskerettighetene for utviklingshemmede – likeverdige tjenester</w:t>
      </w:r>
    </w:p>
    <w:p w14:paraId="288401EB" w14:textId="77777777" w:rsidR="00F7113A" w:rsidRPr="00580C0D" w:rsidRDefault="00142E5B" w:rsidP="00580C0D">
      <w:pPr>
        <w:pStyle w:val="avsnitt-undertittel"/>
      </w:pPr>
      <w:r w:rsidRPr="00580C0D">
        <w:t>Vedtak nr. 902, 12. juni 2018</w:t>
      </w:r>
    </w:p>
    <w:p w14:paraId="6B4A4A78"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14:paraId="1C17BCFB"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55B9A580"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Kompetanse i tjenestene er et sentralt tema i meldingen. Anmodningsvedtaket anses som fulgt opp, og rapporteringen avsluttes.</w:t>
      </w:r>
    </w:p>
    <w:p w14:paraId="4E0F01CE" w14:textId="77777777" w:rsidR="00F7113A" w:rsidRPr="00580C0D" w:rsidRDefault="00142E5B" w:rsidP="00580C0D">
      <w:pPr>
        <w:pStyle w:val="avsnitt-tittel"/>
      </w:pPr>
      <w:r w:rsidRPr="00580C0D">
        <w:t>Melding til Stortinget om sikring av menneskerettighetene for utviklingshemmede – koordinering av tjenester</w:t>
      </w:r>
    </w:p>
    <w:p w14:paraId="30C521AA" w14:textId="77777777" w:rsidR="00F7113A" w:rsidRPr="00580C0D" w:rsidRDefault="00142E5B" w:rsidP="00580C0D">
      <w:pPr>
        <w:pStyle w:val="avsnitt-undertittel"/>
      </w:pPr>
      <w:r w:rsidRPr="00580C0D">
        <w:t>Vedtak 903, 12. juni 2018</w:t>
      </w:r>
    </w:p>
    <w:p w14:paraId="15A94AD5"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w:t>
      </w:r>
    </w:p>
    <w:p w14:paraId="1AA87937"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4C3EF06C"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Koordinering er et sentralt tema i meldingen. Anmodningsvedtaket anses som fulgt opp, og rapporteringen avsluttes.</w:t>
      </w:r>
    </w:p>
    <w:p w14:paraId="259A36FA" w14:textId="77777777" w:rsidR="00F7113A" w:rsidRPr="00580C0D" w:rsidRDefault="00142E5B" w:rsidP="00580C0D">
      <w:pPr>
        <w:pStyle w:val="avsnitt-tittel"/>
      </w:pPr>
      <w:r w:rsidRPr="00580C0D">
        <w:t>Melding til Stortinget om sikring av menneskerettighetene for utviklingshemmede – FN-konvensjonen om rettighetene til mennesker med nedsatt funksjonsevne</w:t>
      </w:r>
    </w:p>
    <w:p w14:paraId="283BE332" w14:textId="77777777" w:rsidR="00F7113A" w:rsidRPr="00580C0D" w:rsidRDefault="00142E5B" w:rsidP="00580C0D">
      <w:pPr>
        <w:pStyle w:val="avsnitt-undertittel"/>
      </w:pPr>
      <w:r w:rsidRPr="00580C0D">
        <w:t>Vedtak nr. 904, 12. juni 2018</w:t>
      </w:r>
    </w:p>
    <w:p w14:paraId="1C87CEDB"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14:paraId="21176B4C"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1A7BFDE1"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Meldingen er utarbeidet i samarbeid mellom flere sentrale departementer, og CRPD ligger til grunn for meldingen og regjeringens politikk. Anmodningsvedtaket anses som fulgt opp, og rapporteringen avsluttes.</w:t>
      </w:r>
    </w:p>
    <w:p w14:paraId="21C76E37" w14:textId="77777777" w:rsidR="00F7113A" w:rsidRPr="00580C0D" w:rsidRDefault="00142E5B" w:rsidP="00580C0D">
      <w:pPr>
        <w:pStyle w:val="avsnitt-tittel"/>
      </w:pPr>
      <w:r w:rsidRPr="00580C0D">
        <w:t>Melding til Stortinget om sikring av menneskerettighetene for utviklingshemmede – fritidsaktiviteter og livssyn</w:t>
      </w:r>
    </w:p>
    <w:p w14:paraId="7ADC06C6" w14:textId="77777777" w:rsidR="00F7113A" w:rsidRPr="00580C0D" w:rsidRDefault="00142E5B" w:rsidP="00580C0D">
      <w:pPr>
        <w:pStyle w:val="avsnitt-undertittel"/>
      </w:pPr>
      <w:r w:rsidRPr="00580C0D">
        <w:t>Vedtak 905, 12. juni 2018</w:t>
      </w:r>
    </w:p>
    <w:p w14:paraId="65FCCF1E" w14:textId="77777777" w:rsidR="00F7113A" w:rsidRPr="00580C0D" w:rsidRDefault="00142E5B" w:rsidP="00580C0D">
      <w:pPr>
        <w:pStyle w:val="blokksit"/>
        <w:rPr>
          <w:rStyle w:val="kursiv"/>
        </w:rPr>
      </w:pPr>
      <w:r w:rsidRPr="00580C0D">
        <w:rPr>
          <w:rStyle w:val="kursiv"/>
        </w:rPr>
        <w:t>«Stortinget ber regjeringen legge frem en Stortingsmelding om sikring av utviklingshemmedes menneskerettigheter der det legges vekt på å sikre alle muligheter til å drive med meningsfylte fritidsaktiviteter og muligheter for livssynsutøvelse.»</w:t>
      </w:r>
    </w:p>
    <w:p w14:paraId="2EA28F09"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2D561DA5"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Meldingen har et eget kapittel om retten til å delta i kultur- og fritidsaktiviteter. Anmodningsvedtaket anses som fulgt opp, og rapporteringen avsluttes.</w:t>
      </w:r>
    </w:p>
    <w:p w14:paraId="5BBC0075" w14:textId="77777777" w:rsidR="00F7113A" w:rsidRPr="00580C0D" w:rsidRDefault="00142E5B" w:rsidP="00580C0D">
      <w:pPr>
        <w:pStyle w:val="avsnitt-tittel"/>
      </w:pPr>
      <w:r w:rsidRPr="00580C0D">
        <w:t>Melding til Stortinget om sikring av menneskerettighetene for utviklingshemmede – skolefritidsordning</w:t>
      </w:r>
    </w:p>
    <w:p w14:paraId="566A6736" w14:textId="77777777" w:rsidR="00F7113A" w:rsidRPr="00580C0D" w:rsidRDefault="00142E5B" w:rsidP="00580C0D">
      <w:pPr>
        <w:pStyle w:val="avsnitt-undertittel"/>
      </w:pPr>
      <w:r w:rsidRPr="00580C0D">
        <w:t>Vedtak 906, 12. juni 2018</w:t>
      </w:r>
    </w:p>
    <w:p w14:paraId="4B06733C" w14:textId="77777777" w:rsidR="00F7113A" w:rsidRPr="00580C0D" w:rsidRDefault="00142E5B" w:rsidP="00580C0D">
      <w:pPr>
        <w:pStyle w:val="blokksit"/>
        <w:rPr>
          <w:rStyle w:val="kursiv"/>
        </w:rPr>
      </w:pPr>
      <w:r w:rsidRPr="00580C0D">
        <w:rPr>
          <w:rStyle w:val="kursiv"/>
        </w:rPr>
        <w:t xml:space="preserve">«Stortinget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w:t>
      </w:r>
      <w:proofErr w:type="spellStart"/>
      <w:r w:rsidRPr="00580C0D">
        <w:rPr>
          <w:rStyle w:val="kursiv"/>
        </w:rPr>
        <w:t>årstrinn</w:t>
      </w:r>
      <w:proofErr w:type="spellEnd"/>
      <w:r w:rsidRPr="00580C0D">
        <w:rPr>
          <w:rStyle w:val="kursiv"/>
        </w:rPr>
        <w:t xml:space="preserve">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14:paraId="517F9EDC" w14:textId="77777777" w:rsidR="00F7113A" w:rsidRPr="00580C0D" w:rsidRDefault="00142E5B" w:rsidP="00580C0D">
      <w:r w:rsidRPr="00580C0D">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580C0D">
        <w:t>Innst</w:t>
      </w:r>
      <w:proofErr w:type="spellEnd"/>
      <w:r w:rsidRPr="00580C0D">
        <w:t>. 377 S (2017–2018).</w:t>
      </w:r>
    </w:p>
    <w:p w14:paraId="27FE4480" w14:textId="77777777" w:rsidR="00F7113A" w:rsidRPr="00580C0D" w:rsidRDefault="00142E5B" w:rsidP="00580C0D">
      <w:r w:rsidRPr="00580C0D">
        <w:t xml:space="preserve">Regjeringen la fram Meld. St. 8 (2022–2023) </w:t>
      </w:r>
      <w:proofErr w:type="spellStart"/>
      <w:r w:rsidRPr="00580C0D">
        <w:rPr>
          <w:rStyle w:val="kursiv"/>
        </w:rPr>
        <w:t>Menneskerettar</w:t>
      </w:r>
      <w:proofErr w:type="spellEnd"/>
      <w:r w:rsidRPr="00580C0D">
        <w:rPr>
          <w:rStyle w:val="kursiv"/>
        </w:rPr>
        <w:t xml:space="preserve"> for </w:t>
      </w:r>
      <w:proofErr w:type="spellStart"/>
      <w:r w:rsidRPr="00580C0D">
        <w:rPr>
          <w:rStyle w:val="kursiv"/>
        </w:rPr>
        <w:t>personar</w:t>
      </w:r>
      <w:proofErr w:type="spellEnd"/>
      <w:r w:rsidRPr="00580C0D">
        <w:rPr>
          <w:rStyle w:val="kursiv"/>
        </w:rPr>
        <w:t xml:space="preserve"> med utviklingshemming – Det </w:t>
      </w:r>
      <w:proofErr w:type="spellStart"/>
      <w:r w:rsidRPr="00580C0D">
        <w:rPr>
          <w:rStyle w:val="kursiv"/>
        </w:rPr>
        <w:t>handlar</w:t>
      </w:r>
      <w:proofErr w:type="spellEnd"/>
      <w:r w:rsidRPr="00580C0D">
        <w:rPr>
          <w:rStyle w:val="kursiv"/>
        </w:rPr>
        <w:t xml:space="preserve"> om å bli </w:t>
      </w:r>
      <w:proofErr w:type="spellStart"/>
      <w:r w:rsidRPr="00580C0D">
        <w:rPr>
          <w:rStyle w:val="kursiv"/>
        </w:rPr>
        <w:t>høyrt</w:t>
      </w:r>
      <w:proofErr w:type="spellEnd"/>
      <w:r w:rsidRPr="00580C0D">
        <w:rPr>
          <w:rStyle w:val="kursiv"/>
        </w:rPr>
        <w:t xml:space="preserve"> og sett</w:t>
      </w:r>
      <w:r w:rsidRPr="00580C0D">
        <w:t xml:space="preserve"> 4. november 2022. Meldingen har et eget kapittel om retten til utdanning, der gratis SFO for elever med behov for det omtales. Anmodningsvedtaket anses som fulgt opp, og rapporteringen avsluttes.</w:t>
      </w:r>
    </w:p>
    <w:p w14:paraId="6096AF86" w14:textId="77777777" w:rsidR="00F7113A" w:rsidRPr="00580C0D" w:rsidRDefault="00142E5B" w:rsidP="00580C0D">
      <w:pPr>
        <w:pStyle w:val="Overskrift2"/>
      </w:pPr>
      <w:r w:rsidRPr="00580C0D">
        <w:t>Stortingssesjon 2014–2015</w:t>
      </w:r>
    </w:p>
    <w:p w14:paraId="0FD89D65" w14:textId="77777777" w:rsidR="00F7113A" w:rsidRPr="00580C0D" w:rsidRDefault="00142E5B" w:rsidP="00580C0D">
      <w:pPr>
        <w:pStyle w:val="avsnitt-tittel"/>
      </w:pPr>
      <w:r w:rsidRPr="00580C0D">
        <w:t>Nasjonalgalleriet</w:t>
      </w:r>
    </w:p>
    <w:p w14:paraId="041AECE2" w14:textId="77777777" w:rsidR="00F7113A" w:rsidRPr="00580C0D" w:rsidRDefault="00142E5B" w:rsidP="00580C0D">
      <w:pPr>
        <w:pStyle w:val="avsnitt-undertittel"/>
      </w:pPr>
      <w:r w:rsidRPr="00580C0D">
        <w:t>Vedtak nr. 60, 1. desember 2014</w:t>
      </w:r>
    </w:p>
    <w:p w14:paraId="17FE4EA1" w14:textId="77777777" w:rsidR="00F7113A" w:rsidRPr="00580C0D" w:rsidRDefault="00142E5B" w:rsidP="00580C0D">
      <w:pPr>
        <w:pStyle w:val="blokksit"/>
        <w:rPr>
          <w:rStyle w:val="kursiv"/>
        </w:rPr>
      </w:pPr>
      <w:r w:rsidRPr="00580C0D">
        <w:rPr>
          <w:rStyle w:val="kursiv"/>
        </w:rPr>
        <w:t>«Stortinget ber regjeringen vurdere om Nasjonalgalleriet kan være en del av Nasjonalmuseet for kunst, arkitektur og design uten ny totalrenovering.»</w:t>
      </w:r>
    </w:p>
    <w:p w14:paraId="121B36A1" w14:textId="77777777" w:rsidR="00F7113A" w:rsidRPr="00580C0D" w:rsidRDefault="00142E5B" w:rsidP="00580C0D">
      <w:r w:rsidRPr="00580C0D">
        <w:t xml:space="preserve">Dokumentet som ligger til grunn for anmodningsvedtaket, er </w:t>
      </w:r>
      <w:proofErr w:type="spellStart"/>
      <w:r w:rsidRPr="00580C0D">
        <w:t>Innst</w:t>
      </w:r>
      <w:proofErr w:type="spellEnd"/>
      <w:r w:rsidRPr="00580C0D">
        <w:t>. 2 S Tillegg 1 (2014–2015) fra finanskomiteen om nasjonalbudsjettet for 2015 og forslaget til statsbudsjett for 2015.</w:t>
      </w:r>
    </w:p>
    <w:p w14:paraId="390B848C" w14:textId="77777777" w:rsidR="00F7113A" w:rsidRPr="00580C0D" w:rsidRDefault="00142E5B" w:rsidP="00580C0D">
      <w:r w:rsidRPr="00580C0D">
        <w:t>Statsbygg er gitt i oppdrag å se nærmere på muligheten for å etablere en ny moderne scene for Nationaltheatret på Tullinløkka. I den forbindelse skal det også vurderes om en del av arealbehovet kan dekkes ved å plassere publikumsarealer og en del andre teaterfunksjoner i deler av bygningen Nasjonalgalleriet. Det er naturlig å avvente utfallet av denne mulighetsstudien før det eventuelt arbeides videre med andre alternativer. Regjeringen vil komme tilbake til Stortinget på egnet måte.</w:t>
      </w:r>
    </w:p>
    <w:p w14:paraId="4173F7B1" w14:textId="77777777" w:rsidR="00F7113A" w:rsidRPr="00580C0D" w:rsidRDefault="00142E5B" w:rsidP="00580C0D">
      <w:pPr>
        <w:pStyle w:val="Overskrift1"/>
      </w:pPr>
      <w:r w:rsidRPr="00580C0D">
        <w:t>Kunnskapsdepartementet</w:t>
      </w:r>
    </w:p>
    <w:p w14:paraId="18F21FB7" w14:textId="77777777" w:rsidR="00F7113A" w:rsidRPr="00580C0D" w:rsidRDefault="00142E5B" w:rsidP="00580C0D">
      <w:proofErr w:type="spellStart"/>
      <w:r w:rsidRPr="00580C0D">
        <w:t>Nedanfor</w:t>
      </w:r>
      <w:proofErr w:type="spellEnd"/>
      <w:r w:rsidRPr="00580C0D">
        <w:t xml:space="preserve"> er </w:t>
      </w:r>
      <w:proofErr w:type="gramStart"/>
      <w:r w:rsidRPr="00580C0D">
        <w:t>ei oversikt</w:t>
      </w:r>
      <w:proofErr w:type="gramEnd"/>
      <w:r w:rsidRPr="00580C0D">
        <w:t xml:space="preserve"> over oppfølging av oppmodingsvedtak under Kunnskapsdepartementet. </w:t>
      </w:r>
      <w:proofErr w:type="spellStart"/>
      <w:r w:rsidRPr="00580C0D">
        <w:t>Oversikta</w:t>
      </w:r>
      <w:proofErr w:type="spellEnd"/>
      <w:r w:rsidRPr="00580C0D">
        <w:t xml:space="preserve"> </w:t>
      </w:r>
      <w:proofErr w:type="spellStart"/>
      <w:r w:rsidRPr="00580C0D">
        <w:t>omfattar</w:t>
      </w:r>
      <w:proofErr w:type="spellEnd"/>
      <w:r w:rsidRPr="00580C0D">
        <w:t xml:space="preserve"> alle vedtak </w:t>
      </w:r>
      <w:proofErr w:type="spellStart"/>
      <w:r w:rsidRPr="00580C0D">
        <w:t>frå</w:t>
      </w:r>
      <w:proofErr w:type="spellEnd"/>
      <w:r w:rsidRPr="00580C0D">
        <w:t xml:space="preserve"> stortingssesjonen 2022–2023 og alle vedtak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sesjonar</w:t>
      </w:r>
      <w:proofErr w:type="spellEnd"/>
      <w:r w:rsidRPr="00580C0D">
        <w:t xml:space="preserve"> som kontroll- og konstitusjonskomiteen i </w:t>
      </w:r>
      <w:proofErr w:type="spellStart"/>
      <w:r w:rsidRPr="00580C0D">
        <w:t>Innst</w:t>
      </w:r>
      <w:proofErr w:type="spellEnd"/>
      <w:r w:rsidRPr="00580C0D">
        <w:t xml:space="preserve">. 186 S (2022–2023) meinte </w:t>
      </w:r>
      <w:proofErr w:type="spellStart"/>
      <w:r w:rsidRPr="00580C0D">
        <w:t>ikkje</w:t>
      </w:r>
      <w:proofErr w:type="spellEnd"/>
      <w:r w:rsidRPr="00580C0D">
        <w:t xml:space="preserve"> var </w:t>
      </w:r>
      <w:proofErr w:type="spellStart"/>
      <w:r w:rsidRPr="00580C0D">
        <w:t>følgde</w:t>
      </w:r>
      <w:proofErr w:type="spellEnd"/>
      <w:r w:rsidRPr="00580C0D">
        <w:t xml:space="preserve"> opp ferdig (51 stk.).</w:t>
      </w:r>
    </w:p>
    <w:p w14:paraId="1BB75DDD" w14:textId="77777777" w:rsidR="00F7113A" w:rsidRPr="00580C0D" w:rsidRDefault="00142E5B" w:rsidP="00580C0D">
      <w:r w:rsidRPr="00580C0D">
        <w:t xml:space="preserve">I kolonnen lengst til høgre i tabell 3.1 er det ført opp om departementet </w:t>
      </w:r>
      <w:proofErr w:type="spellStart"/>
      <w:r w:rsidRPr="00580C0D">
        <w:t>reknar</w:t>
      </w:r>
      <w:proofErr w:type="spellEnd"/>
      <w:r w:rsidRPr="00580C0D">
        <w:t xml:space="preserve"> med at rapporteringa om vedtaket </w:t>
      </w:r>
      <w:proofErr w:type="spellStart"/>
      <w:r w:rsidRPr="00580C0D">
        <w:t>no</w:t>
      </w:r>
      <w:proofErr w:type="spellEnd"/>
      <w:r w:rsidRPr="00580C0D">
        <w:t xml:space="preserve"> blir avslutta, eller om det vil rapportere konkret om det i budsjettframlegget neste år òg. Ei rapportering som </w:t>
      </w:r>
      <w:proofErr w:type="spellStart"/>
      <w:r w:rsidRPr="00580C0D">
        <w:t>inneber</w:t>
      </w:r>
      <w:proofErr w:type="spellEnd"/>
      <w:r w:rsidRPr="00580C0D">
        <w:t xml:space="preserve"> at departementet skal legge fram ei konkret sak for Stortinget, vil normalt først bli avslutta når slikt framlegg er gjort.</w:t>
      </w:r>
    </w:p>
    <w:p w14:paraId="6498AB78" w14:textId="7477C92B" w:rsidR="00F7113A" w:rsidRDefault="00142E5B" w:rsidP="00580C0D">
      <w:proofErr w:type="spellStart"/>
      <w:r w:rsidRPr="00580C0D">
        <w:t>Sjølv</w:t>
      </w:r>
      <w:proofErr w:type="spellEnd"/>
      <w:r w:rsidRPr="00580C0D">
        <w:t xml:space="preserve"> om det i tabellen er oppgitt at rapporteringa blir avslutta, vil det stundom </w:t>
      </w:r>
      <w:proofErr w:type="spellStart"/>
      <w:r w:rsidRPr="00580C0D">
        <w:t>vere</w:t>
      </w:r>
      <w:proofErr w:type="spellEnd"/>
      <w:r w:rsidRPr="00580C0D">
        <w:t xml:space="preserve"> slik at oppfølginga av alle sider av vedtaket </w:t>
      </w:r>
      <w:proofErr w:type="spellStart"/>
      <w:r w:rsidRPr="00580C0D">
        <w:t>ikkje</w:t>
      </w:r>
      <w:proofErr w:type="spellEnd"/>
      <w:r w:rsidRPr="00580C0D">
        <w:t xml:space="preserve"> er sluttført. Dette kan til dømes gjelde oppmoding om å ta </w:t>
      </w:r>
      <w:proofErr w:type="spellStart"/>
      <w:r w:rsidRPr="00580C0D">
        <w:t>særlege</w:t>
      </w:r>
      <w:proofErr w:type="spellEnd"/>
      <w:r w:rsidRPr="00580C0D">
        <w:t xml:space="preserve"> omsyn i politikkutforminga på </w:t>
      </w:r>
      <w:proofErr w:type="spellStart"/>
      <w:r w:rsidRPr="00580C0D">
        <w:t>eit</w:t>
      </w:r>
      <w:proofErr w:type="spellEnd"/>
      <w:r w:rsidRPr="00580C0D">
        <w:t xml:space="preserve"> område, og der oppfølginga vil kunne gå over </w:t>
      </w:r>
      <w:proofErr w:type="spellStart"/>
      <w:r w:rsidRPr="00580C0D">
        <w:t>fleire</w:t>
      </w:r>
      <w:proofErr w:type="spellEnd"/>
      <w:r w:rsidRPr="00580C0D">
        <w:t xml:space="preserve"> år. I slike </w:t>
      </w:r>
      <w:proofErr w:type="spellStart"/>
      <w:r w:rsidRPr="00580C0D">
        <w:t>tilfelle</w:t>
      </w:r>
      <w:proofErr w:type="spellEnd"/>
      <w:r w:rsidRPr="00580C0D">
        <w:t xml:space="preserve"> blir Stortinget orientert om oppfølginga slik som </w:t>
      </w:r>
      <w:proofErr w:type="spellStart"/>
      <w:r w:rsidRPr="00580C0D">
        <w:t>elles</w:t>
      </w:r>
      <w:proofErr w:type="spellEnd"/>
      <w:r w:rsidRPr="00580C0D">
        <w:t xml:space="preserve"> gjennom omtale av det relevante politikkområdet i andre dokument til Stortinget.</w:t>
      </w:r>
    </w:p>
    <w:p w14:paraId="326D60A5" w14:textId="292174AE" w:rsidR="00BD6CF4" w:rsidRPr="00580C0D" w:rsidRDefault="00BD6CF4" w:rsidP="00BD6CF4">
      <w:pPr>
        <w:pStyle w:val="tabell-tittel"/>
      </w:pPr>
      <w:r w:rsidRPr="00580C0D">
        <w:t>Oppmodingsvedtak</w:t>
      </w:r>
    </w:p>
    <w:p w14:paraId="4FF6FFAC" w14:textId="77777777" w:rsidR="00F7113A" w:rsidRPr="00580C0D" w:rsidRDefault="00142E5B" w:rsidP="00580C0D">
      <w:pPr>
        <w:pStyle w:val="Tabellnavn"/>
      </w:pPr>
      <w:r w:rsidRPr="00580C0D">
        <w:t>04J1xx2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380"/>
        <w:gridCol w:w="1340"/>
        <w:gridCol w:w="5680"/>
        <w:gridCol w:w="1140"/>
      </w:tblGrid>
      <w:tr w:rsidR="00F7113A" w:rsidRPr="00580C0D" w14:paraId="069637DF" w14:textId="77777777" w:rsidTr="00BD6CF4">
        <w:trPr>
          <w:trHeight w:val="600"/>
        </w:trPr>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2AB82E" w14:textId="77777777" w:rsidR="00F7113A" w:rsidRPr="00580C0D" w:rsidRDefault="00142E5B" w:rsidP="00BD6CF4">
            <w:r w:rsidRPr="00580C0D">
              <w:t>Sesjon</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8B7AB" w14:textId="77777777" w:rsidR="00F7113A" w:rsidRPr="00580C0D" w:rsidRDefault="00142E5B" w:rsidP="003C787D">
            <w:r w:rsidRPr="00580C0D">
              <w:t>Vedtak nr.</w:t>
            </w:r>
          </w:p>
        </w:tc>
        <w:tc>
          <w:tcPr>
            <w:tcW w:w="5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AF7CE" w14:textId="77777777" w:rsidR="00F7113A" w:rsidRPr="00580C0D" w:rsidRDefault="00142E5B" w:rsidP="00BD6CF4">
            <w:r w:rsidRPr="00580C0D">
              <w:t>Stikkord</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618E20" w14:textId="77777777" w:rsidR="00F7113A" w:rsidRPr="00580C0D" w:rsidRDefault="00142E5B" w:rsidP="00BD6CF4">
            <w:pPr>
              <w:jc w:val="right"/>
            </w:pPr>
            <w:proofErr w:type="spellStart"/>
            <w:r w:rsidRPr="00580C0D">
              <w:t>Følgt</w:t>
            </w:r>
            <w:proofErr w:type="spellEnd"/>
            <w:r w:rsidRPr="00580C0D">
              <w:t xml:space="preserve"> opp (ja/nei) </w:t>
            </w:r>
          </w:p>
        </w:tc>
      </w:tr>
      <w:tr w:rsidR="00F7113A" w:rsidRPr="00580C0D" w14:paraId="58D1DAAA" w14:textId="77777777" w:rsidTr="00BD6CF4">
        <w:trPr>
          <w:trHeight w:val="600"/>
        </w:trPr>
        <w:tc>
          <w:tcPr>
            <w:tcW w:w="1380" w:type="dxa"/>
            <w:tcBorders>
              <w:top w:val="single" w:sz="4" w:space="0" w:color="000000"/>
              <w:left w:val="nil"/>
              <w:bottom w:val="nil"/>
              <w:right w:val="nil"/>
            </w:tcBorders>
            <w:tcMar>
              <w:top w:w="128" w:type="dxa"/>
              <w:left w:w="43" w:type="dxa"/>
              <w:bottom w:w="43" w:type="dxa"/>
              <w:right w:w="43" w:type="dxa"/>
            </w:tcMar>
          </w:tcPr>
          <w:p w14:paraId="4BEA1C1C" w14:textId="77777777" w:rsidR="00F7113A" w:rsidRPr="00580C0D" w:rsidRDefault="00142E5B" w:rsidP="00BD6CF4">
            <w:r w:rsidRPr="00580C0D">
              <w:t xml:space="preserve">2022–2023 </w:t>
            </w:r>
          </w:p>
        </w:tc>
        <w:tc>
          <w:tcPr>
            <w:tcW w:w="1340" w:type="dxa"/>
            <w:tcBorders>
              <w:top w:val="single" w:sz="4" w:space="0" w:color="000000"/>
              <w:left w:val="nil"/>
              <w:bottom w:val="nil"/>
              <w:right w:val="nil"/>
            </w:tcBorders>
            <w:tcMar>
              <w:top w:w="128" w:type="dxa"/>
              <w:left w:w="43" w:type="dxa"/>
              <w:bottom w:w="43" w:type="dxa"/>
              <w:right w:w="43" w:type="dxa"/>
            </w:tcMar>
          </w:tcPr>
          <w:p w14:paraId="6F453D8E" w14:textId="77777777" w:rsidR="00F7113A" w:rsidRPr="00580C0D" w:rsidRDefault="00142E5B" w:rsidP="003C787D">
            <w:pPr>
              <w:ind w:right="170"/>
            </w:pPr>
            <w:r w:rsidRPr="00580C0D">
              <w:t>81</w:t>
            </w:r>
          </w:p>
        </w:tc>
        <w:tc>
          <w:tcPr>
            <w:tcW w:w="5680" w:type="dxa"/>
            <w:tcBorders>
              <w:top w:val="single" w:sz="4" w:space="0" w:color="000000"/>
              <w:left w:val="nil"/>
              <w:bottom w:val="nil"/>
              <w:right w:val="nil"/>
            </w:tcBorders>
            <w:tcMar>
              <w:top w:w="128" w:type="dxa"/>
              <w:left w:w="43" w:type="dxa"/>
              <w:bottom w:w="43" w:type="dxa"/>
              <w:right w:w="43" w:type="dxa"/>
            </w:tcMar>
          </w:tcPr>
          <w:p w14:paraId="4E575331" w14:textId="77777777" w:rsidR="00F7113A" w:rsidRPr="00580C0D" w:rsidRDefault="00142E5B" w:rsidP="00BD6CF4">
            <w:r w:rsidRPr="00580C0D">
              <w:t xml:space="preserve">Regulering og dimensjonering av </w:t>
            </w:r>
            <w:proofErr w:type="spellStart"/>
            <w:r w:rsidRPr="00580C0D">
              <w:t>barnehagetilbodet</w:t>
            </w:r>
            <w:proofErr w:type="spellEnd"/>
          </w:p>
        </w:tc>
        <w:tc>
          <w:tcPr>
            <w:tcW w:w="1140" w:type="dxa"/>
            <w:tcBorders>
              <w:top w:val="single" w:sz="4" w:space="0" w:color="000000"/>
              <w:left w:val="nil"/>
              <w:bottom w:val="nil"/>
              <w:right w:val="nil"/>
            </w:tcBorders>
            <w:tcMar>
              <w:top w:w="128" w:type="dxa"/>
              <w:left w:w="43" w:type="dxa"/>
              <w:bottom w:w="43" w:type="dxa"/>
              <w:right w:w="43" w:type="dxa"/>
            </w:tcMar>
          </w:tcPr>
          <w:p w14:paraId="071F5A24" w14:textId="77777777" w:rsidR="00F7113A" w:rsidRPr="00580C0D" w:rsidRDefault="00142E5B" w:rsidP="00BD6CF4">
            <w:pPr>
              <w:jc w:val="right"/>
            </w:pPr>
            <w:r w:rsidRPr="00580C0D">
              <w:t>Ja</w:t>
            </w:r>
          </w:p>
        </w:tc>
      </w:tr>
      <w:tr w:rsidR="00F7113A" w:rsidRPr="00580C0D" w14:paraId="30BDD339" w14:textId="77777777" w:rsidTr="00BD6CF4">
        <w:trPr>
          <w:trHeight w:val="600"/>
        </w:trPr>
        <w:tc>
          <w:tcPr>
            <w:tcW w:w="1380" w:type="dxa"/>
            <w:tcBorders>
              <w:top w:val="nil"/>
              <w:left w:val="nil"/>
              <w:bottom w:val="nil"/>
              <w:right w:val="nil"/>
            </w:tcBorders>
            <w:tcMar>
              <w:top w:w="128" w:type="dxa"/>
              <w:left w:w="43" w:type="dxa"/>
              <w:bottom w:w="43" w:type="dxa"/>
              <w:right w:w="43" w:type="dxa"/>
            </w:tcMar>
          </w:tcPr>
          <w:p w14:paraId="05BE7F75" w14:textId="77777777" w:rsidR="00F7113A" w:rsidRPr="00580C0D" w:rsidRDefault="00142E5B" w:rsidP="00BD6CF4">
            <w:r w:rsidRPr="00580C0D">
              <w:t xml:space="preserve">2022–2023 </w:t>
            </w:r>
          </w:p>
        </w:tc>
        <w:tc>
          <w:tcPr>
            <w:tcW w:w="1340" w:type="dxa"/>
            <w:tcBorders>
              <w:top w:val="nil"/>
              <w:left w:val="nil"/>
              <w:bottom w:val="nil"/>
              <w:right w:val="nil"/>
            </w:tcBorders>
            <w:tcMar>
              <w:top w:w="128" w:type="dxa"/>
              <w:left w:w="43" w:type="dxa"/>
              <w:bottom w:w="43" w:type="dxa"/>
              <w:right w:w="43" w:type="dxa"/>
            </w:tcMar>
          </w:tcPr>
          <w:p w14:paraId="782C5ADB" w14:textId="77777777" w:rsidR="00F7113A" w:rsidRPr="00580C0D" w:rsidRDefault="00142E5B" w:rsidP="003C787D">
            <w:pPr>
              <w:ind w:right="170"/>
            </w:pPr>
            <w:r w:rsidRPr="00580C0D">
              <w:t>87</w:t>
            </w:r>
          </w:p>
        </w:tc>
        <w:tc>
          <w:tcPr>
            <w:tcW w:w="5680" w:type="dxa"/>
            <w:tcBorders>
              <w:top w:val="nil"/>
              <w:left w:val="nil"/>
              <w:bottom w:val="nil"/>
              <w:right w:val="nil"/>
            </w:tcBorders>
            <w:tcMar>
              <w:top w:w="128" w:type="dxa"/>
              <w:left w:w="43" w:type="dxa"/>
              <w:bottom w:w="43" w:type="dxa"/>
              <w:right w:w="43" w:type="dxa"/>
            </w:tcMar>
          </w:tcPr>
          <w:p w14:paraId="58A67BF8" w14:textId="77777777" w:rsidR="00F7113A" w:rsidRPr="00580C0D" w:rsidRDefault="00142E5B" w:rsidP="00BD6CF4">
            <w:r w:rsidRPr="00580C0D">
              <w:t>Gratis SFO-</w:t>
            </w:r>
            <w:proofErr w:type="spellStart"/>
            <w:r w:rsidRPr="00580C0D">
              <w:t>tilbod</w:t>
            </w:r>
            <w:proofErr w:type="spellEnd"/>
            <w:r w:rsidRPr="00580C0D">
              <w:t xml:space="preserve"> alle </w:t>
            </w:r>
            <w:proofErr w:type="spellStart"/>
            <w:r w:rsidRPr="00580C0D">
              <w:t>vekedagar</w:t>
            </w:r>
            <w:proofErr w:type="spellEnd"/>
            <w:r w:rsidRPr="00580C0D">
              <w:t xml:space="preserve"> </w:t>
            </w:r>
            <w:proofErr w:type="spellStart"/>
            <w:r w:rsidRPr="00580C0D">
              <w:t>skulen</w:t>
            </w:r>
            <w:proofErr w:type="spellEnd"/>
            <w:r w:rsidRPr="00580C0D">
              <w:t xml:space="preserve"> har </w:t>
            </w:r>
            <w:proofErr w:type="spellStart"/>
            <w:r w:rsidRPr="00580C0D">
              <w:t>tilbod</w:t>
            </w:r>
            <w:proofErr w:type="spellEnd"/>
          </w:p>
        </w:tc>
        <w:tc>
          <w:tcPr>
            <w:tcW w:w="1140" w:type="dxa"/>
            <w:tcBorders>
              <w:top w:val="nil"/>
              <w:left w:val="nil"/>
              <w:bottom w:val="nil"/>
              <w:right w:val="nil"/>
            </w:tcBorders>
            <w:tcMar>
              <w:top w:w="128" w:type="dxa"/>
              <w:left w:w="43" w:type="dxa"/>
              <w:bottom w:w="43" w:type="dxa"/>
              <w:right w:w="43" w:type="dxa"/>
            </w:tcMar>
          </w:tcPr>
          <w:p w14:paraId="05EEAF0A" w14:textId="77777777" w:rsidR="00F7113A" w:rsidRPr="00580C0D" w:rsidRDefault="00142E5B" w:rsidP="00BD6CF4">
            <w:pPr>
              <w:jc w:val="right"/>
            </w:pPr>
            <w:r w:rsidRPr="00580C0D">
              <w:t>Ja</w:t>
            </w:r>
          </w:p>
        </w:tc>
      </w:tr>
      <w:tr w:rsidR="00F7113A" w:rsidRPr="00580C0D" w14:paraId="1B7B896D" w14:textId="77777777" w:rsidTr="00BD6CF4">
        <w:trPr>
          <w:trHeight w:val="600"/>
        </w:trPr>
        <w:tc>
          <w:tcPr>
            <w:tcW w:w="1380" w:type="dxa"/>
            <w:tcBorders>
              <w:top w:val="nil"/>
              <w:left w:val="nil"/>
              <w:bottom w:val="nil"/>
              <w:right w:val="nil"/>
            </w:tcBorders>
            <w:tcMar>
              <w:top w:w="128" w:type="dxa"/>
              <w:left w:w="43" w:type="dxa"/>
              <w:bottom w:w="43" w:type="dxa"/>
              <w:right w:w="43" w:type="dxa"/>
            </w:tcMar>
          </w:tcPr>
          <w:p w14:paraId="7D5CFB35" w14:textId="77777777" w:rsidR="00F7113A" w:rsidRPr="00580C0D" w:rsidRDefault="00142E5B" w:rsidP="00BD6CF4">
            <w:r w:rsidRPr="00580C0D">
              <w:t xml:space="preserve">2022–2023 </w:t>
            </w:r>
          </w:p>
        </w:tc>
        <w:tc>
          <w:tcPr>
            <w:tcW w:w="1340" w:type="dxa"/>
            <w:tcBorders>
              <w:top w:val="nil"/>
              <w:left w:val="nil"/>
              <w:bottom w:val="nil"/>
              <w:right w:val="nil"/>
            </w:tcBorders>
            <w:tcMar>
              <w:top w:w="128" w:type="dxa"/>
              <w:left w:w="43" w:type="dxa"/>
              <w:bottom w:w="43" w:type="dxa"/>
              <w:right w:w="43" w:type="dxa"/>
            </w:tcMar>
          </w:tcPr>
          <w:p w14:paraId="731E27B9" w14:textId="77777777" w:rsidR="00F7113A" w:rsidRPr="00580C0D" w:rsidRDefault="00142E5B" w:rsidP="003C787D">
            <w:pPr>
              <w:ind w:right="170"/>
            </w:pPr>
            <w:r w:rsidRPr="00580C0D">
              <w:t>90</w:t>
            </w:r>
          </w:p>
        </w:tc>
        <w:tc>
          <w:tcPr>
            <w:tcW w:w="5680" w:type="dxa"/>
            <w:tcBorders>
              <w:top w:val="nil"/>
              <w:left w:val="nil"/>
              <w:bottom w:val="nil"/>
              <w:right w:val="nil"/>
            </w:tcBorders>
            <w:tcMar>
              <w:top w:w="128" w:type="dxa"/>
              <w:left w:w="43" w:type="dxa"/>
              <w:bottom w:w="43" w:type="dxa"/>
              <w:right w:w="43" w:type="dxa"/>
            </w:tcMar>
          </w:tcPr>
          <w:p w14:paraId="66E6CDA1" w14:textId="77777777" w:rsidR="00F7113A" w:rsidRPr="00580C0D" w:rsidRDefault="00142E5B" w:rsidP="00BD6CF4">
            <w:proofErr w:type="spellStart"/>
            <w:r w:rsidRPr="00580C0D">
              <w:t>Eksamensordningar</w:t>
            </w:r>
            <w:proofErr w:type="spellEnd"/>
            <w:r w:rsidRPr="00580C0D">
              <w:t xml:space="preserve"> i </w:t>
            </w:r>
            <w:proofErr w:type="spellStart"/>
            <w:r w:rsidRPr="00580C0D">
              <w:t>vidaregåande</w:t>
            </w:r>
            <w:proofErr w:type="spellEnd"/>
            <w:r w:rsidRPr="00580C0D">
              <w:t xml:space="preserve"> og ungdomsskule</w:t>
            </w:r>
          </w:p>
        </w:tc>
        <w:tc>
          <w:tcPr>
            <w:tcW w:w="1140" w:type="dxa"/>
            <w:tcBorders>
              <w:top w:val="nil"/>
              <w:left w:val="nil"/>
              <w:bottom w:val="nil"/>
              <w:right w:val="nil"/>
            </w:tcBorders>
            <w:tcMar>
              <w:top w:w="128" w:type="dxa"/>
              <w:left w:w="43" w:type="dxa"/>
              <w:bottom w:w="43" w:type="dxa"/>
              <w:right w:w="43" w:type="dxa"/>
            </w:tcMar>
          </w:tcPr>
          <w:p w14:paraId="3F6B8935" w14:textId="77777777" w:rsidR="00F7113A" w:rsidRPr="00580C0D" w:rsidRDefault="00142E5B" w:rsidP="00BD6CF4">
            <w:pPr>
              <w:jc w:val="right"/>
            </w:pPr>
            <w:r w:rsidRPr="00580C0D">
              <w:t>Ja</w:t>
            </w:r>
          </w:p>
        </w:tc>
      </w:tr>
      <w:tr w:rsidR="00F7113A" w:rsidRPr="00580C0D" w14:paraId="6954B88C" w14:textId="77777777" w:rsidTr="00BD6CF4">
        <w:trPr>
          <w:trHeight w:val="600"/>
        </w:trPr>
        <w:tc>
          <w:tcPr>
            <w:tcW w:w="1380" w:type="dxa"/>
            <w:tcBorders>
              <w:top w:val="nil"/>
              <w:left w:val="nil"/>
              <w:bottom w:val="nil"/>
              <w:right w:val="nil"/>
            </w:tcBorders>
            <w:tcMar>
              <w:top w:w="128" w:type="dxa"/>
              <w:left w:w="43" w:type="dxa"/>
              <w:bottom w:w="43" w:type="dxa"/>
              <w:right w:w="43" w:type="dxa"/>
            </w:tcMar>
          </w:tcPr>
          <w:p w14:paraId="6D53E5E6"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46A79773" w14:textId="77777777" w:rsidR="00F7113A" w:rsidRPr="00580C0D" w:rsidRDefault="00142E5B" w:rsidP="003C787D">
            <w:pPr>
              <w:ind w:right="170"/>
            </w:pPr>
            <w:r w:rsidRPr="00580C0D">
              <w:t>109</w:t>
            </w:r>
          </w:p>
        </w:tc>
        <w:tc>
          <w:tcPr>
            <w:tcW w:w="5680" w:type="dxa"/>
            <w:tcBorders>
              <w:top w:val="nil"/>
              <w:left w:val="nil"/>
              <w:bottom w:val="nil"/>
              <w:right w:val="nil"/>
            </w:tcBorders>
            <w:tcMar>
              <w:top w:w="128" w:type="dxa"/>
              <w:left w:w="43" w:type="dxa"/>
              <w:bottom w:w="43" w:type="dxa"/>
              <w:right w:w="43" w:type="dxa"/>
            </w:tcMar>
          </w:tcPr>
          <w:p w14:paraId="2669EA06" w14:textId="77777777" w:rsidR="00F7113A" w:rsidRPr="00580C0D" w:rsidRDefault="00142E5B" w:rsidP="00BD6CF4">
            <w:r w:rsidRPr="00580C0D">
              <w:t xml:space="preserve">Finansiering av </w:t>
            </w:r>
            <w:proofErr w:type="spellStart"/>
            <w:r w:rsidRPr="00580C0D">
              <w:t>produksjonsskular</w:t>
            </w:r>
            <w:proofErr w:type="spellEnd"/>
          </w:p>
        </w:tc>
        <w:tc>
          <w:tcPr>
            <w:tcW w:w="1140" w:type="dxa"/>
            <w:tcBorders>
              <w:top w:val="nil"/>
              <w:left w:val="nil"/>
              <w:bottom w:val="nil"/>
              <w:right w:val="nil"/>
            </w:tcBorders>
            <w:tcMar>
              <w:top w:w="128" w:type="dxa"/>
              <w:left w:w="43" w:type="dxa"/>
              <w:bottom w:w="43" w:type="dxa"/>
              <w:right w:w="43" w:type="dxa"/>
            </w:tcMar>
          </w:tcPr>
          <w:p w14:paraId="4843BA73" w14:textId="77777777" w:rsidR="00F7113A" w:rsidRPr="00580C0D" w:rsidRDefault="00142E5B" w:rsidP="00BD6CF4">
            <w:pPr>
              <w:jc w:val="right"/>
            </w:pPr>
            <w:r w:rsidRPr="00580C0D">
              <w:t>Ja</w:t>
            </w:r>
          </w:p>
        </w:tc>
      </w:tr>
      <w:tr w:rsidR="00F7113A" w:rsidRPr="00580C0D" w14:paraId="6FC4A506" w14:textId="77777777" w:rsidTr="00BD6CF4">
        <w:trPr>
          <w:trHeight w:val="600"/>
        </w:trPr>
        <w:tc>
          <w:tcPr>
            <w:tcW w:w="1380" w:type="dxa"/>
            <w:tcBorders>
              <w:top w:val="nil"/>
              <w:left w:val="nil"/>
              <w:bottom w:val="nil"/>
              <w:right w:val="nil"/>
            </w:tcBorders>
            <w:tcMar>
              <w:top w:w="128" w:type="dxa"/>
              <w:left w:w="43" w:type="dxa"/>
              <w:bottom w:w="43" w:type="dxa"/>
              <w:right w:w="43" w:type="dxa"/>
            </w:tcMar>
          </w:tcPr>
          <w:p w14:paraId="7238CCD7"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08174939" w14:textId="77777777" w:rsidR="00F7113A" w:rsidRPr="00580C0D" w:rsidRDefault="00142E5B" w:rsidP="003C787D">
            <w:pPr>
              <w:ind w:right="170"/>
            </w:pPr>
            <w:r w:rsidRPr="00580C0D">
              <w:t>110</w:t>
            </w:r>
          </w:p>
        </w:tc>
        <w:tc>
          <w:tcPr>
            <w:tcW w:w="5680" w:type="dxa"/>
            <w:tcBorders>
              <w:top w:val="nil"/>
              <w:left w:val="nil"/>
              <w:bottom w:val="nil"/>
              <w:right w:val="nil"/>
            </w:tcBorders>
            <w:tcMar>
              <w:top w:w="128" w:type="dxa"/>
              <w:left w:w="43" w:type="dxa"/>
              <w:bottom w:w="43" w:type="dxa"/>
              <w:right w:w="43" w:type="dxa"/>
            </w:tcMar>
          </w:tcPr>
          <w:p w14:paraId="0060BF97" w14:textId="77777777" w:rsidR="00F7113A" w:rsidRPr="00580C0D" w:rsidRDefault="00142E5B" w:rsidP="00BD6CF4">
            <w:r w:rsidRPr="00580C0D">
              <w:t xml:space="preserve">Forprosjekt for nytt bygg til </w:t>
            </w:r>
            <w:proofErr w:type="spellStart"/>
            <w:r w:rsidRPr="00580C0D">
              <w:t>Griegakademiet</w:t>
            </w:r>
            <w:proofErr w:type="spellEnd"/>
          </w:p>
        </w:tc>
        <w:tc>
          <w:tcPr>
            <w:tcW w:w="1140" w:type="dxa"/>
            <w:tcBorders>
              <w:top w:val="nil"/>
              <w:left w:val="nil"/>
              <w:bottom w:val="nil"/>
              <w:right w:val="nil"/>
            </w:tcBorders>
            <w:tcMar>
              <w:top w:w="128" w:type="dxa"/>
              <w:left w:w="43" w:type="dxa"/>
              <w:bottom w:w="43" w:type="dxa"/>
              <w:right w:w="43" w:type="dxa"/>
            </w:tcMar>
          </w:tcPr>
          <w:p w14:paraId="1AA2B9F5" w14:textId="77777777" w:rsidR="00F7113A" w:rsidRPr="00580C0D" w:rsidRDefault="00142E5B" w:rsidP="00BD6CF4">
            <w:pPr>
              <w:jc w:val="right"/>
            </w:pPr>
            <w:r w:rsidRPr="00580C0D">
              <w:t>Ja</w:t>
            </w:r>
          </w:p>
        </w:tc>
      </w:tr>
      <w:tr w:rsidR="00F7113A" w:rsidRPr="00580C0D" w14:paraId="24C3FA36" w14:textId="77777777" w:rsidTr="00BD6CF4">
        <w:trPr>
          <w:trHeight w:val="600"/>
        </w:trPr>
        <w:tc>
          <w:tcPr>
            <w:tcW w:w="1380" w:type="dxa"/>
            <w:tcBorders>
              <w:top w:val="nil"/>
              <w:left w:val="nil"/>
              <w:bottom w:val="nil"/>
              <w:right w:val="nil"/>
            </w:tcBorders>
            <w:tcMar>
              <w:top w:w="128" w:type="dxa"/>
              <w:left w:w="43" w:type="dxa"/>
              <w:bottom w:w="43" w:type="dxa"/>
              <w:right w:w="43" w:type="dxa"/>
            </w:tcMar>
          </w:tcPr>
          <w:p w14:paraId="65FBC827"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073A5EA8" w14:textId="77777777" w:rsidR="00F7113A" w:rsidRPr="00580C0D" w:rsidRDefault="00142E5B" w:rsidP="003C787D">
            <w:pPr>
              <w:ind w:right="170"/>
            </w:pPr>
            <w:r w:rsidRPr="00580C0D">
              <w:t>471</w:t>
            </w:r>
          </w:p>
        </w:tc>
        <w:tc>
          <w:tcPr>
            <w:tcW w:w="5680" w:type="dxa"/>
            <w:tcBorders>
              <w:top w:val="nil"/>
              <w:left w:val="nil"/>
              <w:bottom w:val="nil"/>
              <w:right w:val="nil"/>
            </w:tcBorders>
            <w:tcMar>
              <w:top w:w="128" w:type="dxa"/>
              <w:left w:w="43" w:type="dxa"/>
              <w:bottom w:w="43" w:type="dxa"/>
              <w:right w:w="43" w:type="dxa"/>
            </w:tcMar>
          </w:tcPr>
          <w:p w14:paraId="654E0861" w14:textId="77777777" w:rsidR="00F7113A" w:rsidRPr="00580C0D" w:rsidRDefault="00142E5B" w:rsidP="00BD6CF4">
            <w:proofErr w:type="spellStart"/>
            <w:r w:rsidRPr="00580C0D">
              <w:t>Meir</w:t>
            </w:r>
            <w:proofErr w:type="spellEnd"/>
            <w:r w:rsidRPr="00580C0D">
              <w:t xml:space="preserve"> variert praksis i </w:t>
            </w:r>
            <w:proofErr w:type="spellStart"/>
            <w:r w:rsidRPr="00580C0D">
              <w:t>lærarutdanningane</w:t>
            </w:r>
            <w:proofErr w:type="spellEnd"/>
            <w:r w:rsidRPr="00580C0D">
              <w:t xml:space="preserve"> m.m.</w:t>
            </w:r>
          </w:p>
        </w:tc>
        <w:tc>
          <w:tcPr>
            <w:tcW w:w="1140" w:type="dxa"/>
            <w:tcBorders>
              <w:top w:val="nil"/>
              <w:left w:val="nil"/>
              <w:bottom w:val="nil"/>
              <w:right w:val="nil"/>
            </w:tcBorders>
            <w:tcMar>
              <w:top w:w="128" w:type="dxa"/>
              <w:left w:w="43" w:type="dxa"/>
              <w:bottom w:w="43" w:type="dxa"/>
              <w:right w:w="43" w:type="dxa"/>
            </w:tcMar>
          </w:tcPr>
          <w:p w14:paraId="7DA457A9" w14:textId="77777777" w:rsidR="00F7113A" w:rsidRPr="00580C0D" w:rsidRDefault="00142E5B" w:rsidP="00BD6CF4">
            <w:pPr>
              <w:jc w:val="right"/>
            </w:pPr>
            <w:r w:rsidRPr="00580C0D">
              <w:t>Nei</w:t>
            </w:r>
          </w:p>
        </w:tc>
      </w:tr>
      <w:tr w:rsidR="00F7113A" w:rsidRPr="00580C0D" w14:paraId="322265E3" w14:textId="77777777" w:rsidTr="00BD6CF4">
        <w:trPr>
          <w:trHeight w:val="600"/>
        </w:trPr>
        <w:tc>
          <w:tcPr>
            <w:tcW w:w="1380" w:type="dxa"/>
            <w:tcBorders>
              <w:top w:val="nil"/>
              <w:left w:val="nil"/>
              <w:bottom w:val="nil"/>
              <w:right w:val="nil"/>
            </w:tcBorders>
            <w:tcMar>
              <w:top w:w="128" w:type="dxa"/>
              <w:left w:w="43" w:type="dxa"/>
              <w:bottom w:w="43" w:type="dxa"/>
              <w:right w:w="43" w:type="dxa"/>
            </w:tcMar>
          </w:tcPr>
          <w:p w14:paraId="0D62C15D"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20A0B4CD" w14:textId="77777777" w:rsidR="00F7113A" w:rsidRPr="00580C0D" w:rsidRDefault="00142E5B" w:rsidP="003C787D">
            <w:pPr>
              <w:ind w:right="170"/>
            </w:pPr>
            <w:r w:rsidRPr="00580C0D">
              <w:t>472</w:t>
            </w:r>
          </w:p>
        </w:tc>
        <w:tc>
          <w:tcPr>
            <w:tcW w:w="5680" w:type="dxa"/>
            <w:tcBorders>
              <w:top w:val="nil"/>
              <w:left w:val="nil"/>
              <w:bottom w:val="nil"/>
              <w:right w:val="nil"/>
            </w:tcBorders>
            <w:tcMar>
              <w:top w:w="128" w:type="dxa"/>
              <w:left w:w="43" w:type="dxa"/>
              <w:bottom w:w="43" w:type="dxa"/>
              <w:right w:w="43" w:type="dxa"/>
            </w:tcMar>
          </w:tcPr>
          <w:p w14:paraId="5044CFCC" w14:textId="77777777" w:rsidR="00F7113A" w:rsidRPr="00580C0D" w:rsidRDefault="00142E5B" w:rsidP="00BD6CF4">
            <w:r w:rsidRPr="00580C0D">
              <w:t xml:space="preserve">Strategi for å styrke laget rundt </w:t>
            </w:r>
            <w:proofErr w:type="spellStart"/>
            <w:r w:rsidRPr="00580C0D">
              <w:t>læraren</w:t>
            </w:r>
            <w:proofErr w:type="spellEnd"/>
            <w:r w:rsidRPr="00580C0D">
              <w:t xml:space="preserve"> og eleven</w:t>
            </w:r>
          </w:p>
        </w:tc>
        <w:tc>
          <w:tcPr>
            <w:tcW w:w="1140" w:type="dxa"/>
            <w:tcBorders>
              <w:top w:val="nil"/>
              <w:left w:val="nil"/>
              <w:bottom w:val="nil"/>
              <w:right w:val="nil"/>
            </w:tcBorders>
            <w:tcMar>
              <w:top w:w="128" w:type="dxa"/>
              <w:left w:w="43" w:type="dxa"/>
              <w:bottom w:w="43" w:type="dxa"/>
              <w:right w:w="43" w:type="dxa"/>
            </w:tcMar>
          </w:tcPr>
          <w:p w14:paraId="7AE4AF34" w14:textId="77777777" w:rsidR="00F7113A" w:rsidRPr="00580C0D" w:rsidRDefault="00142E5B" w:rsidP="00BD6CF4">
            <w:pPr>
              <w:jc w:val="right"/>
            </w:pPr>
            <w:r w:rsidRPr="00580C0D">
              <w:t>Nei</w:t>
            </w:r>
          </w:p>
        </w:tc>
      </w:tr>
      <w:tr w:rsidR="00F7113A" w:rsidRPr="00580C0D" w14:paraId="5D4F8AA4" w14:textId="77777777" w:rsidTr="00BD6CF4">
        <w:trPr>
          <w:trHeight w:val="600"/>
        </w:trPr>
        <w:tc>
          <w:tcPr>
            <w:tcW w:w="1380" w:type="dxa"/>
            <w:tcBorders>
              <w:top w:val="nil"/>
              <w:left w:val="nil"/>
              <w:bottom w:val="nil"/>
              <w:right w:val="nil"/>
            </w:tcBorders>
            <w:tcMar>
              <w:top w:w="128" w:type="dxa"/>
              <w:left w:w="43" w:type="dxa"/>
              <w:bottom w:w="43" w:type="dxa"/>
              <w:right w:w="43" w:type="dxa"/>
            </w:tcMar>
          </w:tcPr>
          <w:p w14:paraId="6CAB8303"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0ACE0A39" w14:textId="77777777" w:rsidR="00F7113A" w:rsidRPr="00580C0D" w:rsidRDefault="00142E5B" w:rsidP="003C787D">
            <w:pPr>
              <w:ind w:right="170"/>
            </w:pPr>
            <w:r w:rsidRPr="00580C0D">
              <w:t>484</w:t>
            </w:r>
          </w:p>
        </w:tc>
        <w:tc>
          <w:tcPr>
            <w:tcW w:w="5680" w:type="dxa"/>
            <w:tcBorders>
              <w:top w:val="nil"/>
              <w:left w:val="nil"/>
              <w:bottom w:val="nil"/>
              <w:right w:val="nil"/>
            </w:tcBorders>
            <w:tcMar>
              <w:top w:w="128" w:type="dxa"/>
              <w:left w:w="43" w:type="dxa"/>
              <w:bottom w:w="43" w:type="dxa"/>
              <w:right w:w="43" w:type="dxa"/>
            </w:tcMar>
          </w:tcPr>
          <w:p w14:paraId="1D6AD133" w14:textId="77777777" w:rsidR="00F7113A" w:rsidRPr="00580C0D" w:rsidRDefault="00142E5B" w:rsidP="00BD6CF4">
            <w:r w:rsidRPr="00580C0D">
              <w:t xml:space="preserve">Plan for å </w:t>
            </w:r>
            <w:proofErr w:type="spellStart"/>
            <w:r w:rsidRPr="00580C0D">
              <w:t>vidareutvikle</w:t>
            </w:r>
            <w:proofErr w:type="spellEnd"/>
            <w:r w:rsidRPr="00580C0D">
              <w:t xml:space="preserve"> </w:t>
            </w:r>
            <w:proofErr w:type="spellStart"/>
            <w:r w:rsidRPr="00580C0D">
              <w:t>høgare</w:t>
            </w:r>
            <w:proofErr w:type="spellEnd"/>
            <w:r w:rsidRPr="00580C0D">
              <w:t xml:space="preserve"> </w:t>
            </w:r>
            <w:proofErr w:type="spellStart"/>
            <w:r w:rsidRPr="00580C0D">
              <w:t>yrkesfagleg</w:t>
            </w:r>
            <w:proofErr w:type="spellEnd"/>
            <w:r w:rsidRPr="00580C0D">
              <w:t xml:space="preserve"> utdanning</w:t>
            </w:r>
          </w:p>
        </w:tc>
        <w:tc>
          <w:tcPr>
            <w:tcW w:w="1140" w:type="dxa"/>
            <w:tcBorders>
              <w:top w:val="nil"/>
              <w:left w:val="nil"/>
              <w:bottom w:val="nil"/>
              <w:right w:val="nil"/>
            </w:tcBorders>
            <w:tcMar>
              <w:top w:w="128" w:type="dxa"/>
              <w:left w:w="43" w:type="dxa"/>
              <w:bottom w:w="43" w:type="dxa"/>
              <w:right w:w="43" w:type="dxa"/>
            </w:tcMar>
          </w:tcPr>
          <w:p w14:paraId="25E8569D" w14:textId="77777777" w:rsidR="00F7113A" w:rsidRPr="00580C0D" w:rsidRDefault="00142E5B" w:rsidP="00BD6CF4">
            <w:pPr>
              <w:jc w:val="right"/>
            </w:pPr>
            <w:r w:rsidRPr="00580C0D">
              <w:t>Nei</w:t>
            </w:r>
          </w:p>
        </w:tc>
      </w:tr>
      <w:tr w:rsidR="00F7113A" w:rsidRPr="00580C0D" w14:paraId="3929B962"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4F86ABF7"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7C7FFC44" w14:textId="77777777" w:rsidR="00F7113A" w:rsidRPr="00580C0D" w:rsidRDefault="00142E5B" w:rsidP="003C787D">
            <w:pPr>
              <w:ind w:right="170"/>
            </w:pPr>
            <w:r w:rsidRPr="00580C0D">
              <w:t>553</w:t>
            </w:r>
          </w:p>
        </w:tc>
        <w:tc>
          <w:tcPr>
            <w:tcW w:w="5680" w:type="dxa"/>
            <w:tcBorders>
              <w:top w:val="nil"/>
              <w:left w:val="nil"/>
              <w:bottom w:val="nil"/>
              <w:right w:val="nil"/>
            </w:tcBorders>
            <w:tcMar>
              <w:top w:w="128" w:type="dxa"/>
              <w:left w:w="43" w:type="dxa"/>
              <w:bottom w:w="43" w:type="dxa"/>
              <w:right w:w="43" w:type="dxa"/>
            </w:tcMar>
          </w:tcPr>
          <w:p w14:paraId="54FDBF3A" w14:textId="77777777" w:rsidR="00F7113A" w:rsidRPr="00580C0D" w:rsidRDefault="00142E5B" w:rsidP="00BD6CF4">
            <w:r w:rsidRPr="00580C0D">
              <w:t>Lærekandidatordninga</w:t>
            </w:r>
          </w:p>
        </w:tc>
        <w:tc>
          <w:tcPr>
            <w:tcW w:w="1140" w:type="dxa"/>
            <w:tcBorders>
              <w:top w:val="nil"/>
              <w:left w:val="nil"/>
              <w:bottom w:val="nil"/>
              <w:right w:val="nil"/>
            </w:tcBorders>
            <w:tcMar>
              <w:top w:w="128" w:type="dxa"/>
              <w:left w:w="43" w:type="dxa"/>
              <w:bottom w:w="43" w:type="dxa"/>
              <w:right w:w="43" w:type="dxa"/>
            </w:tcMar>
          </w:tcPr>
          <w:p w14:paraId="259DFE19" w14:textId="77777777" w:rsidR="00F7113A" w:rsidRPr="00580C0D" w:rsidRDefault="00142E5B" w:rsidP="00BD6CF4">
            <w:pPr>
              <w:jc w:val="right"/>
            </w:pPr>
            <w:r w:rsidRPr="00580C0D">
              <w:t>Nei</w:t>
            </w:r>
          </w:p>
        </w:tc>
      </w:tr>
      <w:tr w:rsidR="00F7113A" w:rsidRPr="00580C0D" w14:paraId="491BB55D"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10B9B634"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3F8F94F3" w14:textId="77777777" w:rsidR="00F7113A" w:rsidRPr="00580C0D" w:rsidRDefault="00142E5B" w:rsidP="003C787D">
            <w:pPr>
              <w:ind w:right="170"/>
            </w:pPr>
            <w:r w:rsidRPr="00580C0D">
              <w:t>554</w:t>
            </w:r>
          </w:p>
        </w:tc>
        <w:tc>
          <w:tcPr>
            <w:tcW w:w="5680" w:type="dxa"/>
            <w:tcBorders>
              <w:top w:val="nil"/>
              <w:left w:val="nil"/>
              <w:bottom w:val="nil"/>
              <w:right w:val="nil"/>
            </w:tcBorders>
            <w:tcMar>
              <w:top w:w="128" w:type="dxa"/>
              <w:left w:w="43" w:type="dxa"/>
              <w:bottom w:w="43" w:type="dxa"/>
              <w:right w:w="43" w:type="dxa"/>
            </w:tcMar>
          </w:tcPr>
          <w:p w14:paraId="025200A1" w14:textId="77777777" w:rsidR="00F7113A" w:rsidRPr="00580C0D" w:rsidRDefault="00142E5B" w:rsidP="00BD6CF4">
            <w:r w:rsidRPr="00580C0D">
              <w:t>Greie ut nytt yrkestittelnivå</w:t>
            </w:r>
          </w:p>
        </w:tc>
        <w:tc>
          <w:tcPr>
            <w:tcW w:w="1140" w:type="dxa"/>
            <w:tcBorders>
              <w:top w:val="nil"/>
              <w:left w:val="nil"/>
              <w:bottom w:val="nil"/>
              <w:right w:val="nil"/>
            </w:tcBorders>
            <w:tcMar>
              <w:top w:w="128" w:type="dxa"/>
              <w:left w:w="43" w:type="dxa"/>
              <w:bottom w:w="43" w:type="dxa"/>
              <w:right w:w="43" w:type="dxa"/>
            </w:tcMar>
          </w:tcPr>
          <w:p w14:paraId="1EEEC581" w14:textId="77777777" w:rsidR="00F7113A" w:rsidRPr="00580C0D" w:rsidRDefault="00142E5B" w:rsidP="00BD6CF4">
            <w:pPr>
              <w:jc w:val="right"/>
            </w:pPr>
            <w:r w:rsidRPr="00580C0D">
              <w:t>Nei</w:t>
            </w:r>
          </w:p>
        </w:tc>
      </w:tr>
      <w:tr w:rsidR="00F7113A" w:rsidRPr="00580C0D" w14:paraId="58EED3D6" w14:textId="77777777" w:rsidTr="00BD6CF4">
        <w:trPr>
          <w:trHeight w:val="640"/>
        </w:trPr>
        <w:tc>
          <w:tcPr>
            <w:tcW w:w="1380" w:type="dxa"/>
            <w:tcBorders>
              <w:top w:val="nil"/>
              <w:left w:val="nil"/>
              <w:bottom w:val="nil"/>
              <w:right w:val="nil"/>
            </w:tcBorders>
            <w:tcMar>
              <w:top w:w="128" w:type="dxa"/>
              <w:left w:w="43" w:type="dxa"/>
              <w:bottom w:w="43" w:type="dxa"/>
              <w:right w:w="43" w:type="dxa"/>
            </w:tcMar>
          </w:tcPr>
          <w:p w14:paraId="470996EA"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55EF5896" w14:textId="77777777" w:rsidR="00F7113A" w:rsidRPr="00580C0D" w:rsidRDefault="00142E5B" w:rsidP="003C787D">
            <w:pPr>
              <w:ind w:right="170"/>
            </w:pPr>
            <w:r w:rsidRPr="00580C0D">
              <w:t>582</w:t>
            </w:r>
          </w:p>
        </w:tc>
        <w:tc>
          <w:tcPr>
            <w:tcW w:w="5680" w:type="dxa"/>
            <w:tcBorders>
              <w:top w:val="nil"/>
              <w:left w:val="nil"/>
              <w:bottom w:val="nil"/>
              <w:right w:val="nil"/>
            </w:tcBorders>
            <w:tcMar>
              <w:top w:w="128" w:type="dxa"/>
              <w:left w:w="43" w:type="dxa"/>
              <w:bottom w:w="43" w:type="dxa"/>
              <w:right w:w="43" w:type="dxa"/>
            </w:tcMar>
          </w:tcPr>
          <w:p w14:paraId="5A265A91" w14:textId="77777777" w:rsidR="00F7113A" w:rsidRPr="00580C0D" w:rsidRDefault="00142E5B" w:rsidP="00BD6CF4">
            <w:proofErr w:type="spellStart"/>
            <w:r w:rsidRPr="00580C0D">
              <w:t>Læringsutbyte</w:t>
            </w:r>
            <w:proofErr w:type="spellEnd"/>
            <w:r w:rsidRPr="00580C0D">
              <w:t xml:space="preserve"> om kunstig intelligens og tingas internett i </w:t>
            </w:r>
            <w:proofErr w:type="spellStart"/>
            <w:r w:rsidRPr="00580C0D">
              <w:t>høgare</w:t>
            </w:r>
            <w:proofErr w:type="spellEnd"/>
            <w:r w:rsidRPr="00580C0D">
              <w:t xml:space="preserve"> utdanning</w:t>
            </w:r>
          </w:p>
        </w:tc>
        <w:tc>
          <w:tcPr>
            <w:tcW w:w="1140" w:type="dxa"/>
            <w:tcBorders>
              <w:top w:val="nil"/>
              <w:left w:val="nil"/>
              <w:bottom w:val="nil"/>
              <w:right w:val="nil"/>
            </w:tcBorders>
            <w:tcMar>
              <w:top w:w="128" w:type="dxa"/>
              <w:left w:w="43" w:type="dxa"/>
              <w:bottom w:w="43" w:type="dxa"/>
              <w:right w:w="43" w:type="dxa"/>
            </w:tcMar>
          </w:tcPr>
          <w:p w14:paraId="0C6D51FB" w14:textId="77777777" w:rsidR="00F7113A" w:rsidRPr="00580C0D" w:rsidRDefault="00142E5B" w:rsidP="00BD6CF4">
            <w:pPr>
              <w:jc w:val="right"/>
            </w:pPr>
            <w:r w:rsidRPr="00580C0D">
              <w:t>Ja</w:t>
            </w:r>
          </w:p>
        </w:tc>
      </w:tr>
      <w:tr w:rsidR="00F7113A" w:rsidRPr="00580C0D" w14:paraId="0DC502C6"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5D41A7C9"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3ACEAB34" w14:textId="77777777" w:rsidR="00F7113A" w:rsidRPr="00580C0D" w:rsidRDefault="00142E5B" w:rsidP="003C787D">
            <w:pPr>
              <w:ind w:right="170"/>
            </w:pPr>
            <w:r w:rsidRPr="00580C0D">
              <w:t>625</w:t>
            </w:r>
          </w:p>
        </w:tc>
        <w:tc>
          <w:tcPr>
            <w:tcW w:w="5680" w:type="dxa"/>
            <w:tcBorders>
              <w:top w:val="nil"/>
              <w:left w:val="nil"/>
              <w:bottom w:val="nil"/>
              <w:right w:val="nil"/>
            </w:tcBorders>
            <w:tcMar>
              <w:top w:w="128" w:type="dxa"/>
              <w:left w:w="43" w:type="dxa"/>
              <w:bottom w:w="43" w:type="dxa"/>
              <w:right w:w="43" w:type="dxa"/>
            </w:tcMar>
          </w:tcPr>
          <w:p w14:paraId="258AB3EC" w14:textId="77777777" w:rsidR="00F7113A" w:rsidRPr="00580C0D" w:rsidRDefault="00142E5B" w:rsidP="00BD6CF4">
            <w:r w:rsidRPr="00580C0D">
              <w:t xml:space="preserve">Vald og </w:t>
            </w:r>
            <w:proofErr w:type="spellStart"/>
            <w:r w:rsidRPr="00580C0D">
              <w:t>truslar</w:t>
            </w:r>
            <w:proofErr w:type="spellEnd"/>
            <w:r w:rsidRPr="00580C0D">
              <w:t xml:space="preserve"> i </w:t>
            </w:r>
            <w:proofErr w:type="spellStart"/>
            <w:r w:rsidRPr="00580C0D">
              <w:t>skulen</w:t>
            </w:r>
            <w:proofErr w:type="spellEnd"/>
          </w:p>
        </w:tc>
        <w:tc>
          <w:tcPr>
            <w:tcW w:w="1140" w:type="dxa"/>
            <w:tcBorders>
              <w:top w:val="nil"/>
              <w:left w:val="nil"/>
              <w:bottom w:val="nil"/>
              <w:right w:val="nil"/>
            </w:tcBorders>
            <w:tcMar>
              <w:top w:w="128" w:type="dxa"/>
              <w:left w:w="43" w:type="dxa"/>
              <w:bottom w:w="43" w:type="dxa"/>
              <w:right w:w="43" w:type="dxa"/>
            </w:tcMar>
          </w:tcPr>
          <w:p w14:paraId="552529E4" w14:textId="77777777" w:rsidR="00F7113A" w:rsidRPr="00580C0D" w:rsidRDefault="00142E5B" w:rsidP="00BD6CF4">
            <w:pPr>
              <w:jc w:val="right"/>
            </w:pPr>
            <w:r w:rsidRPr="00580C0D">
              <w:t>Nei</w:t>
            </w:r>
          </w:p>
        </w:tc>
      </w:tr>
      <w:tr w:rsidR="00F7113A" w:rsidRPr="00580C0D" w14:paraId="334D80FA"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5A080B78"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01ACD483" w14:textId="77777777" w:rsidR="00F7113A" w:rsidRPr="00580C0D" w:rsidRDefault="00142E5B" w:rsidP="003C787D">
            <w:pPr>
              <w:ind w:right="170"/>
            </w:pPr>
            <w:r w:rsidRPr="00580C0D">
              <w:t>690</w:t>
            </w:r>
          </w:p>
        </w:tc>
        <w:tc>
          <w:tcPr>
            <w:tcW w:w="5680" w:type="dxa"/>
            <w:tcBorders>
              <w:top w:val="nil"/>
              <w:left w:val="nil"/>
              <w:bottom w:val="nil"/>
              <w:right w:val="nil"/>
            </w:tcBorders>
            <w:tcMar>
              <w:top w:w="128" w:type="dxa"/>
              <w:left w:w="43" w:type="dxa"/>
              <w:bottom w:w="43" w:type="dxa"/>
              <w:right w:w="43" w:type="dxa"/>
            </w:tcMar>
          </w:tcPr>
          <w:p w14:paraId="5E6157DD" w14:textId="77777777" w:rsidR="00F7113A" w:rsidRPr="00580C0D" w:rsidRDefault="00142E5B" w:rsidP="00BD6CF4">
            <w:r w:rsidRPr="00580C0D">
              <w:t xml:space="preserve">Strategi for å </w:t>
            </w:r>
            <w:proofErr w:type="spellStart"/>
            <w:r w:rsidRPr="00580C0D">
              <w:t>auke</w:t>
            </w:r>
            <w:proofErr w:type="spellEnd"/>
            <w:r w:rsidRPr="00580C0D">
              <w:t xml:space="preserve"> rekrutteringa av </w:t>
            </w:r>
            <w:proofErr w:type="spellStart"/>
            <w:r w:rsidRPr="00580C0D">
              <w:t>lærarar</w:t>
            </w:r>
            <w:proofErr w:type="spellEnd"/>
          </w:p>
        </w:tc>
        <w:tc>
          <w:tcPr>
            <w:tcW w:w="1140" w:type="dxa"/>
            <w:tcBorders>
              <w:top w:val="nil"/>
              <w:left w:val="nil"/>
              <w:bottom w:val="nil"/>
              <w:right w:val="nil"/>
            </w:tcBorders>
            <w:tcMar>
              <w:top w:w="128" w:type="dxa"/>
              <w:left w:w="43" w:type="dxa"/>
              <w:bottom w:w="43" w:type="dxa"/>
              <w:right w:w="43" w:type="dxa"/>
            </w:tcMar>
          </w:tcPr>
          <w:p w14:paraId="5774B4EB" w14:textId="77777777" w:rsidR="00F7113A" w:rsidRPr="00580C0D" w:rsidRDefault="00142E5B" w:rsidP="00BD6CF4">
            <w:pPr>
              <w:jc w:val="right"/>
            </w:pPr>
            <w:r w:rsidRPr="00580C0D">
              <w:t>Nei</w:t>
            </w:r>
          </w:p>
        </w:tc>
      </w:tr>
      <w:tr w:rsidR="00F7113A" w:rsidRPr="00580C0D" w14:paraId="0593082F"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3F59B5FC"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6FA7631B" w14:textId="77777777" w:rsidR="00F7113A" w:rsidRPr="00580C0D" w:rsidRDefault="00142E5B" w:rsidP="003C787D">
            <w:pPr>
              <w:ind w:right="170"/>
            </w:pPr>
            <w:r w:rsidRPr="00580C0D">
              <w:t>733</w:t>
            </w:r>
          </w:p>
        </w:tc>
        <w:tc>
          <w:tcPr>
            <w:tcW w:w="5680" w:type="dxa"/>
            <w:tcBorders>
              <w:top w:val="nil"/>
              <w:left w:val="nil"/>
              <w:bottom w:val="nil"/>
              <w:right w:val="nil"/>
            </w:tcBorders>
            <w:tcMar>
              <w:top w:w="128" w:type="dxa"/>
              <w:left w:w="43" w:type="dxa"/>
              <w:bottom w:w="43" w:type="dxa"/>
              <w:right w:w="43" w:type="dxa"/>
            </w:tcMar>
          </w:tcPr>
          <w:p w14:paraId="0391E57E" w14:textId="77777777" w:rsidR="00F7113A" w:rsidRPr="00580C0D" w:rsidRDefault="00142E5B" w:rsidP="00BD6CF4">
            <w:proofErr w:type="spellStart"/>
            <w:r w:rsidRPr="00580C0D">
              <w:t>Kandidattypar</w:t>
            </w:r>
            <w:proofErr w:type="spellEnd"/>
            <w:r w:rsidRPr="00580C0D">
              <w:t xml:space="preserve"> </w:t>
            </w:r>
            <w:proofErr w:type="spellStart"/>
            <w:r w:rsidRPr="00580C0D">
              <w:t>innanfor</w:t>
            </w:r>
            <w:proofErr w:type="spellEnd"/>
            <w:r w:rsidRPr="00580C0D">
              <w:t xml:space="preserve"> fag- og yrkesopplæringa</w:t>
            </w:r>
          </w:p>
        </w:tc>
        <w:tc>
          <w:tcPr>
            <w:tcW w:w="1140" w:type="dxa"/>
            <w:tcBorders>
              <w:top w:val="nil"/>
              <w:left w:val="nil"/>
              <w:bottom w:val="nil"/>
              <w:right w:val="nil"/>
            </w:tcBorders>
            <w:tcMar>
              <w:top w:w="128" w:type="dxa"/>
              <w:left w:w="43" w:type="dxa"/>
              <w:bottom w:w="43" w:type="dxa"/>
              <w:right w:w="43" w:type="dxa"/>
            </w:tcMar>
          </w:tcPr>
          <w:p w14:paraId="0F1DCECB" w14:textId="77777777" w:rsidR="00F7113A" w:rsidRPr="00580C0D" w:rsidRDefault="00142E5B" w:rsidP="00BD6CF4">
            <w:pPr>
              <w:jc w:val="right"/>
            </w:pPr>
            <w:r w:rsidRPr="00580C0D">
              <w:t>Nei</w:t>
            </w:r>
          </w:p>
        </w:tc>
      </w:tr>
      <w:tr w:rsidR="00F7113A" w:rsidRPr="00580C0D" w14:paraId="01D9C9E4"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74AD9CA8"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435FD1F7" w14:textId="77777777" w:rsidR="00F7113A" w:rsidRPr="00580C0D" w:rsidRDefault="00142E5B" w:rsidP="003C787D">
            <w:pPr>
              <w:ind w:right="170"/>
            </w:pPr>
            <w:r w:rsidRPr="00580C0D">
              <w:t>734</w:t>
            </w:r>
          </w:p>
        </w:tc>
        <w:tc>
          <w:tcPr>
            <w:tcW w:w="5680" w:type="dxa"/>
            <w:tcBorders>
              <w:top w:val="nil"/>
              <w:left w:val="nil"/>
              <w:bottom w:val="nil"/>
              <w:right w:val="nil"/>
            </w:tcBorders>
            <w:tcMar>
              <w:top w:w="128" w:type="dxa"/>
              <w:left w:w="43" w:type="dxa"/>
              <w:bottom w:w="43" w:type="dxa"/>
              <w:right w:w="43" w:type="dxa"/>
            </w:tcMar>
          </w:tcPr>
          <w:p w14:paraId="4E06D12A" w14:textId="77777777" w:rsidR="00F7113A" w:rsidRPr="00580C0D" w:rsidRDefault="00142E5B" w:rsidP="00BD6CF4">
            <w:proofErr w:type="spellStart"/>
            <w:r w:rsidRPr="00580C0D">
              <w:t>Læringsstøttande</w:t>
            </w:r>
            <w:proofErr w:type="spellEnd"/>
            <w:r w:rsidRPr="00580C0D">
              <w:t xml:space="preserve"> </w:t>
            </w:r>
            <w:proofErr w:type="spellStart"/>
            <w:r w:rsidRPr="00580C0D">
              <w:t>ressursar</w:t>
            </w:r>
            <w:proofErr w:type="spellEnd"/>
            <w:r w:rsidRPr="00580C0D">
              <w:t xml:space="preserve"> på begge målformer</w:t>
            </w:r>
          </w:p>
        </w:tc>
        <w:tc>
          <w:tcPr>
            <w:tcW w:w="1140" w:type="dxa"/>
            <w:tcBorders>
              <w:top w:val="nil"/>
              <w:left w:val="nil"/>
              <w:bottom w:val="nil"/>
              <w:right w:val="nil"/>
            </w:tcBorders>
            <w:tcMar>
              <w:top w:w="128" w:type="dxa"/>
              <w:left w:w="43" w:type="dxa"/>
              <w:bottom w:w="43" w:type="dxa"/>
              <w:right w:w="43" w:type="dxa"/>
            </w:tcMar>
          </w:tcPr>
          <w:p w14:paraId="76930954" w14:textId="77777777" w:rsidR="00F7113A" w:rsidRPr="00580C0D" w:rsidRDefault="00142E5B" w:rsidP="00BD6CF4">
            <w:pPr>
              <w:jc w:val="right"/>
            </w:pPr>
            <w:r w:rsidRPr="00580C0D">
              <w:t>Nei</w:t>
            </w:r>
          </w:p>
        </w:tc>
      </w:tr>
      <w:tr w:rsidR="00F7113A" w:rsidRPr="00580C0D" w14:paraId="16771E6C"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1B22D25F"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21ED563D" w14:textId="77777777" w:rsidR="00F7113A" w:rsidRPr="00580C0D" w:rsidRDefault="00142E5B" w:rsidP="003C787D">
            <w:pPr>
              <w:ind w:right="170"/>
            </w:pPr>
            <w:r w:rsidRPr="00580C0D">
              <w:t>735</w:t>
            </w:r>
          </w:p>
        </w:tc>
        <w:tc>
          <w:tcPr>
            <w:tcW w:w="5680" w:type="dxa"/>
            <w:tcBorders>
              <w:top w:val="nil"/>
              <w:left w:val="nil"/>
              <w:bottom w:val="nil"/>
              <w:right w:val="nil"/>
            </w:tcBorders>
            <w:tcMar>
              <w:top w:w="128" w:type="dxa"/>
              <w:left w:w="43" w:type="dxa"/>
              <w:bottom w:w="43" w:type="dxa"/>
              <w:right w:w="43" w:type="dxa"/>
            </w:tcMar>
          </w:tcPr>
          <w:p w14:paraId="291236D5" w14:textId="77777777" w:rsidR="00F7113A" w:rsidRPr="00580C0D" w:rsidRDefault="00142E5B" w:rsidP="00BD6CF4">
            <w:r w:rsidRPr="00580C0D">
              <w:t>IB-</w:t>
            </w:r>
            <w:proofErr w:type="spellStart"/>
            <w:r w:rsidRPr="00580C0D">
              <w:t>tilbod</w:t>
            </w:r>
            <w:proofErr w:type="spellEnd"/>
            <w:r w:rsidRPr="00580C0D">
              <w:t xml:space="preserve"> både i </w:t>
            </w:r>
            <w:proofErr w:type="spellStart"/>
            <w:r w:rsidRPr="00580C0D">
              <w:t>grunnskulen</w:t>
            </w:r>
            <w:proofErr w:type="spellEnd"/>
            <w:r w:rsidRPr="00580C0D">
              <w:t xml:space="preserve"> og i </w:t>
            </w:r>
            <w:proofErr w:type="spellStart"/>
            <w:r w:rsidRPr="00580C0D">
              <w:t>vidaregåande</w:t>
            </w:r>
            <w:proofErr w:type="spellEnd"/>
            <w:r w:rsidRPr="00580C0D">
              <w:t xml:space="preserve"> skule</w:t>
            </w:r>
          </w:p>
        </w:tc>
        <w:tc>
          <w:tcPr>
            <w:tcW w:w="1140" w:type="dxa"/>
            <w:tcBorders>
              <w:top w:val="nil"/>
              <w:left w:val="nil"/>
              <w:bottom w:val="nil"/>
              <w:right w:val="nil"/>
            </w:tcBorders>
            <w:tcMar>
              <w:top w:w="128" w:type="dxa"/>
              <w:left w:w="43" w:type="dxa"/>
              <w:bottom w:w="43" w:type="dxa"/>
              <w:right w:w="43" w:type="dxa"/>
            </w:tcMar>
          </w:tcPr>
          <w:p w14:paraId="3ACE4699" w14:textId="77777777" w:rsidR="00F7113A" w:rsidRPr="00580C0D" w:rsidRDefault="00142E5B" w:rsidP="00BD6CF4">
            <w:pPr>
              <w:jc w:val="right"/>
            </w:pPr>
            <w:r w:rsidRPr="00580C0D">
              <w:t>Nei</w:t>
            </w:r>
          </w:p>
        </w:tc>
      </w:tr>
      <w:tr w:rsidR="00F7113A" w:rsidRPr="00580C0D" w14:paraId="7A46517D"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72D6C99B"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35013E3D" w14:textId="77777777" w:rsidR="00F7113A" w:rsidRPr="00580C0D" w:rsidRDefault="00142E5B" w:rsidP="003C787D">
            <w:pPr>
              <w:ind w:right="170"/>
            </w:pPr>
            <w:r w:rsidRPr="00580C0D">
              <w:t>736</w:t>
            </w:r>
          </w:p>
        </w:tc>
        <w:tc>
          <w:tcPr>
            <w:tcW w:w="5680" w:type="dxa"/>
            <w:tcBorders>
              <w:top w:val="nil"/>
              <w:left w:val="nil"/>
              <w:bottom w:val="nil"/>
              <w:right w:val="nil"/>
            </w:tcBorders>
            <w:tcMar>
              <w:top w:w="128" w:type="dxa"/>
              <w:left w:w="43" w:type="dxa"/>
              <w:bottom w:w="43" w:type="dxa"/>
              <w:right w:w="43" w:type="dxa"/>
            </w:tcMar>
          </w:tcPr>
          <w:p w14:paraId="0BBD789D" w14:textId="77777777" w:rsidR="00F7113A" w:rsidRPr="00580C0D" w:rsidRDefault="00142E5B" w:rsidP="00BD6CF4">
            <w:r w:rsidRPr="00580C0D">
              <w:t>Handlingsrommet for alternative opplæringsarenaer</w:t>
            </w:r>
          </w:p>
        </w:tc>
        <w:tc>
          <w:tcPr>
            <w:tcW w:w="1140" w:type="dxa"/>
            <w:tcBorders>
              <w:top w:val="nil"/>
              <w:left w:val="nil"/>
              <w:bottom w:val="nil"/>
              <w:right w:val="nil"/>
            </w:tcBorders>
            <w:tcMar>
              <w:top w:w="128" w:type="dxa"/>
              <w:left w:w="43" w:type="dxa"/>
              <w:bottom w:w="43" w:type="dxa"/>
              <w:right w:w="43" w:type="dxa"/>
            </w:tcMar>
          </w:tcPr>
          <w:p w14:paraId="7EC8D953" w14:textId="77777777" w:rsidR="00F7113A" w:rsidRPr="00580C0D" w:rsidRDefault="00142E5B" w:rsidP="00BD6CF4">
            <w:pPr>
              <w:jc w:val="right"/>
            </w:pPr>
            <w:r w:rsidRPr="00580C0D">
              <w:t>Nei</w:t>
            </w:r>
          </w:p>
        </w:tc>
      </w:tr>
      <w:tr w:rsidR="00F7113A" w:rsidRPr="00580C0D" w14:paraId="331CE68F"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76B130DA"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06AC128F" w14:textId="77777777" w:rsidR="00F7113A" w:rsidRPr="00580C0D" w:rsidRDefault="00142E5B" w:rsidP="003C787D">
            <w:pPr>
              <w:ind w:right="170"/>
            </w:pPr>
            <w:r w:rsidRPr="00580C0D">
              <w:t>737</w:t>
            </w:r>
          </w:p>
        </w:tc>
        <w:tc>
          <w:tcPr>
            <w:tcW w:w="5680" w:type="dxa"/>
            <w:tcBorders>
              <w:top w:val="nil"/>
              <w:left w:val="nil"/>
              <w:bottom w:val="nil"/>
              <w:right w:val="nil"/>
            </w:tcBorders>
            <w:tcMar>
              <w:top w:w="128" w:type="dxa"/>
              <w:left w:w="43" w:type="dxa"/>
              <w:bottom w:w="43" w:type="dxa"/>
              <w:right w:w="43" w:type="dxa"/>
            </w:tcMar>
          </w:tcPr>
          <w:p w14:paraId="1250B911" w14:textId="77777777" w:rsidR="00F7113A" w:rsidRPr="00580C0D" w:rsidRDefault="00142E5B" w:rsidP="00BD6CF4">
            <w:r w:rsidRPr="00580C0D">
              <w:t xml:space="preserve">Utvide målgruppa for </w:t>
            </w:r>
            <w:proofErr w:type="spellStart"/>
            <w:r w:rsidRPr="00580C0D">
              <w:t>oppfølgingstenesta</w:t>
            </w:r>
            <w:proofErr w:type="spellEnd"/>
          </w:p>
        </w:tc>
        <w:tc>
          <w:tcPr>
            <w:tcW w:w="1140" w:type="dxa"/>
            <w:tcBorders>
              <w:top w:val="nil"/>
              <w:left w:val="nil"/>
              <w:bottom w:val="nil"/>
              <w:right w:val="nil"/>
            </w:tcBorders>
            <w:tcMar>
              <w:top w:w="128" w:type="dxa"/>
              <w:left w:w="43" w:type="dxa"/>
              <w:bottom w:w="43" w:type="dxa"/>
              <w:right w:w="43" w:type="dxa"/>
            </w:tcMar>
          </w:tcPr>
          <w:p w14:paraId="3DD86EBC" w14:textId="77777777" w:rsidR="00F7113A" w:rsidRPr="00580C0D" w:rsidRDefault="00142E5B" w:rsidP="00BD6CF4">
            <w:pPr>
              <w:jc w:val="right"/>
            </w:pPr>
            <w:r w:rsidRPr="00580C0D">
              <w:t>Nei</w:t>
            </w:r>
          </w:p>
        </w:tc>
      </w:tr>
      <w:tr w:rsidR="00F7113A" w:rsidRPr="00580C0D" w14:paraId="36603A3E"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76C5C1A1" w14:textId="77777777" w:rsidR="00F7113A" w:rsidRPr="00580C0D" w:rsidRDefault="00142E5B" w:rsidP="00BD6CF4">
            <w:r w:rsidRPr="00580C0D">
              <w:t>2022–2023</w:t>
            </w:r>
          </w:p>
        </w:tc>
        <w:tc>
          <w:tcPr>
            <w:tcW w:w="1340" w:type="dxa"/>
            <w:tcBorders>
              <w:top w:val="nil"/>
              <w:left w:val="nil"/>
              <w:bottom w:val="nil"/>
              <w:right w:val="nil"/>
            </w:tcBorders>
            <w:tcMar>
              <w:top w:w="128" w:type="dxa"/>
              <w:left w:w="43" w:type="dxa"/>
              <w:bottom w:w="43" w:type="dxa"/>
              <w:right w:w="43" w:type="dxa"/>
            </w:tcMar>
          </w:tcPr>
          <w:p w14:paraId="1BA23AD9" w14:textId="77777777" w:rsidR="00F7113A" w:rsidRPr="00580C0D" w:rsidRDefault="00142E5B" w:rsidP="003C787D">
            <w:pPr>
              <w:ind w:right="170"/>
            </w:pPr>
            <w:r w:rsidRPr="00580C0D">
              <w:t>738</w:t>
            </w:r>
          </w:p>
        </w:tc>
        <w:tc>
          <w:tcPr>
            <w:tcW w:w="5680" w:type="dxa"/>
            <w:tcBorders>
              <w:top w:val="nil"/>
              <w:left w:val="nil"/>
              <w:bottom w:val="nil"/>
              <w:right w:val="nil"/>
            </w:tcBorders>
            <w:tcMar>
              <w:top w:w="128" w:type="dxa"/>
              <w:left w:w="43" w:type="dxa"/>
              <w:bottom w:w="43" w:type="dxa"/>
              <w:right w:w="43" w:type="dxa"/>
            </w:tcMar>
          </w:tcPr>
          <w:p w14:paraId="39B845F6" w14:textId="77777777" w:rsidR="00F7113A" w:rsidRPr="00580C0D" w:rsidRDefault="00142E5B" w:rsidP="00BD6CF4">
            <w:r w:rsidRPr="00580C0D">
              <w:t>Sikre individuell tilrettelegging av opplæringa</w:t>
            </w:r>
          </w:p>
        </w:tc>
        <w:tc>
          <w:tcPr>
            <w:tcW w:w="1140" w:type="dxa"/>
            <w:tcBorders>
              <w:top w:val="nil"/>
              <w:left w:val="nil"/>
              <w:bottom w:val="nil"/>
              <w:right w:val="nil"/>
            </w:tcBorders>
            <w:tcMar>
              <w:top w:w="128" w:type="dxa"/>
              <w:left w:w="43" w:type="dxa"/>
              <w:bottom w:w="43" w:type="dxa"/>
              <w:right w:w="43" w:type="dxa"/>
            </w:tcMar>
          </w:tcPr>
          <w:p w14:paraId="6D60D1DF" w14:textId="77777777" w:rsidR="00F7113A" w:rsidRPr="00580C0D" w:rsidRDefault="00142E5B" w:rsidP="00BD6CF4">
            <w:pPr>
              <w:jc w:val="right"/>
            </w:pPr>
            <w:r w:rsidRPr="00580C0D">
              <w:t>Nei</w:t>
            </w:r>
          </w:p>
        </w:tc>
      </w:tr>
      <w:tr w:rsidR="00F7113A" w:rsidRPr="00580C0D" w14:paraId="489050B7"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24A73B76" w14:textId="77777777" w:rsidR="00F7113A" w:rsidRPr="00580C0D" w:rsidRDefault="00142E5B" w:rsidP="00BD6CF4">
            <w:r w:rsidRPr="00580C0D">
              <w:t>2021–2022</w:t>
            </w:r>
          </w:p>
        </w:tc>
        <w:tc>
          <w:tcPr>
            <w:tcW w:w="1340" w:type="dxa"/>
            <w:tcBorders>
              <w:top w:val="nil"/>
              <w:left w:val="nil"/>
              <w:bottom w:val="nil"/>
              <w:right w:val="nil"/>
            </w:tcBorders>
            <w:tcMar>
              <w:top w:w="128" w:type="dxa"/>
              <w:left w:w="43" w:type="dxa"/>
              <w:bottom w:w="43" w:type="dxa"/>
              <w:right w:w="43" w:type="dxa"/>
            </w:tcMar>
          </w:tcPr>
          <w:p w14:paraId="3EA0D6AA" w14:textId="77777777" w:rsidR="00F7113A" w:rsidRPr="00580C0D" w:rsidRDefault="00142E5B" w:rsidP="003C787D">
            <w:pPr>
              <w:ind w:right="170"/>
            </w:pPr>
            <w:r w:rsidRPr="00580C0D">
              <w:t>35, pkt. 44</w:t>
            </w:r>
          </w:p>
        </w:tc>
        <w:tc>
          <w:tcPr>
            <w:tcW w:w="5680" w:type="dxa"/>
            <w:tcBorders>
              <w:top w:val="nil"/>
              <w:left w:val="nil"/>
              <w:bottom w:val="nil"/>
              <w:right w:val="nil"/>
            </w:tcBorders>
            <w:tcMar>
              <w:top w:w="128" w:type="dxa"/>
              <w:left w:w="43" w:type="dxa"/>
              <w:bottom w:w="43" w:type="dxa"/>
              <w:right w:w="43" w:type="dxa"/>
            </w:tcMar>
          </w:tcPr>
          <w:p w14:paraId="3B580576" w14:textId="77777777" w:rsidR="00F7113A" w:rsidRPr="00580C0D" w:rsidRDefault="00142E5B" w:rsidP="00BD6CF4">
            <w:r w:rsidRPr="00580C0D">
              <w:t xml:space="preserve">Meldeplikt ved overføring av </w:t>
            </w:r>
            <w:proofErr w:type="spellStart"/>
            <w:r w:rsidRPr="00580C0D">
              <w:t>eigedomsrett</w:t>
            </w:r>
            <w:proofErr w:type="spellEnd"/>
            <w:r w:rsidRPr="00580C0D">
              <w:t xml:space="preserve"> til barnehage</w:t>
            </w:r>
          </w:p>
        </w:tc>
        <w:tc>
          <w:tcPr>
            <w:tcW w:w="1140" w:type="dxa"/>
            <w:tcBorders>
              <w:top w:val="nil"/>
              <w:left w:val="nil"/>
              <w:bottom w:val="nil"/>
              <w:right w:val="nil"/>
            </w:tcBorders>
            <w:tcMar>
              <w:top w:w="128" w:type="dxa"/>
              <w:left w:w="43" w:type="dxa"/>
              <w:bottom w:w="43" w:type="dxa"/>
              <w:right w:w="43" w:type="dxa"/>
            </w:tcMar>
          </w:tcPr>
          <w:p w14:paraId="3AD64135" w14:textId="77777777" w:rsidR="00F7113A" w:rsidRPr="00580C0D" w:rsidRDefault="00142E5B" w:rsidP="00BD6CF4">
            <w:pPr>
              <w:jc w:val="right"/>
            </w:pPr>
            <w:r w:rsidRPr="00580C0D">
              <w:t>Nei</w:t>
            </w:r>
          </w:p>
        </w:tc>
      </w:tr>
      <w:tr w:rsidR="00F7113A" w:rsidRPr="00580C0D" w14:paraId="332C687D" w14:textId="77777777" w:rsidTr="00BD6CF4">
        <w:trPr>
          <w:trHeight w:val="640"/>
        </w:trPr>
        <w:tc>
          <w:tcPr>
            <w:tcW w:w="1380" w:type="dxa"/>
            <w:tcBorders>
              <w:top w:val="nil"/>
              <w:left w:val="nil"/>
              <w:bottom w:val="nil"/>
              <w:right w:val="nil"/>
            </w:tcBorders>
            <w:tcMar>
              <w:top w:w="128" w:type="dxa"/>
              <w:left w:w="43" w:type="dxa"/>
              <w:bottom w:w="43" w:type="dxa"/>
              <w:right w:w="43" w:type="dxa"/>
            </w:tcMar>
          </w:tcPr>
          <w:p w14:paraId="63755ABD" w14:textId="77777777" w:rsidR="00F7113A" w:rsidRPr="00580C0D" w:rsidRDefault="00142E5B" w:rsidP="00BD6CF4">
            <w:r w:rsidRPr="00580C0D">
              <w:t>2021–2022</w:t>
            </w:r>
          </w:p>
        </w:tc>
        <w:tc>
          <w:tcPr>
            <w:tcW w:w="1340" w:type="dxa"/>
            <w:tcBorders>
              <w:top w:val="nil"/>
              <w:left w:val="nil"/>
              <w:bottom w:val="nil"/>
              <w:right w:val="nil"/>
            </w:tcBorders>
            <w:tcMar>
              <w:top w:w="128" w:type="dxa"/>
              <w:left w:w="43" w:type="dxa"/>
              <w:bottom w:w="43" w:type="dxa"/>
              <w:right w:w="43" w:type="dxa"/>
            </w:tcMar>
          </w:tcPr>
          <w:p w14:paraId="2826F1D5" w14:textId="77777777" w:rsidR="00F7113A" w:rsidRPr="00580C0D" w:rsidRDefault="00142E5B" w:rsidP="003C787D">
            <w:pPr>
              <w:ind w:right="170"/>
            </w:pPr>
            <w:r w:rsidRPr="00580C0D">
              <w:t>35, pkt. 45</w:t>
            </w:r>
          </w:p>
        </w:tc>
        <w:tc>
          <w:tcPr>
            <w:tcW w:w="5680" w:type="dxa"/>
            <w:tcBorders>
              <w:top w:val="nil"/>
              <w:left w:val="nil"/>
              <w:bottom w:val="nil"/>
              <w:right w:val="nil"/>
            </w:tcBorders>
            <w:tcMar>
              <w:top w:w="128" w:type="dxa"/>
              <w:left w:w="43" w:type="dxa"/>
              <w:bottom w:w="43" w:type="dxa"/>
              <w:right w:w="43" w:type="dxa"/>
            </w:tcMar>
          </w:tcPr>
          <w:p w14:paraId="791844CD" w14:textId="5C5908E1" w:rsidR="00F7113A" w:rsidRPr="00580C0D" w:rsidRDefault="00142E5B" w:rsidP="00BD6CF4">
            <w:r w:rsidRPr="00580C0D">
              <w:t xml:space="preserve">Gjeninnføre rett for </w:t>
            </w:r>
            <w:proofErr w:type="spellStart"/>
            <w:r w:rsidRPr="00580C0D">
              <w:t>kommunane</w:t>
            </w:r>
            <w:proofErr w:type="spellEnd"/>
            <w:r w:rsidRPr="00580C0D">
              <w:t xml:space="preserve"> til å føre tilsyn med </w:t>
            </w:r>
            <w:r w:rsidR="00251BE9">
              <w:br/>
            </w:r>
            <w:r w:rsidRPr="00580C0D">
              <w:t xml:space="preserve">private </w:t>
            </w:r>
            <w:proofErr w:type="spellStart"/>
            <w:r w:rsidRPr="00580C0D">
              <w:t>barnehagar</w:t>
            </w:r>
            <w:proofErr w:type="spellEnd"/>
          </w:p>
        </w:tc>
        <w:tc>
          <w:tcPr>
            <w:tcW w:w="1140" w:type="dxa"/>
            <w:tcBorders>
              <w:top w:val="nil"/>
              <w:left w:val="nil"/>
              <w:bottom w:val="nil"/>
              <w:right w:val="nil"/>
            </w:tcBorders>
            <w:tcMar>
              <w:top w:w="128" w:type="dxa"/>
              <w:left w:w="43" w:type="dxa"/>
              <w:bottom w:w="43" w:type="dxa"/>
              <w:right w:w="43" w:type="dxa"/>
            </w:tcMar>
          </w:tcPr>
          <w:p w14:paraId="3314772B" w14:textId="77777777" w:rsidR="00F7113A" w:rsidRPr="00580C0D" w:rsidRDefault="00142E5B" w:rsidP="00BD6CF4">
            <w:pPr>
              <w:jc w:val="right"/>
            </w:pPr>
            <w:r w:rsidRPr="00580C0D">
              <w:t>Nei</w:t>
            </w:r>
          </w:p>
        </w:tc>
      </w:tr>
      <w:tr w:rsidR="00F7113A" w:rsidRPr="00580C0D" w14:paraId="2ABE8DAC"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49B16245" w14:textId="77777777" w:rsidR="00F7113A" w:rsidRPr="00580C0D" w:rsidRDefault="00142E5B" w:rsidP="00BD6CF4">
            <w:r w:rsidRPr="00580C0D">
              <w:t>2021–2022</w:t>
            </w:r>
          </w:p>
        </w:tc>
        <w:tc>
          <w:tcPr>
            <w:tcW w:w="1340" w:type="dxa"/>
            <w:tcBorders>
              <w:top w:val="nil"/>
              <w:left w:val="nil"/>
              <w:bottom w:val="nil"/>
              <w:right w:val="nil"/>
            </w:tcBorders>
            <w:tcMar>
              <w:top w:w="128" w:type="dxa"/>
              <w:left w:w="43" w:type="dxa"/>
              <w:bottom w:w="43" w:type="dxa"/>
              <w:right w:w="43" w:type="dxa"/>
            </w:tcMar>
          </w:tcPr>
          <w:p w14:paraId="3513C942" w14:textId="77777777" w:rsidR="00F7113A" w:rsidRPr="00580C0D" w:rsidRDefault="00142E5B" w:rsidP="003C787D">
            <w:pPr>
              <w:ind w:right="170"/>
            </w:pPr>
            <w:r w:rsidRPr="00580C0D">
              <w:t>35, pkt. 53</w:t>
            </w:r>
          </w:p>
        </w:tc>
        <w:tc>
          <w:tcPr>
            <w:tcW w:w="5680" w:type="dxa"/>
            <w:tcBorders>
              <w:top w:val="nil"/>
              <w:left w:val="nil"/>
              <w:bottom w:val="nil"/>
              <w:right w:val="nil"/>
            </w:tcBorders>
            <w:tcMar>
              <w:top w:w="128" w:type="dxa"/>
              <w:left w:w="43" w:type="dxa"/>
              <w:bottom w:w="43" w:type="dxa"/>
              <w:right w:w="43" w:type="dxa"/>
            </w:tcMar>
          </w:tcPr>
          <w:p w14:paraId="531CBACC" w14:textId="77777777" w:rsidR="00F7113A" w:rsidRPr="00580C0D" w:rsidRDefault="00142E5B" w:rsidP="00BD6CF4">
            <w:r w:rsidRPr="00580C0D">
              <w:t xml:space="preserve">Kartlegging av </w:t>
            </w:r>
            <w:proofErr w:type="spellStart"/>
            <w:r w:rsidRPr="00580C0D">
              <w:t>utfordringar</w:t>
            </w:r>
            <w:proofErr w:type="spellEnd"/>
            <w:r w:rsidRPr="00580C0D">
              <w:t xml:space="preserve"> for praktisk opplæring i </w:t>
            </w:r>
            <w:proofErr w:type="spellStart"/>
            <w:r w:rsidRPr="00580C0D">
              <w:t>skulen</w:t>
            </w:r>
            <w:proofErr w:type="spellEnd"/>
          </w:p>
        </w:tc>
        <w:tc>
          <w:tcPr>
            <w:tcW w:w="1140" w:type="dxa"/>
            <w:tcBorders>
              <w:top w:val="nil"/>
              <w:left w:val="nil"/>
              <w:bottom w:val="nil"/>
              <w:right w:val="nil"/>
            </w:tcBorders>
            <w:tcMar>
              <w:top w:w="128" w:type="dxa"/>
              <w:left w:w="43" w:type="dxa"/>
              <w:bottom w:w="43" w:type="dxa"/>
              <w:right w:w="43" w:type="dxa"/>
            </w:tcMar>
          </w:tcPr>
          <w:p w14:paraId="10370B70" w14:textId="77777777" w:rsidR="00F7113A" w:rsidRPr="00580C0D" w:rsidRDefault="00142E5B" w:rsidP="00BD6CF4">
            <w:pPr>
              <w:jc w:val="right"/>
            </w:pPr>
            <w:r w:rsidRPr="00580C0D">
              <w:t>Nei</w:t>
            </w:r>
          </w:p>
        </w:tc>
      </w:tr>
      <w:tr w:rsidR="00F7113A" w:rsidRPr="00580C0D" w14:paraId="0D5D60C8"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B4DCBFC" w14:textId="77777777" w:rsidR="00F7113A" w:rsidRPr="00580C0D" w:rsidRDefault="00142E5B" w:rsidP="00BD6CF4">
            <w:r w:rsidRPr="00580C0D">
              <w:t>2021–2022</w:t>
            </w:r>
          </w:p>
        </w:tc>
        <w:tc>
          <w:tcPr>
            <w:tcW w:w="1340" w:type="dxa"/>
            <w:tcBorders>
              <w:top w:val="nil"/>
              <w:left w:val="nil"/>
              <w:bottom w:val="nil"/>
              <w:right w:val="nil"/>
            </w:tcBorders>
            <w:tcMar>
              <w:top w:w="128" w:type="dxa"/>
              <w:left w:w="43" w:type="dxa"/>
              <w:bottom w:w="43" w:type="dxa"/>
              <w:right w:w="43" w:type="dxa"/>
            </w:tcMar>
          </w:tcPr>
          <w:p w14:paraId="22976DD9" w14:textId="77777777" w:rsidR="00F7113A" w:rsidRPr="00580C0D" w:rsidRDefault="00142E5B" w:rsidP="003C787D">
            <w:pPr>
              <w:ind w:right="170"/>
            </w:pPr>
            <w:r w:rsidRPr="00580C0D">
              <w:t>374</w:t>
            </w:r>
          </w:p>
        </w:tc>
        <w:tc>
          <w:tcPr>
            <w:tcW w:w="5680" w:type="dxa"/>
            <w:tcBorders>
              <w:top w:val="nil"/>
              <w:left w:val="nil"/>
              <w:bottom w:val="nil"/>
              <w:right w:val="nil"/>
            </w:tcBorders>
            <w:tcMar>
              <w:top w:w="128" w:type="dxa"/>
              <w:left w:w="43" w:type="dxa"/>
              <w:bottom w:w="43" w:type="dxa"/>
              <w:right w:w="43" w:type="dxa"/>
            </w:tcMar>
          </w:tcPr>
          <w:p w14:paraId="265DD581" w14:textId="77777777" w:rsidR="00F7113A" w:rsidRPr="00580C0D" w:rsidRDefault="00142E5B" w:rsidP="00BD6CF4">
            <w:r w:rsidRPr="00580C0D">
              <w:t>Styrking av praktisk læring</w:t>
            </w:r>
          </w:p>
        </w:tc>
        <w:tc>
          <w:tcPr>
            <w:tcW w:w="1140" w:type="dxa"/>
            <w:tcBorders>
              <w:top w:val="nil"/>
              <w:left w:val="nil"/>
              <w:bottom w:val="nil"/>
              <w:right w:val="nil"/>
            </w:tcBorders>
            <w:tcMar>
              <w:top w:w="128" w:type="dxa"/>
              <w:left w:w="43" w:type="dxa"/>
              <w:bottom w:w="43" w:type="dxa"/>
              <w:right w:w="43" w:type="dxa"/>
            </w:tcMar>
          </w:tcPr>
          <w:p w14:paraId="78D48E20" w14:textId="77777777" w:rsidR="00F7113A" w:rsidRPr="00580C0D" w:rsidRDefault="00142E5B" w:rsidP="00BD6CF4">
            <w:pPr>
              <w:jc w:val="right"/>
            </w:pPr>
            <w:r w:rsidRPr="00580C0D">
              <w:t>Nei</w:t>
            </w:r>
          </w:p>
        </w:tc>
      </w:tr>
      <w:tr w:rsidR="00F7113A" w:rsidRPr="00580C0D" w14:paraId="33C864F3" w14:textId="77777777" w:rsidTr="00BD6CF4">
        <w:trPr>
          <w:trHeight w:val="640"/>
        </w:trPr>
        <w:tc>
          <w:tcPr>
            <w:tcW w:w="1380" w:type="dxa"/>
            <w:tcBorders>
              <w:top w:val="nil"/>
              <w:left w:val="nil"/>
              <w:bottom w:val="nil"/>
              <w:right w:val="nil"/>
            </w:tcBorders>
            <w:tcMar>
              <w:top w:w="128" w:type="dxa"/>
              <w:left w:w="43" w:type="dxa"/>
              <w:bottom w:w="43" w:type="dxa"/>
              <w:right w:w="43" w:type="dxa"/>
            </w:tcMar>
          </w:tcPr>
          <w:p w14:paraId="52569592"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5EB4F5BA" w14:textId="77777777" w:rsidR="00F7113A" w:rsidRPr="00580C0D" w:rsidRDefault="00142E5B" w:rsidP="003C787D">
            <w:pPr>
              <w:ind w:right="170"/>
            </w:pPr>
            <w:r w:rsidRPr="00580C0D">
              <w:t>16</w:t>
            </w:r>
          </w:p>
        </w:tc>
        <w:tc>
          <w:tcPr>
            <w:tcW w:w="5680" w:type="dxa"/>
            <w:tcBorders>
              <w:top w:val="nil"/>
              <w:left w:val="nil"/>
              <w:bottom w:val="nil"/>
              <w:right w:val="nil"/>
            </w:tcBorders>
            <w:tcMar>
              <w:top w:w="128" w:type="dxa"/>
              <w:left w:w="43" w:type="dxa"/>
              <w:bottom w:w="43" w:type="dxa"/>
              <w:right w:w="43" w:type="dxa"/>
            </w:tcMar>
          </w:tcPr>
          <w:p w14:paraId="5F43CBCB" w14:textId="5EB68544" w:rsidR="00F7113A" w:rsidRPr="00580C0D" w:rsidRDefault="00142E5B" w:rsidP="00BD6CF4">
            <w:r w:rsidRPr="00580C0D">
              <w:t xml:space="preserve">Gjennomgang av </w:t>
            </w:r>
            <w:proofErr w:type="spellStart"/>
            <w:r w:rsidRPr="00580C0D">
              <w:t>finansieringskategoriane</w:t>
            </w:r>
            <w:proofErr w:type="spellEnd"/>
            <w:r w:rsidRPr="00580C0D">
              <w:t xml:space="preserve"> i </w:t>
            </w:r>
            <w:proofErr w:type="spellStart"/>
            <w:r w:rsidRPr="00580C0D">
              <w:t>høgare</w:t>
            </w:r>
            <w:proofErr w:type="spellEnd"/>
            <w:r w:rsidRPr="00580C0D">
              <w:t xml:space="preserve"> </w:t>
            </w:r>
            <w:r w:rsidR="00251BE9">
              <w:br/>
            </w:r>
            <w:r w:rsidRPr="00580C0D">
              <w:t>utdanning</w:t>
            </w:r>
          </w:p>
        </w:tc>
        <w:tc>
          <w:tcPr>
            <w:tcW w:w="1140" w:type="dxa"/>
            <w:tcBorders>
              <w:top w:val="nil"/>
              <w:left w:val="nil"/>
              <w:bottom w:val="nil"/>
              <w:right w:val="nil"/>
            </w:tcBorders>
            <w:tcMar>
              <w:top w:w="128" w:type="dxa"/>
              <w:left w:w="43" w:type="dxa"/>
              <w:bottom w:w="43" w:type="dxa"/>
              <w:right w:w="43" w:type="dxa"/>
            </w:tcMar>
          </w:tcPr>
          <w:p w14:paraId="46EE01D0" w14:textId="77777777" w:rsidR="00F7113A" w:rsidRPr="00580C0D" w:rsidRDefault="00142E5B" w:rsidP="00BD6CF4">
            <w:pPr>
              <w:jc w:val="right"/>
            </w:pPr>
            <w:r w:rsidRPr="00580C0D">
              <w:t>Ja</w:t>
            </w:r>
          </w:p>
        </w:tc>
      </w:tr>
      <w:tr w:rsidR="00F7113A" w:rsidRPr="00580C0D" w14:paraId="1CB9AC2F" w14:textId="77777777" w:rsidTr="00BD6CF4">
        <w:trPr>
          <w:trHeight w:val="640"/>
        </w:trPr>
        <w:tc>
          <w:tcPr>
            <w:tcW w:w="1380" w:type="dxa"/>
            <w:tcBorders>
              <w:top w:val="nil"/>
              <w:left w:val="nil"/>
              <w:bottom w:val="nil"/>
              <w:right w:val="nil"/>
            </w:tcBorders>
            <w:tcMar>
              <w:top w:w="128" w:type="dxa"/>
              <w:left w:w="43" w:type="dxa"/>
              <w:bottom w:w="43" w:type="dxa"/>
              <w:right w:w="43" w:type="dxa"/>
            </w:tcMar>
          </w:tcPr>
          <w:p w14:paraId="29D596B2"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0202EB08" w14:textId="77777777" w:rsidR="00F7113A" w:rsidRPr="00580C0D" w:rsidRDefault="00142E5B" w:rsidP="003C787D">
            <w:pPr>
              <w:ind w:right="170"/>
            </w:pPr>
            <w:r w:rsidRPr="00580C0D">
              <w:t>30</w:t>
            </w:r>
          </w:p>
        </w:tc>
        <w:tc>
          <w:tcPr>
            <w:tcW w:w="5680" w:type="dxa"/>
            <w:tcBorders>
              <w:top w:val="nil"/>
              <w:left w:val="nil"/>
              <w:bottom w:val="nil"/>
              <w:right w:val="nil"/>
            </w:tcBorders>
            <w:tcMar>
              <w:top w:w="128" w:type="dxa"/>
              <w:left w:w="43" w:type="dxa"/>
              <w:bottom w:w="43" w:type="dxa"/>
              <w:right w:w="43" w:type="dxa"/>
            </w:tcMar>
          </w:tcPr>
          <w:p w14:paraId="44FF4682" w14:textId="77777777" w:rsidR="00F7113A" w:rsidRPr="00580C0D" w:rsidRDefault="00142E5B" w:rsidP="00BD6CF4">
            <w:r w:rsidRPr="00580C0D">
              <w:t xml:space="preserve">Ordning i Statens lånekasse for utdanning for autorisasjon </w:t>
            </w:r>
            <w:r w:rsidRPr="00580C0D">
              <w:br/>
              <w:t>av helsepersonell</w:t>
            </w:r>
          </w:p>
        </w:tc>
        <w:tc>
          <w:tcPr>
            <w:tcW w:w="1140" w:type="dxa"/>
            <w:tcBorders>
              <w:top w:val="nil"/>
              <w:left w:val="nil"/>
              <w:bottom w:val="nil"/>
              <w:right w:val="nil"/>
            </w:tcBorders>
            <w:tcMar>
              <w:top w:w="128" w:type="dxa"/>
              <w:left w:w="43" w:type="dxa"/>
              <w:bottom w:w="43" w:type="dxa"/>
              <w:right w:w="43" w:type="dxa"/>
            </w:tcMar>
          </w:tcPr>
          <w:p w14:paraId="1040B057" w14:textId="77777777" w:rsidR="00F7113A" w:rsidRPr="00580C0D" w:rsidRDefault="00142E5B" w:rsidP="00BD6CF4">
            <w:pPr>
              <w:jc w:val="right"/>
            </w:pPr>
            <w:r w:rsidRPr="00580C0D">
              <w:t>Ja</w:t>
            </w:r>
          </w:p>
        </w:tc>
      </w:tr>
      <w:tr w:rsidR="00F7113A" w:rsidRPr="00580C0D" w14:paraId="64D77AA4"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1A0F51DB"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58C3FCAC" w14:textId="77777777" w:rsidR="00F7113A" w:rsidRPr="00580C0D" w:rsidRDefault="00142E5B" w:rsidP="003C787D">
            <w:pPr>
              <w:ind w:right="170"/>
            </w:pPr>
            <w:r w:rsidRPr="00580C0D">
              <w:t>79</w:t>
            </w:r>
          </w:p>
        </w:tc>
        <w:tc>
          <w:tcPr>
            <w:tcW w:w="5680" w:type="dxa"/>
            <w:tcBorders>
              <w:top w:val="nil"/>
              <w:left w:val="nil"/>
              <w:bottom w:val="nil"/>
              <w:right w:val="nil"/>
            </w:tcBorders>
            <w:tcMar>
              <w:top w:w="128" w:type="dxa"/>
              <w:left w:w="43" w:type="dxa"/>
              <w:bottom w:w="43" w:type="dxa"/>
              <w:right w:w="43" w:type="dxa"/>
            </w:tcMar>
          </w:tcPr>
          <w:p w14:paraId="71C14293" w14:textId="77777777" w:rsidR="00F7113A" w:rsidRPr="00580C0D" w:rsidRDefault="00142E5B" w:rsidP="00BD6CF4">
            <w:r w:rsidRPr="00580C0D">
              <w:t xml:space="preserve">Politiattest for </w:t>
            </w:r>
            <w:proofErr w:type="spellStart"/>
            <w:r w:rsidRPr="00580C0D">
              <w:t>tilsetjing</w:t>
            </w:r>
            <w:proofErr w:type="spellEnd"/>
            <w:r w:rsidRPr="00580C0D">
              <w:t xml:space="preserve"> i </w:t>
            </w:r>
            <w:proofErr w:type="spellStart"/>
            <w:r w:rsidRPr="00580C0D">
              <w:t>skular</w:t>
            </w:r>
            <w:proofErr w:type="spellEnd"/>
            <w:r w:rsidRPr="00580C0D">
              <w:t xml:space="preserve"> og </w:t>
            </w:r>
            <w:proofErr w:type="spellStart"/>
            <w:r w:rsidRPr="00580C0D">
              <w:t>barnehagar</w:t>
            </w:r>
            <w:proofErr w:type="spellEnd"/>
          </w:p>
        </w:tc>
        <w:tc>
          <w:tcPr>
            <w:tcW w:w="1140" w:type="dxa"/>
            <w:tcBorders>
              <w:top w:val="nil"/>
              <w:left w:val="nil"/>
              <w:bottom w:val="nil"/>
              <w:right w:val="nil"/>
            </w:tcBorders>
            <w:tcMar>
              <w:top w:w="128" w:type="dxa"/>
              <w:left w:w="43" w:type="dxa"/>
              <w:bottom w:w="43" w:type="dxa"/>
              <w:right w:w="43" w:type="dxa"/>
            </w:tcMar>
          </w:tcPr>
          <w:p w14:paraId="1E23F76B" w14:textId="77777777" w:rsidR="00F7113A" w:rsidRPr="00580C0D" w:rsidRDefault="00142E5B" w:rsidP="00BD6CF4">
            <w:pPr>
              <w:jc w:val="right"/>
            </w:pPr>
            <w:r w:rsidRPr="00580C0D">
              <w:t>Nei</w:t>
            </w:r>
          </w:p>
        </w:tc>
      </w:tr>
      <w:tr w:rsidR="00F7113A" w:rsidRPr="00580C0D" w14:paraId="1D8C4E49" w14:textId="77777777" w:rsidTr="00BD6CF4">
        <w:trPr>
          <w:trHeight w:val="640"/>
        </w:trPr>
        <w:tc>
          <w:tcPr>
            <w:tcW w:w="1380" w:type="dxa"/>
            <w:tcBorders>
              <w:top w:val="nil"/>
              <w:left w:val="nil"/>
              <w:bottom w:val="nil"/>
              <w:right w:val="nil"/>
            </w:tcBorders>
            <w:tcMar>
              <w:top w:w="128" w:type="dxa"/>
              <w:left w:w="43" w:type="dxa"/>
              <w:bottom w:w="43" w:type="dxa"/>
              <w:right w:w="43" w:type="dxa"/>
            </w:tcMar>
          </w:tcPr>
          <w:p w14:paraId="3988DD50"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529F29F1" w14:textId="77777777" w:rsidR="00F7113A" w:rsidRPr="00580C0D" w:rsidRDefault="00142E5B" w:rsidP="003C787D">
            <w:pPr>
              <w:ind w:right="170"/>
            </w:pPr>
            <w:r w:rsidRPr="00580C0D">
              <w:t>182</w:t>
            </w:r>
          </w:p>
        </w:tc>
        <w:tc>
          <w:tcPr>
            <w:tcW w:w="5680" w:type="dxa"/>
            <w:tcBorders>
              <w:top w:val="nil"/>
              <w:left w:val="nil"/>
              <w:bottom w:val="nil"/>
              <w:right w:val="nil"/>
            </w:tcBorders>
            <w:tcMar>
              <w:top w:w="128" w:type="dxa"/>
              <w:left w:w="43" w:type="dxa"/>
              <w:bottom w:w="43" w:type="dxa"/>
              <w:right w:w="43" w:type="dxa"/>
            </w:tcMar>
          </w:tcPr>
          <w:p w14:paraId="3F18E143" w14:textId="1B236044" w:rsidR="00F7113A" w:rsidRPr="00580C0D" w:rsidRDefault="00142E5B" w:rsidP="00BD6CF4">
            <w:r w:rsidRPr="00580C0D">
              <w:t xml:space="preserve">Greie ut Østfold-modellen for </w:t>
            </w:r>
            <w:proofErr w:type="spellStart"/>
            <w:r w:rsidRPr="00580C0D">
              <w:t>lærekandidatar</w:t>
            </w:r>
            <w:proofErr w:type="spellEnd"/>
            <w:r w:rsidRPr="00580C0D">
              <w:t xml:space="preserve"> med </w:t>
            </w:r>
            <w:r w:rsidR="00251BE9">
              <w:br/>
            </w:r>
            <w:r w:rsidRPr="00580C0D">
              <w:t>tilretteleggingsbehov</w:t>
            </w:r>
          </w:p>
        </w:tc>
        <w:tc>
          <w:tcPr>
            <w:tcW w:w="1140" w:type="dxa"/>
            <w:tcBorders>
              <w:top w:val="nil"/>
              <w:left w:val="nil"/>
              <w:bottom w:val="nil"/>
              <w:right w:val="nil"/>
            </w:tcBorders>
            <w:tcMar>
              <w:top w:w="128" w:type="dxa"/>
              <w:left w:w="43" w:type="dxa"/>
              <w:bottom w:w="43" w:type="dxa"/>
              <w:right w:w="43" w:type="dxa"/>
            </w:tcMar>
          </w:tcPr>
          <w:p w14:paraId="38869198" w14:textId="77777777" w:rsidR="00F7113A" w:rsidRPr="00580C0D" w:rsidRDefault="00142E5B" w:rsidP="00BD6CF4">
            <w:pPr>
              <w:jc w:val="right"/>
            </w:pPr>
            <w:r w:rsidRPr="00580C0D">
              <w:t>Nei</w:t>
            </w:r>
          </w:p>
        </w:tc>
      </w:tr>
      <w:tr w:rsidR="00F7113A" w:rsidRPr="00580C0D" w14:paraId="77FAE57A"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2AA406BC"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71A32752" w14:textId="77777777" w:rsidR="00F7113A" w:rsidRPr="00580C0D" w:rsidRDefault="00142E5B" w:rsidP="003C787D">
            <w:pPr>
              <w:ind w:right="170"/>
            </w:pPr>
            <w:r w:rsidRPr="00580C0D">
              <w:t>684</w:t>
            </w:r>
          </w:p>
        </w:tc>
        <w:tc>
          <w:tcPr>
            <w:tcW w:w="5680" w:type="dxa"/>
            <w:tcBorders>
              <w:top w:val="nil"/>
              <w:left w:val="nil"/>
              <w:bottom w:val="nil"/>
              <w:right w:val="nil"/>
            </w:tcBorders>
            <w:tcMar>
              <w:top w:w="128" w:type="dxa"/>
              <w:left w:w="43" w:type="dxa"/>
              <w:bottom w:w="43" w:type="dxa"/>
              <w:right w:w="43" w:type="dxa"/>
            </w:tcMar>
          </w:tcPr>
          <w:p w14:paraId="1B286A81" w14:textId="77777777" w:rsidR="00F7113A" w:rsidRPr="00580C0D" w:rsidRDefault="00142E5B" w:rsidP="00BD6CF4">
            <w:r w:rsidRPr="00580C0D">
              <w:t xml:space="preserve">Finansiering av </w:t>
            </w:r>
            <w:proofErr w:type="spellStart"/>
            <w:r w:rsidRPr="00580C0D">
              <w:t>studieopphald</w:t>
            </w:r>
            <w:proofErr w:type="spellEnd"/>
            <w:r w:rsidRPr="00580C0D">
              <w:t xml:space="preserve"> i utlandet</w:t>
            </w:r>
          </w:p>
        </w:tc>
        <w:tc>
          <w:tcPr>
            <w:tcW w:w="1140" w:type="dxa"/>
            <w:tcBorders>
              <w:top w:val="nil"/>
              <w:left w:val="nil"/>
              <w:bottom w:val="nil"/>
              <w:right w:val="nil"/>
            </w:tcBorders>
            <w:tcMar>
              <w:top w:w="128" w:type="dxa"/>
              <w:left w:w="43" w:type="dxa"/>
              <w:bottom w:w="43" w:type="dxa"/>
              <w:right w:w="43" w:type="dxa"/>
            </w:tcMar>
          </w:tcPr>
          <w:p w14:paraId="788A981F" w14:textId="77777777" w:rsidR="00F7113A" w:rsidRPr="00580C0D" w:rsidRDefault="00142E5B" w:rsidP="00BD6CF4">
            <w:pPr>
              <w:jc w:val="right"/>
            </w:pPr>
            <w:r w:rsidRPr="00580C0D">
              <w:t>Ja</w:t>
            </w:r>
          </w:p>
        </w:tc>
      </w:tr>
      <w:tr w:rsidR="00F7113A" w:rsidRPr="00580C0D" w14:paraId="2AB2BFFF"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F428236"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658A4C6C" w14:textId="77777777" w:rsidR="00F7113A" w:rsidRPr="00580C0D" w:rsidRDefault="00142E5B" w:rsidP="003C787D">
            <w:pPr>
              <w:ind w:right="170"/>
            </w:pPr>
            <w:r w:rsidRPr="00580C0D">
              <w:t>687</w:t>
            </w:r>
          </w:p>
        </w:tc>
        <w:tc>
          <w:tcPr>
            <w:tcW w:w="5680" w:type="dxa"/>
            <w:tcBorders>
              <w:top w:val="nil"/>
              <w:left w:val="nil"/>
              <w:bottom w:val="nil"/>
              <w:right w:val="nil"/>
            </w:tcBorders>
            <w:tcMar>
              <w:top w:w="128" w:type="dxa"/>
              <w:left w:w="43" w:type="dxa"/>
              <w:bottom w:w="43" w:type="dxa"/>
              <w:right w:w="43" w:type="dxa"/>
            </w:tcMar>
          </w:tcPr>
          <w:p w14:paraId="05A2C05A" w14:textId="77777777" w:rsidR="00F7113A" w:rsidRPr="00580C0D" w:rsidRDefault="00142E5B" w:rsidP="00BD6CF4">
            <w:r w:rsidRPr="00580C0D">
              <w:t xml:space="preserve">Betre </w:t>
            </w:r>
            <w:proofErr w:type="spellStart"/>
            <w:r w:rsidRPr="00580C0D">
              <w:t>godkjenningsordningar</w:t>
            </w:r>
            <w:proofErr w:type="spellEnd"/>
            <w:r w:rsidRPr="00580C0D">
              <w:t xml:space="preserve"> for </w:t>
            </w:r>
            <w:proofErr w:type="spellStart"/>
            <w:r w:rsidRPr="00580C0D">
              <w:t>utanlandsk</w:t>
            </w:r>
            <w:proofErr w:type="spellEnd"/>
            <w:r w:rsidRPr="00580C0D">
              <w:t xml:space="preserve"> utdanning</w:t>
            </w:r>
          </w:p>
        </w:tc>
        <w:tc>
          <w:tcPr>
            <w:tcW w:w="1140" w:type="dxa"/>
            <w:tcBorders>
              <w:top w:val="nil"/>
              <w:left w:val="nil"/>
              <w:bottom w:val="nil"/>
              <w:right w:val="nil"/>
            </w:tcBorders>
            <w:tcMar>
              <w:top w:w="128" w:type="dxa"/>
              <w:left w:w="43" w:type="dxa"/>
              <w:bottom w:w="43" w:type="dxa"/>
              <w:right w:w="43" w:type="dxa"/>
            </w:tcMar>
          </w:tcPr>
          <w:p w14:paraId="4FB9EC80" w14:textId="77777777" w:rsidR="00F7113A" w:rsidRPr="00580C0D" w:rsidRDefault="00142E5B" w:rsidP="00BD6CF4">
            <w:pPr>
              <w:jc w:val="right"/>
            </w:pPr>
            <w:r w:rsidRPr="00580C0D">
              <w:t>Ja</w:t>
            </w:r>
          </w:p>
        </w:tc>
      </w:tr>
      <w:tr w:rsidR="00F7113A" w:rsidRPr="00580C0D" w14:paraId="5002750C" w14:textId="77777777" w:rsidTr="00BD6CF4">
        <w:trPr>
          <w:trHeight w:val="640"/>
        </w:trPr>
        <w:tc>
          <w:tcPr>
            <w:tcW w:w="1380" w:type="dxa"/>
            <w:tcBorders>
              <w:top w:val="nil"/>
              <w:left w:val="nil"/>
              <w:bottom w:val="nil"/>
              <w:right w:val="nil"/>
            </w:tcBorders>
            <w:tcMar>
              <w:top w:w="128" w:type="dxa"/>
              <w:left w:w="43" w:type="dxa"/>
              <w:bottom w:w="43" w:type="dxa"/>
              <w:right w:w="43" w:type="dxa"/>
            </w:tcMar>
          </w:tcPr>
          <w:p w14:paraId="267C56C8"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0B19F287" w14:textId="77777777" w:rsidR="00F7113A" w:rsidRPr="00580C0D" w:rsidRDefault="00142E5B" w:rsidP="003C787D">
            <w:pPr>
              <w:ind w:right="170"/>
            </w:pPr>
            <w:r w:rsidRPr="00580C0D">
              <w:t>941</w:t>
            </w:r>
          </w:p>
        </w:tc>
        <w:tc>
          <w:tcPr>
            <w:tcW w:w="5680" w:type="dxa"/>
            <w:tcBorders>
              <w:top w:val="nil"/>
              <w:left w:val="nil"/>
              <w:bottom w:val="nil"/>
              <w:right w:val="nil"/>
            </w:tcBorders>
            <w:tcMar>
              <w:top w:w="128" w:type="dxa"/>
              <w:left w:w="43" w:type="dxa"/>
              <w:bottom w:w="43" w:type="dxa"/>
              <w:right w:w="43" w:type="dxa"/>
            </w:tcMar>
          </w:tcPr>
          <w:p w14:paraId="7D79DD89" w14:textId="77777777" w:rsidR="00F7113A" w:rsidRPr="00580C0D" w:rsidRDefault="00142E5B" w:rsidP="00BD6CF4">
            <w:r w:rsidRPr="00580C0D">
              <w:t xml:space="preserve">Opptrappingsplan for </w:t>
            </w:r>
            <w:proofErr w:type="spellStart"/>
            <w:r w:rsidRPr="00580C0D">
              <w:t>studieplassar</w:t>
            </w:r>
            <w:proofErr w:type="spellEnd"/>
            <w:r w:rsidRPr="00580C0D">
              <w:t xml:space="preserve"> i medisin, helsefag, sjukepleie og psykologi</w:t>
            </w:r>
          </w:p>
        </w:tc>
        <w:tc>
          <w:tcPr>
            <w:tcW w:w="1140" w:type="dxa"/>
            <w:tcBorders>
              <w:top w:val="nil"/>
              <w:left w:val="nil"/>
              <w:bottom w:val="nil"/>
              <w:right w:val="nil"/>
            </w:tcBorders>
            <w:tcMar>
              <w:top w:w="128" w:type="dxa"/>
              <w:left w:w="43" w:type="dxa"/>
              <w:bottom w:w="43" w:type="dxa"/>
              <w:right w:w="43" w:type="dxa"/>
            </w:tcMar>
          </w:tcPr>
          <w:p w14:paraId="4734CF53" w14:textId="77777777" w:rsidR="00F7113A" w:rsidRPr="00580C0D" w:rsidRDefault="00142E5B" w:rsidP="00BD6CF4">
            <w:pPr>
              <w:jc w:val="right"/>
            </w:pPr>
            <w:r w:rsidRPr="00580C0D">
              <w:t>Nei</w:t>
            </w:r>
          </w:p>
        </w:tc>
      </w:tr>
      <w:tr w:rsidR="00F7113A" w:rsidRPr="00580C0D" w14:paraId="3BC08012"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09513BA8"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0C6A5DE6" w14:textId="77777777" w:rsidR="00F7113A" w:rsidRPr="00580C0D" w:rsidRDefault="00142E5B" w:rsidP="003C787D">
            <w:pPr>
              <w:ind w:right="170"/>
            </w:pPr>
            <w:r w:rsidRPr="00580C0D">
              <w:t>942</w:t>
            </w:r>
          </w:p>
        </w:tc>
        <w:tc>
          <w:tcPr>
            <w:tcW w:w="5680" w:type="dxa"/>
            <w:tcBorders>
              <w:top w:val="nil"/>
              <w:left w:val="nil"/>
              <w:bottom w:val="nil"/>
              <w:right w:val="nil"/>
            </w:tcBorders>
            <w:tcMar>
              <w:top w:w="128" w:type="dxa"/>
              <w:left w:w="43" w:type="dxa"/>
              <w:bottom w:w="43" w:type="dxa"/>
              <w:right w:w="43" w:type="dxa"/>
            </w:tcMar>
          </w:tcPr>
          <w:p w14:paraId="67A0E711" w14:textId="77777777" w:rsidR="00F7113A" w:rsidRPr="00580C0D" w:rsidRDefault="00142E5B" w:rsidP="00BD6CF4">
            <w:r w:rsidRPr="00580C0D">
              <w:t xml:space="preserve">Styrke rådgivings- og </w:t>
            </w:r>
            <w:proofErr w:type="spellStart"/>
            <w:r w:rsidRPr="00580C0D">
              <w:t>rettleiingstenesta</w:t>
            </w:r>
            <w:proofErr w:type="spellEnd"/>
            <w:r w:rsidRPr="00580C0D">
              <w:t xml:space="preserve"> i </w:t>
            </w:r>
            <w:proofErr w:type="spellStart"/>
            <w:r w:rsidRPr="00580C0D">
              <w:t>skulen</w:t>
            </w:r>
            <w:proofErr w:type="spellEnd"/>
          </w:p>
        </w:tc>
        <w:tc>
          <w:tcPr>
            <w:tcW w:w="1140" w:type="dxa"/>
            <w:tcBorders>
              <w:top w:val="nil"/>
              <w:left w:val="nil"/>
              <w:bottom w:val="nil"/>
              <w:right w:val="nil"/>
            </w:tcBorders>
            <w:tcMar>
              <w:top w:w="128" w:type="dxa"/>
              <w:left w:w="43" w:type="dxa"/>
              <w:bottom w:w="43" w:type="dxa"/>
              <w:right w:w="43" w:type="dxa"/>
            </w:tcMar>
          </w:tcPr>
          <w:p w14:paraId="22CD5EF4" w14:textId="77777777" w:rsidR="00F7113A" w:rsidRPr="00580C0D" w:rsidRDefault="00142E5B" w:rsidP="00BD6CF4">
            <w:pPr>
              <w:jc w:val="right"/>
            </w:pPr>
            <w:r w:rsidRPr="00580C0D">
              <w:t>Nei</w:t>
            </w:r>
          </w:p>
        </w:tc>
      </w:tr>
      <w:tr w:rsidR="00F7113A" w:rsidRPr="00580C0D" w14:paraId="17DACE5E"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2FE0CAD"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47393665" w14:textId="77777777" w:rsidR="00F7113A" w:rsidRPr="00580C0D" w:rsidRDefault="00142E5B" w:rsidP="003C787D">
            <w:pPr>
              <w:ind w:right="170"/>
            </w:pPr>
            <w:r w:rsidRPr="00580C0D">
              <w:t>943</w:t>
            </w:r>
          </w:p>
        </w:tc>
        <w:tc>
          <w:tcPr>
            <w:tcW w:w="5680" w:type="dxa"/>
            <w:tcBorders>
              <w:top w:val="nil"/>
              <w:left w:val="nil"/>
              <w:bottom w:val="nil"/>
              <w:right w:val="nil"/>
            </w:tcBorders>
            <w:tcMar>
              <w:top w:w="128" w:type="dxa"/>
              <w:left w:w="43" w:type="dxa"/>
              <w:bottom w:w="43" w:type="dxa"/>
              <w:right w:w="43" w:type="dxa"/>
            </w:tcMar>
          </w:tcPr>
          <w:p w14:paraId="78E88998" w14:textId="77777777" w:rsidR="00F7113A" w:rsidRPr="00580C0D" w:rsidRDefault="00142E5B" w:rsidP="00BD6CF4">
            <w:r w:rsidRPr="00580C0D">
              <w:t>Krav til minstestandard på teknisk utstyr på yrkesfag</w:t>
            </w:r>
          </w:p>
        </w:tc>
        <w:tc>
          <w:tcPr>
            <w:tcW w:w="1140" w:type="dxa"/>
            <w:tcBorders>
              <w:top w:val="nil"/>
              <w:left w:val="nil"/>
              <w:bottom w:val="nil"/>
              <w:right w:val="nil"/>
            </w:tcBorders>
            <w:tcMar>
              <w:top w:w="128" w:type="dxa"/>
              <w:left w:w="43" w:type="dxa"/>
              <w:bottom w:w="43" w:type="dxa"/>
              <w:right w:w="43" w:type="dxa"/>
            </w:tcMar>
          </w:tcPr>
          <w:p w14:paraId="0BF3824F" w14:textId="77777777" w:rsidR="00F7113A" w:rsidRPr="00580C0D" w:rsidRDefault="00142E5B" w:rsidP="00BD6CF4">
            <w:pPr>
              <w:jc w:val="right"/>
            </w:pPr>
            <w:r w:rsidRPr="00580C0D">
              <w:t>Nei</w:t>
            </w:r>
          </w:p>
        </w:tc>
      </w:tr>
      <w:tr w:rsidR="00F7113A" w:rsidRPr="00580C0D" w14:paraId="54DE29F1"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402BB26E"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67690E55" w14:textId="77777777" w:rsidR="00F7113A" w:rsidRPr="00580C0D" w:rsidRDefault="00142E5B" w:rsidP="003C787D">
            <w:pPr>
              <w:ind w:right="170"/>
            </w:pPr>
            <w:r w:rsidRPr="00580C0D">
              <w:t>945</w:t>
            </w:r>
          </w:p>
        </w:tc>
        <w:tc>
          <w:tcPr>
            <w:tcW w:w="5680" w:type="dxa"/>
            <w:tcBorders>
              <w:top w:val="nil"/>
              <w:left w:val="nil"/>
              <w:bottom w:val="nil"/>
              <w:right w:val="nil"/>
            </w:tcBorders>
            <w:tcMar>
              <w:top w:w="128" w:type="dxa"/>
              <w:left w:w="43" w:type="dxa"/>
              <w:bottom w:w="43" w:type="dxa"/>
              <w:right w:w="43" w:type="dxa"/>
            </w:tcMar>
          </w:tcPr>
          <w:p w14:paraId="4457D40E" w14:textId="77777777" w:rsidR="00F7113A" w:rsidRPr="00580C0D" w:rsidRDefault="00142E5B" w:rsidP="00BD6CF4">
            <w:r w:rsidRPr="00580C0D">
              <w:t xml:space="preserve">Rekrutteringsstipend for </w:t>
            </w:r>
            <w:proofErr w:type="spellStart"/>
            <w:r w:rsidRPr="00580C0D">
              <w:t>yrkesfaglærarutdanning</w:t>
            </w:r>
            <w:proofErr w:type="spellEnd"/>
          </w:p>
        </w:tc>
        <w:tc>
          <w:tcPr>
            <w:tcW w:w="1140" w:type="dxa"/>
            <w:tcBorders>
              <w:top w:val="nil"/>
              <w:left w:val="nil"/>
              <w:bottom w:val="nil"/>
              <w:right w:val="nil"/>
            </w:tcBorders>
            <w:tcMar>
              <w:top w:w="128" w:type="dxa"/>
              <w:left w:w="43" w:type="dxa"/>
              <w:bottom w:w="43" w:type="dxa"/>
              <w:right w:w="43" w:type="dxa"/>
            </w:tcMar>
          </w:tcPr>
          <w:p w14:paraId="786EFC9E" w14:textId="77777777" w:rsidR="00F7113A" w:rsidRPr="00580C0D" w:rsidRDefault="00142E5B" w:rsidP="00BD6CF4">
            <w:pPr>
              <w:jc w:val="right"/>
            </w:pPr>
            <w:r w:rsidRPr="00580C0D">
              <w:t>Ja</w:t>
            </w:r>
          </w:p>
        </w:tc>
      </w:tr>
      <w:tr w:rsidR="00F7113A" w:rsidRPr="00580C0D" w14:paraId="53D84FD0"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9FBD5CB"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7D45C561" w14:textId="77777777" w:rsidR="00F7113A" w:rsidRPr="00580C0D" w:rsidRDefault="00142E5B" w:rsidP="003C787D">
            <w:pPr>
              <w:ind w:right="170"/>
            </w:pPr>
            <w:r w:rsidRPr="00580C0D">
              <w:t>947</w:t>
            </w:r>
          </w:p>
        </w:tc>
        <w:tc>
          <w:tcPr>
            <w:tcW w:w="5680" w:type="dxa"/>
            <w:tcBorders>
              <w:top w:val="nil"/>
              <w:left w:val="nil"/>
              <w:bottom w:val="nil"/>
              <w:right w:val="nil"/>
            </w:tcBorders>
            <w:tcMar>
              <w:top w:w="128" w:type="dxa"/>
              <w:left w:w="43" w:type="dxa"/>
              <w:bottom w:w="43" w:type="dxa"/>
              <w:right w:w="43" w:type="dxa"/>
            </w:tcMar>
          </w:tcPr>
          <w:p w14:paraId="78B20502" w14:textId="77777777" w:rsidR="00F7113A" w:rsidRPr="00580C0D" w:rsidRDefault="00142E5B" w:rsidP="00BD6CF4">
            <w:r w:rsidRPr="00580C0D">
              <w:t>Yrkesopplæringa tilpassa arbeidslivet</w:t>
            </w:r>
          </w:p>
        </w:tc>
        <w:tc>
          <w:tcPr>
            <w:tcW w:w="1140" w:type="dxa"/>
            <w:tcBorders>
              <w:top w:val="nil"/>
              <w:left w:val="nil"/>
              <w:bottom w:val="nil"/>
              <w:right w:val="nil"/>
            </w:tcBorders>
            <w:tcMar>
              <w:top w:w="128" w:type="dxa"/>
              <w:left w:w="43" w:type="dxa"/>
              <w:bottom w:w="43" w:type="dxa"/>
              <w:right w:w="43" w:type="dxa"/>
            </w:tcMar>
          </w:tcPr>
          <w:p w14:paraId="607717C8" w14:textId="77777777" w:rsidR="00F7113A" w:rsidRPr="00580C0D" w:rsidRDefault="00142E5B" w:rsidP="00BD6CF4">
            <w:pPr>
              <w:jc w:val="right"/>
            </w:pPr>
            <w:r w:rsidRPr="00580C0D">
              <w:t>Ja</w:t>
            </w:r>
          </w:p>
        </w:tc>
      </w:tr>
      <w:tr w:rsidR="00F7113A" w:rsidRPr="00580C0D" w14:paraId="7032CA78"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2C7AB794"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7AE17A82" w14:textId="77777777" w:rsidR="00F7113A" w:rsidRPr="00580C0D" w:rsidRDefault="00142E5B" w:rsidP="003C787D">
            <w:pPr>
              <w:ind w:right="170"/>
            </w:pPr>
            <w:r w:rsidRPr="00580C0D">
              <w:t>949</w:t>
            </w:r>
          </w:p>
        </w:tc>
        <w:tc>
          <w:tcPr>
            <w:tcW w:w="5680" w:type="dxa"/>
            <w:tcBorders>
              <w:top w:val="nil"/>
              <w:left w:val="nil"/>
              <w:bottom w:val="nil"/>
              <w:right w:val="nil"/>
            </w:tcBorders>
            <w:tcMar>
              <w:top w:w="128" w:type="dxa"/>
              <w:left w:w="43" w:type="dxa"/>
              <w:bottom w:w="43" w:type="dxa"/>
              <w:right w:w="43" w:type="dxa"/>
            </w:tcMar>
          </w:tcPr>
          <w:p w14:paraId="3725D3F3" w14:textId="77777777" w:rsidR="00F7113A" w:rsidRPr="00580C0D" w:rsidRDefault="00142E5B" w:rsidP="00BD6CF4">
            <w:r w:rsidRPr="00580C0D">
              <w:t xml:space="preserve">Undervisningsutstyr i tekniske fag i </w:t>
            </w:r>
            <w:proofErr w:type="spellStart"/>
            <w:r w:rsidRPr="00580C0D">
              <w:t>vidaregåande</w:t>
            </w:r>
            <w:proofErr w:type="spellEnd"/>
          </w:p>
        </w:tc>
        <w:tc>
          <w:tcPr>
            <w:tcW w:w="1140" w:type="dxa"/>
            <w:tcBorders>
              <w:top w:val="nil"/>
              <w:left w:val="nil"/>
              <w:bottom w:val="nil"/>
              <w:right w:val="nil"/>
            </w:tcBorders>
            <w:tcMar>
              <w:top w:w="128" w:type="dxa"/>
              <w:left w:w="43" w:type="dxa"/>
              <w:bottom w:w="43" w:type="dxa"/>
              <w:right w:w="43" w:type="dxa"/>
            </w:tcMar>
          </w:tcPr>
          <w:p w14:paraId="4140DB88" w14:textId="77777777" w:rsidR="00F7113A" w:rsidRPr="00580C0D" w:rsidRDefault="00142E5B" w:rsidP="00BD6CF4">
            <w:pPr>
              <w:jc w:val="right"/>
            </w:pPr>
            <w:r w:rsidRPr="00580C0D">
              <w:t>Nei</w:t>
            </w:r>
          </w:p>
        </w:tc>
      </w:tr>
      <w:tr w:rsidR="00F7113A" w:rsidRPr="00580C0D" w14:paraId="5B388E40"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78E442B"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57DA1916" w14:textId="77777777" w:rsidR="00F7113A" w:rsidRPr="00580C0D" w:rsidRDefault="00142E5B" w:rsidP="003C787D">
            <w:pPr>
              <w:ind w:right="170"/>
            </w:pPr>
            <w:r w:rsidRPr="00580C0D">
              <w:t>1017</w:t>
            </w:r>
          </w:p>
        </w:tc>
        <w:tc>
          <w:tcPr>
            <w:tcW w:w="5680" w:type="dxa"/>
            <w:tcBorders>
              <w:top w:val="nil"/>
              <w:left w:val="nil"/>
              <w:bottom w:val="nil"/>
              <w:right w:val="nil"/>
            </w:tcBorders>
            <w:tcMar>
              <w:top w:w="128" w:type="dxa"/>
              <w:left w:w="43" w:type="dxa"/>
              <w:bottom w:w="43" w:type="dxa"/>
              <w:right w:w="43" w:type="dxa"/>
            </w:tcMar>
          </w:tcPr>
          <w:p w14:paraId="6501374F" w14:textId="77777777" w:rsidR="00F7113A" w:rsidRPr="00580C0D" w:rsidRDefault="00142E5B" w:rsidP="00BD6CF4">
            <w:proofErr w:type="spellStart"/>
            <w:r w:rsidRPr="00580C0D">
              <w:t>Opplæringslova</w:t>
            </w:r>
            <w:proofErr w:type="spellEnd"/>
            <w:r w:rsidRPr="00580C0D">
              <w:t>, barnehagelova og FNs barnekonvensjon</w:t>
            </w:r>
          </w:p>
        </w:tc>
        <w:tc>
          <w:tcPr>
            <w:tcW w:w="1140" w:type="dxa"/>
            <w:tcBorders>
              <w:top w:val="nil"/>
              <w:left w:val="nil"/>
              <w:bottom w:val="nil"/>
              <w:right w:val="nil"/>
            </w:tcBorders>
            <w:tcMar>
              <w:top w:w="128" w:type="dxa"/>
              <w:left w:w="43" w:type="dxa"/>
              <w:bottom w:w="43" w:type="dxa"/>
              <w:right w:w="43" w:type="dxa"/>
            </w:tcMar>
          </w:tcPr>
          <w:p w14:paraId="7AB3B520" w14:textId="77777777" w:rsidR="00F7113A" w:rsidRPr="00580C0D" w:rsidRDefault="00142E5B" w:rsidP="00BD6CF4">
            <w:pPr>
              <w:jc w:val="right"/>
            </w:pPr>
            <w:r w:rsidRPr="00580C0D">
              <w:t>Ja</w:t>
            </w:r>
          </w:p>
        </w:tc>
      </w:tr>
      <w:tr w:rsidR="00F7113A" w:rsidRPr="00580C0D" w14:paraId="5112AB3B"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23B61062"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1A9F3EFE" w14:textId="77777777" w:rsidR="00F7113A" w:rsidRPr="00580C0D" w:rsidRDefault="00142E5B" w:rsidP="003C787D">
            <w:pPr>
              <w:ind w:right="170"/>
            </w:pPr>
            <w:r w:rsidRPr="00580C0D">
              <w:t>1018</w:t>
            </w:r>
          </w:p>
        </w:tc>
        <w:tc>
          <w:tcPr>
            <w:tcW w:w="5680" w:type="dxa"/>
            <w:tcBorders>
              <w:top w:val="nil"/>
              <w:left w:val="nil"/>
              <w:bottom w:val="nil"/>
              <w:right w:val="nil"/>
            </w:tcBorders>
            <w:tcMar>
              <w:top w:w="128" w:type="dxa"/>
              <w:left w:w="43" w:type="dxa"/>
              <w:bottom w:w="43" w:type="dxa"/>
              <w:right w:w="43" w:type="dxa"/>
            </w:tcMar>
          </w:tcPr>
          <w:p w14:paraId="6A40635F" w14:textId="77777777" w:rsidR="00F7113A" w:rsidRPr="00580C0D" w:rsidRDefault="00142E5B" w:rsidP="00BD6CF4">
            <w:r w:rsidRPr="00580C0D">
              <w:t>Fjernundervisning og opplæringslova</w:t>
            </w:r>
          </w:p>
        </w:tc>
        <w:tc>
          <w:tcPr>
            <w:tcW w:w="1140" w:type="dxa"/>
            <w:tcBorders>
              <w:top w:val="nil"/>
              <w:left w:val="nil"/>
              <w:bottom w:val="nil"/>
              <w:right w:val="nil"/>
            </w:tcBorders>
            <w:tcMar>
              <w:top w:w="128" w:type="dxa"/>
              <w:left w:w="43" w:type="dxa"/>
              <w:bottom w:w="43" w:type="dxa"/>
              <w:right w:w="43" w:type="dxa"/>
            </w:tcMar>
          </w:tcPr>
          <w:p w14:paraId="43313031" w14:textId="77777777" w:rsidR="00F7113A" w:rsidRPr="00580C0D" w:rsidRDefault="00142E5B" w:rsidP="00BD6CF4">
            <w:pPr>
              <w:jc w:val="right"/>
            </w:pPr>
            <w:r w:rsidRPr="00580C0D">
              <w:t>Ja</w:t>
            </w:r>
          </w:p>
        </w:tc>
      </w:tr>
      <w:tr w:rsidR="00F7113A" w:rsidRPr="00580C0D" w14:paraId="4EE97DDB"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543FD1B2"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2F5C7CA5" w14:textId="77777777" w:rsidR="00F7113A" w:rsidRPr="00580C0D" w:rsidRDefault="00142E5B" w:rsidP="003C787D">
            <w:pPr>
              <w:ind w:right="170"/>
            </w:pPr>
            <w:r w:rsidRPr="00580C0D">
              <w:t>1069</w:t>
            </w:r>
          </w:p>
        </w:tc>
        <w:tc>
          <w:tcPr>
            <w:tcW w:w="5680" w:type="dxa"/>
            <w:tcBorders>
              <w:top w:val="nil"/>
              <w:left w:val="nil"/>
              <w:bottom w:val="nil"/>
              <w:right w:val="nil"/>
            </w:tcBorders>
            <w:tcMar>
              <w:top w:w="128" w:type="dxa"/>
              <w:left w:w="43" w:type="dxa"/>
              <w:bottom w:w="43" w:type="dxa"/>
              <w:right w:w="43" w:type="dxa"/>
            </w:tcMar>
          </w:tcPr>
          <w:p w14:paraId="0A269DC3" w14:textId="77777777" w:rsidR="00F7113A" w:rsidRPr="00580C0D" w:rsidRDefault="00142E5B" w:rsidP="00BD6CF4">
            <w:r w:rsidRPr="00580C0D">
              <w:t xml:space="preserve">Rett til innføringsfag i </w:t>
            </w:r>
            <w:proofErr w:type="spellStart"/>
            <w:r w:rsidRPr="00580C0D">
              <w:t>vidaregåande</w:t>
            </w:r>
            <w:proofErr w:type="spellEnd"/>
            <w:r w:rsidRPr="00580C0D">
              <w:t xml:space="preserve"> opplæring</w:t>
            </w:r>
          </w:p>
        </w:tc>
        <w:tc>
          <w:tcPr>
            <w:tcW w:w="1140" w:type="dxa"/>
            <w:tcBorders>
              <w:top w:val="nil"/>
              <w:left w:val="nil"/>
              <w:bottom w:val="nil"/>
              <w:right w:val="nil"/>
            </w:tcBorders>
            <w:tcMar>
              <w:top w:w="128" w:type="dxa"/>
              <w:left w:w="43" w:type="dxa"/>
              <w:bottom w:w="43" w:type="dxa"/>
              <w:right w:w="43" w:type="dxa"/>
            </w:tcMar>
          </w:tcPr>
          <w:p w14:paraId="067EF0D3" w14:textId="77777777" w:rsidR="00F7113A" w:rsidRPr="00580C0D" w:rsidRDefault="00142E5B" w:rsidP="00BD6CF4">
            <w:pPr>
              <w:jc w:val="right"/>
            </w:pPr>
            <w:r w:rsidRPr="00580C0D">
              <w:t>Ja</w:t>
            </w:r>
          </w:p>
        </w:tc>
      </w:tr>
      <w:tr w:rsidR="00F7113A" w:rsidRPr="00580C0D" w14:paraId="1BC2C3E4"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E8E2507"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5E2F8204" w14:textId="77777777" w:rsidR="00F7113A" w:rsidRPr="00580C0D" w:rsidRDefault="00142E5B" w:rsidP="003C787D">
            <w:pPr>
              <w:ind w:right="170"/>
            </w:pPr>
            <w:r w:rsidRPr="00580C0D">
              <w:t>1070</w:t>
            </w:r>
          </w:p>
        </w:tc>
        <w:tc>
          <w:tcPr>
            <w:tcW w:w="5680" w:type="dxa"/>
            <w:tcBorders>
              <w:top w:val="nil"/>
              <w:left w:val="nil"/>
              <w:bottom w:val="nil"/>
              <w:right w:val="nil"/>
            </w:tcBorders>
            <w:tcMar>
              <w:top w:w="128" w:type="dxa"/>
              <w:left w:w="43" w:type="dxa"/>
              <w:bottom w:w="43" w:type="dxa"/>
              <w:right w:w="43" w:type="dxa"/>
            </w:tcMar>
          </w:tcPr>
          <w:p w14:paraId="5F9BB2AF" w14:textId="77777777" w:rsidR="00F7113A" w:rsidRPr="00580C0D" w:rsidRDefault="00142E5B" w:rsidP="00BD6CF4">
            <w:r w:rsidRPr="00580C0D">
              <w:t xml:space="preserve">Sluttkompetanse i </w:t>
            </w:r>
            <w:proofErr w:type="spellStart"/>
            <w:r w:rsidRPr="00580C0D">
              <w:t>vidaregåande</w:t>
            </w:r>
            <w:proofErr w:type="spellEnd"/>
            <w:r w:rsidRPr="00580C0D">
              <w:t xml:space="preserve"> skule</w:t>
            </w:r>
          </w:p>
        </w:tc>
        <w:tc>
          <w:tcPr>
            <w:tcW w:w="1140" w:type="dxa"/>
            <w:tcBorders>
              <w:top w:val="nil"/>
              <w:left w:val="nil"/>
              <w:bottom w:val="nil"/>
              <w:right w:val="nil"/>
            </w:tcBorders>
            <w:tcMar>
              <w:top w:w="128" w:type="dxa"/>
              <w:left w:w="43" w:type="dxa"/>
              <w:bottom w:w="43" w:type="dxa"/>
              <w:right w:w="43" w:type="dxa"/>
            </w:tcMar>
          </w:tcPr>
          <w:p w14:paraId="7322DE9B" w14:textId="77777777" w:rsidR="00F7113A" w:rsidRPr="00580C0D" w:rsidRDefault="00142E5B" w:rsidP="00BD6CF4">
            <w:pPr>
              <w:jc w:val="right"/>
            </w:pPr>
            <w:r w:rsidRPr="00580C0D">
              <w:t>Nei</w:t>
            </w:r>
          </w:p>
        </w:tc>
      </w:tr>
      <w:tr w:rsidR="00F7113A" w:rsidRPr="00580C0D" w14:paraId="07B90365"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19E1C4BE"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0545685F" w14:textId="77777777" w:rsidR="00F7113A" w:rsidRPr="00580C0D" w:rsidRDefault="00142E5B" w:rsidP="003C787D">
            <w:pPr>
              <w:ind w:right="170"/>
            </w:pPr>
            <w:r w:rsidRPr="00580C0D">
              <w:t>1071</w:t>
            </w:r>
          </w:p>
        </w:tc>
        <w:tc>
          <w:tcPr>
            <w:tcW w:w="5680" w:type="dxa"/>
            <w:tcBorders>
              <w:top w:val="nil"/>
              <w:left w:val="nil"/>
              <w:bottom w:val="nil"/>
              <w:right w:val="nil"/>
            </w:tcBorders>
            <w:tcMar>
              <w:top w:w="128" w:type="dxa"/>
              <w:left w:w="43" w:type="dxa"/>
              <w:bottom w:w="43" w:type="dxa"/>
              <w:right w:w="43" w:type="dxa"/>
            </w:tcMar>
          </w:tcPr>
          <w:p w14:paraId="52C1B298" w14:textId="77777777" w:rsidR="00F7113A" w:rsidRPr="00580C0D" w:rsidRDefault="00142E5B" w:rsidP="00BD6CF4">
            <w:r w:rsidRPr="00580C0D">
              <w:t xml:space="preserve">Overgangskurs i </w:t>
            </w:r>
            <w:proofErr w:type="spellStart"/>
            <w:r w:rsidRPr="00580C0D">
              <w:t>vidaregåande</w:t>
            </w:r>
            <w:proofErr w:type="spellEnd"/>
            <w:r w:rsidRPr="00580C0D">
              <w:t xml:space="preserve"> opplæring</w:t>
            </w:r>
          </w:p>
        </w:tc>
        <w:tc>
          <w:tcPr>
            <w:tcW w:w="1140" w:type="dxa"/>
            <w:tcBorders>
              <w:top w:val="nil"/>
              <w:left w:val="nil"/>
              <w:bottom w:val="nil"/>
              <w:right w:val="nil"/>
            </w:tcBorders>
            <w:tcMar>
              <w:top w:w="128" w:type="dxa"/>
              <w:left w:w="43" w:type="dxa"/>
              <w:bottom w:w="43" w:type="dxa"/>
              <w:right w:w="43" w:type="dxa"/>
            </w:tcMar>
          </w:tcPr>
          <w:p w14:paraId="6BED3FE4" w14:textId="77777777" w:rsidR="00F7113A" w:rsidRPr="00580C0D" w:rsidRDefault="00142E5B" w:rsidP="00BD6CF4">
            <w:pPr>
              <w:jc w:val="right"/>
            </w:pPr>
            <w:r w:rsidRPr="00580C0D">
              <w:t>Nei</w:t>
            </w:r>
          </w:p>
        </w:tc>
      </w:tr>
      <w:tr w:rsidR="00F7113A" w:rsidRPr="00580C0D" w14:paraId="59566CEF"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5FC3ED04"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7A689C8C" w14:textId="77777777" w:rsidR="00F7113A" w:rsidRPr="00580C0D" w:rsidRDefault="00142E5B" w:rsidP="003C787D">
            <w:pPr>
              <w:ind w:right="170"/>
            </w:pPr>
            <w:r w:rsidRPr="00580C0D">
              <w:t>1072</w:t>
            </w:r>
          </w:p>
        </w:tc>
        <w:tc>
          <w:tcPr>
            <w:tcW w:w="5680" w:type="dxa"/>
            <w:tcBorders>
              <w:top w:val="nil"/>
              <w:left w:val="nil"/>
              <w:bottom w:val="nil"/>
              <w:right w:val="nil"/>
            </w:tcBorders>
            <w:tcMar>
              <w:top w:w="128" w:type="dxa"/>
              <w:left w:w="43" w:type="dxa"/>
              <w:bottom w:w="43" w:type="dxa"/>
              <w:right w:w="43" w:type="dxa"/>
            </w:tcMar>
          </w:tcPr>
          <w:p w14:paraId="1A4AAEDB" w14:textId="77777777" w:rsidR="00F7113A" w:rsidRPr="00580C0D" w:rsidRDefault="00142E5B" w:rsidP="00BD6CF4">
            <w:proofErr w:type="spellStart"/>
            <w:r w:rsidRPr="00580C0D">
              <w:t>Overgangstilbod</w:t>
            </w:r>
            <w:proofErr w:type="spellEnd"/>
            <w:r w:rsidRPr="00580C0D">
              <w:t xml:space="preserve"> i </w:t>
            </w:r>
            <w:proofErr w:type="spellStart"/>
            <w:r w:rsidRPr="00580C0D">
              <w:t>vidaregåande</w:t>
            </w:r>
            <w:proofErr w:type="spellEnd"/>
            <w:r w:rsidRPr="00580C0D">
              <w:t xml:space="preserve"> opplæring</w:t>
            </w:r>
          </w:p>
        </w:tc>
        <w:tc>
          <w:tcPr>
            <w:tcW w:w="1140" w:type="dxa"/>
            <w:tcBorders>
              <w:top w:val="nil"/>
              <w:left w:val="nil"/>
              <w:bottom w:val="nil"/>
              <w:right w:val="nil"/>
            </w:tcBorders>
            <w:tcMar>
              <w:top w:w="128" w:type="dxa"/>
              <w:left w:w="43" w:type="dxa"/>
              <w:bottom w:w="43" w:type="dxa"/>
              <w:right w:w="43" w:type="dxa"/>
            </w:tcMar>
          </w:tcPr>
          <w:p w14:paraId="3E22D51C" w14:textId="77777777" w:rsidR="00F7113A" w:rsidRPr="00580C0D" w:rsidRDefault="00142E5B" w:rsidP="00BD6CF4">
            <w:pPr>
              <w:jc w:val="right"/>
            </w:pPr>
            <w:r w:rsidRPr="00580C0D">
              <w:t>Nei</w:t>
            </w:r>
          </w:p>
        </w:tc>
      </w:tr>
      <w:tr w:rsidR="00F7113A" w:rsidRPr="00580C0D" w14:paraId="1D10D1E1"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39DFDE4"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3F21F157" w14:textId="77777777" w:rsidR="00F7113A" w:rsidRPr="00580C0D" w:rsidRDefault="00142E5B" w:rsidP="003C787D">
            <w:pPr>
              <w:ind w:right="170"/>
            </w:pPr>
            <w:r w:rsidRPr="00580C0D">
              <w:t>1074</w:t>
            </w:r>
          </w:p>
        </w:tc>
        <w:tc>
          <w:tcPr>
            <w:tcW w:w="5680" w:type="dxa"/>
            <w:tcBorders>
              <w:top w:val="nil"/>
              <w:left w:val="nil"/>
              <w:bottom w:val="nil"/>
              <w:right w:val="nil"/>
            </w:tcBorders>
            <w:tcMar>
              <w:top w:w="128" w:type="dxa"/>
              <w:left w:w="43" w:type="dxa"/>
              <w:bottom w:w="43" w:type="dxa"/>
              <w:right w:w="43" w:type="dxa"/>
            </w:tcMar>
          </w:tcPr>
          <w:p w14:paraId="14346475" w14:textId="77777777" w:rsidR="00F7113A" w:rsidRPr="00580C0D" w:rsidRDefault="00142E5B" w:rsidP="00BD6CF4">
            <w:proofErr w:type="spellStart"/>
            <w:r w:rsidRPr="00580C0D">
              <w:t>Tilbod</w:t>
            </w:r>
            <w:proofErr w:type="spellEnd"/>
            <w:r w:rsidRPr="00580C0D">
              <w:t xml:space="preserve"> om praksisbrev i </w:t>
            </w:r>
            <w:proofErr w:type="spellStart"/>
            <w:r w:rsidRPr="00580C0D">
              <w:t>vidaregåande</w:t>
            </w:r>
            <w:proofErr w:type="spellEnd"/>
            <w:r w:rsidRPr="00580C0D">
              <w:t xml:space="preserve"> opplæring</w:t>
            </w:r>
          </w:p>
        </w:tc>
        <w:tc>
          <w:tcPr>
            <w:tcW w:w="1140" w:type="dxa"/>
            <w:tcBorders>
              <w:top w:val="nil"/>
              <w:left w:val="nil"/>
              <w:bottom w:val="nil"/>
              <w:right w:val="nil"/>
            </w:tcBorders>
            <w:tcMar>
              <w:top w:w="128" w:type="dxa"/>
              <w:left w:w="43" w:type="dxa"/>
              <w:bottom w:w="43" w:type="dxa"/>
              <w:right w:w="43" w:type="dxa"/>
            </w:tcMar>
          </w:tcPr>
          <w:p w14:paraId="38FEABC7" w14:textId="77777777" w:rsidR="00F7113A" w:rsidRPr="00580C0D" w:rsidRDefault="00142E5B" w:rsidP="00BD6CF4">
            <w:pPr>
              <w:jc w:val="right"/>
            </w:pPr>
            <w:r w:rsidRPr="00580C0D">
              <w:t>Ja</w:t>
            </w:r>
          </w:p>
        </w:tc>
      </w:tr>
      <w:tr w:rsidR="00F7113A" w:rsidRPr="00580C0D" w14:paraId="42248110"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29505D63"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0B1B5EBB" w14:textId="77777777" w:rsidR="00F7113A" w:rsidRPr="00580C0D" w:rsidRDefault="00142E5B" w:rsidP="003C787D">
            <w:pPr>
              <w:ind w:right="170"/>
            </w:pPr>
            <w:r w:rsidRPr="00580C0D">
              <w:t>1075</w:t>
            </w:r>
          </w:p>
        </w:tc>
        <w:tc>
          <w:tcPr>
            <w:tcW w:w="5680" w:type="dxa"/>
            <w:tcBorders>
              <w:top w:val="nil"/>
              <w:left w:val="nil"/>
              <w:bottom w:val="nil"/>
              <w:right w:val="nil"/>
            </w:tcBorders>
            <w:tcMar>
              <w:top w:w="128" w:type="dxa"/>
              <w:left w:w="43" w:type="dxa"/>
              <w:bottom w:w="43" w:type="dxa"/>
              <w:right w:w="43" w:type="dxa"/>
            </w:tcMar>
          </w:tcPr>
          <w:p w14:paraId="340DF584" w14:textId="77777777" w:rsidR="00F7113A" w:rsidRPr="00580C0D" w:rsidRDefault="00142E5B" w:rsidP="00BD6CF4">
            <w:proofErr w:type="spellStart"/>
            <w:r w:rsidRPr="00580C0D">
              <w:t>Vekslingsmodellar</w:t>
            </w:r>
            <w:proofErr w:type="spellEnd"/>
            <w:r w:rsidRPr="00580C0D">
              <w:t xml:space="preserve"> i </w:t>
            </w:r>
            <w:proofErr w:type="spellStart"/>
            <w:r w:rsidRPr="00580C0D">
              <w:t>vidaregåande</w:t>
            </w:r>
            <w:proofErr w:type="spellEnd"/>
            <w:r w:rsidRPr="00580C0D">
              <w:t xml:space="preserve"> opplæring</w:t>
            </w:r>
          </w:p>
        </w:tc>
        <w:tc>
          <w:tcPr>
            <w:tcW w:w="1140" w:type="dxa"/>
            <w:tcBorders>
              <w:top w:val="nil"/>
              <w:left w:val="nil"/>
              <w:bottom w:val="nil"/>
              <w:right w:val="nil"/>
            </w:tcBorders>
            <w:tcMar>
              <w:top w:w="128" w:type="dxa"/>
              <w:left w:w="43" w:type="dxa"/>
              <w:bottom w:w="43" w:type="dxa"/>
              <w:right w:w="43" w:type="dxa"/>
            </w:tcMar>
          </w:tcPr>
          <w:p w14:paraId="16908AAB" w14:textId="77777777" w:rsidR="00F7113A" w:rsidRPr="00580C0D" w:rsidRDefault="00142E5B" w:rsidP="00BD6CF4">
            <w:pPr>
              <w:jc w:val="right"/>
            </w:pPr>
            <w:r w:rsidRPr="00580C0D">
              <w:t>Ja</w:t>
            </w:r>
          </w:p>
        </w:tc>
      </w:tr>
      <w:tr w:rsidR="00F7113A" w:rsidRPr="00580C0D" w14:paraId="6B952C55"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0D780C78"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51832046" w14:textId="77777777" w:rsidR="00F7113A" w:rsidRPr="00580C0D" w:rsidRDefault="00142E5B" w:rsidP="003C787D">
            <w:pPr>
              <w:ind w:right="170"/>
            </w:pPr>
            <w:r w:rsidRPr="00580C0D">
              <w:t>1076</w:t>
            </w:r>
          </w:p>
        </w:tc>
        <w:tc>
          <w:tcPr>
            <w:tcW w:w="5680" w:type="dxa"/>
            <w:tcBorders>
              <w:top w:val="nil"/>
              <w:left w:val="nil"/>
              <w:bottom w:val="nil"/>
              <w:right w:val="nil"/>
            </w:tcBorders>
            <w:tcMar>
              <w:top w:w="128" w:type="dxa"/>
              <w:left w:w="43" w:type="dxa"/>
              <w:bottom w:w="43" w:type="dxa"/>
              <w:right w:w="43" w:type="dxa"/>
            </w:tcMar>
          </w:tcPr>
          <w:p w14:paraId="2E79FE9D" w14:textId="77777777" w:rsidR="00F7113A" w:rsidRPr="00580C0D" w:rsidRDefault="00142E5B" w:rsidP="00BD6CF4">
            <w:r w:rsidRPr="00580C0D">
              <w:t xml:space="preserve">Forsterka oppfølgingsansvar i </w:t>
            </w:r>
            <w:proofErr w:type="spellStart"/>
            <w:r w:rsidRPr="00580C0D">
              <w:t>vidaregåande</w:t>
            </w:r>
            <w:proofErr w:type="spellEnd"/>
            <w:r w:rsidRPr="00580C0D">
              <w:t xml:space="preserve"> opplæring</w:t>
            </w:r>
          </w:p>
        </w:tc>
        <w:tc>
          <w:tcPr>
            <w:tcW w:w="1140" w:type="dxa"/>
            <w:tcBorders>
              <w:top w:val="nil"/>
              <w:left w:val="nil"/>
              <w:bottom w:val="nil"/>
              <w:right w:val="nil"/>
            </w:tcBorders>
            <w:tcMar>
              <w:top w:w="128" w:type="dxa"/>
              <w:left w:w="43" w:type="dxa"/>
              <w:bottom w:w="43" w:type="dxa"/>
              <w:right w:w="43" w:type="dxa"/>
            </w:tcMar>
          </w:tcPr>
          <w:p w14:paraId="19299711" w14:textId="77777777" w:rsidR="00F7113A" w:rsidRPr="00580C0D" w:rsidRDefault="00142E5B" w:rsidP="00BD6CF4">
            <w:pPr>
              <w:jc w:val="right"/>
            </w:pPr>
            <w:r w:rsidRPr="00580C0D">
              <w:t>Ja</w:t>
            </w:r>
          </w:p>
        </w:tc>
      </w:tr>
      <w:tr w:rsidR="00F7113A" w:rsidRPr="00580C0D" w14:paraId="3F5893F0"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54D2ABD1"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31166358" w14:textId="77777777" w:rsidR="00F7113A" w:rsidRPr="00580C0D" w:rsidRDefault="00142E5B" w:rsidP="003C787D">
            <w:pPr>
              <w:ind w:right="170"/>
            </w:pPr>
            <w:r w:rsidRPr="00580C0D">
              <w:t>1078</w:t>
            </w:r>
          </w:p>
        </w:tc>
        <w:tc>
          <w:tcPr>
            <w:tcW w:w="5680" w:type="dxa"/>
            <w:tcBorders>
              <w:top w:val="nil"/>
              <w:left w:val="nil"/>
              <w:bottom w:val="nil"/>
              <w:right w:val="nil"/>
            </w:tcBorders>
            <w:tcMar>
              <w:top w:w="128" w:type="dxa"/>
              <w:left w:w="43" w:type="dxa"/>
              <w:bottom w:w="43" w:type="dxa"/>
              <w:right w:w="43" w:type="dxa"/>
            </w:tcMar>
          </w:tcPr>
          <w:p w14:paraId="42EDE875" w14:textId="77777777" w:rsidR="00F7113A" w:rsidRPr="00580C0D" w:rsidRDefault="00142E5B" w:rsidP="00BD6CF4">
            <w:r w:rsidRPr="00580C0D">
              <w:t>Opplæringskontor og lærebedrifter</w:t>
            </w:r>
          </w:p>
        </w:tc>
        <w:tc>
          <w:tcPr>
            <w:tcW w:w="1140" w:type="dxa"/>
            <w:tcBorders>
              <w:top w:val="nil"/>
              <w:left w:val="nil"/>
              <w:bottom w:val="nil"/>
              <w:right w:val="nil"/>
            </w:tcBorders>
            <w:tcMar>
              <w:top w:w="128" w:type="dxa"/>
              <w:left w:w="43" w:type="dxa"/>
              <w:bottom w:w="43" w:type="dxa"/>
              <w:right w:w="43" w:type="dxa"/>
            </w:tcMar>
          </w:tcPr>
          <w:p w14:paraId="3BFBA0E7" w14:textId="77777777" w:rsidR="00F7113A" w:rsidRPr="00580C0D" w:rsidRDefault="00142E5B" w:rsidP="00BD6CF4">
            <w:pPr>
              <w:jc w:val="right"/>
            </w:pPr>
            <w:r w:rsidRPr="00580C0D">
              <w:t>Ja</w:t>
            </w:r>
          </w:p>
        </w:tc>
      </w:tr>
      <w:tr w:rsidR="00F7113A" w:rsidRPr="00580C0D" w14:paraId="0D4F9762"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443025BE" w14:textId="77777777" w:rsidR="00F7113A" w:rsidRPr="00580C0D" w:rsidRDefault="00142E5B" w:rsidP="00BD6CF4">
            <w:r w:rsidRPr="00580C0D">
              <w:t>2020–2021</w:t>
            </w:r>
          </w:p>
        </w:tc>
        <w:tc>
          <w:tcPr>
            <w:tcW w:w="1340" w:type="dxa"/>
            <w:tcBorders>
              <w:top w:val="nil"/>
              <w:left w:val="nil"/>
              <w:bottom w:val="nil"/>
              <w:right w:val="nil"/>
            </w:tcBorders>
            <w:tcMar>
              <w:top w:w="128" w:type="dxa"/>
              <w:left w:w="43" w:type="dxa"/>
              <w:bottom w:w="43" w:type="dxa"/>
              <w:right w:w="43" w:type="dxa"/>
            </w:tcMar>
          </w:tcPr>
          <w:p w14:paraId="0624D5C6" w14:textId="77777777" w:rsidR="00F7113A" w:rsidRPr="00580C0D" w:rsidRDefault="00142E5B" w:rsidP="003C787D">
            <w:pPr>
              <w:ind w:right="170"/>
            </w:pPr>
            <w:r w:rsidRPr="00580C0D">
              <w:t>1104</w:t>
            </w:r>
          </w:p>
        </w:tc>
        <w:tc>
          <w:tcPr>
            <w:tcW w:w="5680" w:type="dxa"/>
            <w:tcBorders>
              <w:top w:val="nil"/>
              <w:left w:val="nil"/>
              <w:bottom w:val="nil"/>
              <w:right w:val="nil"/>
            </w:tcBorders>
            <w:tcMar>
              <w:top w:w="128" w:type="dxa"/>
              <w:left w:w="43" w:type="dxa"/>
              <w:bottom w:w="43" w:type="dxa"/>
              <w:right w:w="43" w:type="dxa"/>
            </w:tcMar>
          </w:tcPr>
          <w:p w14:paraId="4E29C80C" w14:textId="77777777" w:rsidR="00F7113A" w:rsidRPr="00580C0D" w:rsidRDefault="00142E5B" w:rsidP="00BD6CF4">
            <w:proofErr w:type="spellStart"/>
            <w:r w:rsidRPr="00580C0D">
              <w:t>Heilskaplege</w:t>
            </w:r>
            <w:proofErr w:type="spellEnd"/>
            <w:r w:rsidRPr="00580C0D">
              <w:t xml:space="preserve"> og koordinerte </w:t>
            </w:r>
            <w:proofErr w:type="spellStart"/>
            <w:r w:rsidRPr="00580C0D">
              <w:t>tenester</w:t>
            </w:r>
            <w:proofErr w:type="spellEnd"/>
          </w:p>
        </w:tc>
        <w:tc>
          <w:tcPr>
            <w:tcW w:w="1140" w:type="dxa"/>
            <w:tcBorders>
              <w:top w:val="nil"/>
              <w:left w:val="nil"/>
              <w:bottom w:val="nil"/>
              <w:right w:val="nil"/>
            </w:tcBorders>
            <w:tcMar>
              <w:top w:w="128" w:type="dxa"/>
              <w:left w:w="43" w:type="dxa"/>
              <w:bottom w:w="43" w:type="dxa"/>
              <w:right w:w="43" w:type="dxa"/>
            </w:tcMar>
          </w:tcPr>
          <w:p w14:paraId="33EC5A43" w14:textId="77777777" w:rsidR="00F7113A" w:rsidRPr="00580C0D" w:rsidRDefault="00142E5B" w:rsidP="00BD6CF4">
            <w:pPr>
              <w:jc w:val="right"/>
            </w:pPr>
            <w:r w:rsidRPr="00580C0D">
              <w:t>Nei</w:t>
            </w:r>
          </w:p>
        </w:tc>
      </w:tr>
      <w:tr w:rsidR="00F7113A" w:rsidRPr="00580C0D" w14:paraId="69FBF417"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416F3250" w14:textId="77777777" w:rsidR="00F7113A" w:rsidRPr="00580C0D" w:rsidRDefault="00142E5B" w:rsidP="00BD6CF4">
            <w:r w:rsidRPr="00580C0D">
              <w:t>2019–2020</w:t>
            </w:r>
          </w:p>
        </w:tc>
        <w:tc>
          <w:tcPr>
            <w:tcW w:w="1340" w:type="dxa"/>
            <w:tcBorders>
              <w:top w:val="nil"/>
              <w:left w:val="nil"/>
              <w:bottom w:val="nil"/>
              <w:right w:val="nil"/>
            </w:tcBorders>
            <w:tcMar>
              <w:top w:w="128" w:type="dxa"/>
              <w:left w:w="43" w:type="dxa"/>
              <w:bottom w:w="43" w:type="dxa"/>
              <w:right w:w="43" w:type="dxa"/>
            </w:tcMar>
          </w:tcPr>
          <w:p w14:paraId="61EA0B3D" w14:textId="77777777" w:rsidR="00F7113A" w:rsidRPr="00580C0D" w:rsidRDefault="00142E5B" w:rsidP="003C787D">
            <w:pPr>
              <w:ind w:right="170"/>
            </w:pPr>
            <w:r w:rsidRPr="00580C0D">
              <w:t>698</w:t>
            </w:r>
          </w:p>
        </w:tc>
        <w:tc>
          <w:tcPr>
            <w:tcW w:w="5680" w:type="dxa"/>
            <w:tcBorders>
              <w:top w:val="nil"/>
              <w:left w:val="nil"/>
              <w:bottom w:val="nil"/>
              <w:right w:val="nil"/>
            </w:tcBorders>
            <w:tcMar>
              <w:top w:w="128" w:type="dxa"/>
              <w:left w:w="43" w:type="dxa"/>
              <w:bottom w:w="43" w:type="dxa"/>
              <w:right w:w="43" w:type="dxa"/>
            </w:tcMar>
          </w:tcPr>
          <w:p w14:paraId="6ABE1DBE" w14:textId="77777777" w:rsidR="00F7113A" w:rsidRPr="00580C0D" w:rsidRDefault="00142E5B" w:rsidP="00BD6CF4">
            <w:r w:rsidRPr="00580C0D">
              <w:t>Rett til kompetanseheving i arbeidslivet</w:t>
            </w:r>
          </w:p>
        </w:tc>
        <w:tc>
          <w:tcPr>
            <w:tcW w:w="1140" w:type="dxa"/>
            <w:tcBorders>
              <w:top w:val="nil"/>
              <w:left w:val="nil"/>
              <w:bottom w:val="nil"/>
              <w:right w:val="nil"/>
            </w:tcBorders>
            <w:tcMar>
              <w:top w:w="128" w:type="dxa"/>
              <w:left w:w="43" w:type="dxa"/>
              <w:bottom w:w="43" w:type="dxa"/>
              <w:right w:w="43" w:type="dxa"/>
            </w:tcMar>
          </w:tcPr>
          <w:p w14:paraId="1A87E229" w14:textId="77777777" w:rsidR="00F7113A" w:rsidRPr="00580C0D" w:rsidRDefault="00142E5B" w:rsidP="00BD6CF4">
            <w:pPr>
              <w:jc w:val="right"/>
            </w:pPr>
            <w:r w:rsidRPr="00580C0D">
              <w:t>Ja</w:t>
            </w:r>
          </w:p>
        </w:tc>
      </w:tr>
      <w:tr w:rsidR="00F7113A" w:rsidRPr="00580C0D" w14:paraId="61CD9619"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01D01537" w14:textId="77777777" w:rsidR="00F7113A" w:rsidRPr="00580C0D" w:rsidRDefault="00142E5B" w:rsidP="00BD6CF4">
            <w:r w:rsidRPr="00580C0D">
              <w:t>2019–2020</w:t>
            </w:r>
          </w:p>
        </w:tc>
        <w:tc>
          <w:tcPr>
            <w:tcW w:w="1340" w:type="dxa"/>
            <w:tcBorders>
              <w:top w:val="nil"/>
              <w:left w:val="nil"/>
              <w:bottom w:val="nil"/>
              <w:right w:val="nil"/>
            </w:tcBorders>
            <w:tcMar>
              <w:top w:w="128" w:type="dxa"/>
              <w:left w:w="43" w:type="dxa"/>
              <w:bottom w:w="43" w:type="dxa"/>
              <w:right w:w="43" w:type="dxa"/>
            </w:tcMar>
          </w:tcPr>
          <w:p w14:paraId="26CA7FF3" w14:textId="77777777" w:rsidR="00F7113A" w:rsidRPr="00580C0D" w:rsidRDefault="00142E5B" w:rsidP="003C787D">
            <w:pPr>
              <w:ind w:right="170"/>
            </w:pPr>
            <w:r w:rsidRPr="00580C0D">
              <w:t>699</w:t>
            </w:r>
          </w:p>
        </w:tc>
        <w:tc>
          <w:tcPr>
            <w:tcW w:w="5680" w:type="dxa"/>
            <w:tcBorders>
              <w:top w:val="nil"/>
              <w:left w:val="nil"/>
              <w:bottom w:val="nil"/>
              <w:right w:val="nil"/>
            </w:tcBorders>
            <w:tcMar>
              <w:top w:w="128" w:type="dxa"/>
              <w:left w:w="43" w:type="dxa"/>
              <w:bottom w:w="43" w:type="dxa"/>
              <w:right w:w="43" w:type="dxa"/>
            </w:tcMar>
          </w:tcPr>
          <w:p w14:paraId="419B641F" w14:textId="77777777" w:rsidR="00F7113A" w:rsidRPr="00580C0D" w:rsidRDefault="00142E5B" w:rsidP="00BD6CF4">
            <w:r w:rsidRPr="00580C0D">
              <w:t xml:space="preserve">Finansieringssystem for universitet og </w:t>
            </w:r>
            <w:proofErr w:type="spellStart"/>
            <w:r w:rsidRPr="00580C0D">
              <w:t>høgskular</w:t>
            </w:r>
            <w:proofErr w:type="spellEnd"/>
          </w:p>
        </w:tc>
        <w:tc>
          <w:tcPr>
            <w:tcW w:w="1140" w:type="dxa"/>
            <w:tcBorders>
              <w:top w:val="nil"/>
              <w:left w:val="nil"/>
              <w:bottom w:val="nil"/>
              <w:right w:val="nil"/>
            </w:tcBorders>
            <w:tcMar>
              <w:top w:w="128" w:type="dxa"/>
              <w:left w:w="43" w:type="dxa"/>
              <w:bottom w:w="43" w:type="dxa"/>
              <w:right w:w="43" w:type="dxa"/>
            </w:tcMar>
          </w:tcPr>
          <w:p w14:paraId="015CD7C0" w14:textId="77777777" w:rsidR="00F7113A" w:rsidRPr="00580C0D" w:rsidRDefault="00142E5B" w:rsidP="00BD6CF4">
            <w:pPr>
              <w:jc w:val="right"/>
            </w:pPr>
            <w:r w:rsidRPr="00580C0D">
              <w:t>Ja</w:t>
            </w:r>
          </w:p>
        </w:tc>
      </w:tr>
      <w:tr w:rsidR="00F7113A" w:rsidRPr="00580C0D" w14:paraId="658D3E62"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27042383" w14:textId="77777777" w:rsidR="00F7113A" w:rsidRPr="00580C0D" w:rsidRDefault="00142E5B" w:rsidP="00BD6CF4">
            <w:r w:rsidRPr="00580C0D">
              <w:t>2019–2020</w:t>
            </w:r>
          </w:p>
        </w:tc>
        <w:tc>
          <w:tcPr>
            <w:tcW w:w="1340" w:type="dxa"/>
            <w:tcBorders>
              <w:top w:val="nil"/>
              <w:left w:val="nil"/>
              <w:bottom w:val="nil"/>
              <w:right w:val="nil"/>
            </w:tcBorders>
            <w:tcMar>
              <w:top w:w="128" w:type="dxa"/>
              <w:left w:w="43" w:type="dxa"/>
              <w:bottom w:w="43" w:type="dxa"/>
              <w:right w:w="43" w:type="dxa"/>
            </w:tcMar>
          </w:tcPr>
          <w:p w14:paraId="64D32324" w14:textId="77777777" w:rsidR="00F7113A" w:rsidRPr="00580C0D" w:rsidRDefault="00142E5B" w:rsidP="003C787D">
            <w:pPr>
              <w:ind w:right="170"/>
            </w:pPr>
            <w:r w:rsidRPr="00580C0D">
              <w:t>700</w:t>
            </w:r>
          </w:p>
        </w:tc>
        <w:tc>
          <w:tcPr>
            <w:tcW w:w="5680" w:type="dxa"/>
            <w:tcBorders>
              <w:top w:val="nil"/>
              <w:left w:val="nil"/>
              <w:bottom w:val="nil"/>
              <w:right w:val="nil"/>
            </w:tcBorders>
            <w:tcMar>
              <w:top w:w="128" w:type="dxa"/>
              <w:left w:w="43" w:type="dxa"/>
              <w:bottom w:w="43" w:type="dxa"/>
              <w:right w:w="43" w:type="dxa"/>
            </w:tcMar>
          </w:tcPr>
          <w:p w14:paraId="12F81205" w14:textId="77777777" w:rsidR="00F7113A" w:rsidRPr="00580C0D" w:rsidRDefault="00142E5B" w:rsidP="00BD6CF4">
            <w:proofErr w:type="spellStart"/>
            <w:r w:rsidRPr="00580C0D">
              <w:t>Studieplassar</w:t>
            </w:r>
            <w:proofErr w:type="spellEnd"/>
            <w:r w:rsidRPr="00580C0D">
              <w:t xml:space="preserve"> i </w:t>
            </w:r>
            <w:proofErr w:type="spellStart"/>
            <w:r w:rsidRPr="00580C0D">
              <w:t>høgare</w:t>
            </w:r>
            <w:proofErr w:type="spellEnd"/>
            <w:r w:rsidRPr="00580C0D">
              <w:t xml:space="preserve"> </w:t>
            </w:r>
            <w:proofErr w:type="spellStart"/>
            <w:r w:rsidRPr="00580C0D">
              <w:t>yrkesfagleg</w:t>
            </w:r>
            <w:proofErr w:type="spellEnd"/>
            <w:r w:rsidRPr="00580C0D">
              <w:t xml:space="preserve"> utdanning</w:t>
            </w:r>
          </w:p>
        </w:tc>
        <w:tc>
          <w:tcPr>
            <w:tcW w:w="1140" w:type="dxa"/>
            <w:tcBorders>
              <w:top w:val="nil"/>
              <w:left w:val="nil"/>
              <w:bottom w:val="nil"/>
              <w:right w:val="nil"/>
            </w:tcBorders>
            <w:tcMar>
              <w:top w:w="128" w:type="dxa"/>
              <w:left w:w="43" w:type="dxa"/>
              <w:bottom w:w="43" w:type="dxa"/>
              <w:right w:w="43" w:type="dxa"/>
            </w:tcMar>
          </w:tcPr>
          <w:p w14:paraId="51D7F98C" w14:textId="77777777" w:rsidR="00F7113A" w:rsidRPr="00580C0D" w:rsidRDefault="00142E5B" w:rsidP="00BD6CF4">
            <w:pPr>
              <w:jc w:val="right"/>
            </w:pPr>
            <w:r w:rsidRPr="00580C0D">
              <w:t>Nei</w:t>
            </w:r>
          </w:p>
        </w:tc>
      </w:tr>
      <w:tr w:rsidR="00F7113A" w:rsidRPr="00580C0D" w14:paraId="562E00A1"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769F1D39" w14:textId="77777777" w:rsidR="00F7113A" w:rsidRPr="00580C0D" w:rsidRDefault="00142E5B" w:rsidP="00BD6CF4">
            <w:r w:rsidRPr="00580C0D">
              <w:t>2019–2020</w:t>
            </w:r>
          </w:p>
        </w:tc>
        <w:tc>
          <w:tcPr>
            <w:tcW w:w="1340" w:type="dxa"/>
            <w:tcBorders>
              <w:top w:val="nil"/>
              <w:left w:val="nil"/>
              <w:bottom w:val="nil"/>
              <w:right w:val="nil"/>
            </w:tcBorders>
            <w:tcMar>
              <w:top w:w="128" w:type="dxa"/>
              <w:left w:w="43" w:type="dxa"/>
              <w:bottom w:w="43" w:type="dxa"/>
              <w:right w:w="43" w:type="dxa"/>
            </w:tcMar>
          </w:tcPr>
          <w:p w14:paraId="51311BED" w14:textId="77777777" w:rsidR="00F7113A" w:rsidRPr="00580C0D" w:rsidRDefault="00142E5B" w:rsidP="003C787D">
            <w:pPr>
              <w:ind w:right="170"/>
            </w:pPr>
            <w:r w:rsidRPr="00580C0D">
              <w:t>701</w:t>
            </w:r>
          </w:p>
        </w:tc>
        <w:tc>
          <w:tcPr>
            <w:tcW w:w="5680" w:type="dxa"/>
            <w:tcBorders>
              <w:top w:val="nil"/>
              <w:left w:val="nil"/>
              <w:bottom w:val="nil"/>
              <w:right w:val="nil"/>
            </w:tcBorders>
            <w:tcMar>
              <w:top w:w="128" w:type="dxa"/>
              <w:left w:w="43" w:type="dxa"/>
              <w:bottom w:w="43" w:type="dxa"/>
              <w:right w:w="43" w:type="dxa"/>
            </w:tcMar>
          </w:tcPr>
          <w:p w14:paraId="640935A0" w14:textId="77777777" w:rsidR="00F7113A" w:rsidRPr="00580C0D" w:rsidRDefault="00142E5B" w:rsidP="00BD6CF4">
            <w:proofErr w:type="spellStart"/>
            <w:r w:rsidRPr="00580C0D">
              <w:t>Vaksne</w:t>
            </w:r>
            <w:proofErr w:type="spellEnd"/>
            <w:r w:rsidRPr="00580C0D">
              <w:t xml:space="preserve"> </w:t>
            </w:r>
            <w:proofErr w:type="spellStart"/>
            <w:r w:rsidRPr="00580C0D">
              <w:t>utan</w:t>
            </w:r>
            <w:proofErr w:type="spellEnd"/>
            <w:r w:rsidRPr="00580C0D">
              <w:t xml:space="preserve"> rett til </w:t>
            </w:r>
            <w:proofErr w:type="spellStart"/>
            <w:r w:rsidRPr="00580C0D">
              <w:t>vidaregåande</w:t>
            </w:r>
            <w:proofErr w:type="spellEnd"/>
            <w:r w:rsidRPr="00580C0D">
              <w:t xml:space="preserve"> opplæring</w:t>
            </w:r>
          </w:p>
        </w:tc>
        <w:tc>
          <w:tcPr>
            <w:tcW w:w="1140" w:type="dxa"/>
            <w:tcBorders>
              <w:top w:val="nil"/>
              <w:left w:val="nil"/>
              <w:bottom w:val="nil"/>
              <w:right w:val="nil"/>
            </w:tcBorders>
            <w:tcMar>
              <w:top w:w="128" w:type="dxa"/>
              <w:left w:w="43" w:type="dxa"/>
              <w:bottom w:w="43" w:type="dxa"/>
              <w:right w:w="43" w:type="dxa"/>
            </w:tcMar>
          </w:tcPr>
          <w:p w14:paraId="505B35DB" w14:textId="77777777" w:rsidR="00F7113A" w:rsidRPr="00580C0D" w:rsidRDefault="00142E5B" w:rsidP="00BD6CF4">
            <w:pPr>
              <w:jc w:val="right"/>
            </w:pPr>
            <w:r w:rsidRPr="00580C0D">
              <w:t>Ja</w:t>
            </w:r>
          </w:p>
        </w:tc>
      </w:tr>
      <w:tr w:rsidR="00F7113A" w:rsidRPr="00580C0D" w14:paraId="4EA9482D"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3DDAF3CF" w14:textId="77777777" w:rsidR="00F7113A" w:rsidRPr="00580C0D" w:rsidRDefault="00142E5B" w:rsidP="00BD6CF4">
            <w:r w:rsidRPr="00580C0D">
              <w:t>2018–2019</w:t>
            </w:r>
          </w:p>
        </w:tc>
        <w:tc>
          <w:tcPr>
            <w:tcW w:w="1340" w:type="dxa"/>
            <w:tcBorders>
              <w:top w:val="nil"/>
              <w:left w:val="nil"/>
              <w:bottom w:val="nil"/>
              <w:right w:val="nil"/>
            </w:tcBorders>
            <w:tcMar>
              <w:top w:w="128" w:type="dxa"/>
              <w:left w:w="43" w:type="dxa"/>
              <w:bottom w:w="43" w:type="dxa"/>
              <w:right w:w="43" w:type="dxa"/>
            </w:tcMar>
          </w:tcPr>
          <w:p w14:paraId="13C82571" w14:textId="77777777" w:rsidR="00F7113A" w:rsidRPr="00580C0D" w:rsidRDefault="00142E5B" w:rsidP="003C787D">
            <w:pPr>
              <w:ind w:right="170"/>
            </w:pPr>
            <w:r w:rsidRPr="00580C0D">
              <w:t>51</w:t>
            </w:r>
          </w:p>
        </w:tc>
        <w:tc>
          <w:tcPr>
            <w:tcW w:w="5680" w:type="dxa"/>
            <w:tcBorders>
              <w:top w:val="nil"/>
              <w:left w:val="nil"/>
              <w:bottom w:val="nil"/>
              <w:right w:val="nil"/>
            </w:tcBorders>
            <w:tcMar>
              <w:top w:w="128" w:type="dxa"/>
              <w:left w:w="43" w:type="dxa"/>
              <w:bottom w:w="43" w:type="dxa"/>
              <w:right w:w="43" w:type="dxa"/>
            </w:tcMar>
          </w:tcPr>
          <w:p w14:paraId="00512058" w14:textId="77777777" w:rsidR="00F7113A" w:rsidRPr="00580C0D" w:rsidRDefault="00142E5B" w:rsidP="00BD6CF4">
            <w:r w:rsidRPr="00580C0D">
              <w:t xml:space="preserve">Finansieringssystemet og ideelle </w:t>
            </w:r>
            <w:proofErr w:type="spellStart"/>
            <w:r w:rsidRPr="00580C0D">
              <w:t>barnehagar</w:t>
            </w:r>
            <w:proofErr w:type="spellEnd"/>
          </w:p>
        </w:tc>
        <w:tc>
          <w:tcPr>
            <w:tcW w:w="1140" w:type="dxa"/>
            <w:tcBorders>
              <w:top w:val="nil"/>
              <w:left w:val="nil"/>
              <w:bottom w:val="nil"/>
              <w:right w:val="nil"/>
            </w:tcBorders>
            <w:tcMar>
              <w:top w:w="128" w:type="dxa"/>
              <w:left w:w="43" w:type="dxa"/>
              <w:bottom w:w="43" w:type="dxa"/>
              <w:right w:w="43" w:type="dxa"/>
            </w:tcMar>
          </w:tcPr>
          <w:p w14:paraId="43527D9A" w14:textId="77777777" w:rsidR="00F7113A" w:rsidRPr="00580C0D" w:rsidRDefault="00142E5B" w:rsidP="00BD6CF4">
            <w:pPr>
              <w:jc w:val="right"/>
            </w:pPr>
            <w:r w:rsidRPr="00580C0D">
              <w:t>Nei</w:t>
            </w:r>
          </w:p>
        </w:tc>
      </w:tr>
      <w:tr w:rsidR="00F7113A" w:rsidRPr="00580C0D" w14:paraId="6437792D"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4F42B64C" w14:textId="77777777" w:rsidR="00F7113A" w:rsidRPr="00580C0D" w:rsidRDefault="00142E5B" w:rsidP="00BD6CF4">
            <w:r w:rsidRPr="00580C0D">
              <w:t>2018–2019</w:t>
            </w:r>
          </w:p>
        </w:tc>
        <w:tc>
          <w:tcPr>
            <w:tcW w:w="1340" w:type="dxa"/>
            <w:tcBorders>
              <w:top w:val="nil"/>
              <w:left w:val="nil"/>
              <w:bottom w:val="nil"/>
              <w:right w:val="nil"/>
            </w:tcBorders>
            <w:tcMar>
              <w:top w:w="128" w:type="dxa"/>
              <w:left w:w="43" w:type="dxa"/>
              <w:bottom w:w="43" w:type="dxa"/>
              <w:right w:w="43" w:type="dxa"/>
            </w:tcMar>
          </w:tcPr>
          <w:p w14:paraId="4D58542E" w14:textId="77777777" w:rsidR="00F7113A" w:rsidRPr="00580C0D" w:rsidRDefault="00142E5B" w:rsidP="003C787D">
            <w:pPr>
              <w:ind w:right="170"/>
            </w:pPr>
            <w:r w:rsidRPr="00580C0D">
              <w:t>197</w:t>
            </w:r>
          </w:p>
        </w:tc>
        <w:tc>
          <w:tcPr>
            <w:tcW w:w="5680" w:type="dxa"/>
            <w:tcBorders>
              <w:top w:val="nil"/>
              <w:left w:val="nil"/>
              <w:bottom w:val="nil"/>
              <w:right w:val="nil"/>
            </w:tcBorders>
            <w:tcMar>
              <w:top w:w="128" w:type="dxa"/>
              <w:left w:w="43" w:type="dxa"/>
              <w:bottom w:w="43" w:type="dxa"/>
              <w:right w:w="43" w:type="dxa"/>
            </w:tcMar>
          </w:tcPr>
          <w:p w14:paraId="50A248FE" w14:textId="77777777" w:rsidR="00F7113A" w:rsidRPr="00580C0D" w:rsidRDefault="00142E5B" w:rsidP="00BD6CF4">
            <w:r w:rsidRPr="00580C0D">
              <w:t xml:space="preserve">Fritak </w:t>
            </w:r>
            <w:proofErr w:type="spellStart"/>
            <w:r w:rsidRPr="00580C0D">
              <w:t>frå</w:t>
            </w:r>
            <w:proofErr w:type="spellEnd"/>
            <w:r w:rsidRPr="00580C0D">
              <w:t xml:space="preserve"> </w:t>
            </w:r>
            <w:proofErr w:type="spellStart"/>
            <w:r w:rsidRPr="00580C0D">
              <w:t>skulefag</w:t>
            </w:r>
            <w:proofErr w:type="spellEnd"/>
          </w:p>
        </w:tc>
        <w:tc>
          <w:tcPr>
            <w:tcW w:w="1140" w:type="dxa"/>
            <w:tcBorders>
              <w:top w:val="nil"/>
              <w:left w:val="nil"/>
              <w:bottom w:val="nil"/>
              <w:right w:val="nil"/>
            </w:tcBorders>
            <w:tcMar>
              <w:top w:w="128" w:type="dxa"/>
              <w:left w:w="43" w:type="dxa"/>
              <w:bottom w:w="43" w:type="dxa"/>
              <w:right w:w="43" w:type="dxa"/>
            </w:tcMar>
          </w:tcPr>
          <w:p w14:paraId="7CD721C5" w14:textId="77777777" w:rsidR="00F7113A" w:rsidRPr="00580C0D" w:rsidRDefault="00142E5B" w:rsidP="00BD6CF4">
            <w:pPr>
              <w:jc w:val="right"/>
            </w:pPr>
            <w:r w:rsidRPr="00580C0D">
              <w:t>Ja</w:t>
            </w:r>
          </w:p>
        </w:tc>
      </w:tr>
      <w:tr w:rsidR="00F7113A" w:rsidRPr="00580C0D" w14:paraId="232E14BB"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3F30A1DE" w14:textId="77777777" w:rsidR="00F7113A" w:rsidRPr="00580C0D" w:rsidRDefault="00142E5B" w:rsidP="00BD6CF4">
            <w:r w:rsidRPr="00580C0D">
              <w:t>2017–2018</w:t>
            </w:r>
          </w:p>
        </w:tc>
        <w:tc>
          <w:tcPr>
            <w:tcW w:w="1340" w:type="dxa"/>
            <w:tcBorders>
              <w:top w:val="nil"/>
              <w:left w:val="nil"/>
              <w:bottom w:val="nil"/>
              <w:right w:val="nil"/>
            </w:tcBorders>
            <w:tcMar>
              <w:top w:w="128" w:type="dxa"/>
              <w:left w:w="43" w:type="dxa"/>
              <w:bottom w:w="43" w:type="dxa"/>
              <w:right w:w="43" w:type="dxa"/>
            </w:tcMar>
          </w:tcPr>
          <w:p w14:paraId="47BE986A" w14:textId="77777777" w:rsidR="00F7113A" w:rsidRPr="00580C0D" w:rsidRDefault="00142E5B" w:rsidP="003C787D">
            <w:pPr>
              <w:ind w:right="170"/>
            </w:pPr>
            <w:r w:rsidRPr="00580C0D">
              <w:t>461</w:t>
            </w:r>
          </w:p>
        </w:tc>
        <w:tc>
          <w:tcPr>
            <w:tcW w:w="5680" w:type="dxa"/>
            <w:tcBorders>
              <w:top w:val="nil"/>
              <w:left w:val="nil"/>
              <w:bottom w:val="nil"/>
              <w:right w:val="nil"/>
            </w:tcBorders>
            <w:tcMar>
              <w:top w:w="128" w:type="dxa"/>
              <w:left w:w="43" w:type="dxa"/>
              <w:bottom w:w="43" w:type="dxa"/>
              <w:right w:w="43" w:type="dxa"/>
            </w:tcMar>
          </w:tcPr>
          <w:p w14:paraId="75EA0162" w14:textId="77777777" w:rsidR="00F7113A" w:rsidRPr="00580C0D" w:rsidRDefault="00142E5B" w:rsidP="00BD6CF4">
            <w:r w:rsidRPr="00580C0D">
              <w:t xml:space="preserve">Vilkår for private </w:t>
            </w:r>
            <w:proofErr w:type="spellStart"/>
            <w:r w:rsidRPr="00580C0D">
              <w:t>barnehagar</w:t>
            </w:r>
            <w:proofErr w:type="spellEnd"/>
          </w:p>
        </w:tc>
        <w:tc>
          <w:tcPr>
            <w:tcW w:w="1140" w:type="dxa"/>
            <w:tcBorders>
              <w:top w:val="nil"/>
              <w:left w:val="nil"/>
              <w:bottom w:val="nil"/>
              <w:right w:val="nil"/>
            </w:tcBorders>
            <w:tcMar>
              <w:top w:w="128" w:type="dxa"/>
              <w:left w:w="43" w:type="dxa"/>
              <w:bottom w:w="43" w:type="dxa"/>
              <w:right w:w="43" w:type="dxa"/>
            </w:tcMar>
          </w:tcPr>
          <w:p w14:paraId="2D43F581" w14:textId="77777777" w:rsidR="00F7113A" w:rsidRPr="00580C0D" w:rsidRDefault="00142E5B" w:rsidP="00BD6CF4">
            <w:pPr>
              <w:jc w:val="right"/>
            </w:pPr>
            <w:r w:rsidRPr="00580C0D">
              <w:t>Nei</w:t>
            </w:r>
          </w:p>
        </w:tc>
      </w:tr>
      <w:tr w:rsidR="00F7113A" w:rsidRPr="00580C0D" w14:paraId="2AB03854"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39DE0C9F" w14:textId="77777777" w:rsidR="00F7113A" w:rsidRPr="00580C0D" w:rsidRDefault="00142E5B" w:rsidP="00BD6CF4">
            <w:r w:rsidRPr="00580C0D">
              <w:t>2017–2018</w:t>
            </w:r>
          </w:p>
        </w:tc>
        <w:tc>
          <w:tcPr>
            <w:tcW w:w="1340" w:type="dxa"/>
            <w:tcBorders>
              <w:top w:val="nil"/>
              <w:left w:val="nil"/>
              <w:bottom w:val="nil"/>
              <w:right w:val="nil"/>
            </w:tcBorders>
            <w:tcMar>
              <w:top w:w="128" w:type="dxa"/>
              <w:left w:w="43" w:type="dxa"/>
              <w:bottom w:w="43" w:type="dxa"/>
              <w:right w:w="43" w:type="dxa"/>
            </w:tcMar>
          </w:tcPr>
          <w:p w14:paraId="1696FC91" w14:textId="77777777" w:rsidR="00F7113A" w:rsidRPr="00580C0D" w:rsidRDefault="00142E5B" w:rsidP="003C787D">
            <w:pPr>
              <w:ind w:right="170"/>
            </w:pPr>
            <w:r w:rsidRPr="00580C0D">
              <w:t>802</w:t>
            </w:r>
          </w:p>
        </w:tc>
        <w:tc>
          <w:tcPr>
            <w:tcW w:w="5680" w:type="dxa"/>
            <w:tcBorders>
              <w:top w:val="nil"/>
              <w:left w:val="nil"/>
              <w:bottom w:val="nil"/>
              <w:right w:val="nil"/>
            </w:tcBorders>
            <w:tcMar>
              <w:top w:w="128" w:type="dxa"/>
              <w:left w:w="43" w:type="dxa"/>
              <w:bottom w:w="43" w:type="dxa"/>
              <w:right w:w="43" w:type="dxa"/>
            </w:tcMar>
          </w:tcPr>
          <w:p w14:paraId="3964011F" w14:textId="77777777" w:rsidR="00F7113A" w:rsidRPr="00580C0D" w:rsidRDefault="00142E5B" w:rsidP="00BD6CF4">
            <w:r w:rsidRPr="00580C0D">
              <w:t xml:space="preserve">Finansieringssystemet for private </w:t>
            </w:r>
            <w:proofErr w:type="spellStart"/>
            <w:r w:rsidRPr="00580C0D">
              <w:t>barnehagar</w:t>
            </w:r>
            <w:proofErr w:type="spellEnd"/>
          </w:p>
        </w:tc>
        <w:tc>
          <w:tcPr>
            <w:tcW w:w="1140" w:type="dxa"/>
            <w:tcBorders>
              <w:top w:val="nil"/>
              <w:left w:val="nil"/>
              <w:bottom w:val="nil"/>
              <w:right w:val="nil"/>
            </w:tcBorders>
            <w:tcMar>
              <w:top w:w="128" w:type="dxa"/>
              <w:left w:w="43" w:type="dxa"/>
              <w:bottom w:w="43" w:type="dxa"/>
              <w:right w:w="43" w:type="dxa"/>
            </w:tcMar>
          </w:tcPr>
          <w:p w14:paraId="4C8BCFD0" w14:textId="77777777" w:rsidR="00F7113A" w:rsidRPr="00580C0D" w:rsidRDefault="00142E5B" w:rsidP="00BD6CF4">
            <w:pPr>
              <w:jc w:val="right"/>
            </w:pPr>
            <w:r w:rsidRPr="00580C0D">
              <w:t>Nei</w:t>
            </w:r>
          </w:p>
        </w:tc>
      </w:tr>
      <w:tr w:rsidR="00F7113A" w:rsidRPr="00580C0D" w14:paraId="00878D75"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456DB938" w14:textId="77777777" w:rsidR="00F7113A" w:rsidRPr="00580C0D" w:rsidRDefault="00142E5B" w:rsidP="00BD6CF4">
            <w:r w:rsidRPr="00580C0D">
              <w:t>2017–2018</w:t>
            </w:r>
          </w:p>
        </w:tc>
        <w:tc>
          <w:tcPr>
            <w:tcW w:w="1340" w:type="dxa"/>
            <w:tcBorders>
              <w:top w:val="nil"/>
              <w:left w:val="nil"/>
              <w:bottom w:val="nil"/>
              <w:right w:val="nil"/>
            </w:tcBorders>
            <w:tcMar>
              <w:top w:w="128" w:type="dxa"/>
              <w:left w:w="43" w:type="dxa"/>
              <w:bottom w:w="43" w:type="dxa"/>
              <w:right w:w="43" w:type="dxa"/>
            </w:tcMar>
          </w:tcPr>
          <w:p w14:paraId="1D6776DB" w14:textId="77777777" w:rsidR="00F7113A" w:rsidRPr="00580C0D" w:rsidRDefault="00142E5B" w:rsidP="003C787D">
            <w:pPr>
              <w:ind w:right="170"/>
            </w:pPr>
            <w:r w:rsidRPr="00580C0D">
              <w:t>887</w:t>
            </w:r>
          </w:p>
        </w:tc>
        <w:tc>
          <w:tcPr>
            <w:tcW w:w="5680" w:type="dxa"/>
            <w:tcBorders>
              <w:top w:val="nil"/>
              <w:left w:val="nil"/>
              <w:bottom w:val="nil"/>
              <w:right w:val="nil"/>
            </w:tcBorders>
            <w:tcMar>
              <w:top w:w="128" w:type="dxa"/>
              <w:left w:w="43" w:type="dxa"/>
              <w:bottom w:w="43" w:type="dxa"/>
              <w:right w:w="43" w:type="dxa"/>
            </w:tcMar>
          </w:tcPr>
          <w:p w14:paraId="25477D69" w14:textId="77777777" w:rsidR="00F7113A" w:rsidRPr="00580C0D" w:rsidRDefault="00142E5B" w:rsidP="00BD6CF4">
            <w:r w:rsidRPr="00580C0D">
              <w:t xml:space="preserve">Rangering av </w:t>
            </w:r>
            <w:proofErr w:type="spellStart"/>
            <w:r w:rsidRPr="00580C0D">
              <w:t>søkarar</w:t>
            </w:r>
            <w:proofErr w:type="spellEnd"/>
            <w:r w:rsidRPr="00580C0D">
              <w:t xml:space="preserve"> til </w:t>
            </w:r>
            <w:proofErr w:type="spellStart"/>
            <w:r w:rsidRPr="00580C0D">
              <w:t>høgare</w:t>
            </w:r>
            <w:proofErr w:type="spellEnd"/>
            <w:r w:rsidRPr="00580C0D">
              <w:t xml:space="preserve"> utdanning</w:t>
            </w:r>
          </w:p>
        </w:tc>
        <w:tc>
          <w:tcPr>
            <w:tcW w:w="1140" w:type="dxa"/>
            <w:tcBorders>
              <w:top w:val="nil"/>
              <w:left w:val="nil"/>
              <w:bottom w:val="nil"/>
              <w:right w:val="nil"/>
            </w:tcBorders>
            <w:tcMar>
              <w:top w:w="128" w:type="dxa"/>
              <w:left w:w="43" w:type="dxa"/>
              <w:bottom w:w="43" w:type="dxa"/>
              <w:right w:w="43" w:type="dxa"/>
            </w:tcMar>
          </w:tcPr>
          <w:p w14:paraId="42A2F46B" w14:textId="77777777" w:rsidR="00F7113A" w:rsidRPr="00580C0D" w:rsidRDefault="00142E5B" w:rsidP="00BD6CF4">
            <w:pPr>
              <w:jc w:val="right"/>
            </w:pPr>
            <w:r w:rsidRPr="00580C0D">
              <w:t>Nei</w:t>
            </w:r>
          </w:p>
        </w:tc>
      </w:tr>
      <w:tr w:rsidR="00F7113A" w:rsidRPr="00580C0D" w14:paraId="600AF621"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B4A7A26" w14:textId="77777777" w:rsidR="00F7113A" w:rsidRPr="00580C0D" w:rsidRDefault="00142E5B" w:rsidP="00BD6CF4">
            <w:r w:rsidRPr="00580C0D">
              <w:t>2016–2017</w:t>
            </w:r>
          </w:p>
        </w:tc>
        <w:tc>
          <w:tcPr>
            <w:tcW w:w="1340" w:type="dxa"/>
            <w:tcBorders>
              <w:top w:val="nil"/>
              <w:left w:val="nil"/>
              <w:bottom w:val="nil"/>
              <w:right w:val="nil"/>
            </w:tcBorders>
            <w:tcMar>
              <w:top w:w="128" w:type="dxa"/>
              <w:left w:w="43" w:type="dxa"/>
              <w:bottom w:w="43" w:type="dxa"/>
              <w:right w:w="43" w:type="dxa"/>
            </w:tcMar>
          </w:tcPr>
          <w:p w14:paraId="233CE9EF" w14:textId="77777777" w:rsidR="00F7113A" w:rsidRPr="00580C0D" w:rsidRDefault="00142E5B" w:rsidP="003C787D">
            <w:pPr>
              <w:ind w:right="170"/>
            </w:pPr>
            <w:r w:rsidRPr="00580C0D">
              <w:t>67</w:t>
            </w:r>
          </w:p>
        </w:tc>
        <w:tc>
          <w:tcPr>
            <w:tcW w:w="5680" w:type="dxa"/>
            <w:tcBorders>
              <w:top w:val="nil"/>
              <w:left w:val="nil"/>
              <w:bottom w:val="nil"/>
              <w:right w:val="nil"/>
            </w:tcBorders>
            <w:tcMar>
              <w:top w:w="128" w:type="dxa"/>
              <w:left w:w="43" w:type="dxa"/>
              <w:bottom w:w="43" w:type="dxa"/>
              <w:right w:w="43" w:type="dxa"/>
            </w:tcMar>
          </w:tcPr>
          <w:p w14:paraId="72E74B04" w14:textId="77777777" w:rsidR="00F7113A" w:rsidRPr="00580C0D" w:rsidRDefault="00142E5B" w:rsidP="00BD6CF4">
            <w:proofErr w:type="spellStart"/>
            <w:r w:rsidRPr="00580C0D">
              <w:t>Hovudmål</w:t>
            </w:r>
            <w:proofErr w:type="spellEnd"/>
            <w:r w:rsidRPr="00580C0D">
              <w:t xml:space="preserve"> og målformgrupper på </w:t>
            </w:r>
            <w:proofErr w:type="spellStart"/>
            <w:r w:rsidRPr="00580C0D">
              <w:t>ungdomsskulen</w:t>
            </w:r>
            <w:proofErr w:type="spellEnd"/>
          </w:p>
        </w:tc>
        <w:tc>
          <w:tcPr>
            <w:tcW w:w="1140" w:type="dxa"/>
            <w:tcBorders>
              <w:top w:val="nil"/>
              <w:left w:val="nil"/>
              <w:bottom w:val="nil"/>
              <w:right w:val="nil"/>
            </w:tcBorders>
            <w:tcMar>
              <w:top w:w="128" w:type="dxa"/>
              <w:left w:w="43" w:type="dxa"/>
              <w:bottom w:w="43" w:type="dxa"/>
              <w:right w:w="43" w:type="dxa"/>
            </w:tcMar>
          </w:tcPr>
          <w:p w14:paraId="2E35C673" w14:textId="77777777" w:rsidR="00F7113A" w:rsidRPr="00580C0D" w:rsidRDefault="00142E5B" w:rsidP="00BD6CF4">
            <w:pPr>
              <w:jc w:val="right"/>
            </w:pPr>
            <w:r w:rsidRPr="00580C0D">
              <w:t>Ja</w:t>
            </w:r>
          </w:p>
        </w:tc>
      </w:tr>
      <w:tr w:rsidR="00F7113A" w:rsidRPr="00580C0D" w14:paraId="09B34B1F"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1F912D5A" w14:textId="77777777" w:rsidR="00F7113A" w:rsidRPr="00580C0D" w:rsidRDefault="00142E5B" w:rsidP="00BD6CF4">
            <w:r w:rsidRPr="00580C0D">
              <w:t>2016–2017</w:t>
            </w:r>
          </w:p>
        </w:tc>
        <w:tc>
          <w:tcPr>
            <w:tcW w:w="1340" w:type="dxa"/>
            <w:tcBorders>
              <w:top w:val="nil"/>
              <w:left w:val="nil"/>
              <w:bottom w:val="nil"/>
              <w:right w:val="nil"/>
            </w:tcBorders>
            <w:tcMar>
              <w:top w:w="128" w:type="dxa"/>
              <w:left w:w="43" w:type="dxa"/>
              <w:bottom w:w="43" w:type="dxa"/>
              <w:right w:w="43" w:type="dxa"/>
            </w:tcMar>
          </w:tcPr>
          <w:p w14:paraId="1F85959D" w14:textId="77777777" w:rsidR="00F7113A" w:rsidRPr="00580C0D" w:rsidRDefault="00142E5B" w:rsidP="003C787D">
            <w:pPr>
              <w:ind w:right="170"/>
            </w:pPr>
            <w:r w:rsidRPr="00580C0D">
              <w:t>642</w:t>
            </w:r>
          </w:p>
        </w:tc>
        <w:tc>
          <w:tcPr>
            <w:tcW w:w="5680" w:type="dxa"/>
            <w:tcBorders>
              <w:top w:val="nil"/>
              <w:left w:val="nil"/>
              <w:bottom w:val="nil"/>
              <w:right w:val="nil"/>
            </w:tcBorders>
            <w:tcMar>
              <w:top w:w="128" w:type="dxa"/>
              <w:left w:w="43" w:type="dxa"/>
              <w:bottom w:w="43" w:type="dxa"/>
              <w:right w:w="43" w:type="dxa"/>
            </w:tcMar>
          </w:tcPr>
          <w:p w14:paraId="62C95930" w14:textId="77777777" w:rsidR="00F7113A" w:rsidRPr="00580C0D" w:rsidRDefault="00142E5B" w:rsidP="00BD6CF4">
            <w:r w:rsidRPr="00580C0D">
              <w:t xml:space="preserve">Medlemskap i studentsamskipnad for </w:t>
            </w:r>
            <w:proofErr w:type="spellStart"/>
            <w:r w:rsidRPr="00580C0D">
              <w:t>fagskular</w:t>
            </w:r>
            <w:proofErr w:type="spellEnd"/>
          </w:p>
        </w:tc>
        <w:tc>
          <w:tcPr>
            <w:tcW w:w="1140" w:type="dxa"/>
            <w:tcBorders>
              <w:top w:val="nil"/>
              <w:left w:val="nil"/>
              <w:bottom w:val="nil"/>
              <w:right w:val="nil"/>
            </w:tcBorders>
            <w:tcMar>
              <w:top w:w="128" w:type="dxa"/>
              <w:left w:w="43" w:type="dxa"/>
              <w:bottom w:w="43" w:type="dxa"/>
              <w:right w:w="43" w:type="dxa"/>
            </w:tcMar>
          </w:tcPr>
          <w:p w14:paraId="616F6645" w14:textId="77777777" w:rsidR="00F7113A" w:rsidRPr="00580C0D" w:rsidRDefault="00142E5B" w:rsidP="00BD6CF4">
            <w:pPr>
              <w:jc w:val="right"/>
            </w:pPr>
            <w:r w:rsidRPr="00580C0D">
              <w:t>Nei</w:t>
            </w:r>
          </w:p>
        </w:tc>
      </w:tr>
      <w:tr w:rsidR="00F7113A" w:rsidRPr="00580C0D" w14:paraId="3D4F0B68"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3E55A6E0" w14:textId="77777777" w:rsidR="00F7113A" w:rsidRPr="00580C0D" w:rsidRDefault="00142E5B" w:rsidP="00BD6CF4">
            <w:r w:rsidRPr="00580C0D">
              <w:t>2016–2017</w:t>
            </w:r>
          </w:p>
        </w:tc>
        <w:tc>
          <w:tcPr>
            <w:tcW w:w="1340" w:type="dxa"/>
            <w:tcBorders>
              <w:top w:val="nil"/>
              <w:left w:val="nil"/>
              <w:bottom w:val="nil"/>
              <w:right w:val="nil"/>
            </w:tcBorders>
            <w:tcMar>
              <w:top w:w="128" w:type="dxa"/>
              <w:left w:w="43" w:type="dxa"/>
              <w:bottom w:w="43" w:type="dxa"/>
              <w:right w:w="43" w:type="dxa"/>
            </w:tcMar>
          </w:tcPr>
          <w:p w14:paraId="76EFA535" w14:textId="77777777" w:rsidR="00F7113A" w:rsidRPr="00580C0D" w:rsidRDefault="00142E5B" w:rsidP="003C787D">
            <w:pPr>
              <w:ind w:right="170"/>
            </w:pPr>
            <w:r w:rsidRPr="00580C0D">
              <w:t>643</w:t>
            </w:r>
          </w:p>
        </w:tc>
        <w:tc>
          <w:tcPr>
            <w:tcW w:w="5680" w:type="dxa"/>
            <w:tcBorders>
              <w:top w:val="nil"/>
              <w:left w:val="nil"/>
              <w:bottom w:val="nil"/>
              <w:right w:val="nil"/>
            </w:tcBorders>
            <w:tcMar>
              <w:top w:w="128" w:type="dxa"/>
              <w:left w:w="43" w:type="dxa"/>
              <w:bottom w:w="43" w:type="dxa"/>
              <w:right w:w="43" w:type="dxa"/>
            </w:tcMar>
          </w:tcPr>
          <w:p w14:paraId="62A1C72E" w14:textId="77777777" w:rsidR="00F7113A" w:rsidRPr="00580C0D" w:rsidRDefault="00142E5B" w:rsidP="00BD6CF4">
            <w:r w:rsidRPr="00580C0D">
              <w:t>Evaluering av fagskulereforma</w:t>
            </w:r>
          </w:p>
        </w:tc>
        <w:tc>
          <w:tcPr>
            <w:tcW w:w="1140" w:type="dxa"/>
            <w:tcBorders>
              <w:top w:val="nil"/>
              <w:left w:val="nil"/>
              <w:bottom w:val="nil"/>
              <w:right w:val="nil"/>
            </w:tcBorders>
            <w:tcMar>
              <w:top w:w="128" w:type="dxa"/>
              <w:left w:w="43" w:type="dxa"/>
              <w:bottom w:w="43" w:type="dxa"/>
              <w:right w:w="43" w:type="dxa"/>
            </w:tcMar>
          </w:tcPr>
          <w:p w14:paraId="73632353" w14:textId="77777777" w:rsidR="00F7113A" w:rsidRPr="00580C0D" w:rsidRDefault="00142E5B" w:rsidP="00BD6CF4">
            <w:pPr>
              <w:jc w:val="right"/>
            </w:pPr>
            <w:r w:rsidRPr="00580C0D">
              <w:t>Ja</w:t>
            </w:r>
          </w:p>
        </w:tc>
      </w:tr>
      <w:tr w:rsidR="00F7113A" w:rsidRPr="00580C0D" w14:paraId="2BA66AE3"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1C75701F" w14:textId="77777777" w:rsidR="00F7113A" w:rsidRPr="00580C0D" w:rsidRDefault="00142E5B" w:rsidP="00BD6CF4">
            <w:r w:rsidRPr="00580C0D">
              <w:t>2016–2017</w:t>
            </w:r>
          </w:p>
        </w:tc>
        <w:tc>
          <w:tcPr>
            <w:tcW w:w="1340" w:type="dxa"/>
            <w:tcBorders>
              <w:top w:val="nil"/>
              <w:left w:val="nil"/>
              <w:bottom w:val="nil"/>
              <w:right w:val="nil"/>
            </w:tcBorders>
            <w:tcMar>
              <w:top w:w="128" w:type="dxa"/>
              <w:left w:w="43" w:type="dxa"/>
              <w:bottom w:w="43" w:type="dxa"/>
              <w:right w:w="43" w:type="dxa"/>
            </w:tcMar>
          </w:tcPr>
          <w:p w14:paraId="605B18D8" w14:textId="77777777" w:rsidR="00F7113A" w:rsidRPr="00580C0D" w:rsidRDefault="00142E5B" w:rsidP="003C787D">
            <w:pPr>
              <w:ind w:right="170"/>
            </w:pPr>
            <w:r w:rsidRPr="00580C0D">
              <w:t>900</w:t>
            </w:r>
          </w:p>
        </w:tc>
        <w:tc>
          <w:tcPr>
            <w:tcW w:w="5680" w:type="dxa"/>
            <w:tcBorders>
              <w:top w:val="nil"/>
              <w:left w:val="nil"/>
              <w:bottom w:val="nil"/>
              <w:right w:val="nil"/>
            </w:tcBorders>
            <w:tcMar>
              <w:top w:w="128" w:type="dxa"/>
              <w:left w:w="43" w:type="dxa"/>
              <w:bottom w:w="43" w:type="dxa"/>
              <w:right w:w="43" w:type="dxa"/>
            </w:tcMar>
          </w:tcPr>
          <w:p w14:paraId="21D51087" w14:textId="77777777" w:rsidR="00F7113A" w:rsidRPr="00580C0D" w:rsidRDefault="00142E5B" w:rsidP="00BD6CF4">
            <w:proofErr w:type="spellStart"/>
            <w:r w:rsidRPr="00580C0D">
              <w:t>Lærarar</w:t>
            </w:r>
            <w:proofErr w:type="spellEnd"/>
            <w:r w:rsidRPr="00580C0D">
              <w:t xml:space="preserve"> med fordjuping i spesialpedagogikk</w:t>
            </w:r>
          </w:p>
        </w:tc>
        <w:tc>
          <w:tcPr>
            <w:tcW w:w="1140" w:type="dxa"/>
            <w:tcBorders>
              <w:top w:val="nil"/>
              <w:left w:val="nil"/>
              <w:bottom w:val="nil"/>
              <w:right w:val="nil"/>
            </w:tcBorders>
            <w:tcMar>
              <w:top w:w="128" w:type="dxa"/>
              <w:left w:w="43" w:type="dxa"/>
              <w:bottom w:w="43" w:type="dxa"/>
              <w:right w:w="43" w:type="dxa"/>
            </w:tcMar>
          </w:tcPr>
          <w:p w14:paraId="05E7E0C4" w14:textId="77777777" w:rsidR="00F7113A" w:rsidRPr="00580C0D" w:rsidRDefault="00142E5B" w:rsidP="00BD6CF4">
            <w:pPr>
              <w:jc w:val="right"/>
            </w:pPr>
            <w:r w:rsidRPr="00580C0D">
              <w:t>Ja</w:t>
            </w:r>
          </w:p>
        </w:tc>
      </w:tr>
      <w:tr w:rsidR="00F7113A" w:rsidRPr="00580C0D" w14:paraId="3964B9D2"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2A5F5C56" w14:textId="77777777" w:rsidR="00F7113A" w:rsidRPr="00580C0D" w:rsidRDefault="00142E5B" w:rsidP="00BD6CF4">
            <w:r w:rsidRPr="00580C0D">
              <w:t>2016–2017</w:t>
            </w:r>
          </w:p>
        </w:tc>
        <w:tc>
          <w:tcPr>
            <w:tcW w:w="1340" w:type="dxa"/>
            <w:tcBorders>
              <w:top w:val="nil"/>
              <w:left w:val="nil"/>
              <w:bottom w:val="nil"/>
              <w:right w:val="nil"/>
            </w:tcBorders>
            <w:tcMar>
              <w:top w:w="128" w:type="dxa"/>
              <w:left w:w="43" w:type="dxa"/>
              <w:bottom w:w="43" w:type="dxa"/>
              <w:right w:w="43" w:type="dxa"/>
            </w:tcMar>
          </w:tcPr>
          <w:p w14:paraId="276608DD" w14:textId="77777777" w:rsidR="00F7113A" w:rsidRPr="00580C0D" w:rsidRDefault="00142E5B" w:rsidP="003C787D">
            <w:pPr>
              <w:ind w:right="170"/>
            </w:pPr>
            <w:r w:rsidRPr="00580C0D">
              <w:t>901</w:t>
            </w:r>
          </w:p>
        </w:tc>
        <w:tc>
          <w:tcPr>
            <w:tcW w:w="5680" w:type="dxa"/>
            <w:tcBorders>
              <w:top w:val="nil"/>
              <w:left w:val="nil"/>
              <w:bottom w:val="nil"/>
              <w:right w:val="nil"/>
            </w:tcBorders>
            <w:tcMar>
              <w:top w:w="128" w:type="dxa"/>
              <w:left w:w="43" w:type="dxa"/>
              <w:bottom w:w="43" w:type="dxa"/>
              <w:right w:w="43" w:type="dxa"/>
            </w:tcMar>
          </w:tcPr>
          <w:p w14:paraId="106ED3EA" w14:textId="77777777" w:rsidR="00F7113A" w:rsidRPr="00580C0D" w:rsidRDefault="00142E5B" w:rsidP="00BD6CF4">
            <w:r w:rsidRPr="00580C0D">
              <w:t xml:space="preserve">Rett til spesialundervisning av </w:t>
            </w:r>
            <w:proofErr w:type="spellStart"/>
            <w:r w:rsidRPr="00580C0D">
              <w:t>fagpersonar</w:t>
            </w:r>
            <w:proofErr w:type="spellEnd"/>
          </w:p>
        </w:tc>
        <w:tc>
          <w:tcPr>
            <w:tcW w:w="1140" w:type="dxa"/>
            <w:tcBorders>
              <w:top w:val="nil"/>
              <w:left w:val="nil"/>
              <w:bottom w:val="nil"/>
              <w:right w:val="nil"/>
            </w:tcBorders>
            <w:tcMar>
              <w:top w:w="128" w:type="dxa"/>
              <w:left w:w="43" w:type="dxa"/>
              <w:bottom w:w="43" w:type="dxa"/>
              <w:right w:w="43" w:type="dxa"/>
            </w:tcMar>
          </w:tcPr>
          <w:p w14:paraId="06C47261" w14:textId="77777777" w:rsidR="00F7113A" w:rsidRPr="00580C0D" w:rsidRDefault="00142E5B" w:rsidP="00BD6CF4">
            <w:pPr>
              <w:jc w:val="right"/>
            </w:pPr>
            <w:r w:rsidRPr="00580C0D">
              <w:t>Ja</w:t>
            </w:r>
          </w:p>
        </w:tc>
      </w:tr>
      <w:tr w:rsidR="00F7113A" w:rsidRPr="00580C0D" w14:paraId="4F376C91" w14:textId="77777777" w:rsidTr="00BD6CF4">
        <w:trPr>
          <w:trHeight w:val="380"/>
        </w:trPr>
        <w:tc>
          <w:tcPr>
            <w:tcW w:w="1380" w:type="dxa"/>
            <w:tcBorders>
              <w:top w:val="nil"/>
              <w:left w:val="nil"/>
              <w:bottom w:val="nil"/>
              <w:right w:val="nil"/>
            </w:tcBorders>
            <w:tcMar>
              <w:top w:w="128" w:type="dxa"/>
              <w:left w:w="43" w:type="dxa"/>
              <w:bottom w:w="43" w:type="dxa"/>
              <w:right w:w="43" w:type="dxa"/>
            </w:tcMar>
          </w:tcPr>
          <w:p w14:paraId="68398B2C" w14:textId="77777777" w:rsidR="00F7113A" w:rsidRPr="00580C0D" w:rsidRDefault="00142E5B" w:rsidP="00BD6CF4">
            <w:r w:rsidRPr="00580C0D">
              <w:t>2016–2017</w:t>
            </w:r>
          </w:p>
        </w:tc>
        <w:tc>
          <w:tcPr>
            <w:tcW w:w="1340" w:type="dxa"/>
            <w:tcBorders>
              <w:top w:val="nil"/>
              <w:left w:val="nil"/>
              <w:bottom w:val="nil"/>
              <w:right w:val="nil"/>
            </w:tcBorders>
            <w:tcMar>
              <w:top w:w="128" w:type="dxa"/>
              <w:left w:w="43" w:type="dxa"/>
              <w:bottom w:w="43" w:type="dxa"/>
              <w:right w:w="43" w:type="dxa"/>
            </w:tcMar>
          </w:tcPr>
          <w:p w14:paraId="029D07AE" w14:textId="77777777" w:rsidR="00F7113A" w:rsidRPr="00580C0D" w:rsidRDefault="00142E5B" w:rsidP="003C787D">
            <w:pPr>
              <w:ind w:right="170"/>
            </w:pPr>
            <w:r w:rsidRPr="00580C0D">
              <w:t>903</w:t>
            </w:r>
          </w:p>
        </w:tc>
        <w:tc>
          <w:tcPr>
            <w:tcW w:w="5680" w:type="dxa"/>
            <w:tcBorders>
              <w:top w:val="nil"/>
              <w:left w:val="nil"/>
              <w:bottom w:val="nil"/>
              <w:right w:val="nil"/>
            </w:tcBorders>
            <w:tcMar>
              <w:top w:w="128" w:type="dxa"/>
              <w:left w:w="43" w:type="dxa"/>
              <w:bottom w:w="43" w:type="dxa"/>
              <w:right w:w="43" w:type="dxa"/>
            </w:tcMar>
          </w:tcPr>
          <w:p w14:paraId="5D3C58E1" w14:textId="77777777" w:rsidR="00F7113A" w:rsidRPr="00580C0D" w:rsidRDefault="00142E5B" w:rsidP="00BD6CF4">
            <w:r w:rsidRPr="00580C0D">
              <w:t xml:space="preserve">Spesialundervisning og </w:t>
            </w:r>
            <w:proofErr w:type="spellStart"/>
            <w:r w:rsidRPr="00580C0D">
              <w:t>lærarkompetanse</w:t>
            </w:r>
            <w:proofErr w:type="spellEnd"/>
          </w:p>
        </w:tc>
        <w:tc>
          <w:tcPr>
            <w:tcW w:w="1140" w:type="dxa"/>
            <w:tcBorders>
              <w:top w:val="nil"/>
              <w:left w:val="nil"/>
              <w:bottom w:val="nil"/>
              <w:right w:val="nil"/>
            </w:tcBorders>
            <w:tcMar>
              <w:top w:w="128" w:type="dxa"/>
              <w:left w:w="43" w:type="dxa"/>
              <w:bottom w:w="43" w:type="dxa"/>
              <w:right w:w="43" w:type="dxa"/>
            </w:tcMar>
          </w:tcPr>
          <w:p w14:paraId="6F2A9232" w14:textId="77777777" w:rsidR="00F7113A" w:rsidRPr="00580C0D" w:rsidRDefault="00142E5B" w:rsidP="00BD6CF4">
            <w:pPr>
              <w:jc w:val="right"/>
            </w:pPr>
            <w:r w:rsidRPr="00580C0D">
              <w:t>Ja</w:t>
            </w:r>
          </w:p>
        </w:tc>
      </w:tr>
      <w:tr w:rsidR="00F7113A" w:rsidRPr="00580C0D" w14:paraId="1D9B45BE" w14:textId="77777777" w:rsidTr="00BD6CF4">
        <w:trPr>
          <w:trHeight w:val="380"/>
        </w:trPr>
        <w:tc>
          <w:tcPr>
            <w:tcW w:w="1380" w:type="dxa"/>
            <w:tcBorders>
              <w:top w:val="nil"/>
              <w:left w:val="nil"/>
              <w:bottom w:val="single" w:sz="4" w:space="0" w:color="000000"/>
              <w:right w:val="nil"/>
            </w:tcBorders>
            <w:tcMar>
              <w:top w:w="128" w:type="dxa"/>
              <w:left w:w="43" w:type="dxa"/>
              <w:bottom w:w="43" w:type="dxa"/>
              <w:right w:w="43" w:type="dxa"/>
            </w:tcMar>
          </w:tcPr>
          <w:p w14:paraId="1C4CDFCD" w14:textId="77777777" w:rsidR="00F7113A" w:rsidRPr="00580C0D" w:rsidRDefault="00142E5B" w:rsidP="00BD6CF4">
            <w:r w:rsidRPr="00580C0D">
              <w:t>2015–2016</w:t>
            </w:r>
          </w:p>
        </w:tc>
        <w:tc>
          <w:tcPr>
            <w:tcW w:w="1340" w:type="dxa"/>
            <w:tcBorders>
              <w:top w:val="nil"/>
              <w:left w:val="nil"/>
              <w:bottom w:val="single" w:sz="4" w:space="0" w:color="000000"/>
              <w:right w:val="nil"/>
            </w:tcBorders>
            <w:tcMar>
              <w:top w:w="128" w:type="dxa"/>
              <w:left w:w="43" w:type="dxa"/>
              <w:bottom w:w="43" w:type="dxa"/>
              <w:right w:w="43" w:type="dxa"/>
            </w:tcMar>
          </w:tcPr>
          <w:p w14:paraId="4C328F3E" w14:textId="77777777" w:rsidR="00F7113A" w:rsidRPr="00580C0D" w:rsidRDefault="00142E5B" w:rsidP="003C787D">
            <w:pPr>
              <w:ind w:right="170"/>
            </w:pPr>
            <w:r w:rsidRPr="00580C0D">
              <w:t>796</w:t>
            </w:r>
          </w:p>
        </w:tc>
        <w:tc>
          <w:tcPr>
            <w:tcW w:w="5680" w:type="dxa"/>
            <w:tcBorders>
              <w:top w:val="nil"/>
              <w:left w:val="nil"/>
              <w:bottom w:val="single" w:sz="4" w:space="0" w:color="000000"/>
              <w:right w:val="nil"/>
            </w:tcBorders>
            <w:tcMar>
              <w:top w:w="128" w:type="dxa"/>
              <w:left w:w="43" w:type="dxa"/>
              <w:bottom w:w="43" w:type="dxa"/>
              <w:right w:w="43" w:type="dxa"/>
            </w:tcMar>
          </w:tcPr>
          <w:p w14:paraId="4AAE1A36" w14:textId="77777777" w:rsidR="00F7113A" w:rsidRPr="00580C0D" w:rsidRDefault="00142E5B" w:rsidP="00BD6CF4">
            <w:r w:rsidRPr="00580C0D">
              <w:t>Krav om norsk og samisk språk i barnehagesektoren</w:t>
            </w:r>
          </w:p>
        </w:tc>
        <w:tc>
          <w:tcPr>
            <w:tcW w:w="1140" w:type="dxa"/>
            <w:tcBorders>
              <w:top w:val="nil"/>
              <w:left w:val="nil"/>
              <w:bottom w:val="single" w:sz="4" w:space="0" w:color="000000"/>
              <w:right w:val="nil"/>
            </w:tcBorders>
            <w:tcMar>
              <w:top w:w="128" w:type="dxa"/>
              <w:left w:w="43" w:type="dxa"/>
              <w:bottom w:w="43" w:type="dxa"/>
              <w:right w:w="43" w:type="dxa"/>
            </w:tcMar>
          </w:tcPr>
          <w:p w14:paraId="1430578C" w14:textId="77777777" w:rsidR="00F7113A" w:rsidRPr="00580C0D" w:rsidRDefault="00142E5B" w:rsidP="00BD6CF4">
            <w:pPr>
              <w:jc w:val="right"/>
            </w:pPr>
            <w:r w:rsidRPr="00580C0D">
              <w:t>Nei</w:t>
            </w:r>
          </w:p>
        </w:tc>
      </w:tr>
    </w:tbl>
    <w:p w14:paraId="71DBC4A5" w14:textId="77777777" w:rsidR="00F7113A" w:rsidRPr="00580C0D" w:rsidRDefault="00142E5B" w:rsidP="001A1B0B">
      <w:pPr>
        <w:pStyle w:val="Overskrift2"/>
        <w:numPr>
          <w:ilvl w:val="1"/>
          <w:numId w:val="32"/>
        </w:numPr>
      </w:pPr>
      <w:r w:rsidRPr="00580C0D">
        <w:t>Stortingssesjon 2022–2023</w:t>
      </w:r>
    </w:p>
    <w:p w14:paraId="1713D08D" w14:textId="77777777" w:rsidR="00F7113A" w:rsidRPr="00580C0D" w:rsidRDefault="00142E5B" w:rsidP="00580C0D">
      <w:pPr>
        <w:pStyle w:val="Undertittel"/>
      </w:pPr>
      <w:r w:rsidRPr="00580C0D">
        <w:t>Oppmodingsvedtak under kunnskapsministeren</w:t>
      </w:r>
    </w:p>
    <w:p w14:paraId="6E346632" w14:textId="77777777" w:rsidR="00F7113A" w:rsidRPr="00580C0D" w:rsidRDefault="00142E5B" w:rsidP="00580C0D">
      <w:pPr>
        <w:pStyle w:val="avsnitt-tittel"/>
      </w:pPr>
      <w:r w:rsidRPr="00580C0D">
        <w:t xml:space="preserve">Regulering og dimensjonering av </w:t>
      </w:r>
      <w:proofErr w:type="spellStart"/>
      <w:r w:rsidRPr="00580C0D">
        <w:t>barnehagetilbodet</w:t>
      </w:r>
      <w:proofErr w:type="spellEnd"/>
    </w:p>
    <w:p w14:paraId="6B41761C" w14:textId="77777777" w:rsidR="00F7113A" w:rsidRPr="00580C0D" w:rsidRDefault="00142E5B" w:rsidP="00580C0D">
      <w:pPr>
        <w:pStyle w:val="avsnitt-undertittel"/>
      </w:pPr>
      <w:r w:rsidRPr="00580C0D">
        <w:t xml:space="preserve">Vedtak nr. 81, 1. desember 2022 </w:t>
      </w:r>
    </w:p>
    <w:p w14:paraId="495D0A61" w14:textId="77777777" w:rsidR="00F7113A" w:rsidRPr="00580C0D" w:rsidRDefault="00142E5B" w:rsidP="00580C0D">
      <w:pPr>
        <w:pStyle w:val="blokksit"/>
        <w:rPr>
          <w:rStyle w:val="kursiv"/>
        </w:rPr>
      </w:pPr>
      <w:r w:rsidRPr="00580C0D">
        <w:rPr>
          <w:rStyle w:val="kursiv"/>
        </w:rPr>
        <w:t xml:space="preserve">Stortinget ber regjeringen sende ut forslag på høring i løpet av 2023 som gir kommunene nye og sterkere virkemidler til å regulere og dimensjonere det samlede barnehagetilbudet i kommunen til det beste for barna og foreldrene. Regjeringen skal utrede og sende på høring forslag til dette, som å sette vilkår for tilskudd til private barnehager, mulighet for å stille samme krav til private som til offentlige barnehager, og å </w:t>
      </w:r>
      <w:proofErr w:type="spellStart"/>
      <w:r w:rsidRPr="00580C0D">
        <w:rPr>
          <w:rStyle w:val="kursiv"/>
        </w:rPr>
        <w:t>tidsavgrense</w:t>
      </w:r>
      <w:proofErr w:type="spellEnd"/>
      <w:r w:rsidRPr="00580C0D">
        <w:rPr>
          <w:rStyle w:val="kursiv"/>
        </w:rPr>
        <w:t xml:space="preserve"> tilskudd til private barnehager</w:t>
      </w:r>
    </w:p>
    <w:p w14:paraId="11640EF9"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469F10DE" w14:textId="77777777" w:rsidR="00F7113A" w:rsidRPr="00580C0D" w:rsidRDefault="00142E5B" w:rsidP="00580C0D">
      <w:r w:rsidRPr="00580C0D">
        <w:t xml:space="preserve">Kunnskapsdepartementet vil i løpet av </w:t>
      </w:r>
      <w:proofErr w:type="spellStart"/>
      <w:r w:rsidRPr="00580C0D">
        <w:t>hausten</w:t>
      </w:r>
      <w:proofErr w:type="spellEnd"/>
      <w:r w:rsidRPr="00580C0D">
        <w:t xml:space="preserve"> 2023 sende på </w:t>
      </w:r>
      <w:proofErr w:type="spellStart"/>
      <w:r w:rsidRPr="00580C0D">
        <w:t>høyring</w:t>
      </w:r>
      <w:proofErr w:type="spellEnd"/>
      <w:r w:rsidRPr="00580C0D">
        <w:t xml:space="preserve"> ei rekke forslag om </w:t>
      </w:r>
      <w:proofErr w:type="spellStart"/>
      <w:r w:rsidRPr="00580C0D">
        <w:t>endringar</w:t>
      </w:r>
      <w:proofErr w:type="spellEnd"/>
      <w:r w:rsidRPr="00580C0D">
        <w:t xml:space="preserve"> i barnehagelova om styringa og finansieringa av barnehagesektoren. For </w:t>
      </w:r>
      <w:proofErr w:type="spellStart"/>
      <w:r w:rsidRPr="00580C0D">
        <w:t>meir</w:t>
      </w:r>
      <w:proofErr w:type="spellEnd"/>
      <w:r w:rsidRPr="00580C0D">
        <w:t xml:space="preserve"> </w:t>
      </w:r>
      <w:proofErr w:type="spellStart"/>
      <w:r w:rsidRPr="00580C0D">
        <w:t>utførleg</w:t>
      </w:r>
      <w:proofErr w:type="spellEnd"/>
      <w:r w:rsidRPr="00580C0D">
        <w:t xml:space="preserve"> tekst om arbeidet med regelverket for private </w:t>
      </w:r>
      <w:proofErr w:type="spellStart"/>
      <w:r w:rsidRPr="00580C0D">
        <w:t>barnehagar</w:t>
      </w:r>
      <w:proofErr w:type="spellEnd"/>
      <w:r w:rsidRPr="00580C0D">
        <w:t xml:space="preserve">, sjå del II, programkategori 07.30 </w:t>
      </w:r>
      <w:proofErr w:type="spellStart"/>
      <w:r w:rsidRPr="00580C0D">
        <w:t>Barnehagar</w:t>
      </w:r>
      <w:proofErr w:type="spellEnd"/>
      <w:r w:rsidRPr="00580C0D">
        <w:t>.</w:t>
      </w:r>
    </w:p>
    <w:p w14:paraId="5F56E725"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23EE4FC2" w14:textId="77777777" w:rsidR="00F7113A" w:rsidRPr="00580C0D" w:rsidRDefault="00142E5B" w:rsidP="00580C0D">
      <w:pPr>
        <w:pStyle w:val="avsnitt-tittel"/>
      </w:pPr>
      <w:r w:rsidRPr="00580C0D">
        <w:t>Gratis SFO-</w:t>
      </w:r>
      <w:proofErr w:type="spellStart"/>
      <w:r w:rsidRPr="00580C0D">
        <w:t>tilbod</w:t>
      </w:r>
      <w:proofErr w:type="spellEnd"/>
      <w:r w:rsidRPr="00580C0D">
        <w:t xml:space="preserve"> alle </w:t>
      </w:r>
      <w:proofErr w:type="spellStart"/>
      <w:r w:rsidRPr="00580C0D">
        <w:t>vekedagar</w:t>
      </w:r>
      <w:proofErr w:type="spellEnd"/>
      <w:r w:rsidRPr="00580C0D">
        <w:t xml:space="preserve"> </w:t>
      </w:r>
      <w:proofErr w:type="spellStart"/>
      <w:r w:rsidRPr="00580C0D">
        <w:t>skulen</w:t>
      </w:r>
      <w:proofErr w:type="spellEnd"/>
      <w:r w:rsidRPr="00580C0D">
        <w:t xml:space="preserve"> har </w:t>
      </w:r>
      <w:proofErr w:type="spellStart"/>
      <w:r w:rsidRPr="00580C0D">
        <w:t>tilbod</w:t>
      </w:r>
      <w:proofErr w:type="spellEnd"/>
    </w:p>
    <w:p w14:paraId="08768CBD" w14:textId="77777777" w:rsidR="00F7113A" w:rsidRPr="00580C0D" w:rsidRDefault="00142E5B" w:rsidP="00580C0D">
      <w:pPr>
        <w:pStyle w:val="avsnitt-undertittel"/>
      </w:pPr>
      <w:r w:rsidRPr="00580C0D">
        <w:t>Vedtak nr. 87, 1. desember 2022</w:t>
      </w:r>
    </w:p>
    <w:p w14:paraId="4701D82C" w14:textId="77777777" w:rsidR="00F7113A" w:rsidRPr="00580C0D" w:rsidRDefault="00142E5B" w:rsidP="00580C0D">
      <w:pPr>
        <w:pStyle w:val="blokksit"/>
        <w:rPr>
          <w:rStyle w:val="kursiv"/>
        </w:rPr>
      </w:pPr>
      <w:r w:rsidRPr="00580C0D">
        <w:rPr>
          <w:rStyle w:val="kursiv"/>
        </w:rPr>
        <w:t>Stortinget ber regjeringen sørge for at elever som mottar tilbud om 12 timers gratis SFO fra skoleåret 2023–2024 får mulighet til å delta alle ukedager skolen har SFO-tilbud, så langt det er praktisk mulig.</w:t>
      </w:r>
    </w:p>
    <w:p w14:paraId="2CCEDB97"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16CAEDE6" w14:textId="77777777" w:rsidR="00F7113A" w:rsidRPr="00580C0D" w:rsidRDefault="00142E5B" w:rsidP="00580C0D">
      <w:r w:rsidRPr="00580C0D">
        <w:t xml:space="preserve">Vedtaket er </w:t>
      </w:r>
      <w:proofErr w:type="spellStart"/>
      <w:r w:rsidRPr="00580C0D">
        <w:t>følgt</w:t>
      </w:r>
      <w:proofErr w:type="spellEnd"/>
      <w:r w:rsidRPr="00580C0D">
        <w:t xml:space="preserve"> opp ved </w:t>
      </w:r>
      <w:proofErr w:type="spellStart"/>
      <w:r w:rsidRPr="00580C0D">
        <w:t>endringar</w:t>
      </w:r>
      <w:proofErr w:type="spellEnd"/>
      <w:r w:rsidRPr="00580C0D">
        <w:t xml:space="preserve"> i forskrift til </w:t>
      </w:r>
      <w:proofErr w:type="spellStart"/>
      <w:r w:rsidRPr="00580C0D">
        <w:t>opplæringslova</w:t>
      </w:r>
      <w:proofErr w:type="spellEnd"/>
      <w:r w:rsidRPr="00580C0D">
        <w:t xml:space="preserve"> § 1B-4 som blei fastsette 26. mai 2023. Ifølge den reviderte paragrafen skal kommunen gi </w:t>
      </w:r>
      <w:proofErr w:type="spellStart"/>
      <w:r w:rsidRPr="00580C0D">
        <w:t>foreldra</w:t>
      </w:r>
      <w:proofErr w:type="spellEnd"/>
      <w:r w:rsidRPr="00580C0D">
        <w:t xml:space="preserve"> </w:t>
      </w:r>
      <w:proofErr w:type="spellStart"/>
      <w:r w:rsidRPr="00580C0D">
        <w:t>tilbod</w:t>
      </w:r>
      <w:proofErr w:type="spellEnd"/>
      <w:r w:rsidRPr="00580C0D">
        <w:t xml:space="preserve"> om å fordele </w:t>
      </w:r>
      <w:proofErr w:type="spellStart"/>
      <w:r w:rsidRPr="00580C0D">
        <w:t>dei</w:t>
      </w:r>
      <w:proofErr w:type="spellEnd"/>
      <w:r w:rsidRPr="00580C0D">
        <w:t xml:space="preserve"> 12 </w:t>
      </w:r>
      <w:proofErr w:type="spellStart"/>
      <w:r w:rsidRPr="00580C0D">
        <w:t>timane</w:t>
      </w:r>
      <w:proofErr w:type="spellEnd"/>
      <w:r w:rsidRPr="00580C0D">
        <w:t xml:space="preserve"> med gratis </w:t>
      </w:r>
      <w:proofErr w:type="spellStart"/>
      <w:r w:rsidRPr="00580C0D">
        <w:t>skulefritidsordning</w:t>
      </w:r>
      <w:proofErr w:type="spellEnd"/>
      <w:r w:rsidRPr="00580C0D">
        <w:t xml:space="preserve"> (SFO) på alle </w:t>
      </w:r>
      <w:proofErr w:type="spellStart"/>
      <w:r w:rsidRPr="00580C0D">
        <w:t>dagane</w:t>
      </w:r>
      <w:proofErr w:type="spellEnd"/>
      <w:r w:rsidRPr="00580C0D">
        <w:t xml:space="preserve"> kommunen til </w:t>
      </w:r>
      <w:proofErr w:type="spellStart"/>
      <w:r w:rsidRPr="00580C0D">
        <w:t>vanleg</w:t>
      </w:r>
      <w:proofErr w:type="spellEnd"/>
      <w:r w:rsidRPr="00580C0D">
        <w:t xml:space="preserve"> har </w:t>
      </w:r>
      <w:proofErr w:type="spellStart"/>
      <w:r w:rsidRPr="00580C0D">
        <w:t>eit</w:t>
      </w:r>
      <w:proofErr w:type="spellEnd"/>
      <w:r w:rsidRPr="00580C0D">
        <w:t xml:space="preserve"> SFO-</w:t>
      </w:r>
      <w:proofErr w:type="spellStart"/>
      <w:r w:rsidRPr="00580C0D">
        <w:t>tilbod</w:t>
      </w:r>
      <w:proofErr w:type="spellEnd"/>
      <w:r w:rsidRPr="00580C0D">
        <w:t xml:space="preserve">, så langt det er praktisk </w:t>
      </w:r>
      <w:proofErr w:type="spellStart"/>
      <w:r w:rsidRPr="00580C0D">
        <w:t>mogleg</w:t>
      </w:r>
      <w:proofErr w:type="spellEnd"/>
      <w:r w:rsidRPr="00580C0D">
        <w:t xml:space="preserve">. Samtidig blei forskrifta endra for å utvide ordninga med 12 </w:t>
      </w:r>
      <w:proofErr w:type="spellStart"/>
      <w:r w:rsidRPr="00580C0D">
        <w:t>timar</w:t>
      </w:r>
      <w:proofErr w:type="spellEnd"/>
      <w:r w:rsidRPr="00580C0D">
        <w:t xml:space="preserve"> gratis SFO til også å gjelde for </w:t>
      </w:r>
      <w:proofErr w:type="spellStart"/>
      <w:r w:rsidRPr="00580C0D">
        <w:t>elevar</w:t>
      </w:r>
      <w:proofErr w:type="spellEnd"/>
      <w:r w:rsidRPr="00580C0D">
        <w:t xml:space="preserve"> på 2. </w:t>
      </w:r>
      <w:proofErr w:type="spellStart"/>
      <w:r w:rsidRPr="00580C0D">
        <w:t>årstrinn</w:t>
      </w:r>
      <w:proofErr w:type="spellEnd"/>
      <w:r w:rsidRPr="00580C0D">
        <w:t xml:space="preserve">. </w:t>
      </w:r>
      <w:proofErr w:type="spellStart"/>
      <w:r w:rsidRPr="00580C0D">
        <w:t>Endringane</w:t>
      </w:r>
      <w:proofErr w:type="spellEnd"/>
      <w:r w:rsidRPr="00580C0D">
        <w:t xml:space="preserve"> tok til å gjelde 1. august 2023.</w:t>
      </w:r>
    </w:p>
    <w:p w14:paraId="02155352"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072A1E33" w14:textId="77777777" w:rsidR="00F7113A" w:rsidRPr="00580C0D" w:rsidRDefault="00142E5B" w:rsidP="00580C0D">
      <w:pPr>
        <w:pStyle w:val="avsnitt-tittel"/>
      </w:pPr>
      <w:proofErr w:type="spellStart"/>
      <w:r w:rsidRPr="00580C0D">
        <w:t>Eksamensordningar</w:t>
      </w:r>
      <w:proofErr w:type="spellEnd"/>
      <w:r w:rsidRPr="00580C0D">
        <w:t xml:space="preserve"> i </w:t>
      </w:r>
      <w:proofErr w:type="spellStart"/>
      <w:r w:rsidRPr="00580C0D">
        <w:t>vidaregåande</w:t>
      </w:r>
      <w:proofErr w:type="spellEnd"/>
      <w:r w:rsidRPr="00580C0D">
        <w:t xml:space="preserve"> og ungdomsskule</w:t>
      </w:r>
    </w:p>
    <w:p w14:paraId="75D540DA" w14:textId="77777777" w:rsidR="00F7113A" w:rsidRPr="00580C0D" w:rsidRDefault="00142E5B" w:rsidP="00580C0D">
      <w:pPr>
        <w:pStyle w:val="avsnitt-undertittel"/>
      </w:pPr>
      <w:r w:rsidRPr="00580C0D">
        <w:t>Vedtak nr. 90, 1. desember 2022</w:t>
      </w:r>
    </w:p>
    <w:p w14:paraId="1125D01E" w14:textId="77777777" w:rsidR="00F7113A" w:rsidRPr="00580C0D" w:rsidRDefault="00142E5B" w:rsidP="00580C0D">
      <w:pPr>
        <w:pStyle w:val="blokksit"/>
        <w:rPr>
          <w:rStyle w:val="kursiv"/>
        </w:rPr>
      </w:pPr>
      <w:r w:rsidRPr="00580C0D">
        <w:rPr>
          <w:rStyle w:val="kursiv"/>
        </w:rPr>
        <w:t>Stortinget ber regjeringen iverksette forsøk og utprøvinger med alternativer til dagens eksamensordning i videregående og ungdomsskole. Forsøkene og utprøvingene følges med bistand og erfaringsinnhenting.</w:t>
      </w:r>
    </w:p>
    <w:p w14:paraId="72ADCCDD"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10991C72" w14:textId="77777777" w:rsidR="00F7113A" w:rsidRPr="00580C0D" w:rsidRDefault="00142E5B" w:rsidP="00580C0D">
      <w:r w:rsidRPr="00580C0D">
        <w:t xml:space="preserve">Utdanningsdirektoratet har varsla at det </w:t>
      </w:r>
      <w:proofErr w:type="spellStart"/>
      <w:r w:rsidRPr="00580C0D">
        <w:t>frå</w:t>
      </w:r>
      <w:proofErr w:type="spellEnd"/>
      <w:r w:rsidRPr="00580C0D">
        <w:t xml:space="preserve"> våren 2024 vil bli sett i gang utprøving av ei </w:t>
      </w:r>
      <w:proofErr w:type="spellStart"/>
      <w:r w:rsidRPr="00580C0D">
        <w:t>langtidsoppgåve</w:t>
      </w:r>
      <w:proofErr w:type="spellEnd"/>
      <w:r w:rsidRPr="00580C0D">
        <w:t xml:space="preserve"> som på sikt kan bli </w:t>
      </w:r>
      <w:proofErr w:type="spellStart"/>
      <w:r w:rsidRPr="00580C0D">
        <w:t>eit</w:t>
      </w:r>
      <w:proofErr w:type="spellEnd"/>
      <w:r w:rsidRPr="00580C0D">
        <w:t xml:space="preserve"> alternativ eller supplement til dagens eksamensformer. </w:t>
      </w:r>
      <w:proofErr w:type="spellStart"/>
      <w:r w:rsidRPr="00580C0D">
        <w:t>Fylkeskommunane</w:t>
      </w:r>
      <w:proofErr w:type="spellEnd"/>
      <w:r w:rsidRPr="00580C0D">
        <w:t xml:space="preserve"> kan i løpet av </w:t>
      </w:r>
      <w:proofErr w:type="spellStart"/>
      <w:r w:rsidRPr="00580C0D">
        <w:t>hausten</w:t>
      </w:r>
      <w:proofErr w:type="spellEnd"/>
      <w:r w:rsidRPr="00580C0D">
        <w:t xml:space="preserve"> 2023 melde interesse for å delta i den første utprøvinga.</w:t>
      </w:r>
    </w:p>
    <w:p w14:paraId="5CE4F317" w14:textId="77777777" w:rsidR="00F7113A" w:rsidRPr="00580C0D" w:rsidRDefault="00142E5B" w:rsidP="00580C0D">
      <w:r w:rsidRPr="00580C0D">
        <w:t xml:space="preserve">I tillegg til den </w:t>
      </w:r>
      <w:proofErr w:type="spellStart"/>
      <w:r w:rsidRPr="00580C0D">
        <w:t>planlagde</w:t>
      </w:r>
      <w:proofErr w:type="spellEnd"/>
      <w:r w:rsidRPr="00580C0D">
        <w:t xml:space="preserve"> utprøvinga av ei </w:t>
      </w:r>
      <w:proofErr w:type="spellStart"/>
      <w:r w:rsidRPr="00580C0D">
        <w:t>langtidsoppgåve</w:t>
      </w:r>
      <w:proofErr w:type="spellEnd"/>
      <w:r w:rsidRPr="00580C0D">
        <w:t xml:space="preserve"> blir det </w:t>
      </w:r>
      <w:proofErr w:type="spellStart"/>
      <w:r w:rsidRPr="00580C0D">
        <w:t>arbeidd</w:t>
      </w:r>
      <w:proofErr w:type="spellEnd"/>
      <w:r w:rsidRPr="00580C0D">
        <w:t xml:space="preserve"> med nødvendig kunnskapsinnhenting. Utdanningsdirektoratet gjennomførte i fjor ei kartlegging av nordisk forsking om eksamen. </w:t>
      </w:r>
      <w:proofErr w:type="spellStart"/>
      <w:r w:rsidRPr="00580C0D">
        <w:t>Eit</w:t>
      </w:r>
      <w:proofErr w:type="spellEnd"/>
      <w:r w:rsidRPr="00580C0D">
        <w:t xml:space="preserve"> sentralt funn var at det er forholdsvis lite forsking på eksamen i Norden. </w:t>
      </w:r>
      <w:proofErr w:type="spellStart"/>
      <w:r w:rsidRPr="00580C0D">
        <w:t>Vidare</w:t>
      </w:r>
      <w:proofErr w:type="spellEnd"/>
      <w:r w:rsidRPr="00580C0D">
        <w:t xml:space="preserve"> blir det gjennomført </w:t>
      </w:r>
      <w:proofErr w:type="spellStart"/>
      <w:r w:rsidRPr="00580C0D">
        <w:t>eit</w:t>
      </w:r>
      <w:proofErr w:type="spellEnd"/>
      <w:r w:rsidRPr="00580C0D">
        <w:t xml:space="preserve"> forskingsprosjekt om fag- og </w:t>
      </w:r>
      <w:proofErr w:type="spellStart"/>
      <w:r w:rsidRPr="00580C0D">
        <w:t>sveineprøve</w:t>
      </w:r>
      <w:proofErr w:type="spellEnd"/>
      <w:r w:rsidRPr="00580C0D">
        <w:t xml:space="preserve"> som vurderingsform, der </w:t>
      </w:r>
      <w:proofErr w:type="spellStart"/>
      <w:r w:rsidRPr="00580C0D">
        <w:t>Fafo</w:t>
      </w:r>
      <w:proofErr w:type="spellEnd"/>
      <w:r w:rsidRPr="00580C0D">
        <w:t xml:space="preserve"> skal levere sin rapport i 2023. Utdanningsdirektoratet og Direktoratet for </w:t>
      </w:r>
      <w:proofErr w:type="spellStart"/>
      <w:r w:rsidRPr="00580C0D">
        <w:t>høgare</w:t>
      </w:r>
      <w:proofErr w:type="spellEnd"/>
      <w:r w:rsidRPr="00580C0D">
        <w:t xml:space="preserve"> utdanning og kompetanse (HK-</w:t>
      </w:r>
      <w:proofErr w:type="spellStart"/>
      <w:r w:rsidRPr="00580C0D">
        <w:t>dir</w:t>
      </w:r>
      <w:proofErr w:type="spellEnd"/>
      <w:r w:rsidRPr="00580C0D">
        <w:t xml:space="preserve">) er også i gang med å greie ut </w:t>
      </w:r>
      <w:proofErr w:type="spellStart"/>
      <w:r w:rsidRPr="00580C0D">
        <w:t>moglege</w:t>
      </w:r>
      <w:proofErr w:type="spellEnd"/>
      <w:r w:rsidRPr="00580C0D">
        <w:t xml:space="preserve"> </w:t>
      </w:r>
      <w:proofErr w:type="spellStart"/>
      <w:r w:rsidRPr="00580C0D">
        <w:t>endringar</w:t>
      </w:r>
      <w:proofErr w:type="spellEnd"/>
      <w:r w:rsidRPr="00580C0D">
        <w:t xml:space="preserve"> i eksamensordninga for </w:t>
      </w:r>
      <w:proofErr w:type="spellStart"/>
      <w:r w:rsidRPr="00580C0D">
        <w:t>praksiskandidatar</w:t>
      </w:r>
      <w:proofErr w:type="spellEnd"/>
      <w:r w:rsidRPr="00580C0D">
        <w:t>.</w:t>
      </w:r>
    </w:p>
    <w:p w14:paraId="564EA39A" w14:textId="77777777" w:rsidR="00F7113A" w:rsidRPr="00580C0D" w:rsidRDefault="00142E5B" w:rsidP="00580C0D">
      <w:r w:rsidRPr="00580C0D">
        <w:t xml:space="preserve">Utdanningsdirektoratet har elles lagt fram andre forslag til </w:t>
      </w:r>
      <w:proofErr w:type="spellStart"/>
      <w:r w:rsidRPr="00580C0D">
        <w:t>utprøvingar</w:t>
      </w:r>
      <w:proofErr w:type="spellEnd"/>
      <w:r w:rsidRPr="00580C0D">
        <w:t xml:space="preserve"> og etter kvart forsøk på vurderingsfeltet. Det </w:t>
      </w:r>
      <w:proofErr w:type="spellStart"/>
      <w:r w:rsidRPr="00580C0D">
        <w:t>omfattar</w:t>
      </w:r>
      <w:proofErr w:type="spellEnd"/>
      <w:r w:rsidRPr="00580C0D">
        <w:t xml:space="preserve"> mellom anna utprøving av eksamen i praktiske og estetiske fag og ei </w:t>
      </w:r>
      <w:proofErr w:type="spellStart"/>
      <w:r w:rsidRPr="00580C0D">
        <w:t>skriftleg-munnleg</w:t>
      </w:r>
      <w:proofErr w:type="spellEnd"/>
      <w:r w:rsidRPr="00580C0D">
        <w:t xml:space="preserve"> eksamensform. Dette vil inngå som </w:t>
      </w:r>
      <w:proofErr w:type="spellStart"/>
      <w:r w:rsidRPr="00580C0D">
        <w:t>ein</w:t>
      </w:r>
      <w:proofErr w:type="spellEnd"/>
      <w:r w:rsidRPr="00580C0D">
        <w:t xml:space="preserve"> del av kunnskapsgrunnlaget for å kunne </w:t>
      </w:r>
      <w:proofErr w:type="spellStart"/>
      <w:r w:rsidRPr="00580C0D">
        <w:t>gjere</w:t>
      </w:r>
      <w:proofErr w:type="spellEnd"/>
      <w:r w:rsidRPr="00580C0D">
        <w:t xml:space="preserve"> </w:t>
      </w:r>
      <w:proofErr w:type="spellStart"/>
      <w:r w:rsidRPr="00580C0D">
        <w:t>endringar</w:t>
      </w:r>
      <w:proofErr w:type="spellEnd"/>
      <w:r w:rsidRPr="00580C0D">
        <w:t xml:space="preserve"> på sikt. Når vi </w:t>
      </w:r>
      <w:proofErr w:type="spellStart"/>
      <w:r w:rsidRPr="00580C0D">
        <w:t>endrar</w:t>
      </w:r>
      <w:proofErr w:type="spellEnd"/>
      <w:r w:rsidRPr="00580C0D">
        <w:t xml:space="preserve"> eksamen, er det viktig at dette blir gjort gradvis og kunnskapsbasert. Vi må sikre både </w:t>
      </w:r>
      <w:proofErr w:type="spellStart"/>
      <w:r w:rsidRPr="00580C0D">
        <w:t>eit</w:t>
      </w:r>
      <w:proofErr w:type="spellEnd"/>
      <w:r w:rsidRPr="00580C0D">
        <w:t xml:space="preserve"> </w:t>
      </w:r>
      <w:proofErr w:type="spellStart"/>
      <w:r w:rsidRPr="00580C0D">
        <w:t>føreseieleg</w:t>
      </w:r>
      <w:proofErr w:type="spellEnd"/>
      <w:r w:rsidRPr="00580C0D">
        <w:t xml:space="preserve"> system, at eksamenen måler det han skal måle, og at han </w:t>
      </w:r>
      <w:proofErr w:type="spellStart"/>
      <w:r w:rsidRPr="00580C0D">
        <w:t>sikrar</w:t>
      </w:r>
      <w:proofErr w:type="spellEnd"/>
      <w:r w:rsidRPr="00580C0D">
        <w:t xml:space="preserve"> ei mest </w:t>
      </w:r>
      <w:proofErr w:type="spellStart"/>
      <w:r w:rsidRPr="00580C0D">
        <w:t>mogleg</w:t>
      </w:r>
      <w:proofErr w:type="spellEnd"/>
      <w:r w:rsidRPr="00580C0D">
        <w:t xml:space="preserve"> likeverdig og rettferdig vurdering av </w:t>
      </w:r>
      <w:proofErr w:type="spellStart"/>
      <w:r w:rsidRPr="00580C0D">
        <w:t>elevane</w:t>
      </w:r>
      <w:proofErr w:type="spellEnd"/>
      <w:r w:rsidRPr="00580C0D">
        <w:t xml:space="preserve">. Regjeringa arbeider altså langs </w:t>
      </w:r>
      <w:proofErr w:type="spellStart"/>
      <w:r w:rsidRPr="00580C0D">
        <w:t>fleire</w:t>
      </w:r>
      <w:proofErr w:type="spellEnd"/>
      <w:r w:rsidRPr="00580C0D">
        <w:t xml:space="preserve"> spor for å </w:t>
      </w:r>
      <w:proofErr w:type="spellStart"/>
      <w:r w:rsidRPr="00580C0D">
        <w:t>vidareutvikle</w:t>
      </w:r>
      <w:proofErr w:type="spellEnd"/>
      <w:r w:rsidRPr="00580C0D">
        <w:t xml:space="preserve"> dagens </w:t>
      </w:r>
      <w:proofErr w:type="spellStart"/>
      <w:r w:rsidRPr="00580C0D">
        <w:t>eksamensordningar</w:t>
      </w:r>
      <w:proofErr w:type="spellEnd"/>
      <w:r w:rsidRPr="00580C0D">
        <w:t xml:space="preserve"> med bakgrunn i </w:t>
      </w:r>
      <w:proofErr w:type="spellStart"/>
      <w:r w:rsidRPr="00580C0D">
        <w:t>eit</w:t>
      </w:r>
      <w:proofErr w:type="spellEnd"/>
      <w:r w:rsidRPr="00580C0D">
        <w:t xml:space="preserve"> godt kunnskapsgrunnlag.</w:t>
      </w:r>
    </w:p>
    <w:p w14:paraId="21E73A84" w14:textId="77777777" w:rsidR="00F7113A" w:rsidRPr="00580C0D" w:rsidRDefault="00142E5B" w:rsidP="00580C0D">
      <w:r w:rsidRPr="00580C0D">
        <w:t xml:space="preserve">Departementet foreslår i statsbudsjettet for 2024 </w:t>
      </w:r>
      <w:proofErr w:type="spellStart"/>
      <w:r w:rsidRPr="00580C0D">
        <w:t>ein</w:t>
      </w:r>
      <w:proofErr w:type="spellEnd"/>
      <w:r w:rsidRPr="00580C0D">
        <w:t xml:space="preserve"> </w:t>
      </w:r>
      <w:proofErr w:type="spellStart"/>
      <w:r w:rsidRPr="00580C0D">
        <w:t>auke</w:t>
      </w:r>
      <w:proofErr w:type="spellEnd"/>
      <w:r w:rsidRPr="00580C0D">
        <w:t xml:space="preserve"> på 15 mill. kroner for å styrke arbeidet med eksamen og vurdering, jf. programkategori 07.20 Grunnopplæringa.</w:t>
      </w:r>
    </w:p>
    <w:p w14:paraId="3EBC9F30"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6533C7FB" w14:textId="77777777" w:rsidR="00F7113A" w:rsidRPr="00580C0D" w:rsidRDefault="00142E5B" w:rsidP="00580C0D">
      <w:pPr>
        <w:pStyle w:val="avsnitt-tittel"/>
      </w:pPr>
      <w:r w:rsidRPr="00580C0D">
        <w:t xml:space="preserve">Finansiering av </w:t>
      </w:r>
      <w:proofErr w:type="spellStart"/>
      <w:r w:rsidRPr="00580C0D">
        <w:t>produksjonsskular</w:t>
      </w:r>
      <w:proofErr w:type="spellEnd"/>
    </w:p>
    <w:p w14:paraId="0E8BD655" w14:textId="77777777" w:rsidR="00F7113A" w:rsidRPr="00580C0D" w:rsidRDefault="00142E5B" w:rsidP="00580C0D">
      <w:pPr>
        <w:pStyle w:val="avsnitt-undertittel"/>
      </w:pPr>
      <w:r w:rsidRPr="00580C0D">
        <w:t>Vedtak nr. 109, 1. desember 2022</w:t>
      </w:r>
    </w:p>
    <w:p w14:paraId="25AA2ECE" w14:textId="77777777" w:rsidR="00F7113A" w:rsidRPr="00580C0D" w:rsidRDefault="00142E5B" w:rsidP="00580C0D">
      <w:pPr>
        <w:pStyle w:val="blokksit"/>
        <w:rPr>
          <w:rStyle w:val="kursiv"/>
        </w:rPr>
      </w:pPr>
      <w:r w:rsidRPr="00580C0D">
        <w:rPr>
          <w:rStyle w:val="kursiv"/>
        </w:rPr>
        <w:t>Stortinget ber regjeringen komme tilbake til Stortinget i statsbudsjettet for 2024 med forslag om statlig bidrag til finansiering av produksjonsskoler.</w:t>
      </w:r>
    </w:p>
    <w:p w14:paraId="0CD269F5"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7F379CAA" w14:textId="77777777" w:rsidR="00F7113A" w:rsidRPr="00580C0D" w:rsidRDefault="00142E5B" w:rsidP="00580C0D">
      <w:r w:rsidRPr="00580C0D">
        <w:t xml:space="preserve">I statsbudsjettet for 2024 foreslår regjeringa 485 mill. kroner for å styrke arbeidet for </w:t>
      </w:r>
      <w:proofErr w:type="spellStart"/>
      <w:r w:rsidRPr="00580C0D">
        <w:t>fleire</w:t>
      </w:r>
      <w:proofErr w:type="spellEnd"/>
      <w:r w:rsidRPr="00580C0D">
        <w:t xml:space="preserve"> </w:t>
      </w:r>
      <w:proofErr w:type="spellStart"/>
      <w:r w:rsidRPr="00580C0D">
        <w:t>læreplassar</w:t>
      </w:r>
      <w:proofErr w:type="spellEnd"/>
      <w:r w:rsidRPr="00580C0D">
        <w:t xml:space="preserve"> og bidra til kvalifisering og formidling til </w:t>
      </w:r>
      <w:proofErr w:type="spellStart"/>
      <w:r w:rsidRPr="00580C0D">
        <w:t>læreplassar</w:t>
      </w:r>
      <w:proofErr w:type="spellEnd"/>
      <w:r w:rsidRPr="00580C0D">
        <w:t xml:space="preserve"> i fag- og yrkesopplæringa, jf. kap. 225, post 69. </w:t>
      </w:r>
      <w:proofErr w:type="spellStart"/>
      <w:r w:rsidRPr="00580C0D">
        <w:t>Fylkeskommunane</w:t>
      </w:r>
      <w:proofErr w:type="spellEnd"/>
      <w:r w:rsidRPr="00580C0D">
        <w:t xml:space="preserve"> kan </w:t>
      </w:r>
      <w:proofErr w:type="spellStart"/>
      <w:r w:rsidRPr="00580C0D">
        <w:t>innanfor</w:t>
      </w:r>
      <w:proofErr w:type="spellEnd"/>
      <w:r w:rsidRPr="00580C0D">
        <w:t xml:space="preserve"> ramma av </w:t>
      </w:r>
      <w:proofErr w:type="spellStart"/>
      <w:r w:rsidRPr="00580C0D">
        <w:t>tilskotet</w:t>
      </w:r>
      <w:proofErr w:type="spellEnd"/>
      <w:r w:rsidRPr="00580C0D">
        <w:t xml:space="preserve"> mellom anna etablere </w:t>
      </w:r>
      <w:proofErr w:type="spellStart"/>
      <w:r w:rsidRPr="00580C0D">
        <w:t>tilbod</w:t>
      </w:r>
      <w:proofErr w:type="spellEnd"/>
      <w:r w:rsidRPr="00580C0D">
        <w:t xml:space="preserve"> om </w:t>
      </w:r>
      <w:proofErr w:type="spellStart"/>
      <w:r w:rsidRPr="00580C0D">
        <w:t>produksjonsskular</w:t>
      </w:r>
      <w:proofErr w:type="spellEnd"/>
      <w:r w:rsidRPr="00580C0D">
        <w:t xml:space="preserve">. </w:t>
      </w:r>
      <w:proofErr w:type="spellStart"/>
      <w:r w:rsidRPr="00580C0D">
        <w:t>Sidan</w:t>
      </w:r>
      <w:proofErr w:type="spellEnd"/>
      <w:r w:rsidRPr="00580C0D">
        <w:t xml:space="preserve"> </w:t>
      </w:r>
      <w:proofErr w:type="spellStart"/>
      <w:r w:rsidRPr="00580C0D">
        <w:t>tilskotet</w:t>
      </w:r>
      <w:proofErr w:type="spellEnd"/>
      <w:r w:rsidRPr="00580C0D">
        <w:t xml:space="preserve"> gir rom for å gi </w:t>
      </w:r>
      <w:proofErr w:type="spellStart"/>
      <w:r w:rsidRPr="00580C0D">
        <w:t>midlar</w:t>
      </w:r>
      <w:proofErr w:type="spellEnd"/>
      <w:r w:rsidRPr="00580C0D">
        <w:t xml:space="preserve"> til </w:t>
      </w:r>
      <w:proofErr w:type="spellStart"/>
      <w:r w:rsidRPr="00580C0D">
        <w:t>produksjonsskular</w:t>
      </w:r>
      <w:proofErr w:type="spellEnd"/>
      <w:r w:rsidRPr="00580C0D">
        <w:t xml:space="preserve">, meiner departementet at dette er </w:t>
      </w:r>
      <w:proofErr w:type="spellStart"/>
      <w:r w:rsidRPr="00580C0D">
        <w:t>eit</w:t>
      </w:r>
      <w:proofErr w:type="spellEnd"/>
      <w:r w:rsidRPr="00580C0D">
        <w:t xml:space="preserve"> </w:t>
      </w:r>
      <w:proofErr w:type="spellStart"/>
      <w:r w:rsidRPr="00580C0D">
        <w:t>statleg</w:t>
      </w:r>
      <w:proofErr w:type="spellEnd"/>
      <w:r w:rsidRPr="00580C0D">
        <w:t xml:space="preserve"> bidrag til finansiering av </w:t>
      </w:r>
      <w:proofErr w:type="spellStart"/>
      <w:r w:rsidRPr="00580C0D">
        <w:t>produksjonsskular</w:t>
      </w:r>
      <w:proofErr w:type="spellEnd"/>
      <w:r w:rsidRPr="00580C0D">
        <w:t xml:space="preserve">, i tråd med vedtaket. Samstundes vil </w:t>
      </w:r>
      <w:proofErr w:type="spellStart"/>
      <w:r w:rsidRPr="00580C0D">
        <w:t>ikkje</w:t>
      </w:r>
      <w:proofErr w:type="spellEnd"/>
      <w:r w:rsidRPr="00580C0D">
        <w:t xml:space="preserve"> departementet </w:t>
      </w:r>
      <w:proofErr w:type="spellStart"/>
      <w:r w:rsidRPr="00580C0D">
        <w:t>avgjere</w:t>
      </w:r>
      <w:proofErr w:type="spellEnd"/>
      <w:r w:rsidRPr="00580C0D">
        <w:t xml:space="preserve"> kva for </w:t>
      </w:r>
      <w:proofErr w:type="spellStart"/>
      <w:r w:rsidRPr="00580C0D">
        <w:t>opplæringstilbod</w:t>
      </w:r>
      <w:proofErr w:type="spellEnd"/>
      <w:r w:rsidRPr="00580C0D">
        <w:t xml:space="preserve"> den </w:t>
      </w:r>
      <w:proofErr w:type="spellStart"/>
      <w:r w:rsidRPr="00580C0D">
        <w:t>einskilde</w:t>
      </w:r>
      <w:proofErr w:type="spellEnd"/>
      <w:r w:rsidRPr="00580C0D">
        <w:t xml:space="preserve"> </w:t>
      </w:r>
      <w:proofErr w:type="spellStart"/>
      <w:r w:rsidRPr="00580C0D">
        <w:t>fylkeskommunane</w:t>
      </w:r>
      <w:proofErr w:type="spellEnd"/>
      <w:r w:rsidRPr="00580C0D">
        <w:t xml:space="preserve"> skal </w:t>
      </w:r>
      <w:proofErr w:type="spellStart"/>
      <w:r w:rsidRPr="00580C0D">
        <w:t>velje</w:t>
      </w:r>
      <w:proofErr w:type="spellEnd"/>
      <w:r w:rsidRPr="00580C0D">
        <w:t xml:space="preserve">. Det er viktig at </w:t>
      </w:r>
      <w:proofErr w:type="spellStart"/>
      <w:r w:rsidRPr="00580C0D">
        <w:t>opplæringstilbodet</w:t>
      </w:r>
      <w:proofErr w:type="spellEnd"/>
      <w:r w:rsidRPr="00580C0D">
        <w:t xml:space="preserve"> er tilpassa lokale behov.</w:t>
      </w:r>
    </w:p>
    <w:p w14:paraId="13821C99"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018FD05C" w14:textId="77777777" w:rsidR="00F7113A" w:rsidRPr="00580C0D" w:rsidRDefault="00142E5B" w:rsidP="00580C0D">
      <w:pPr>
        <w:pStyle w:val="avsnitt-tittel"/>
      </w:pPr>
      <w:r w:rsidRPr="00580C0D">
        <w:t xml:space="preserve">Strategi for å styrke laget rundt </w:t>
      </w:r>
      <w:proofErr w:type="spellStart"/>
      <w:r w:rsidRPr="00580C0D">
        <w:t>læraren</w:t>
      </w:r>
      <w:proofErr w:type="spellEnd"/>
      <w:r w:rsidRPr="00580C0D">
        <w:t xml:space="preserve"> og eleven</w:t>
      </w:r>
    </w:p>
    <w:p w14:paraId="0539046F" w14:textId="77777777" w:rsidR="00F7113A" w:rsidRPr="00580C0D" w:rsidRDefault="00142E5B" w:rsidP="00580C0D">
      <w:pPr>
        <w:pStyle w:val="avsnitt-undertittel"/>
      </w:pPr>
      <w:r w:rsidRPr="00580C0D">
        <w:t>Vedtak nr. 472, 31. januar 2023</w:t>
      </w:r>
    </w:p>
    <w:p w14:paraId="776BD3D7" w14:textId="77777777" w:rsidR="00F7113A" w:rsidRPr="00580C0D" w:rsidRDefault="00142E5B" w:rsidP="00580C0D">
      <w:pPr>
        <w:pStyle w:val="blokksit"/>
        <w:rPr>
          <w:rStyle w:val="kursiv"/>
        </w:rPr>
      </w:pPr>
      <w:r w:rsidRPr="00580C0D">
        <w:rPr>
          <w:rStyle w:val="kursiv"/>
        </w:rPr>
        <w:t>Stortinget ber regjeringen legge frem en strategi for å styrke laget rundt læreren og eleven slik at læreren får bedre tid til sine kjerneoppgaver og eleven får tettere oppfølging, herunder øke antall ansatte og styrke samarbeidet mellom faginstanser og få flere yrkesgrupper med helse- og sosialfaglig kompetanse inn i skolen.</w:t>
      </w:r>
    </w:p>
    <w:p w14:paraId="7EAAC94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8:21 S (2022–2023) </w:t>
      </w:r>
      <w:r w:rsidRPr="00580C0D">
        <w:rPr>
          <w:rStyle w:val="kursiv"/>
        </w:rPr>
        <w:t xml:space="preserve">Representantforslag fra stortingsrepresentantene Abid Raja, Guri Melby, Ingvild </w:t>
      </w:r>
      <w:proofErr w:type="spellStart"/>
      <w:r w:rsidRPr="00580C0D">
        <w:rPr>
          <w:rStyle w:val="kursiv"/>
        </w:rPr>
        <w:t>Wetrhus</w:t>
      </w:r>
      <w:proofErr w:type="spellEnd"/>
      <w:r w:rsidRPr="00580C0D">
        <w:rPr>
          <w:rStyle w:val="kursiv"/>
        </w:rPr>
        <w:t xml:space="preserve"> </w:t>
      </w:r>
      <w:proofErr w:type="spellStart"/>
      <w:r w:rsidRPr="00580C0D">
        <w:rPr>
          <w:rStyle w:val="kursiv"/>
        </w:rPr>
        <w:t>Thorsvik</w:t>
      </w:r>
      <w:proofErr w:type="spellEnd"/>
      <w:r w:rsidRPr="00580C0D">
        <w:rPr>
          <w:rStyle w:val="kursiv"/>
        </w:rPr>
        <w:t xml:space="preserve"> og Alfred Jens Bjørlo om å ta </w:t>
      </w:r>
      <w:proofErr w:type="spellStart"/>
      <w:r w:rsidRPr="00580C0D">
        <w:rPr>
          <w:rStyle w:val="kursiv"/>
        </w:rPr>
        <w:t>lærereyrket</w:t>
      </w:r>
      <w:proofErr w:type="spellEnd"/>
      <w:r w:rsidRPr="00580C0D">
        <w:rPr>
          <w:rStyle w:val="kursiv"/>
        </w:rPr>
        <w:t xml:space="preserve"> framover</w:t>
      </w:r>
      <w:r w:rsidRPr="00580C0D">
        <w:t xml:space="preserve">, jf. </w:t>
      </w:r>
      <w:proofErr w:type="spellStart"/>
      <w:r w:rsidRPr="00580C0D">
        <w:t>Innst</w:t>
      </w:r>
      <w:proofErr w:type="spellEnd"/>
      <w:r w:rsidRPr="00580C0D">
        <w:t>. 158 S (2022–2023).</w:t>
      </w:r>
    </w:p>
    <w:p w14:paraId="78F9D35B" w14:textId="77777777" w:rsidR="00F7113A" w:rsidRPr="00580C0D" w:rsidRDefault="00142E5B" w:rsidP="00580C0D">
      <w:r w:rsidRPr="00580C0D">
        <w:t xml:space="preserve">Departementet er i gang med å vurdere korleis </w:t>
      </w:r>
      <w:proofErr w:type="spellStart"/>
      <w:r w:rsidRPr="00580C0D">
        <w:t>ein</w:t>
      </w:r>
      <w:proofErr w:type="spellEnd"/>
      <w:r w:rsidRPr="00580C0D">
        <w:t xml:space="preserve"> kan styrke laget rundt barna og eleven, og vil involvere </w:t>
      </w:r>
      <w:proofErr w:type="spellStart"/>
      <w:r w:rsidRPr="00580C0D">
        <w:t>partane</w:t>
      </w:r>
      <w:proofErr w:type="spellEnd"/>
      <w:r w:rsidRPr="00580C0D">
        <w:t xml:space="preserve"> og sentrale </w:t>
      </w:r>
      <w:proofErr w:type="spellStart"/>
      <w:r w:rsidRPr="00580C0D">
        <w:t>aktørar</w:t>
      </w:r>
      <w:proofErr w:type="spellEnd"/>
      <w:r w:rsidRPr="00580C0D">
        <w:t xml:space="preserve"> i dette arbeidet. Laget rundt vil </w:t>
      </w:r>
      <w:proofErr w:type="spellStart"/>
      <w:r w:rsidRPr="00580C0D">
        <w:t>vere</w:t>
      </w:r>
      <w:proofErr w:type="spellEnd"/>
      <w:r w:rsidRPr="00580C0D">
        <w:t xml:space="preserve"> </w:t>
      </w:r>
      <w:proofErr w:type="spellStart"/>
      <w:r w:rsidRPr="00580C0D">
        <w:t>eit</w:t>
      </w:r>
      <w:proofErr w:type="spellEnd"/>
      <w:r w:rsidRPr="00580C0D">
        <w:t xml:space="preserve"> tema i </w:t>
      </w:r>
      <w:proofErr w:type="spellStart"/>
      <w:r w:rsidRPr="00580C0D">
        <w:t>dei</w:t>
      </w:r>
      <w:proofErr w:type="spellEnd"/>
      <w:r w:rsidRPr="00580C0D">
        <w:t xml:space="preserve"> to </w:t>
      </w:r>
      <w:proofErr w:type="spellStart"/>
      <w:r w:rsidRPr="00580C0D">
        <w:t>komande</w:t>
      </w:r>
      <w:proofErr w:type="spellEnd"/>
      <w:r w:rsidRPr="00580C0D">
        <w:t xml:space="preserve"> </w:t>
      </w:r>
      <w:proofErr w:type="spellStart"/>
      <w:r w:rsidRPr="00580C0D">
        <w:t>meldingane</w:t>
      </w:r>
      <w:proofErr w:type="spellEnd"/>
      <w:r w:rsidRPr="00580C0D">
        <w:t xml:space="preserve"> om 5.–10. trinn og sosial mobilitet og sosial utjamning.</w:t>
      </w:r>
    </w:p>
    <w:p w14:paraId="232E4D69"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425C78A8" w14:textId="77777777" w:rsidR="00F7113A" w:rsidRPr="00580C0D" w:rsidRDefault="00142E5B" w:rsidP="00580C0D">
      <w:pPr>
        <w:pStyle w:val="avsnitt-tittel"/>
      </w:pPr>
      <w:r w:rsidRPr="00580C0D">
        <w:t>Lærekandidatordninga</w:t>
      </w:r>
    </w:p>
    <w:p w14:paraId="708D91C1" w14:textId="77777777" w:rsidR="00F7113A" w:rsidRPr="00580C0D" w:rsidRDefault="00142E5B" w:rsidP="00580C0D">
      <w:pPr>
        <w:pStyle w:val="avsnitt-undertittel"/>
      </w:pPr>
      <w:r w:rsidRPr="00580C0D">
        <w:t>Vedtak nr. 553, 28. mars 2023</w:t>
      </w:r>
    </w:p>
    <w:p w14:paraId="021D9952" w14:textId="77777777" w:rsidR="00F7113A" w:rsidRPr="00580C0D" w:rsidRDefault="00142E5B" w:rsidP="00580C0D">
      <w:pPr>
        <w:pStyle w:val="blokksit"/>
        <w:rPr>
          <w:rStyle w:val="kursiv"/>
        </w:rPr>
      </w:pPr>
      <w:r w:rsidRPr="00580C0D">
        <w:rPr>
          <w:rStyle w:val="kursiv"/>
        </w:rPr>
        <w:t>Stortinget ber regjeringen styrke lærekandidatordningen, herunder sørge for at det avklares og tydeliggjøres hvem som er riktig målgruppe for lærekandidatordningen, og hvem som kanskje har bedre utbytte av alternative ordninger som praksisbrevordningen.</w:t>
      </w:r>
    </w:p>
    <w:p w14:paraId="448F8A2C"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8:99 S (2022–2023) </w:t>
      </w:r>
      <w:r w:rsidRPr="00580C0D">
        <w:rPr>
          <w:rStyle w:val="kursiv"/>
        </w:rPr>
        <w:t xml:space="preserve">Representantforslag fra stortingsrepresentantene Aleksander </w:t>
      </w:r>
      <w:proofErr w:type="spellStart"/>
      <w:r w:rsidRPr="00580C0D">
        <w:rPr>
          <w:rStyle w:val="kursiv"/>
        </w:rPr>
        <w:t>Stokkebø</w:t>
      </w:r>
      <w:proofErr w:type="spellEnd"/>
      <w:r w:rsidRPr="00580C0D">
        <w:rPr>
          <w:rStyle w:val="kursiv"/>
        </w:rPr>
        <w:t xml:space="preserve">, Jan Tore Sanner, Kari-Anne </w:t>
      </w:r>
      <w:proofErr w:type="spellStart"/>
      <w:r w:rsidRPr="00580C0D">
        <w:rPr>
          <w:rStyle w:val="kursiv"/>
        </w:rPr>
        <w:t>Jønnes</w:t>
      </w:r>
      <w:proofErr w:type="spellEnd"/>
      <w:r w:rsidRPr="00580C0D">
        <w:rPr>
          <w:rStyle w:val="kursiv"/>
        </w:rPr>
        <w:t>, Margret Hagerup, Turid Kristensen</w:t>
      </w:r>
      <w:r w:rsidRPr="00580C0D">
        <w:t xml:space="preserve">, jf. </w:t>
      </w:r>
      <w:proofErr w:type="spellStart"/>
      <w:r w:rsidRPr="00580C0D">
        <w:t>Innst</w:t>
      </w:r>
      <w:proofErr w:type="spellEnd"/>
      <w:r w:rsidRPr="00580C0D">
        <w:t>. 244 S (2022–2023).</w:t>
      </w:r>
    </w:p>
    <w:p w14:paraId="51B49A58"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18920314" w14:textId="77777777" w:rsidR="00F7113A" w:rsidRPr="00580C0D" w:rsidRDefault="00142E5B" w:rsidP="00580C0D">
      <w:pPr>
        <w:pStyle w:val="avsnitt-tittel"/>
      </w:pPr>
      <w:r w:rsidRPr="00580C0D">
        <w:t>Nytt yrkestittelnivå</w:t>
      </w:r>
    </w:p>
    <w:p w14:paraId="348CD954" w14:textId="77777777" w:rsidR="00F7113A" w:rsidRPr="00580C0D" w:rsidRDefault="00142E5B" w:rsidP="00580C0D">
      <w:pPr>
        <w:pStyle w:val="avsnitt-undertittel"/>
      </w:pPr>
      <w:r w:rsidRPr="00580C0D">
        <w:t xml:space="preserve">Vedtak nr. 554, 28. mars 2023 </w:t>
      </w:r>
    </w:p>
    <w:p w14:paraId="1A7A34CC" w14:textId="77777777" w:rsidR="00F7113A" w:rsidRPr="00580C0D" w:rsidRDefault="00142E5B" w:rsidP="00580C0D">
      <w:pPr>
        <w:pStyle w:val="blokksit"/>
        <w:rPr>
          <w:rStyle w:val="kursiv"/>
        </w:rPr>
      </w:pPr>
      <w:r w:rsidRPr="00580C0D">
        <w:rPr>
          <w:rStyle w:val="kursiv"/>
        </w:rPr>
        <w:t>Stortinget ber regjeringen i samarbeid med partene i arbeidslivet utrede om det skal innføres et yrkestittelnivå mellom fagarbeiderne med fag- eller svennebrev og de ufaglærte.</w:t>
      </w:r>
    </w:p>
    <w:p w14:paraId="5D48424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8:99 S (2022–2023) </w:t>
      </w:r>
      <w:r w:rsidRPr="00580C0D">
        <w:rPr>
          <w:rStyle w:val="kursiv"/>
        </w:rPr>
        <w:t xml:space="preserve">Representantforslag fra stortingsrepresentantene Aleksander </w:t>
      </w:r>
      <w:proofErr w:type="spellStart"/>
      <w:r w:rsidRPr="00580C0D">
        <w:rPr>
          <w:rStyle w:val="kursiv"/>
        </w:rPr>
        <w:t>Stokkebø</w:t>
      </w:r>
      <w:proofErr w:type="spellEnd"/>
      <w:r w:rsidRPr="00580C0D">
        <w:rPr>
          <w:rStyle w:val="kursiv"/>
        </w:rPr>
        <w:t xml:space="preserve">, Jan Tore Sanner, Kari-Anne </w:t>
      </w:r>
      <w:proofErr w:type="spellStart"/>
      <w:r w:rsidRPr="00580C0D">
        <w:rPr>
          <w:rStyle w:val="kursiv"/>
        </w:rPr>
        <w:t>Jønnes</w:t>
      </w:r>
      <w:proofErr w:type="spellEnd"/>
      <w:r w:rsidRPr="00580C0D">
        <w:rPr>
          <w:rStyle w:val="kursiv"/>
        </w:rPr>
        <w:t>, Margret Hagerup, Turid Kristensen</w:t>
      </w:r>
      <w:r w:rsidRPr="00580C0D">
        <w:t xml:space="preserve">, jf. </w:t>
      </w:r>
      <w:proofErr w:type="spellStart"/>
      <w:r w:rsidRPr="00580C0D">
        <w:t>Innst</w:t>
      </w:r>
      <w:proofErr w:type="spellEnd"/>
      <w:r w:rsidRPr="00580C0D">
        <w:t>. 244 S (2022–2023).</w:t>
      </w:r>
    </w:p>
    <w:p w14:paraId="3824C67D"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75DF7190" w14:textId="77777777" w:rsidR="00F7113A" w:rsidRPr="00580C0D" w:rsidRDefault="00142E5B" w:rsidP="00580C0D">
      <w:pPr>
        <w:pStyle w:val="avsnitt-tittel"/>
      </w:pPr>
      <w:r w:rsidRPr="00580C0D">
        <w:t xml:space="preserve">Vald og </w:t>
      </w:r>
      <w:proofErr w:type="spellStart"/>
      <w:r w:rsidRPr="00580C0D">
        <w:t>truslar</w:t>
      </w:r>
      <w:proofErr w:type="spellEnd"/>
      <w:r w:rsidRPr="00580C0D">
        <w:t xml:space="preserve"> i </w:t>
      </w:r>
      <w:proofErr w:type="spellStart"/>
      <w:r w:rsidRPr="00580C0D">
        <w:t>skulen</w:t>
      </w:r>
      <w:proofErr w:type="spellEnd"/>
    </w:p>
    <w:p w14:paraId="18149E72" w14:textId="77777777" w:rsidR="00F7113A" w:rsidRPr="00580C0D" w:rsidRDefault="00142E5B" w:rsidP="00580C0D">
      <w:pPr>
        <w:pStyle w:val="avsnitt-undertittel"/>
      </w:pPr>
      <w:r w:rsidRPr="00580C0D">
        <w:t>Vedtak nr. 625, 25. april 2023</w:t>
      </w:r>
    </w:p>
    <w:p w14:paraId="6A0F3C13" w14:textId="77777777" w:rsidR="00F7113A" w:rsidRPr="00580C0D" w:rsidRDefault="00142E5B" w:rsidP="00580C0D">
      <w:pPr>
        <w:pStyle w:val="blokksit"/>
        <w:rPr>
          <w:rStyle w:val="kursiv"/>
        </w:rPr>
      </w:pPr>
      <w:r w:rsidRPr="00580C0D">
        <w:rPr>
          <w:rStyle w:val="kursiv"/>
        </w:rPr>
        <w:t>Stortinget ber regjeringen om årlig å rapportere om statistikk og utviklingen når det gjelder vold og trusler i norsk skole.</w:t>
      </w:r>
    </w:p>
    <w:p w14:paraId="65809BBD"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8:144 S (2022–2023) </w:t>
      </w:r>
      <w:r w:rsidRPr="00580C0D">
        <w:rPr>
          <w:rStyle w:val="kursiv"/>
        </w:rPr>
        <w:t xml:space="preserve">Representantforslag fra stortingsrepresentantene </w:t>
      </w:r>
      <w:proofErr w:type="spellStart"/>
      <w:r w:rsidRPr="00580C0D">
        <w:rPr>
          <w:rStyle w:val="kursiv"/>
        </w:rPr>
        <w:t>Himanshu</w:t>
      </w:r>
      <w:proofErr w:type="spellEnd"/>
      <w:r w:rsidRPr="00580C0D">
        <w:rPr>
          <w:rStyle w:val="kursiv"/>
        </w:rPr>
        <w:t xml:space="preserve"> </w:t>
      </w:r>
      <w:proofErr w:type="spellStart"/>
      <w:r w:rsidRPr="00580C0D">
        <w:rPr>
          <w:rStyle w:val="kursiv"/>
        </w:rPr>
        <w:t>Gulati</w:t>
      </w:r>
      <w:proofErr w:type="spellEnd"/>
      <w:r w:rsidRPr="00580C0D">
        <w:rPr>
          <w:rStyle w:val="kursiv"/>
        </w:rPr>
        <w:t xml:space="preserve">, Sylvi Listhaug, Terje Halleland, Marius </w:t>
      </w:r>
      <w:proofErr w:type="spellStart"/>
      <w:r w:rsidRPr="00580C0D">
        <w:rPr>
          <w:rStyle w:val="kursiv"/>
        </w:rPr>
        <w:t>Arion</w:t>
      </w:r>
      <w:proofErr w:type="spellEnd"/>
      <w:r w:rsidRPr="00580C0D">
        <w:rPr>
          <w:rStyle w:val="kursiv"/>
        </w:rPr>
        <w:t xml:space="preserve"> Nilsen, Dagfinn Henrik Olsen og Erlend Wiborg</w:t>
      </w:r>
      <w:r w:rsidRPr="00580C0D">
        <w:t xml:space="preserve">, jf. </w:t>
      </w:r>
      <w:proofErr w:type="spellStart"/>
      <w:r w:rsidRPr="00580C0D">
        <w:t>Innst</w:t>
      </w:r>
      <w:proofErr w:type="spellEnd"/>
      <w:r w:rsidRPr="00580C0D">
        <w:t>. 288 S (2022–2023).</w:t>
      </w:r>
    </w:p>
    <w:p w14:paraId="11E37EA6" w14:textId="77777777" w:rsidR="00F7113A" w:rsidRPr="00580C0D" w:rsidRDefault="00142E5B" w:rsidP="00580C0D">
      <w:r w:rsidRPr="00580C0D">
        <w:t xml:space="preserve">Departementet har gitt Utdanningsdirektoratet i oppdrag å foreslå korleis oppmodingsvedtaket kan </w:t>
      </w:r>
      <w:proofErr w:type="spellStart"/>
      <w:r w:rsidRPr="00580C0D">
        <w:t>følgast</w:t>
      </w:r>
      <w:proofErr w:type="spellEnd"/>
      <w:r w:rsidRPr="00580C0D">
        <w:t xml:space="preserve"> opp. Direktoratet skal svare på oppdraget </w:t>
      </w:r>
      <w:proofErr w:type="spellStart"/>
      <w:r w:rsidRPr="00580C0D">
        <w:t>innan</w:t>
      </w:r>
      <w:proofErr w:type="spellEnd"/>
      <w:r w:rsidRPr="00580C0D">
        <w:t xml:space="preserve"> 31. mai 2024. Det er arbeidsmiljølova som regulerer arbeidsmiljøet til </w:t>
      </w:r>
      <w:proofErr w:type="spellStart"/>
      <w:r w:rsidRPr="00580C0D">
        <w:t>dei</w:t>
      </w:r>
      <w:proofErr w:type="spellEnd"/>
      <w:r w:rsidRPr="00580C0D">
        <w:t xml:space="preserve"> tilsette i </w:t>
      </w:r>
      <w:proofErr w:type="spellStart"/>
      <w:r w:rsidRPr="00580C0D">
        <w:t>skulen</w:t>
      </w:r>
      <w:proofErr w:type="spellEnd"/>
      <w:r w:rsidRPr="00580C0D">
        <w:t xml:space="preserve">, </w:t>
      </w:r>
      <w:proofErr w:type="spellStart"/>
      <w:r w:rsidRPr="00580C0D">
        <w:t>medan</w:t>
      </w:r>
      <w:proofErr w:type="spellEnd"/>
      <w:r w:rsidRPr="00580C0D">
        <w:t xml:space="preserve"> det er opplæringslova og </w:t>
      </w:r>
      <w:proofErr w:type="spellStart"/>
      <w:r w:rsidRPr="00580C0D">
        <w:t>privatskulelova</w:t>
      </w:r>
      <w:proofErr w:type="spellEnd"/>
      <w:r w:rsidRPr="00580C0D">
        <w:t xml:space="preserve"> som skal sikre at alle </w:t>
      </w:r>
      <w:proofErr w:type="spellStart"/>
      <w:r w:rsidRPr="00580C0D">
        <w:t>elevar</w:t>
      </w:r>
      <w:proofErr w:type="spellEnd"/>
      <w:r w:rsidRPr="00580C0D">
        <w:t xml:space="preserve"> har </w:t>
      </w:r>
      <w:proofErr w:type="spellStart"/>
      <w:r w:rsidRPr="00580C0D">
        <w:t>eit</w:t>
      </w:r>
      <w:proofErr w:type="spellEnd"/>
      <w:r w:rsidRPr="00580C0D">
        <w:t xml:space="preserve"> trygt og godt </w:t>
      </w:r>
      <w:proofErr w:type="spellStart"/>
      <w:r w:rsidRPr="00580C0D">
        <w:t>skulemiljø</w:t>
      </w:r>
      <w:proofErr w:type="spellEnd"/>
      <w:r w:rsidRPr="00580C0D">
        <w:t>. Utdanningsdirektoratet er derfor bede om å ha dialog med Arbeidstilsynet undervegs i arbeidet.</w:t>
      </w:r>
    </w:p>
    <w:p w14:paraId="5F7E69BD"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0FAB63C9" w14:textId="77777777" w:rsidR="00F7113A" w:rsidRPr="00580C0D" w:rsidRDefault="00142E5B" w:rsidP="00580C0D">
      <w:pPr>
        <w:pStyle w:val="avsnitt-tittel"/>
      </w:pPr>
      <w:proofErr w:type="spellStart"/>
      <w:r w:rsidRPr="00580C0D">
        <w:t>Kandidattypar</w:t>
      </w:r>
      <w:proofErr w:type="spellEnd"/>
      <w:r w:rsidRPr="00580C0D">
        <w:t xml:space="preserve"> </w:t>
      </w:r>
      <w:proofErr w:type="spellStart"/>
      <w:r w:rsidRPr="00580C0D">
        <w:t>innanfor</w:t>
      </w:r>
      <w:proofErr w:type="spellEnd"/>
      <w:r w:rsidRPr="00580C0D">
        <w:t xml:space="preserve"> fag- og yrkesopplæringa</w:t>
      </w:r>
    </w:p>
    <w:p w14:paraId="3D1FCD9E" w14:textId="77777777" w:rsidR="00F7113A" w:rsidRPr="00580C0D" w:rsidRDefault="00142E5B" w:rsidP="00580C0D">
      <w:pPr>
        <w:pStyle w:val="avsnitt-undertittel"/>
      </w:pPr>
      <w:r w:rsidRPr="00580C0D">
        <w:t>Vedtak nr. 733, 5. juni 2023</w:t>
      </w:r>
    </w:p>
    <w:p w14:paraId="081FF7B3" w14:textId="77777777" w:rsidR="00F7113A" w:rsidRPr="00580C0D" w:rsidRDefault="00142E5B" w:rsidP="00580C0D">
      <w:pPr>
        <w:pStyle w:val="blokksit"/>
        <w:rPr>
          <w:rStyle w:val="kursiv"/>
        </w:rPr>
      </w:pPr>
      <w:r w:rsidRPr="00580C0D">
        <w:rPr>
          <w:rStyle w:val="kursiv"/>
        </w:rPr>
        <w:t>Stortinget ber regjeringen ivareta de ulike kandidattypene innenfor fag- og yrkesopplæringen som praksisbrevkandidater og lærekandidater, i arbeidet med oppfølgingen av ny opplæringslov.</w:t>
      </w:r>
    </w:p>
    <w:p w14:paraId="4D6E4493"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57 L (2022–2023) </w:t>
      </w:r>
      <w:r w:rsidRPr="00580C0D">
        <w:rPr>
          <w:rStyle w:val="kursiv"/>
        </w:rPr>
        <w:t xml:space="preserve">Lov om grunnskoleopplæringa og den </w:t>
      </w:r>
      <w:proofErr w:type="spellStart"/>
      <w:r w:rsidRPr="00580C0D">
        <w:rPr>
          <w:rStyle w:val="kursiv"/>
        </w:rPr>
        <w:t>vidaregåande</w:t>
      </w:r>
      <w:proofErr w:type="spellEnd"/>
      <w:r w:rsidRPr="00580C0D">
        <w:rPr>
          <w:rStyle w:val="kursiv"/>
        </w:rPr>
        <w:t xml:space="preserve"> opplæringa (opplæringslova)</w:t>
      </w:r>
      <w:r w:rsidRPr="00580C0D">
        <w:t xml:space="preserve">, jf. </w:t>
      </w:r>
      <w:proofErr w:type="spellStart"/>
      <w:r w:rsidRPr="00580C0D">
        <w:t>Innst</w:t>
      </w:r>
      <w:proofErr w:type="spellEnd"/>
      <w:r w:rsidRPr="00580C0D">
        <w:t>. 442 L (2022–2023).</w:t>
      </w:r>
    </w:p>
    <w:p w14:paraId="1A499E3C"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15482DAE" w14:textId="77777777" w:rsidR="00F7113A" w:rsidRPr="00580C0D" w:rsidRDefault="00142E5B" w:rsidP="00580C0D">
      <w:pPr>
        <w:pStyle w:val="avsnitt-tittel"/>
      </w:pPr>
      <w:proofErr w:type="spellStart"/>
      <w:r w:rsidRPr="00580C0D">
        <w:t>Læringsstøttande</w:t>
      </w:r>
      <w:proofErr w:type="spellEnd"/>
      <w:r w:rsidRPr="00580C0D">
        <w:t xml:space="preserve"> </w:t>
      </w:r>
      <w:proofErr w:type="spellStart"/>
      <w:r w:rsidRPr="00580C0D">
        <w:t>ressursar</w:t>
      </w:r>
      <w:proofErr w:type="spellEnd"/>
      <w:r w:rsidRPr="00580C0D">
        <w:t xml:space="preserve"> på begge målformer</w:t>
      </w:r>
    </w:p>
    <w:p w14:paraId="0D0D2370" w14:textId="77777777" w:rsidR="00F7113A" w:rsidRPr="00580C0D" w:rsidRDefault="00142E5B" w:rsidP="00580C0D">
      <w:pPr>
        <w:pStyle w:val="avsnitt-undertittel"/>
      </w:pPr>
      <w:r w:rsidRPr="00580C0D">
        <w:t>Vedtak nr. 734, 5. juni 2023</w:t>
      </w:r>
    </w:p>
    <w:p w14:paraId="4C152E25" w14:textId="77777777" w:rsidR="00F7113A" w:rsidRPr="00580C0D" w:rsidRDefault="00142E5B" w:rsidP="00580C0D">
      <w:pPr>
        <w:pStyle w:val="blokksit"/>
        <w:rPr>
          <w:rStyle w:val="kursiv"/>
        </w:rPr>
      </w:pPr>
      <w:r w:rsidRPr="00580C0D">
        <w:rPr>
          <w:rStyle w:val="kursiv"/>
        </w:rPr>
        <w:t xml:space="preserve">Stortinget ber regjeringen gjennomføre en kunnskapsinnhenting rundt omfanget av bruken av </w:t>
      </w:r>
      <w:proofErr w:type="spellStart"/>
      <w:r w:rsidRPr="00580C0D">
        <w:rPr>
          <w:rStyle w:val="kursiv"/>
        </w:rPr>
        <w:t>læringsstøttende</w:t>
      </w:r>
      <w:proofErr w:type="spellEnd"/>
      <w:r w:rsidRPr="00580C0D">
        <w:rPr>
          <w:rStyle w:val="kursiv"/>
        </w:rPr>
        <w:t xml:space="preserve"> ressurser i opplæringen som ikke foreligger på begge målformer, og komme tilbake til Stortinget med en vurdering av i hvilken grad dette påvirker særlig nynorsk-elevenes rett til opplæring på eget språk.</w:t>
      </w:r>
    </w:p>
    <w:p w14:paraId="63980C98"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57 L (2022–2023) </w:t>
      </w:r>
      <w:r w:rsidRPr="00580C0D">
        <w:rPr>
          <w:rStyle w:val="kursiv"/>
        </w:rPr>
        <w:t xml:space="preserve">Lov om grunnskoleopplæringa og den </w:t>
      </w:r>
      <w:proofErr w:type="spellStart"/>
      <w:r w:rsidRPr="00580C0D">
        <w:rPr>
          <w:rStyle w:val="kursiv"/>
        </w:rPr>
        <w:t>vidaregåande</w:t>
      </w:r>
      <w:proofErr w:type="spellEnd"/>
      <w:r w:rsidRPr="00580C0D">
        <w:rPr>
          <w:rStyle w:val="kursiv"/>
        </w:rPr>
        <w:t xml:space="preserve"> opplæringa (opplæringslova)</w:t>
      </w:r>
      <w:r w:rsidRPr="00580C0D">
        <w:t xml:space="preserve">, jf. </w:t>
      </w:r>
      <w:proofErr w:type="spellStart"/>
      <w:r w:rsidRPr="00580C0D">
        <w:t>Innst</w:t>
      </w:r>
      <w:proofErr w:type="spellEnd"/>
      <w:r w:rsidRPr="00580C0D">
        <w:t>. 442 L (2022–2023).</w:t>
      </w:r>
    </w:p>
    <w:p w14:paraId="5B28042D"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29350DD6" w14:textId="77777777" w:rsidR="00F7113A" w:rsidRPr="00580C0D" w:rsidRDefault="00142E5B" w:rsidP="00580C0D">
      <w:pPr>
        <w:pStyle w:val="avsnitt-tittel"/>
      </w:pPr>
      <w:r w:rsidRPr="00580C0D">
        <w:t>IB-</w:t>
      </w:r>
      <w:proofErr w:type="spellStart"/>
      <w:r w:rsidRPr="00580C0D">
        <w:t>tilbod</w:t>
      </w:r>
      <w:proofErr w:type="spellEnd"/>
      <w:r w:rsidRPr="00580C0D">
        <w:t xml:space="preserve"> både i </w:t>
      </w:r>
      <w:proofErr w:type="spellStart"/>
      <w:r w:rsidRPr="00580C0D">
        <w:t>grunnskulen</w:t>
      </w:r>
      <w:proofErr w:type="spellEnd"/>
      <w:r w:rsidRPr="00580C0D">
        <w:t xml:space="preserve"> og </w:t>
      </w:r>
      <w:proofErr w:type="spellStart"/>
      <w:r w:rsidRPr="00580C0D">
        <w:t>vidaregåande</w:t>
      </w:r>
      <w:proofErr w:type="spellEnd"/>
      <w:r w:rsidRPr="00580C0D">
        <w:t xml:space="preserve"> skule</w:t>
      </w:r>
    </w:p>
    <w:p w14:paraId="73609C43" w14:textId="77777777" w:rsidR="00F7113A" w:rsidRPr="00580C0D" w:rsidRDefault="00142E5B" w:rsidP="00580C0D">
      <w:pPr>
        <w:pStyle w:val="avsnitt-undertittel"/>
      </w:pPr>
      <w:r w:rsidRPr="00580C0D">
        <w:t>Vedtak nr. 735, 5. juni 2023</w:t>
      </w:r>
    </w:p>
    <w:p w14:paraId="5C57A828" w14:textId="77777777" w:rsidR="00F7113A" w:rsidRPr="00580C0D" w:rsidRDefault="00142E5B" w:rsidP="00580C0D">
      <w:pPr>
        <w:pStyle w:val="blokksit"/>
        <w:rPr>
          <w:rStyle w:val="kursiv"/>
        </w:rPr>
      </w:pPr>
      <w:r w:rsidRPr="00580C0D">
        <w:rPr>
          <w:rStyle w:val="kursiv"/>
        </w:rPr>
        <w:t xml:space="preserve">Stortinget ber regjeringen vurdere å åpne for muligheten til å tilby International </w:t>
      </w:r>
      <w:proofErr w:type="spellStart"/>
      <w:r w:rsidRPr="00580C0D">
        <w:rPr>
          <w:rStyle w:val="kursiv"/>
        </w:rPr>
        <w:t>Baccalaureate</w:t>
      </w:r>
      <w:proofErr w:type="spellEnd"/>
      <w:r w:rsidRPr="00580C0D">
        <w:rPr>
          <w:rStyle w:val="kursiv"/>
        </w:rPr>
        <w:t xml:space="preserve"> (IB) både i grunnskolen og videregående skole, og komme tilbake til Stortinget på egnet måte.</w:t>
      </w:r>
    </w:p>
    <w:p w14:paraId="29DADD13"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57 L (2022–2023) </w:t>
      </w:r>
      <w:r w:rsidRPr="00580C0D">
        <w:rPr>
          <w:rStyle w:val="kursiv"/>
        </w:rPr>
        <w:t xml:space="preserve">Lov om grunnskoleopplæringa og den </w:t>
      </w:r>
      <w:proofErr w:type="spellStart"/>
      <w:r w:rsidRPr="00580C0D">
        <w:rPr>
          <w:rStyle w:val="kursiv"/>
        </w:rPr>
        <w:t>vidaregåande</w:t>
      </w:r>
      <w:proofErr w:type="spellEnd"/>
      <w:r w:rsidRPr="00580C0D">
        <w:rPr>
          <w:rStyle w:val="kursiv"/>
        </w:rPr>
        <w:t xml:space="preserve"> opplæringa (opplæringslova)</w:t>
      </w:r>
      <w:r w:rsidRPr="00580C0D">
        <w:t xml:space="preserve">, jf. </w:t>
      </w:r>
      <w:proofErr w:type="spellStart"/>
      <w:r w:rsidRPr="00580C0D">
        <w:t>Innst</w:t>
      </w:r>
      <w:proofErr w:type="spellEnd"/>
      <w:r w:rsidRPr="00580C0D">
        <w:t>. 442 L (2022–2023).</w:t>
      </w:r>
    </w:p>
    <w:p w14:paraId="4C5FF3E0"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181BA747" w14:textId="77777777" w:rsidR="00F7113A" w:rsidRPr="00580C0D" w:rsidRDefault="00142E5B" w:rsidP="00580C0D">
      <w:pPr>
        <w:pStyle w:val="avsnitt-tittel"/>
      </w:pPr>
      <w:r w:rsidRPr="00580C0D">
        <w:t>Handlingsrommet for alternative opplæringsarenaer</w:t>
      </w:r>
    </w:p>
    <w:p w14:paraId="77ED0C88" w14:textId="77777777" w:rsidR="00F7113A" w:rsidRPr="00580C0D" w:rsidRDefault="00142E5B" w:rsidP="00580C0D">
      <w:pPr>
        <w:pStyle w:val="avsnitt-undertittel"/>
      </w:pPr>
      <w:r w:rsidRPr="00580C0D">
        <w:t>Vedtak nr. 736, 5. juni 2023</w:t>
      </w:r>
    </w:p>
    <w:p w14:paraId="5C06B105" w14:textId="77777777" w:rsidR="00F7113A" w:rsidRPr="00580C0D" w:rsidRDefault="00142E5B" w:rsidP="00580C0D">
      <w:pPr>
        <w:pStyle w:val="blokksit"/>
        <w:rPr>
          <w:rStyle w:val="kursiv"/>
        </w:rPr>
      </w:pPr>
      <w:r w:rsidRPr="00580C0D">
        <w:rPr>
          <w:rStyle w:val="kursiv"/>
        </w:rPr>
        <w:t>Stortinget ber regjeringen tydeliggjøre og øke handlingsrommet skoleleder, foreldre og elev har til å benytte seg av alternative opplæringsarenaer.</w:t>
      </w:r>
    </w:p>
    <w:p w14:paraId="07C1F126"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57 L (2022–2023) </w:t>
      </w:r>
      <w:r w:rsidRPr="00580C0D">
        <w:rPr>
          <w:rStyle w:val="kursiv"/>
        </w:rPr>
        <w:t xml:space="preserve">Lov om grunnskoleopplæringa og den </w:t>
      </w:r>
      <w:proofErr w:type="spellStart"/>
      <w:r w:rsidRPr="00580C0D">
        <w:rPr>
          <w:rStyle w:val="kursiv"/>
        </w:rPr>
        <w:t>vidaregåande</w:t>
      </w:r>
      <w:proofErr w:type="spellEnd"/>
      <w:r w:rsidRPr="00580C0D">
        <w:rPr>
          <w:rStyle w:val="kursiv"/>
        </w:rPr>
        <w:t xml:space="preserve"> opplæringa (opplæringslova)</w:t>
      </w:r>
      <w:r w:rsidRPr="00580C0D">
        <w:t xml:space="preserve">, jf. </w:t>
      </w:r>
      <w:proofErr w:type="spellStart"/>
      <w:r w:rsidRPr="00580C0D">
        <w:t>Innst</w:t>
      </w:r>
      <w:proofErr w:type="spellEnd"/>
      <w:r w:rsidRPr="00580C0D">
        <w:t>. 442 L (2022–2023).</w:t>
      </w:r>
    </w:p>
    <w:p w14:paraId="364CFA99"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42369779" w14:textId="77777777" w:rsidR="00F7113A" w:rsidRPr="00580C0D" w:rsidRDefault="00142E5B" w:rsidP="00580C0D">
      <w:pPr>
        <w:pStyle w:val="avsnitt-tittel"/>
      </w:pPr>
      <w:r w:rsidRPr="00580C0D">
        <w:t xml:space="preserve">Utvide målgruppa for </w:t>
      </w:r>
      <w:proofErr w:type="spellStart"/>
      <w:r w:rsidRPr="00580C0D">
        <w:t>oppfølgingstenesta</w:t>
      </w:r>
      <w:proofErr w:type="spellEnd"/>
    </w:p>
    <w:p w14:paraId="435DD945" w14:textId="77777777" w:rsidR="00F7113A" w:rsidRPr="00580C0D" w:rsidRDefault="00142E5B" w:rsidP="00580C0D">
      <w:pPr>
        <w:pStyle w:val="avsnitt-undertittel"/>
      </w:pPr>
      <w:r w:rsidRPr="00580C0D">
        <w:t>Vedtak nr. 737, 5. juni 2023</w:t>
      </w:r>
    </w:p>
    <w:p w14:paraId="0264FD84" w14:textId="77777777" w:rsidR="00F7113A" w:rsidRPr="00580C0D" w:rsidRDefault="00142E5B" w:rsidP="00580C0D">
      <w:pPr>
        <w:pStyle w:val="blokksit"/>
        <w:rPr>
          <w:rStyle w:val="kursiv"/>
        </w:rPr>
      </w:pPr>
      <w:r w:rsidRPr="00580C0D">
        <w:rPr>
          <w:rStyle w:val="kursiv"/>
        </w:rPr>
        <w:t>Stortinget ber regjeringen i den varslede stortingsmeldingen om 5. til 10. trinn vurdere å utvide oppfølgingstjenestens målgruppe til også å omfatte elever på 10. trinn.</w:t>
      </w:r>
    </w:p>
    <w:p w14:paraId="775E756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57 L (2022–2023) </w:t>
      </w:r>
      <w:r w:rsidRPr="00580C0D">
        <w:rPr>
          <w:rStyle w:val="kursiv"/>
        </w:rPr>
        <w:t xml:space="preserve">Lov om grunnskoleopplæringa og den </w:t>
      </w:r>
      <w:proofErr w:type="spellStart"/>
      <w:r w:rsidRPr="00580C0D">
        <w:rPr>
          <w:rStyle w:val="kursiv"/>
        </w:rPr>
        <w:t>vidaregåande</w:t>
      </w:r>
      <w:proofErr w:type="spellEnd"/>
      <w:r w:rsidRPr="00580C0D">
        <w:rPr>
          <w:rStyle w:val="kursiv"/>
        </w:rPr>
        <w:t xml:space="preserve"> opplæringa (opplæringslova)</w:t>
      </w:r>
      <w:r w:rsidRPr="00580C0D">
        <w:t xml:space="preserve">, jf. </w:t>
      </w:r>
      <w:proofErr w:type="spellStart"/>
      <w:r w:rsidRPr="00580C0D">
        <w:t>Innst</w:t>
      </w:r>
      <w:proofErr w:type="spellEnd"/>
      <w:r w:rsidRPr="00580C0D">
        <w:t>. 442 L (2022–2023).</w:t>
      </w:r>
    </w:p>
    <w:p w14:paraId="7DCC2446"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1B98996D" w14:textId="77777777" w:rsidR="00F7113A" w:rsidRPr="00580C0D" w:rsidRDefault="00142E5B" w:rsidP="00580C0D">
      <w:pPr>
        <w:pStyle w:val="avsnitt-tittel"/>
      </w:pPr>
      <w:r w:rsidRPr="00580C0D">
        <w:t>Sikre individuell tilrettelegging av opplæringa</w:t>
      </w:r>
    </w:p>
    <w:p w14:paraId="4842B826" w14:textId="77777777" w:rsidR="00F7113A" w:rsidRPr="00580C0D" w:rsidRDefault="00142E5B" w:rsidP="00580C0D">
      <w:pPr>
        <w:pStyle w:val="avsnitt-undertittel"/>
      </w:pPr>
      <w:r w:rsidRPr="00580C0D">
        <w:t>Vedtak nr. 738, 5. juni 2023</w:t>
      </w:r>
    </w:p>
    <w:p w14:paraId="429F6392" w14:textId="77777777" w:rsidR="00F7113A" w:rsidRPr="00580C0D" w:rsidRDefault="00142E5B" w:rsidP="00580C0D">
      <w:pPr>
        <w:pStyle w:val="blokksit"/>
        <w:rPr>
          <w:rStyle w:val="kursiv"/>
        </w:rPr>
      </w:pPr>
      <w:r w:rsidRPr="00580C0D">
        <w:rPr>
          <w:rStyle w:val="kursiv"/>
        </w:rPr>
        <w:t>Stortinget ber regjeringen komme tilbake til Stortinget med en vurdering av hvordan gjennomføring av vedtak om individuell tilrettelegging av opplæringen kan sikres, og påklages. I påvente av dette ber Stortinget regjeringen om å legge til grunn at manglende gjennomføring av individuell tilrettelegging av opplæringen fortsatt kan påklages til statsforvalteren.</w:t>
      </w:r>
    </w:p>
    <w:p w14:paraId="77BBA2BD"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57 L (2022–2023) </w:t>
      </w:r>
      <w:r w:rsidRPr="00580C0D">
        <w:rPr>
          <w:rStyle w:val="kursiv"/>
        </w:rPr>
        <w:t xml:space="preserve">Lov om grunnskoleopplæringa og den </w:t>
      </w:r>
      <w:proofErr w:type="spellStart"/>
      <w:r w:rsidRPr="00580C0D">
        <w:rPr>
          <w:rStyle w:val="kursiv"/>
        </w:rPr>
        <w:t>vidaregåande</w:t>
      </w:r>
      <w:proofErr w:type="spellEnd"/>
      <w:r w:rsidRPr="00580C0D">
        <w:rPr>
          <w:rStyle w:val="kursiv"/>
        </w:rPr>
        <w:t xml:space="preserve"> opplæringa (opplæringslova)</w:t>
      </w:r>
      <w:r w:rsidRPr="00580C0D">
        <w:t xml:space="preserve">, jf. </w:t>
      </w:r>
      <w:proofErr w:type="spellStart"/>
      <w:r w:rsidRPr="00580C0D">
        <w:t>Innst</w:t>
      </w:r>
      <w:proofErr w:type="spellEnd"/>
      <w:r w:rsidRPr="00580C0D">
        <w:t>. 442 L (2022–2023).</w:t>
      </w:r>
    </w:p>
    <w:p w14:paraId="745F3088"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02D5C5A0" w14:textId="77777777" w:rsidR="00F7113A" w:rsidRPr="00580C0D" w:rsidRDefault="00142E5B" w:rsidP="00580C0D">
      <w:pPr>
        <w:pStyle w:val="Undertittel"/>
      </w:pPr>
      <w:r w:rsidRPr="00580C0D">
        <w:t xml:space="preserve">Oppmodingsvedtak under forskings- og </w:t>
      </w:r>
      <w:proofErr w:type="spellStart"/>
      <w:r w:rsidRPr="00580C0D">
        <w:t>høgare</w:t>
      </w:r>
      <w:proofErr w:type="spellEnd"/>
      <w:r w:rsidRPr="00580C0D">
        <w:t xml:space="preserve"> utdanningsministeren</w:t>
      </w:r>
    </w:p>
    <w:p w14:paraId="5E0B341C" w14:textId="77777777" w:rsidR="00F7113A" w:rsidRPr="00580C0D" w:rsidRDefault="00142E5B" w:rsidP="00580C0D">
      <w:pPr>
        <w:pStyle w:val="avsnitt-tittel"/>
      </w:pPr>
      <w:r w:rsidRPr="00580C0D">
        <w:t xml:space="preserve">Forprosjekt for nytt bygg til </w:t>
      </w:r>
      <w:proofErr w:type="spellStart"/>
      <w:r w:rsidRPr="00580C0D">
        <w:t>Griegakademiet</w:t>
      </w:r>
      <w:proofErr w:type="spellEnd"/>
    </w:p>
    <w:p w14:paraId="6EDAFDB9" w14:textId="77777777" w:rsidR="00F7113A" w:rsidRPr="00580C0D" w:rsidRDefault="00142E5B" w:rsidP="00580C0D">
      <w:pPr>
        <w:pStyle w:val="avsnitt-undertittel"/>
      </w:pPr>
      <w:r w:rsidRPr="00580C0D">
        <w:t>Vedtak nr. 110, 1. desember 2022</w:t>
      </w:r>
    </w:p>
    <w:p w14:paraId="62449419" w14:textId="77777777" w:rsidR="00F7113A" w:rsidRPr="00580C0D" w:rsidRDefault="00142E5B" w:rsidP="00580C0D">
      <w:pPr>
        <w:pStyle w:val="blokksit"/>
        <w:rPr>
          <w:rStyle w:val="kursiv"/>
        </w:rPr>
      </w:pPr>
      <w:r w:rsidRPr="00580C0D">
        <w:rPr>
          <w:rStyle w:val="kursiv"/>
        </w:rPr>
        <w:t xml:space="preserve">Stortinget ber regjeringen legge til rette for at arbeidet med forprosjekt for nytt bygg til </w:t>
      </w:r>
      <w:proofErr w:type="spellStart"/>
      <w:r w:rsidRPr="00580C0D">
        <w:rPr>
          <w:rStyle w:val="kursiv"/>
        </w:rPr>
        <w:t>Griegakademiet</w:t>
      </w:r>
      <w:proofErr w:type="spellEnd"/>
      <w:r w:rsidRPr="00580C0D">
        <w:rPr>
          <w:rStyle w:val="kursiv"/>
        </w:rPr>
        <w:t xml:space="preserve"> i Bergen fortsetter, hvor Kunnskapsdepartementet fortsatt har rollen som prosjektbestiller.</w:t>
      </w:r>
    </w:p>
    <w:p w14:paraId="7BF26084"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(2022–2023) </w:t>
      </w:r>
      <w:r w:rsidRPr="00580C0D">
        <w:rPr>
          <w:rStyle w:val="kursiv"/>
        </w:rPr>
        <w:t>Finansinnstillingen – nasjonalbudsjettet og statsbudsjettet 2023</w:t>
      </w:r>
      <w:r w:rsidRPr="00580C0D">
        <w:t xml:space="preserve">, jf. </w:t>
      </w:r>
      <w:proofErr w:type="spellStart"/>
      <w:r w:rsidRPr="00580C0D">
        <w:t>Innst</w:t>
      </w:r>
      <w:proofErr w:type="spellEnd"/>
      <w:r w:rsidRPr="00580C0D">
        <w:t>. 2 S (2022–2023).</w:t>
      </w:r>
    </w:p>
    <w:p w14:paraId="1C6D9533" w14:textId="77777777" w:rsidR="00F7113A" w:rsidRPr="00580C0D" w:rsidRDefault="00142E5B" w:rsidP="00580C0D">
      <w:r w:rsidRPr="00580C0D">
        <w:t xml:space="preserve">Kunnskapsdepartementet sende i 2021 oppdragsbrev til Statsbygg om å </w:t>
      </w:r>
      <w:proofErr w:type="spellStart"/>
      <w:r w:rsidRPr="00580C0D">
        <w:t>vidareføre</w:t>
      </w:r>
      <w:proofErr w:type="spellEnd"/>
      <w:r w:rsidRPr="00580C0D">
        <w:t xml:space="preserve"> prosjektet Nytt bygg for </w:t>
      </w:r>
      <w:proofErr w:type="spellStart"/>
      <w:r w:rsidRPr="00580C0D">
        <w:t>Griegakademiet</w:t>
      </w:r>
      <w:proofErr w:type="spellEnd"/>
      <w:r w:rsidRPr="00580C0D">
        <w:t xml:space="preserve"> fram til ferdig forprosjekt. Forprosjektet blir finansiert av Universitetet i Bergen, og Statsbygg jobbar </w:t>
      </w:r>
      <w:proofErr w:type="spellStart"/>
      <w:r w:rsidRPr="00580C0D">
        <w:t>saman</w:t>
      </w:r>
      <w:proofErr w:type="spellEnd"/>
      <w:r w:rsidRPr="00580C0D">
        <w:t xml:space="preserve"> med universitetet ut </w:t>
      </w:r>
      <w:proofErr w:type="spellStart"/>
      <w:r w:rsidRPr="00580C0D">
        <w:t>frå</w:t>
      </w:r>
      <w:proofErr w:type="spellEnd"/>
      <w:r w:rsidRPr="00580C0D">
        <w:t xml:space="preserve"> </w:t>
      </w:r>
      <w:proofErr w:type="spellStart"/>
      <w:r w:rsidRPr="00580C0D">
        <w:t>ein</w:t>
      </w:r>
      <w:proofErr w:type="spellEnd"/>
      <w:r w:rsidRPr="00580C0D">
        <w:t xml:space="preserve"> plan om å ferdigstille forprosjektet i løpet av 2023. Kunnskapsdepartementet </w:t>
      </w:r>
      <w:proofErr w:type="spellStart"/>
      <w:r w:rsidRPr="00580C0D">
        <w:t>leiar</w:t>
      </w:r>
      <w:proofErr w:type="spellEnd"/>
      <w:r w:rsidRPr="00580C0D">
        <w:t xml:space="preserve"> prosjektrådet for prosjektet.</w:t>
      </w:r>
    </w:p>
    <w:p w14:paraId="33019913"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5F5A35AF" w14:textId="77777777" w:rsidR="00F7113A" w:rsidRPr="00580C0D" w:rsidRDefault="00142E5B" w:rsidP="00580C0D">
      <w:pPr>
        <w:pStyle w:val="avsnitt-tittel"/>
      </w:pPr>
      <w:proofErr w:type="spellStart"/>
      <w:r w:rsidRPr="00580C0D">
        <w:t>Meir</w:t>
      </w:r>
      <w:proofErr w:type="spellEnd"/>
      <w:r w:rsidRPr="00580C0D">
        <w:t xml:space="preserve"> variert praksis i </w:t>
      </w:r>
      <w:proofErr w:type="spellStart"/>
      <w:r w:rsidRPr="00580C0D">
        <w:t>lærarutdanningane</w:t>
      </w:r>
      <w:proofErr w:type="spellEnd"/>
      <w:r w:rsidRPr="00580C0D">
        <w:t xml:space="preserve"> m.m.</w:t>
      </w:r>
    </w:p>
    <w:p w14:paraId="22CA54DD" w14:textId="77777777" w:rsidR="00F7113A" w:rsidRPr="00580C0D" w:rsidRDefault="00142E5B" w:rsidP="00580C0D">
      <w:pPr>
        <w:pStyle w:val="avsnitt-undertittel"/>
      </w:pPr>
      <w:r w:rsidRPr="00580C0D">
        <w:t>Vedtak nr. 471, 31. januar 2023</w:t>
      </w:r>
    </w:p>
    <w:p w14:paraId="47267767" w14:textId="77777777" w:rsidR="00F7113A" w:rsidRPr="00580C0D" w:rsidRDefault="00142E5B" w:rsidP="00580C0D">
      <w:pPr>
        <w:pStyle w:val="blokksit"/>
        <w:rPr>
          <w:rStyle w:val="kursiv"/>
        </w:rPr>
      </w:pPr>
      <w:r w:rsidRPr="00580C0D">
        <w:rPr>
          <w:rStyle w:val="kursiv"/>
        </w:rPr>
        <w:t>Stortinget ber regjeringen legge til rette for mer variert praksis i lærerutdanningene og sikre bedre oppfølging og veiledning av nye lærere i starten av karrieren, og komme tilbake til Stortinget på egnet måte.</w:t>
      </w:r>
    </w:p>
    <w:p w14:paraId="29BF9172"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8:21 S (2022–2023) </w:t>
      </w:r>
      <w:r w:rsidRPr="00580C0D">
        <w:rPr>
          <w:rStyle w:val="kursiv"/>
        </w:rPr>
        <w:t xml:space="preserve">Representantforslag fra stortingsrepresentantene Abid Raja, Guri Melby, Ingvild </w:t>
      </w:r>
      <w:proofErr w:type="spellStart"/>
      <w:r w:rsidRPr="00580C0D">
        <w:rPr>
          <w:rStyle w:val="kursiv"/>
        </w:rPr>
        <w:t>Wetrhus</w:t>
      </w:r>
      <w:proofErr w:type="spellEnd"/>
      <w:r w:rsidRPr="00580C0D">
        <w:rPr>
          <w:rStyle w:val="kursiv"/>
        </w:rPr>
        <w:t xml:space="preserve"> </w:t>
      </w:r>
      <w:proofErr w:type="spellStart"/>
      <w:r w:rsidRPr="00580C0D">
        <w:rPr>
          <w:rStyle w:val="kursiv"/>
        </w:rPr>
        <w:t>Thorsvik</w:t>
      </w:r>
      <w:proofErr w:type="spellEnd"/>
      <w:r w:rsidRPr="00580C0D">
        <w:rPr>
          <w:rStyle w:val="kursiv"/>
        </w:rPr>
        <w:t xml:space="preserve"> og Alfred Jens Bjørlo om å ta læreryrket framover</w:t>
      </w:r>
      <w:r w:rsidRPr="00580C0D">
        <w:t xml:space="preserve">, jf. </w:t>
      </w:r>
      <w:proofErr w:type="spellStart"/>
      <w:r w:rsidRPr="00580C0D">
        <w:t>Innst</w:t>
      </w:r>
      <w:proofErr w:type="spellEnd"/>
      <w:r w:rsidRPr="00580C0D">
        <w:t>. 158 S (2022–2023).</w:t>
      </w:r>
    </w:p>
    <w:p w14:paraId="353B92E3" w14:textId="77777777" w:rsidR="00F7113A" w:rsidRPr="00580C0D" w:rsidRDefault="00142E5B" w:rsidP="00580C0D">
      <w:r w:rsidRPr="00580C0D">
        <w:t xml:space="preserve">Kunnskapsdepartementet har sett i gang </w:t>
      </w:r>
      <w:proofErr w:type="spellStart"/>
      <w:r w:rsidRPr="00580C0D">
        <w:t>eit</w:t>
      </w:r>
      <w:proofErr w:type="spellEnd"/>
      <w:r w:rsidRPr="00580C0D">
        <w:t xml:space="preserve"> arbeid for å </w:t>
      </w:r>
      <w:proofErr w:type="spellStart"/>
      <w:r w:rsidRPr="00580C0D">
        <w:t>gjere</w:t>
      </w:r>
      <w:proofErr w:type="spellEnd"/>
      <w:r w:rsidRPr="00580C0D">
        <w:t xml:space="preserve"> </w:t>
      </w:r>
      <w:proofErr w:type="spellStart"/>
      <w:r w:rsidRPr="00580C0D">
        <w:t>rammeplanane</w:t>
      </w:r>
      <w:proofErr w:type="spellEnd"/>
      <w:r w:rsidRPr="00580C0D">
        <w:t xml:space="preserve"> for </w:t>
      </w:r>
      <w:proofErr w:type="spellStart"/>
      <w:r w:rsidRPr="00580C0D">
        <w:t>lærarutdanningane</w:t>
      </w:r>
      <w:proofErr w:type="spellEnd"/>
      <w:r w:rsidRPr="00580C0D">
        <w:t xml:space="preserve"> </w:t>
      </w:r>
      <w:proofErr w:type="spellStart"/>
      <w:r w:rsidRPr="00580C0D">
        <w:t>meir</w:t>
      </w:r>
      <w:proofErr w:type="spellEnd"/>
      <w:r w:rsidRPr="00580C0D">
        <w:t xml:space="preserve"> overordna. Regjeringa sette i februar 2023 ned </w:t>
      </w:r>
      <w:proofErr w:type="spellStart"/>
      <w:r w:rsidRPr="00580C0D">
        <w:t>eit</w:t>
      </w:r>
      <w:proofErr w:type="spellEnd"/>
      <w:r w:rsidRPr="00580C0D">
        <w:t xml:space="preserve"> breitt samansett </w:t>
      </w:r>
      <w:proofErr w:type="spellStart"/>
      <w:r w:rsidRPr="00580C0D">
        <w:t>rammeplanutval</w:t>
      </w:r>
      <w:proofErr w:type="spellEnd"/>
      <w:r w:rsidRPr="00580C0D">
        <w:t xml:space="preserve"> som leverte forslag om mindre </w:t>
      </w:r>
      <w:proofErr w:type="spellStart"/>
      <w:r w:rsidRPr="00580C0D">
        <w:t>forenklingar</w:t>
      </w:r>
      <w:proofErr w:type="spellEnd"/>
      <w:r w:rsidRPr="00580C0D">
        <w:t xml:space="preserve"> i </w:t>
      </w:r>
      <w:proofErr w:type="spellStart"/>
      <w:r w:rsidRPr="00580C0D">
        <w:t>rammeplanane</w:t>
      </w:r>
      <w:proofErr w:type="spellEnd"/>
      <w:r w:rsidRPr="00580C0D">
        <w:t xml:space="preserve"> for alle </w:t>
      </w:r>
      <w:proofErr w:type="spellStart"/>
      <w:r w:rsidRPr="00580C0D">
        <w:t>lærarutdanningane</w:t>
      </w:r>
      <w:proofErr w:type="spellEnd"/>
      <w:r w:rsidRPr="00580C0D">
        <w:t xml:space="preserve">. Regjeringa endra </w:t>
      </w:r>
      <w:proofErr w:type="spellStart"/>
      <w:r w:rsidRPr="00580C0D">
        <w:t>rammeplanane</w:t>
      </w:r>
      <w:proofErr w:type="spellEnd"/>
      <w:r w:rsidRPr="00580C0D">
        <w:t xml:space="preserve"> 1. juli 2023. Dette var </w:t>
      </w:r>
      <w:proofErr w:type="spellStart"/>
      <w:r w:rsidRPr="00580C0D">
        <w:t>eit</w:t>
      </w:r>
      <w:proofErr w:type="spellEnd"/>
      <w:r w:rsidRPr="00580C0D">
        <w:t xml:space="preserve"> første tiltak for å </w:t>
      </w:r>
      <w:proofErr w:type="spellStart"/>
      <w:r w:rsidRPr="00580C0D">
        <w:t>imøtekome</w:t>
      </w:r>
      <w:proofErr w:type="spellEnd"/>
      <w:r w:rsidRPr="00580C0D">
        <w:t xml:space="preserve"> </w:t>
      </w:r>
      <w:proofErr w:type="spellStart"/>
      <w:r w:rsidRPr="00580C0D">
        <w:t>dei</w:t>
      </w:r>
      <w:proofErr w:type="spellEnd"/>
      <w:r w:rsidRPr="00580C0D">
        <w:t xml:space="preserve"> </w:t>
      </w:r>
      <w:proofErr w:type="spellStart"/>
      <w:r w:rsidRPr="00580C0D">
        <w:t>klaraste</w:t>
      </w:r>
      <w:proofErr w:type="spellEnd"/>
      <w:r w:rsidRPr="00580C0D">
        <w:t xml:space="preserve"> behova for redusert detaljstyring av korleis </w:t>
      </w:r>
      <w:proofErr w:type="spellStart"/>
      <w:r w:rsidRPr="00580C0D">
        <w:t>lærarutdanningane</w:t>
      </w:r>
      <w:proofErr w:type="spellEnd"/>
      <w:r w:rsidRPr="00580C0D">
        <w:t xml:space="preserve"> er organiserte. Siktemålet er at </w:t>
      </w:r>
      <w:proofErr w:type="spellStart"/>
      <w:r w:rsidRPr="00580C0D">
        <w:t>institusjonane</w:t>
      </w:r>
      <w:proofErr w:type="spellEnd"/>
      <w:r w:rsidRPr="00580C0D">
        <w:t xml:space="preserve"> får større fridom i arbeidet med å legge til rette for gode </w:t>
      </w:r>
      <w:proofErr w:type="spellStart"/>
      <w:r w:rsidRPr="00580C0D">
        <w:t>utdanningar</w:t>
      </w:r>
      <w:proofErr w:type="spellEnd"/>
      <w:r w:rsidRPr="00580C0D">
        <w:t xml:space="preserve">. I dette ligg òg </w:t>
      </w:r>
      <w:proofErr w:type="spellStart"/>
      <w:r w:rsidRPr="00580C0D">
        <w:t>moglegheiter</w:t>
      </w:r>
      <w:proofErr w:type="spellEnd"/>
      <w:r w:rsidRPr="00580C0D">
        <w:t xml:space="preserve"> for </w:t>
      </w:r>
      <w:proofErr w:type="spellStart"/>
      <w:r w:rsidRPr="00580C0D">
        <w:t>meir</w:t>
      </w:r>
      <w:proofErr w:type="spellEnd"/>
      <w:r w:rsidRPr="00580C0D">
        <w:t xml:space="preserve"> varierte praksisformer. Regjeringa vil vurdere forslaga til organiseringa av praksis i </w:t>
      </w:r>
      <w:proofErr w:type="spellStart"/>
      <w:r w:rsidRPr="00580C0D">
        <w:t>lærarutdanningane</w:t>
      </w:r>
      <w:proofErr w:type="spellEnd"/>
      <w:r w:rsidRPr="00580C0D">
        <w:t xml:space="preserve">. Regjeringa vil òg </w:t>
      </w:r>
      <w:proofErr w:type="spellStart"/>
      <w:r w:rsidRPr="00580C0D">
        <w:t>kome</w:t>
      </w:r>
      <w:proofErr w:type="spellEnd"/>
      <w:r w:rsidRPr="00580C0D">
        <w:t xml:space="preserve"> tilbake til Stortinget med ei stortingsmelding om </w:t>
      </w:r>
      <w:proofErr w:type="spellStart"/>
      <w:r w:rsidRPr="00580C0D">
        <w:t>profesjonsutdanningane</w:t>
      </w:r>
      <w:proofErr w:type="spellEnd"/>
      <w:r w:rsidRPr="00580C0D">
        <w:t>.</w:t>
      </w:r>
    </w:p>
    <w:p w14:paraId="497EEB73" w14:textId="77777777" w:rsidR="00F7113A" w:rsidRPr="00580C0D" w:rsidRDefault="00142E5B" w:rsidP="00580C0D">
      <w:r w:rsidRPr="00580C0D">
        <w:t xml:space="preserve">Kunnskapsdepartementet har </w:t>
      </w:r>
      <w:proofErr w:type="spellStart"/>
      <w:r w:rsidRPr="00580C0D">
        <w:t>byrja</w:t>
      </w:r>
      <w:proofErr w:type="spellEnd"/>
      <w:r w:rsidRPr="00580C0D">
        <w:t xml:space="preserve"> å vurdere forslaga til tiltak i NOU 2022: 13 </w:t>
      </w:r>
      <w:r w:rsidRPr="00580C0D">
        <w:rPr>
          <w:rStyle w:val="kursiv"/>
        </w:rPr>
        <w:t>Med videre betydning – Et</w:t>
      </w:r>
      <w:r w:rsidRPr="00580C0D">
        <w:t xml:space="preserve"> </w:t>
      </w:r>
      <w:r w:rsidRPr="00580C0D">
        <w:rPr>
          <w:rStyle w:val="kursiv"/>
        </w:rPr>
        <w:t>helhetlig system for kompetanse- og karriereutvikling</w:t>
      </w:r>
      <w:r w:rsidRPr="00580C0D">
        <w:t xml:space="preserve">. Arbeidet vil mellom anna omfatte rettleiing av nyutdanna </w:t>
      </w:r>
      <w:proofErr w:type="spellStart"/>
      <w:r w:rsidRPr="00580C0D">
        <w:t>nytilsette</w:t>
      </w:r>
      <w:proofErr w:type="spellEnd"/>
      <w:r w:rsidRPr="00580C0D">
        <w:t xml:space="preserve"> </w:t>
      </w:r>
      <w:proofErr w:type="spellStart"/>
      <w:r w:rsidRPr="00580C0D">
        <w:t>lærarar</w:t>
      </w:r>
      <w:proofErr w:type="spellEnd"/>
      <w:r w:rsidRPr="00580C0D">
        <w:t xml:space="preserve"> i </w:t>
      </w:r>
      <w:proofErr w:type="spellStart"/>
      <w:r w:rsidRPr="00580C0D">
        <w:t>barnehagar</w:t>
      </w:r>
      <w:proofErr w:type="spellEnd"/>
      <w:r w:rsidRPr="00580C0D">
        <w:t xml:space="preserve"> og </w:t>
      </w:r>
      <w:proofErr w:type="spellStart"/>
      <w:r w:rsidRPr="00580C0D">
        <w:t>skular</w:t>
      </w:r>
      <w:proofErr w:type="spellEnd"/>
      <w:r w:rsidRPr="00580C0D">
        <w:t xml:space="preserve">, jf. </w:t>
      </w:r>
      <w:proofErr w:type="spellStart"/>
      <w:r w:rsidRPr="00580C0D">
        <w:t>utvalets</w:t>
      </w:r>
      <w:proofErr w:type="spellEnd"/>
      <w:r w:rsidRPr="00580C0D">
        <w:t xml:space="preserve"> forslag om å innføre </w:t>
      </w:r>
      <w:proofErr w:type="spellStart"/>
      <w:r w:rsidRPr="00580C0D">
        <w:t>ein</w:t>
      </w:r>
      <w:proofErr w:type="spellEnd"/>
      <w:r w:rsidRPr="00580C0D">
        <w:t xml:space="preserve"> rett for nyutdanna </w:t>
      </w:r>
      <w:proofErr w:type="spellStart"/>
      <w:r w:rsidRPr="00580C0D">
        <w:t>lærarar</w:t>
      </w:r>
      <w:proofErr w:type="spellEnd"/>
      <w:r w:rsidRPr="00580C0D">
        <w:t xml:space="preserve"> til </w:t>
      </w:r>
      <w:proofErr w:type="spellStart"/>
      <w:r w:rsidRPr="00580C0D">
        <w:t>eit</w:t>
      </w:r>
      <w:proofErr w:type="spellEnd"/>
      <w:r w:rsidRPr="00580C0D">
        <w:t xml:space="preserve"> </w:t>
      </w:r>
      <w:proofErr w:type="spellStart"/>
      <w:r w:rsidRPr="00580C0D">
        <w:t>introduksjonsår</w:t>
      </w:r>
      <w:proofErr w:type="spellEnd"/>
      <w:r w:rsidRPr="00580C0D">
        <w:t xml:space="preserve">. Det er </w:t>
      </w:r>
      <w:proofErr w:type="spellStart"/>
      <w:r w:rsidRPr="00580C0D">
        <w:t>ein</w:t>
      </w:r>
      <w:proofErr w:type="spellEnd"/>
      <w:r w:rsidRPr="00580C0D">
        <w:t xml:space="preserve"> plan at det nye </w:t>
      </w:r>
      <w:proofErr w:type="spellStart"/>
      <w:r w:rsidRPr="00580C0D">
        <w:t>heilskaplege</w:t>
      </w:r>
      <w:proofErr w:type="spellEnd"/>
      <w:r w:rsidRPr="00580C0D">
        <w:t xml:space="preserve"> systemet for kompetanse- og karriereutvikling skal starte opp i 2025, sjå </w:t>
      </w:r>
      <w:proofErr w:type="spellStart"/>
      <w:r w:rsidRPr="00580C0D">
        <w:t>nærare</w:t>
      </w:r>
      <w:proofErr w:type="spellEnd"/>
      <w:r w:rsidRPr="00580C0D">
        <w:t xml:space="preserve"> omtale under 07.20 Grunnopplæringa.</w:t>
      </w:r>
    </w:p>
    <w:p w14:paraId="251B8494"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2BB9E787" w14:textId="77777777" w:rsidR="00F7113A" w:rsidRPr="00580C0D" w:rsidRDefault="00142E5B" w:rsidP="00580C0D">
      <w:pPr>
        <w:pStyle w:val="avsnitt-tittel"/>
      </w:pPr>
      <w:r w:rsidRPr="00580C0D">
        <w:t xml:space="preserve">Plan for å </w:t>
      </w:r>
      <w:proofErr w:type="spellStart"/>
      <w:r w:rsidRPr="00580C0D">
        <w:t>vidareutvikle</w:t>
      </w:r>
      <w:proofErr w:type="spellEnd"/>
      <w:r w:rsidRPr="00580C0D">
        <w:t xml:space="preserve"> </w:t>
      </w:r>
      <w:proofErr w:type="spellStart"/>
      <w:r w:rsidRPr="00580C0D">
        <w:t>høgare</w:t>
      </w:r>
      <w:proofErr w:type="spellEnd"/>
      <w:r w:rsidRPr="00580C0D">
        <w:t xml:space="preserve"> </w:t>
      </w:r>
      <w:proofErr w:type="spellStart"/>
      <w:r w:rsidRPr="00580C0D">
        <w:t>yrkesfagleg</w:t>
      </w:r>
      <w:proofErr w:type="spellEnd"/>
      <w:r w:rsidRPr="00580C0D">
        <w:t xml:space="preserve"> utdanning</w:t>
      </w:r>
    </w:p>
    <w:p w14:paraId="15F3DDA5" w14:textId="77777777" w:rsidR="00F7113A" w:rsidRPr="00580C0D" w:rsidRDefault="00142E5B" w:rsidP="00580C0D">
      <w:pPr>
        <w:pStyle w:val="avsnitt-undertittel"/>
      </w:pPr>
      <w:r w:rsidRPr="00580C0D">
        <w:t>Vedtak nr. 484, 14. februar 2023</w:t>
      </w:r>
    </w:p>
    <w:p w14:paraId="478AADE0" w14:textId="77777777" w:rsidR="00F7113A" w:rsidRPr="00580C0D" w:rsidRDefault="00142E5B" w:rsidP="00580C0D">
      <w:pPr>
        <w:pStyle w:val="blokksit"/>
        <w:rPr>
          <w:rStyle w:val="kursiv"/>
        </w:rPr>
      </w:pPr>
      <w:r w:rsidRPr="00580C0D">
        <w:rPr>
          <w:rStyle w:val="kursiv"/>
        </w:rPr>
        <w:t>Stortinget ber regjeringen, i arbeidet med en stortingsmelding om fagskoler, legge fram en plan for videreutviklingen av den høyere yrkesfaglige utdanningen som blant annet drøfter finansiering, studiepoengsystem, kapasitet og akkreditering.</w:t>
      </w:r>
    </w:p>
    <w:p w14:paraId="2E3D474A"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5 (2022–2023) </w:t>
      </w:r>
      <w:r w:rsidRPr="00580C0D">
        <w:rPr>
          <w:rStyle w:val="kursiv"/>
        </w:rPr>
        <w:t>Langtidsplan for forskning og høyere utdanning 2023–2032</w:t>
      </w:r>
      <w:r w:rsidRPr="00580C0D">
        <w:t xml:space="preserve">, jf. </w:t>
      </w:r>
      <w:proofErr w:type="spellStart"/>
      <w:r w:rsidRPr="00580C0D">
        <w:t>Innst</w:t>
      </w:r>
      <w:proofErr w:type="spellEnd"/>
      <w:r w:rsidRPr="00580C0D">
        <w:t>. 170 S (2022–2023).</w:t>
      </w:r>
    </w:p>
    <w:p w14:paraId="7FE49E59" w14:textId="77777777" w:rsidR="00F7113A" w:rsidRPr="00580C0D" w:rsidRDefault="00142E5B" w:rsidP="00580C0D">
      <w:r w:rsidRPr="00580C0D">
        <w:t xml:space="preserve">Regjeringa har starta arbeidet med meldinga til Stortinget om </w:t>
      </w:r>
      <w:proofErr w:type="spellStart"/>
      <w:r w:rsidRPr="00580C0D">
        <w:t>høgare</w:t>
      </w:r>
      <w:proofErr w:type="spellEnd"/>
      <w:r w:rsidRPr="00580C0D">
        <w:t xml:space="preserve"> </w:t>
      </w:r>
      <w:proofErr w:type="spellStart"/>
      <w:r w:rsidRPr="00580C0D">
        <w:t>yrkesfagleg</w:t>
      </w:r>
      <w:proofErr w:type="spellEnd"/>
      <w:r w:rsidRPr="00580C0D">
        <w:t xml:space="preserve"> utdanning. Kunnskapsdepartementet har sett i gang </w:t>
      </w:r>
      <w:proofErr w:type="spellStart"/>
      <w:r w:rsidRPr="00580C0D">
        <w:t>fleire</w:t>
      </w:r>
      <w:proofErr w:type="spellEnd"/>
      <w:r w:rsidRPr="00580C0D">
        <w:t xml:space="preserve"> store </w:t>
      </w:r>
      <w:proofErr w:type="spellStart"/>
      <w:r w:rsidRPr="00580C0D">
        <w:t>evalueringar</w:t>
      </w:r>
      <w:proofErr w:type="spellEnd"/>
      <w:r w:rsidRPr="00580C0D">
        <w:t xml:space="preserve"> som samla </w:t>
      </w:r>
      <w:proofErr w:type="spellStart"/>
      <w:r w:rsidRPr="00580C0D">
        <w:t>utgjer</w:t>
      </w:r>
      <w:proofErr w:type="spellEnd"/>
      <w:r w:rsidRPr="00580C0D">
        <w:t xml:space="preserve"> </w:t>
      </w:r>
      <w:proofErr w:type="spellStart"/>
      <w:r w:rsidRPr="00580C0D">
        <w:t>eit</w:t>
      </w:r>
      <w:proofErr w:type="spellEnd"/>
      <w:r w:rsidRPr="00580C0D">
        <w:t xml:space="preserve"> godt kunnskapsgrunnlag for å skrive ei melding til Stortinget om </w:t>
      </w:r>
      <w:proofErr w:type="spellStart"/>
      <w:r w:rsidRPr="00580C0D">
        <w:t>høgare</w:t>
      </w:r>
      <w:proofErr w:type="spellEnd"/>
      <w:r w:rsidRPr="00580C0D">
        <w:t xml:space="preserve"> </w:t>
      </w:r>
      <w:proofErr w:type="spellStart"/>
      <w:r w:rsidRPr="00580C0D">
        <w:t>yrkesfagleg</w:t>
      </w:r>
      <w:proofErr w:type="spellEnd"/>
      <w:r w:rsidRPr="00580C0D">
        <w:t xml:space="preserve"> utdanning. Det </w:t>
      </w:r>
      <w:proofErr w:type="spellStart"/>
      <w:r w:rsidRPr="00580C0D">
        <w:t>gjeld</w:t>
      </w:r>
      <w:proofErr w:type="spellEnd"/>
      <w:r w:rsidRPr="00580C0D">
        <w:t xml:space="preserve"> evaluering av mellom anna nasjonalt kvalifikasjonsrammeverk (NKR), finansieringssystemet for </w:t>
      </w:r>
      <w:proofErr w:type="spellStart"/>
      <w:r w:rsidRPr="00580C0D">
        <w:t>høgare</w:t>
      </w:r>
      <w:proofErr w:type="spellEnd"/>
      <w:r w:rsidRPr="00580C0D">
        <w:t xml:space="preserve"> </w:t>
      </w:r>
      <w:proofErr w:type="spellStart"/>
      <w:r w:rsidRPr="00580C0D">
        <w:t>yrkesfagleg</w:t>
      </w:r>
      <w:proofErr w:type="spellEnd"/>
      <w:r w:rsidRPr="00580C0D">
        <w:t xml:space="preserve"> utdanning og ei fullevaluering fem år etter Meld. St. 9 (2016–2017) </w:t>
      </w:r>
      <w:r w:rsidRPr="00580C0D">
        <w:rPr>
          <w:rStyle w:val="kursiv"/>
        </w:rPr>
        <w:t xml:space="preserve">Fagfolk for fremtiden – Fagskoleutdanning. </w:t>
      </w:r>
      <w:r w:rsidRPr="00580C0D">
        <w:t xml:space="preserve">Meldinga til Stortinget vil mellom anna ta for seg utvikling, akkreditering og finansiering av </w:t>
      </w:r>
      <w:proofErr w:type="spellStart"/>
      <w:r w:rsidRPr="00580C0D">
        <w:t>fagskulane</w:t>
      </w:r>
      <w:proofErr w:type="spellEnd"/>
      <w:r w:rsidRPr="00580C0D">
        <w:t xml:space="preserve"> og tiltak for å sikre kvalitet og relevans i </w:t>
      </w:r>
      <w:proofErr w:type="spellStart"/>
      <w:r w:rsidRPr="00580C0D">
        <w:t>fagskuleutdanningane</w:t>
      </w:r>
      <w:proofErr w:type="spellEnd"/>
      <w:r w:rsidRPr="00580C0D">
        <w:t>.</w:t>
      </w:r>
    </w:p>
    <w:p w14:paraId="009BAC94"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i samband med meldinga.</w:t>
      </w:r>
    </w:p>
    <w:p w14:paraId="6F386123" w14:textId="77777777" w:rsidR="00F7113A" w:rsidRPr="00580C0D" w:rsidRDefault="00142E5B" w:rsidP="00580C0D">
      <w:pPr>
        <w:pStyle w:val="avsnitt-tittel"/>
      </w:pPr>
      <w:proofErr w:type="spellStart"/>
      <w:r w:rsidRPr="00580C0D">
        <w:t>Læringsutbyte</w:t>
      </w:r>
      <w:proofErr w:type="spellEnd"/>
      <w:r w:rsidRPr="00580C0D">
        <w:t xml:space="preserve"> om kunstig intelligens og tingas internett i </w:t>
      </w:r>
      <w:proofErr w:type="spellStart"/>
      <w:r w:rsidRPr="00580C0D">
        <w:t>høgare</w:t>
      </w:r>
      <w:proofErr w:type="spellEnd"/>
      <w:r w:rsidRPr="00580C0D">
        <w:t xml:space="preserve"> utdanning</w:t>
      </w:r>
    </w:p>
    <w:p w14:paraId="60F35E78" w14:textId="77777777" w:rsidR="00F7113A" w:rsidRPr="00580C0D" w:rsidRDefault="00142E5B" w:rsidP="00580C0D">
      <w:pPr>
        <w:pStyle w:val="avsnitt-undertittel"/>
      </w:pPr>
      <w:r w:rsidRPr="00580C0D">
        <w:t>Vedtak nr. 582, 13. april 2023</w:t>
      </w:r>
    </w:p>
    <w:p w14:paraId="737C1667" w14:textId="77777777" w:rsidR="00F7113A" w:rsidRPr="00580C0D" w:rsidRDefault="00142E5B" w:rsidP="00580C0D">
      <w:pPr>
        <w:pStyle w:val="blokksit"/>
        <w:rPr>
          <w:rStyle w:val="kursiv"/>
        </w:rPr>
      </w:pPr>
      <w:r w:rsidRPr="00580C0D">
        <w:rPr>
          <w:rStyle w:val="kursiv"/>
        </w:rPr>
        <w:t xml:space="preserve">Stortinget ber regjeringen sørge for at kunnskap om kunstig intelligens og tingenes internett </w:t>
      </w:r>
      <w:proofErr w:type="gramStart"/>
      <w:r w:rsidRPr="00580C0D">
        <w:rPr>
          <w:rStyle w:val="kursiv"/>
        </w:rPr>
        <w:t>integreres</w:t>
      </w:r>
      <w:proofErr w:type="gramEnd"/>
      <w:r w:rsidRPr="00580C0D">
        <w:rPr>
          <w:rStyle w:val="kursiv"/>
        </w:rPr>
        <w:t xml:space="preserve"> i flere utdanninger.</w:t>
      </w:r>
    </w:p>
    <w:p w14:paraId="7A74746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8:73 S (2022–2023) </w:t>
      </w:r>
      <w:r w:rsidRPr="00580C0D">
        <w:rPr>
          <w:rStyle w:val="kursiv"/>
        </w:rPr>
        <w:t>Representantforslag fra stortingsrepresentantene Anne Kristine Linnestad, Heidi Nordby Lunde, Linda Hofstad Helleland og Nikolai Astrup</w:t>
      </w:r>
      <w:r w:rsidRPr="00580C0D">
        <w:t xml:space="preserve">, jf. </w:t>
      </w:r>
      <w:proofErr w:type="spellStart"/>
      <w:r w:rsidRPr="00580C0D">
        <w:t>Innst</w:t>
      </w:r>
      <w:proofErr w:type="spellEnd"/>
      <w:r w:rsidRPr="00580C0D">
        <w:t>. 238 S (2022–2023).</w:t>
      </w:r>
    </w:p>
    <w:p w14:paraId="60A3D2D0" w14:textId="77777777" w:rsidR="00F7113A" w:rsidRPr="00580C0D" w:rsidRDefault="00142E5B" w:rsidP="00580C0D">
      <w:r w:rsidRPr="00580C0D">
        <w:t xml:space="preserve">Regjeringa har </w:t>
      </w:r>
      <w:proofErr w:type="spellStart"/>
      <w:r w:rsidRPr="00580C0D">
        <w:t>vidareført</w:t>
      </w:r>
      <w:proofErr w:type="spellEnd"/>
      <w:r w:rsidRPr="00580C0D">
        <w:t xml:space="preserve"> </w:t>
      </w:r>
      <w:r w:rsidRPr="00580C0D">
        <w:rPr>
          <w:rStyle w:val="kursiv"/>
        </w:rPr>
        <w:t>Strategi for digital omstilling i universitets- og høyskolesektoren</w:t>
      </w:r>
      <w:r w:rsidRPr="00580C0D">
        <w:t xml:space="preserve"> som blei lagd fram i september 2021. Strategien slår mellom anna fast at sektoren skal arbeide for å utvikle kompetansen hos </w:t>
      </w:r>
      <w:proofErr w:type="spellStart"/>
      <w:r w:rsidRPr="00580C0D">
        <w:t>dei</w:t>
      </w:r>
      <w:proofErr w:type="spellEnd"/>
      <w:r w:rsidRPr="00580C0D">
        <w:t xml:space="preserve"> tilsette slik at </w:t>
      </w:r>
      <w:proofErr w:type="spellStart"/>
      <w:r w:rsidRPr="00580C0D">
        <w:t>dei</w:t>
      </w:r>
      <w:proofErr w:type="spellEnd"/>
      <w:r w:rsidRPr="00580C0D">
        <w:t xml:space="preserve"> kan forstå korleis digitalisering </w:t>
      </w:r>
      <w:proofErr w:type="spellStart"/>
      <w:r w:rsidRPr="00580C0D">
        <w:t>endrar</w:t>
      </w:r>
      <w:proofErr w:type="spellEnd"/>
      <w:r w:rsidRPr="00580C0D">
        <w:t xml:space="preserve"> fagområda </w:t>
      </w:r>
      <w:proofErr w:type="spellStart"/>
      <w:r w:rsidRPr="00580C0D">
        <w:t>deira</w:t>
      </w:r>
      <w:proofErr w:type="spellEnd"/>
      <w:r w:rsidRPr="00580C0D">
        <w:t xml:space="preserve">. Dette er viktig for å få til fornying av fag og </w:t>
      </w:r>
      <w:proofErr w:type="spellStart"/>
      <w:r w:rsidRPr="00580C0D">
        <w:t>utdanningar</w:t>
      </w:r>
      <w:proofErr w:type="spellEnd"/>
      <w:r w:rsidRPr="00580C0D">
        <w:t xml:space="preserve">. Strategien seier òg at </w:t>
      </w:r>
      <w:proofErr w:type="spellStart"/>
      <w:r w:rsidRPr="00580C0D">
        <w:t>verksemdene</w:t>
      </w:r>
      <w:proofErr w:type="spellEnd"/>
      <w:r w:rsidRPr="00580C0D">
        <w:t xml:space="preserve"> i sektoren skal samarbeide om å utvikle og inkludere tema i </w:t>
      </w:r>
      <w:proofErr w:type="spellStart"/>
      <w:r w:rsidRPr="00580C0D">
        <w:t>utdanningane</w:t>
      </w:r>
      <w:proofErr w:type="spellEnd"/>
      <w:r w:rsidRPr="00580C0D">
        <w:t xml:space="preserve"> som er relevante for digitalisering.</w:t>
      </w:r>
    </w:p>
    <w:p w14:paraId="07DB6596" w14:textId="77777777" w:rsidR="00F7113A" w:rsidRPr="00580C0D" w:rsidRDefault="00142E5B" w:rsidP="00580C0D">
      <w:r w:rsidRPr="00580C0D">
        <w:t xml:space="preserve">Universiteta og </w:t>
      </w:r>
      <w:proofErr w:type="spellStart"/>
      <w:r w:rsidRPr="00580C0D">
        <w:t>høgskulane</w:t>
      </w:r>
      <w:proofErr w:type="spellEnd"/>
      <w:r w:rsidRPr="00580C0D">
        <w:t xml:space="preserve"> arbeider grundig og langsiktig med å følge opp strategien. Saman med Direktoratet for kompetanse og </w:t>
      </w:r>
      <w:proofErr w:type="spellStart"/>
      <w:r w:rsidRPr="00580C0D">
        <w:t>høgare</w:t>
      </w:r>
      <w:proofErr w:type="spellEnd"/>
      <w:r w:rsidRPr="00580C0D">
        <w:t xml:space="preserve"> utdanning (HK-</w:t>
      </w:r>
      <w:proofErr w:type="spellStart"/>
      <w:r w:rsidRPr="00580C0D">
        <w:t>dir</w:t>
      </w:r>
      <w:proofErr w:type="spellEnd"/>
      <w:r w:rsidRPr="00580C0D">
        <w:t xml:space="preserve">) har </w:t>
      </w:r>
      <w:proofErr w:type="spellStart"/>
      <w:r w:rsidRPr="00580C0D">
        <w:t>dei</w:t>
      </w:r>
      <w:proofErr w:type="spellEnd"/>
      <w:r w:rsidRPr="00580C0D">
        <w:t xml:space="preserve"> samla seg om </w:t>
      </w:r>
      <w:r w:rsidRPr="00580C0D">
        <w:rPr>
          <w:rStyle w:val="kursiv"/>
        </w:rPr>
        <w:t>Handlingsplan for digital omstilling i høyere utdanning og forskning</w:t>
      </w:r>
      <w:r w:rsidRPr="00580C0D">
        <w:t xml:space="preserve">. Blant </w:t>
      </w:r>
      <w:proofErr w:type="spellStart"/>
      <w:r w:rsidRPr="00580C0D">
        <w:t>dei</w:t>
      </w:r>
      <w:proofErr w:type="spellEnd"/>
      <w:r w:rsidRPr="00580C0D">
        <w:t xml:space="preserve"> mange </w:t>
      </w:r>
      <w:proofErr w:type="spellStart"/>
      <w:r w:rsidRPr="00580C0D">
        <w:t>aktivitetane</w:t>
      </w:r>
      <w:proofErr w:type="spellEnd"/>
      <w:r w:rsidRPr="00580C0D">
        <w:t xml:space="preserve"> som er omtalte i planen, er til dømes </w:t>
      </w:r>
      <w:r w:rsidRPr="00580C0D">
        <w:rPr>
          <w:rStyle w:val="kursiv"/>
        </w:rPr>
        <w:t>UiB AI</w:t>
      </w:r>
      <w:r w:rsidRPr="00580C0D">
        <w:t xml:space="preserve">, som er </w:t>
      </w:r>
      <w:proofErr w:type="spellStart"/>
      <w:r w:rsidRPr="00580C0D">
        <w:t>eit</w:t>
      </w:r>
      <w:proofErr w:type="spellEnd"/>
      <w:r w:rsidRPr="00580C0D">
        <w:t xml:space="preserve"> </w:t>
      </w:r>
      <w:proofErr w:type="spellStart"/>
      <w:r w:rsidRPr="00580C0D">
        <w:t>fagleg</w:t>
      </w:r>
      <w:proofErr w:type="spellEnd"/>
      <w:r w:rsidRPr="00580C0D">
        <w:t xml:space="preserve"> forum om korleis kunstig intelligens påverkar </w:t>
      </w:r>
      <w:proofErr w:type="spellStart"/>
      <w:r w:rsidRPr="00580C0D">
        <w:t>dei</w:t>
      </w:r>
      <w:proofErr w:type="spellEnd"/>
      <w:r w:rsidRPr="00580C0D">
        <w:t xml:space="preserve"> ulike fagfelta. </w:t>
      </w:r>
      <w:proofErr w:type="spellStart"/>
      <w:r w:rsidRPr="00580C0D">
        <w:t>Eit</w:t>
      </w:r>
      <w:proofErr w:type="spellEnd"/>
      <w:r w:rsidRPr="00580C0D">
        <w:t xml:space="preserve"> anna prosjekt er </w:t>
      </w:r>
      <w:r w:rsidRPr="00580C0D">
        <w:rPr>
          <w:rStyle w:val="kursiv"/>
        </w:rPr>
        <w:t>Fremtidens teknologistudier</w:t>
      </w:r>
      <w:r w:rsidRPr="00580C0D">
        <w:t xml:space="preserve">, som skal legge til rette for at studieporteføljen til NTNU er i tråd med teknologiutviklinga, </w:t>
      </w:r>
      <w:proofErr w:type="spellStart"/>
      <w:r w:rsidRPr="00580C0D">
        <w:t>utfordringane</w:t>
      </w:r>
      <w:proofErr w:type="spellEnd"/>
      <w:r w:rsidRPr="00580C0D">
        <w:t xml:space="preserve"> samfunnet står overfor, og behova til nærings- og arbeidslivet </w:t>
      </w:r>
      <w:proofErr w:type="spellStart"/>
      <w:r w:rsidRPr="00580C0D">
        <w:t>frå</w:t>
      </w:r>
      <w:proofErr w:type="spellEnd"/>
      <w:r w:rsidRPr="00580C0D">
        <w:t xml:space="preserve"> 2025 og framover.</w:t>
      </w:r>
    </w:p>
    <w:p w14:paraId="06D4CDD0" w14:textId="77777777" w:rsidR="00F7113A" w:rsidRPr="00580C0D" w:rsidRDefault="00142E5B" w:rsidP="00580C0D">
      <w:r w:rsidRPr="00580C0D">
        <w:t xml:space="preserve">Regjeringa har òg </w:t>
      </w:r>
      <w:proofErr w:type="spellStart"/>
      <w:r w:rsidRPr="00580C0D">
        <w:t>vidareført</w:t>
      </w:r>
      <w:proofErr w:type="spellEnd"/>
      <w:r w:rsidRPr="00580C0D">
        <w:t xml:space="preserve"> </w:t>
      </w:r>
      <w:r w:rsidRPr="00580C0D">
        <w:rPr>
          <w:rStyle w:val="kursiv"/>
        </w:rPr>
        <w:t>Nasjonal strategi for kunstig intelligens</w:t>
      </w:r>
      <w:r w:rsidRPr="00580C0D">
        <w:t xml:space="preserve"> </w:t>
      </w:r>
      <w:proofErr w:type="spellStart"/>
      <w:r w:rsidRPr="00580C0D">
        <w:t>frå</w:t>
      </w:r>
      <w:proofErr w:type="spellEnd"/>
      <w:r w:rsidRPr="00580C0D">
        <w:t xml:space="preserve"> 2020. Strategien slår fast at regjeringa vil ha </w:t>
      </w:r>
      <w:proofErr w:type="spellStart"/>
      <w:r w:rsidRPr="00580C0D">
        <w:t>tydelege</w:t>
      </w:r>
      <w:proofErr w:type="spellEnd"/>
      <w:r w:rsidRPr="00580C0D">
        <w:t xml:space="preserve"> </w:t>
      </w:r>
      <w:proofErr w:type="spellStart"/>
      <w:r w:rsidRPr="00580C0D">
        <w:t>forventningar</w:t>
      </w:r>
      <w:proofErr w:type="spellEnd"/>
      <w:r w:rsidRPr="00580C0D">
        <w:t xml:space="preserve"> til at kunstig intelligens blir </w:t>
      </w:r>
      <w:proofErr w:type="gramStart"/>
      <w:r w:rsidRPr="00580C0D">
        <w:t>integrert</w:t>
      </w:r>
      <w:proofErr w:type="gramEnd"/>
      <w:r w:rsidRPr="00580C0D">
        <w:t xml:space="preserve"> i etablerte studieprogram der dette er relevant. Strategien seier </w:t>
      </w:r>
      <w:proofErr w:type="spellStart"/>
      <w:r w:rsidRPr="00580C0D">
        <w:t>vidare</w:t>
      </w:r>
      <w:proofErr w:type="spellEnd"/>
      <w:r w:rsidRPr="00580C0D">
        <w:t xml:space="preserve"> at regjeringa vil at </w:t>
      </w:r>
      <w:proofErr w:type="spellStart"/>
      <w:r w:rsidRPr="00580C0D">
        <w:t>utdanningsinstitusjonane</w:t>
      </w:r>
      <w:proofErr w:type="spellEnd"/>
      <w:r w:rsidRPr="00580C0D">
        <w:t xml:space="preserve"> vurderer korleis personvern og etikk kan få </w:t>
      </w:r>
      <w:proofErr w:type="spellStart"/>
      <w:r w:rsidRPr="00580C0D">
        <w:t>ein</w:t>
      </w:r>
      <w:proofErr w:type="spellEnd"/>
      <w:r w:rsidRPr="00580C0D">
        <w:t xml:space="preserve"> sentral plass i </w:t>
      </w:r>
      <w:proofErr w:type="spellStart"/>
      <w:r w:rsidRPr="00580C0D">
        <w:t>utdanningar</w:t>
      </w:r>
      <w:proofErr w:type="spellEnd"/>
      <w:r w:rsidRPr="00580C0D">
        <w:t xml:space="preserve"> </w:t>
      </w:r>
      <w:proofErr w:type="spellStart"/>
      <w:r w:rsidRPr="00580C0D">
        <w:t>innanfor</w:t>
      </w:r>
      <w:proofErr w:type="spellEnd"/>
      <w:r w:rsidRPr="00580C0D">
        <w:t xml:space="preserve"> kunstig intelligens. Kunnskapsdepartementet </w:t>
      </w:r>
      <w:proofErr w:type="spellStart"/>
      <w:r w:rsidRPr="00580C0D">
        <w:t>legg</w:t>
      </w:r>
      <w:proofErr w:type="spellEnd"/>
      <w:r w:rsidRPr="00580C0D">
        <w:t xml:space="preserve"> til grunn at </w:t>
      </w:r>
      <w:proofErr w:type="spellStart"/>
      <w:r w:rsidRPr="00580C0D">
        <w:t>institusjonane</w:t>
      </w:r>
      <w:proofErr w:type="spellEnd"/>
      <w:r w:rsidRPr="00580C0D">
        <w:t xml:space="preserve"> </w:t>
      </w:r>
      <w:proofErr w:type="spellStart"/>
      <w:r w:rsidRPr="00580C0D">
        <w:t>tek</w:t>
      </w:r>
      <w:proofErr w:type="spellEnd"/>
      <w:r w:rsidRPr="00580C0D">
        <w:t xml:space="preserve"> </w:t>
      </w:r>
      <w:proofErr w:type="spellStart"/>
      <w:r w:rsidRPr="00580C0D">
        <w:t>desse</w:t>
      </w:r>
      <w:proofErr w:type="spellEnd"/>
      <w:r w:rsidRPr="00580C0D">
        <w:t xml:space="preserve"> </w:t>
      </w:r>
      <w:proofErr w:type="spellStart"/>
      <w:r w:rsidRPr="00580C0D">
        <w:t>forventningane</w:t>
      </w:r>
      <w:proofErr w:type="spellEnd"/>
      <w:r w:rsidRPr="00580C0D">
        <w:t xml:space="preserve"> </w:t>
      </w:r>
      <w:proofErr w:type="spellStart"/>
      <w:r w:rsidRPr="00580C0D">
        <w:t>frå</w:t>
      </w:r>
      <w:proofErr w:type="spellEnd"/>
      <w:r w:rsidRPr="00580C0D">
        <w:t xml:space="preserve"> regjeringa med i arbeidet med rammer for undervisninga.</w:t>
      </w:r>
    </w:p>
    <w:p w14:paraId="2CE85F62" w14:textId="77777777" w:rsidR="00F7113A" w:rsidRPr="00580C0D" w:rsidRDefault="00142E5B" w:rsidP="00580C0D">
      <w:r w:rsidRPr="00580C0D">
        <w:t xml:space="preserve">I september lanserte regjeringa ei forskings- og innovasjonssatsing på framtidas databehandling – kunstig intelligens, digital tryggleik og </w:t>
      </w:r>
      <w:proofErr w:type="spellStart"/>
      <w:r w:rsidRPr="00580C0D">
        <w:t>samfunnskonsekvensar</w:t>
      </w:r>
      <w:proofErr w:type="spellEnd"/>
      <w:r w:rsidRPr="00580C0D">
        <w:t xml:space="preserve"> av teknologiutviklinga, jf. omtale i kapittel 285, post 51. Satsinga </w:t>
      </w:r>
      <w:proofErr w:type="spellStart"/>
      <w:r w:rsidRPr="00580C0D">
        <w:t>famnar</w:t>
      </w:r>
      <w:proofErr w:type="spellEnd"/>
      <w:r w:rsidRPr="00580C0D">
        <w:t xml:space="preserve"> breitt og vil bidra til å styrke tema om kunstig intelligens og tingas internett på mange fagområde, også </w:t>
      </w:r>
      <w:proofErr w:type="spellStart"/>
      <w:r w:rsidRPr="00580C0D">
        <w:t>utanfor</w:t>
      </w:r>
      <w:proofErr w:type="spellEnd"/>
      <w:r w:rsidRPr="00580C0D">
        <w:t xml:space="preserve"> realfaga og teknologifaga, </w:t>
      </w:r>
      <w:proofErr w:type="spellStart"/>
      <w:r w:rsidRPr="00580C0D">
        <w:t>noko</w:t>
      </w:r>
      <w:proofErr w:type="spellEnd"/>
      <w:r w:rsidRPr="00580C0D">
        <w:t xml:space="preserve"> som vil </w:t>
      </w:r>
      <w:proofErr w:type="spellStart"/>
      <w:r w:rsidRPr="00580C0D">
        <w:t>kome</w:t>
      </w:r>
      <w:proofErr w:type="spellEnd"/>
      <w:r w:rsidRPr="00580C0D">
        <w:t xml:space="preserve"> </w:t>
      </w:r>
      <w:proofErr w:type="spellStart"/>
      <w:r w:rsidRPr="00580C0D">
        <w:t>utdanningane</w:t>
      </w:r>
      <w:proofErr w:type="spellEnd"/>
      <w:r w:rsidRPr="00580C0D">
        <w:t xml:space="preserve"> til gode.</w:t>
      </w:r>
    </w:p>
    <w:p w14:paraId="699FFCA1" w14:textId="77777777" w:rsidR="00F7113A" w:rsidRPr="00580C0D" w:rsidRDefault="00142E5B" w:rsidP="00580C0D">
      <w:r w:rsidRPr="00580C0D">
        <w:t xml:space="preserve">Regelen om </w:t>
      </w:r>
      <w:proofErr w:type="spellStart"/>
      <w:r w:rsidRPr="00580C0D">
        <w:t>fagleg</w:t>
      </w:r>
      <w:proofErr w:type="spellEnd"/>
      <w:r w:rsidRPr="00580C0D">
        <w:t xml:space="preserve"> fridom i universitets- og </w:t>
      </w:r>
      <w:proofErr w:type="spellStart"/>
      <w:r w:rsidRPr="00580C0D">
        <w:t>høgskulelova</w:t>
      </w:r>
      <w:proofErr w:type="spellEnd"/>
      <w:r w:rsidRPr="00580C0D">
        <w:t xml:space="preserve"> § 1-5 </w:t>
      </w:r>
      <w:proofErr w:type="spellStart"/>
      <w:r w:rsidRPr="00580C0D">
        <w:t>seier</w:t>
      </w:r>
      <w:proofErr w:type="spellEnd"/>
      <w:r w:rsidRPr="00580C0D">
        <w:t xml:space="preserve"> at andre </w:t>
      </w:r>
      <w:proofErr w:type="spellStart"/>
      <w:r w:rsidRPr="00580C0D">
        <w:t>ikkje</w:t>
      </w:r>
      <w:proofErr w:type="spellEnd"/>
      <w:r w:rsidRPr="00580C0D">
        <w:t xml:space="preserve"> kan gi universitet og </w:t>
      </w:r>
      <w:proofErr w:type="spellStart"/>
      <w:r w:rsidRPr="00580C0D">
        <w:t>høgskular</w:t>
      </w:r>
      <w:proofErr w:type="spellEnd"/>
      <w:r w:rsidRPr="00580C0D">
        <w:t xml:space="preserve"> pålegg eller </w:t>
      </w:r>
      <w:proofErr w:type="spellStart"/>
      <w:r w:rsidRPr="00580C0D">
        <w:t>instruksar</w:t>
      </w:r>
      <w:proofErr w:type="spellEnd"/>
      <w:r w:rsidRPr="00580C0D">
        <w:t xml:space="preserve"> om </w:t>
      </w:r>
      <w:proofErr w:type="spellStart"/>
      <w:r w:rsidRPr="00580C0D">
        <w:t>innhaldet</w:t>
      </w:r>
      <w:proofErr w:type="spellEnd"/>
      <w:r w:rsidRPr="00580C0D">
        <w:t xml:space="preserve"> i undervisninga. Den som gir undervisning, har </w:t>
      </w:r>
      <w:proofErr w:type="spellStart"/>
      <w:r w:rsidRPr="00580C0D">
        <w:t>eit</w:t>
      </w:r>
      <w:proofErr w:type="spellEnd"/>
      <w:r w:rsidRPr="00580C0D">
        <w:t xml:space="preserve"> sjølvstendig fagansvar for </w:t>
      </w:r>
      <w:proofErr w:type="spellStart"/>
      <w:r w:rsidRPr="00580C0D">
        <w:t>innhald</w:t>
      </w:r>
      <w:proofErr w:type="spellEnd"/>
      <w:r w:rsidRPr="00580C0D">
        <w:t xml:space="preserve"> og opplegg </w:t>
      </w:r>
      <w:proofErr w:type="spellStart"/>
      <w:r w:rsidRPr="00580C0D">
        <w:t>innanfor</w:t>
      </w:r>
      <w:proofErr w:type="spellEnd"/>
      <w:r w:rsidRPr="00580C0D">
        <w:t xml:space="preserve"> </w:t>
      </w:r>
      <w:proofErr w:type="spellStart"/>
      <w:r w:rsidRPr="00580C0D">
        <w:t>dei</w:t>
      </w:r>
      <w:proofErr w:type="spellEnd"/>
      <w:r w:rsidRPr="00580C0D">
        <w:t xml:space="preserve"> rammene som institusjonen </w:t>
      </w:r>
      <w:proofErr w:type="spellStart"/>
      <w:r w:rsidRPr="00580C0D">
        <w:t>set</w:t>
      </w:r>
      <w:proofErr w:type="spellEnd"/>
      <w:r w:rsidRPr="00580C0D">
        <w:t xml:space="preserve">, eller som følger av lov eller er i </w:t>
      </w:r>
      <w:proofErr w:type="spellStart"/>
      <w:r w:rsidRPr="00580C0D">
        <w:t>medhald</w:t>
      </w:r>
      <w:proofErr w:type="spellEnd"/>
      <w:r w:rsidRPr="00580C0D">
        <w:t xml:space="preserve"> av lov. Det er samstundes tverrpolitisk semje på Stortinget om at styresmaktene </w:t>
      </w:r>
      <w:proofErr w:type="spellStart"/>
      <w:r w:rsidRPr="00580C0D">
        <w:t>ikkje</w:t>
      </w:r>
      <w:proofErr w:type="spellEnd"/>
      <w:r w:rsidRPr="00580C0D">
        <w:t xml:space="preserve"> skal gi </w:t>
      </w:r>
      <w:proofErr w:type="spellStart"/>
      <w:r w:rsidRPr="00580C0D">
        <w:t>institusjonane</w:t>
      </w:r>
      <w:proofErr w:type="spellEnd"/>
      <w:r w:rsidRPr="00580C0D">
        <w:t xml:space="preserve"> pålegg om </w:t>
      </w:r>
      <w:proofErr w:type="spellStart"/>
      <w:r w:rsidRPr="00580C0D">
        <w:t>innhaldet</w:t>
      </w:r>
      <w:proofErr w:type="spellEnd"/>
      <w:r w:rsidRPr="00580C0D">
        <w:t xml:space="preserve"> i </w:t>
      </w:r>
      <w:proofErr w:type="spellStart"/>
      <w:r w:rsidRPr="00580C0D">
        <w:t>utdanningane</w:t>
      </w:r>
      <w:proofErr w:type="spellEnd"/>
      <w:r w:rsidRPr="00580C0D">
        <w:t xml:space="preserve">. Tiltak for å </w:t>
      </w:r>
      <w:proofErr w:type="spellStart"/>
      <w:r w:rsidRPr="00580C0D">
        <w:t>påverke</w:t>
      </w:r>
      <w:proofErr w:type="spellEnd"/>
      <w:r w:rsidRPr="00580C0D">
        <w:t xml:space="preserve"> </w:t>
      </w:r>
      <w:proofErr w:type="spellStart"/>
      <w:r w:rsidRPr="00580C0D">
        <w:t>læringsutbytet</w:t>
      </w:r>
      <w:proofErr w:type="spellEnd"/>
      <w:r w:rsidRPr="00580C0D">
        <w:t xml:space="preserve"> i </w:t>
      </w:r>
      <w:proofErr w:type="spellStart"/>
      <w:r w:rsidRPr="00580C0D">
        <w:t>utdanningane</w:t>
      </w:r>
      <w:proofErr w:type="spellEnd"/>
      <w:r w:rsidRPr="00580C0D">
        <w:t xml:space="preserve"> må derfor virke indirekte, til dømes gjennom </w:t>
      </w:r>
      <w:proofErr w:type="spellStart"/>
      <w:r w:rsidRPr="00580C0D">
        <w:t>forskingssatsingar</w:t>
      </w:r>
      <w:proofErr w:type="spellEnd"/>
      <w:r w:rsidRPr="00580C0D">
        <w:t xml:space="preserve"> som den på kunstig intelligens og framtidas databehandling. Regjeringa er trygg på at </w:t>
      </w:r>
      <w:proofErr w:type="spellStart"/>
      <w:r w:rsidRPr="00580C0D">
        <w:t>dei</w:t>
      </w:r>
      <w:proofErr w:type="spellEnd"/>
      <w:r w:rsidRPr="00580C0D">
        <w:t xml:space="preserve"> tiltaka som er </w:t>
      </w:r>
      <w:proofErr w:type="spellStart"/>
      <w:r w:rsidRPr="00580C0D">
        <w:t>nemnt</w:t>
      </w:r>
      <w:proofErr w:type="spellEnd"/>
      <w:r w:rsidRPr="00580C0D">
        <w:t xml:space="preserve"> over vil bidra til at </w:t>
      </w:r>
      <w:proofErr w:type="spellStart"/>
      <w:r w:rsidRPr="00580C0D">
        <w:t>institusjonane</w:t>
      </w:r>
      <w:proofErr w:type="spellEnd"/>
      <w:r w:rsidRPr="00580C0D">
        <w:t xml:space="preserve"> sørger for at kunnskap om kunstig intelligens og tingas internett blir integrerte i relevante </w:t>
      </w:r>
      <w:proofErr w:type="spellStart"/>
      <w:r w:rsidRPr="00580C0D">
        <w:t>utdanningar</w:t>
      </w:r>
      <w:proofErr w:type="spellEnd"/>
      <w:r w:rsidRPr="00580C0D">
        <w:t>.</w:t>
      </w:r>
    </w:p>
    <w:p w14:paraId="39AB9803"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06F377AC" w14:textId="77777777" w:rsidR="00F7113A" w:rsidRPr="00580C0D" w:rsidRDefault="00142E5B" w:rsidP="00580C0D">
      <w:pPr>
        <w:pStyle w:val="avsnitt-tittel"/>
      </w:pPr>
      <w:r w:rsidRPr="00580C0D">
        <w:t xml:space="preserve">Strategi for å </w:t>
      </w:r>
      <w:proofErr w:type="spellStart"/>
      <w:r w:rsidRPr="00580C0D">
        <w:t>auke</w:t>
      </w:r>
      <w:proofErr w:type="spellEnd"/>
      <w:r w:rsidRPr="00580C0D">
        <w:t xml:space="preserve"> rekrutteringa av </w:t>
      </w:r>
      <w:proofErr w:type="spellStart"/>
      <w:r w:rsidRPr="00580C0D">
        <w:t>lærarar</w:t>
      </w:r>
      <w:proofErr w:type="spellEnd"/>
    </w:p>
    <w:p w14:paraId="4542A706" w14:textId="77777777" w:rsidR="00F7113A" w:rsidRPr="00580C0D" w:rsidRDefault="00142E5B" w:rsidP="00580C0D">
      <w:pPr>
        <w:pStyle w:val="avsnitt-undertittel"/>
      </w:pPr>
      <w:r w:rsidRPr="00580C0D">
        <w:t>Vedtak nr. 690, 25. mai 2023</w:t>
      </w:r>
    </w:p>
    <w:p w14:paraId="290E6B18" w14:textId="77777777" w:rsidR="00F7113A" w:rsidRPr="00580C0D" w:rsidRDefault="00142E5B" w:rsidP="00580C0D">
      <w:pPr>
        <w:pStyle w:val="blokksit"/>
        <w:rPr>
          <w:rStyle w:val="kursiv"/>
        </w:rPr>
      </w:pPr>
      <w:r w:rsidRPr="00580C0D">
        <w:rPr>
          <w:rStyle w:val="kursiv"/>
        </w:rPr>
        <w:t>Stortinget ber regjeringen lage en strategi for økt rekruttering av lærere og komme tilbake til Stortinget på egnet måte om strategien. Strategien må sees i sammenheng med ordningene for veiledning av nyutdannede, etter- og videreutdanningstilbudet, nye karriereveier for lærere i skolen og den varslede profesjonsmeldingen.</w:t>
      </w:r>
    </w:p>
    <w:p w14:paraId="292F505C"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8:211 S (2022–2023) </w:t>
      </w:r>
      <w:r w:rsidRPr="00580C0D">
        <w:rPr>
          <w:rStyle w:val="kursiv"/>
        </w:rPr>
        <w:t xml:space="preserve">Representantforslag fra stortingsrepresentantene Freddy André </w:t>
      </w:r>
      <w:proofErr w:type="spellStart"/>
      <w:r w:rsidRPr="00580C0D">
        <w:rPr>
          <w:rStyle w:val="kursiv"/>
        </w:rPr>
        <w:t>Øvstegård</w:t>
      </w:r>
      <w:proofErr w:type="spellEnd"/>
      <w:r w:rsidRPr="00580C0D">
        <w:rPr>
          <w:rStyle w:val="kursiv"/>
        </w:rPr>
        <w:t>, Grete Wold, Ingrid Fiskaa, Mona Fagerås</w:t>
      </w:r>
      <w:r w:rsidRPr="00580C0D">
        <w:t xml:space="preserve">, jf. </w:t>
      </w:r>
      <w:proofErr w:type="spellStart"/>
      <w:r w:rsidRPr="00580C0D">
        <w:t>Innst</w:t>
      </w:r>
      <w:proofErr w:type="spellEnd"/>
      <w:r w:rsidRPr="00580C0D">
        <w:t>. 366 S (2022–2023).</w:t>
      </w:r>
    </w:p>
    <w:p w14:paraId="172AAEB1" w14:textId="77777777" w:rsidR="00F7113A" w:rsidRPr="00580C0D" w:rsidRDefault="00142E5B" w:rsidP="00580C0D">
      <w:r w:rsidRPr="00580C0D">
        <w:t xml:space="preserve">Departementet er i gang med å utarbeide </w:t>
      </w:r>
      <w:proofErr w:type="spellStart"/>
      <w:r w:rsidRPr="00580C0D">
        <w:t>ein</w:t>
      </w:r>
      <w:proofErr w:type="spellEnd"/>
      <w:r w:rsidRPr="00580C0D">
        <w:t xml:space="preserve"> strategi for rekruttering til </w:t>
      </w:r>
      <w:proofErr w:type="spellStart"/>
      <w:r w:rsidRPr="00580C0D">
        <w:t>lærarutdanningane</w:t>
      </w:r>
      <w:proofErr w:type="spellEnd"/>
      <w:r w:rsidRPr="00580C0D">
        <w:t xml:space="preserve"> og </w:t>
      </w:r>
      <w:proofErr w:type="spellStart"/>
      <w:r w:rsidRPr="00580C0D">
        <w:t>læraryrket</w:t>
      </w:r>
      <w:proofErr w:type="spellEnd"/>
      <w:r w:rsidRPr="00580C0D">
        <w:t>.</w:t>
      </w:r>
    </w:p>
    <w:p w14:paraId="5B7C8AE6"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53E98826" w14:textId="77777777" w:rsidR="00F7113A" w:rsidRPr="00580C0D" w:rsidRDefault="00142E5B" w:rsidP="00580C0D">
      <w:pPr>
        <w:pStyle w:val="Overskrift2"/>
      </w:pPr>
      <w:r w:rsidRPr="00580C0D">
        <w:t>Stortingssesjon 2021–2022</w:t>
      </w:r>
    </w:p>
    <w:p w14:paraId="4118F78A" w14:textId="77777777" w:rsidR="00F7113A" w:rsidRPr="00580C0D" w:rsidRDefault="00142E5B" w:rsidP="00580C0D">
      <w:pPr>
        <w:pStyle w:val="Undertittel"/>
      </w:pPr>
      <w:r w:rsidRPr="00580C0D">
        <w:t>Oppmodingsvedtak under kunnskapsministeren</w:t>
      </w:r>
    </w:p>
    <w:p w14:paraId="75DD4BE3" w14:textId="77777777" w:rsidR="00F7113A" w:rsidRPr="00580C0D" w:rsidRDefault="00142E5B" w:rsidP="00580C0D">
      <w:pPr>
        <w:pStyle w:val="avsnitt-tittel"/>
      </w:pPr>
      <w:r w:rsidRPr="00580C0D">
        <w:t xml:space="preserve">Meldeplikt ved overføring av </w:t>
      </w:r>
      <w:proofErr w:type="spellStart"/>
      <w:r w:rsidRPr="00580C0D">
        <w:t>eigedomsrett</w:t>
      </w:r>
      <w:proofErr w:type="spellEnd"/>
      <w:r w:rsidRPr="00580C0D">
        <w:t xml:space="preserve"> til barnehage</w:t>
      </w:r>
    </w:p>
    <w:p w14:paraId="45B52CBD" w14:textId="77777777" w:rsidR="00F7113A" w:rsidRPr="00580C0D" w:rsidRDefault="00142E5B" w:rsidP="00580C0D">
      <w:pPr>
        <w:pStyle w:val="avsnitt-undertittel"/>
      </w:pPr>
      <w:r w:rsidRPr="00580C0D">
        <w:t>Vedtak nr. 35, pkt. 44, 2. desember 2021</w:t>
      </w:r>
    </w:p>
    <w:p w14:paraId="52823071" w14:textId="77777777" w:rsidR="00F7113A" w:rsidRPr="00580C0D" w:rsidRDefault="00142E5B" w:rsidP="00580C0D">
      <w:pPr>
        <w:pStyle w:val="blokksit"/>
        <w:rPr>
          <w:rStyle w:val="kursiv"/>
        </w:rPr>
      </w:pPr>
      <w:r w:rsidRPr="00580C0D">
        <w:rPr>
          <w:rStyle w:val="kursiv"/>
        </w:rPr>
        <w:t>Stortinget ber regjeringen i forskrift og lovforslag innføre meldeplikt til kommunen når eiendomsrett til barnehage i kommunen blir overført til andre enn staten eller den fylkeskommune der eiendommen ligger, og utrede hvordan det kan innføres en forkjøpsrett for kommuner.</w:t>
      </w:r>
    </w:p>
    <w:p w14:paraId="67893A76"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(2021–2022) </w:t>
      </w:r>
      <w:r w:rsidRPr="00580C0D">
        <w:rPr>
          <w:rStyle w:val="kursiv"/>
        </w:rPr>
        <w:t>Nasjonalbudsjettet 2022</w:t>
      </w:r>
      <w:r w:rsidRPr="00580C0D">
        <w:t xml:space="preserve">, jf. </w:t>
      </w:r>
      <w:proofErr w:type="spellStart"/>
      <w:r w:rsidRPr="00580C0D">
        <w:t>Innst</w:t>
      </w:r>
      <w:proofErr w:type="spellEnd"/>
      <w:r w:rsidRPr="00580C0D">
        <w:t>. 2 S (2021–2022).</w:t>
      </w:r>
    </w:p>
    <w:p w14:paraId="1694B1C9" w14:textId="77777777" w:rsidR="00F7113A" w:rsidRPr="00580C0D" w:rsidRDefault="00142E5B" w:rsidP="00580C0D">
      <w:r w:rsidRPr="00580C0D">
        <w:t xml:space="preserve">Vedtaket om å innføre meldeplikt til kommunen blei våren 2022 </w:t>
      </w:r>
      <w:proofErr w:type="spellStart"/>
      <w:r w:rsidRPr="00580C0D">
        <w:t>følgt</w:t>
      </w:r>
      <w:proofErr w:type="spellEnd"/>
      <w:r w:rsidRPr="00580C0D">
        <w:t xml:space="preserve"> opp i </w:t>
      </w:r>
      <w:proofErr w:type="spellStart"/>
      <w:r w:rsidRPr="00580C0D">
        <w:t>Prop</w:t>
      </w:r>
      <w:proofErr w:type="spellEnd"/>
      <w:r w:rsidRPr="00580C0D">
        <w:t xml:space="preserve">. 82 L (2021–2022) </w:t>
      </w:r>
      <w:r w:rsidRPr="00580C0D">
        <w:rPr>
          <w:rStyle w:val="kursiv"/>
        </w:rPr>
        <w:t>Endringer i barnehageloven (selvstendig rettssubjekt, forbud mot annen virksomhet, meldeplikt m.m.)</w:t>
      </w:r>
      <w:r w:rsidRPr="00580C0D">
        <w:t xml:space="preserve">. I proposisjonen blei det foreslått krav om at private </w:t>
      </w:r>
      <w:proofErr w:type="spellStart"/>
      <w:r w:rsidRPr="00580C0D">
        <w:t>barnehagar</w:t>
      </w:r>
      <w:proofErr w:type="spellEnd"/>
      <w:r w:rsidRPr="00580C0D">
        <w:t xml:space="preserve"> skal melde </w:t>
      </w:r>
      <w:proofErr w:type="spellStart"/>
      <w:r w:rsidRPr="00580C0D">
        <w:t>frå</w:t>
      </w:r>
      <w:proofErr w:type="spellEnd"/>
      <w:r w:rsidRPr="00580C0D">
        <w:t xml:space="preserve"> til kommunen og Utdanningsdirektoratet ved nedlegging, </w:t>
      </w:r>
      <w:proofErr w:type="spellStart"/>
      <w:r w:rsidRPr="00580C0D">
        <w:t>eigarskifte</w:t>
      </w:r>
      <w:proofErr w:type="spellEnd"/>
      <w:r w:rsidRPr="00580C0D">
        <w:t xml:space="preserve"> eller andre organisatoriske </w:t>
      </w:r>
      <w:proofErr w:type="spellStart"/>
      <w:r w:rsidRPr="00580C0D">
        <w:t>endringar</w:t>
      </w:r>
      <w:proofErr w:type="spellEnd"/>
      <w:r w:rsidRPr="00580C0D">
        <w:t xml:space="preserve">. Stortinget behandla forslaget 31. mai 2022, jf. </w:t>
      </w:r>
      <w:proofErr w:type="spellStart"/>
      <w:r w:rsidRPr="00580C0D">
        <w:t>Innst</w:t>
      </w:r>
      <w:proofErr w:type="spellEnd"/>
      <w:r w:rsidRPr="00580C0D">
        <w:t>. 403 L (2021–2022).</w:t>
      </w:r>
    </w:p>
    <w:p w14:paraId="61753B97" w14:textId="77777777" w:rsidR="00F7113A" w:rsidRPr="00580C0D" w:rsidRDefault="00142E5B" w:rsidP="00580C0D">
      <w:r w:rsidRPr="00580C0D">
        <w:t xml:space="preserve">Departementet vil i løpet av </w:t>
      </w:r>
      <w:proofErr w:type="spellStart"/>
      <w:r w:rsidRPr="00580C0D">
        <w:t>hausten</w:t>
      </w:r>
      <w:proofErr w:type="spellEnd"/>
      <w:r w:rsidRPr="00580C0D">
        <w:t xml:space="preserve"> 2023 sende på </w:t>
      </w:r>
      <w:proofErr w:type="spellStart"/>
      <w:r w:rsidRPr="00580C0D">
        <w:t>offentleg</w:t>
      </w:r>
      <w:proofErr w:type="spellEnd"/>
      <w:r w:rsidRPr="00580C0D">
        <w:t xml:space="preserve"> </w:t>
      </w:r>
      <w:proofErr w:type="spellStart"/>
      <w:r w:rsidRPr="00580C0D">
        <w:t>høyring</w:t>
      </w:r>
      <w:proofErr w:type="spellEnd"/>
      <w:r w:rsidRPr="00580C0D">
        <w:t xml:space="preserve"> ei rekke forslag om </w:t>
      </w:r>
      <w:proofErr w:type="spellStart"/>
      <w:r w:rsidRPr="00580C0D">
        <w:t>endringar</w:t>
      </w:r>
      <w:proofErr w:type="spellEnd"/>
      <w:r w:rsidRPr="00580C0D">
        <w:t xml:space="preserve"> i barnehagelova om styring og finansiering av barnehagesektoren. For </w:t>
      </w:r>
      <w:proofErr w:type="spellStart"/>
      <w:r w:rsidRPr="00580C0D">
        <w:t>meir</w:t>
      </w:r>
      <w:proofErr w:type="spellEnd"/>
      <w:r w:rsidRPr="00580C0D">
        <w:t xml:space="preserve"> </w:t>
      </w:r>
      <w:proofErr w:type="spellStart"/>
      <w:r w:rsidRPr="00580C0D">
        <w:t>utførleg</w:t>
      </w:r>
      <w:proofErr w:type="spellEnd"/>
      <w:r w:rsidRPr="00580C0D">
        <w:t xml:space="preserve"> tekst om arbeidet med regelverket for private </w:t>
      </w:r>
      <w:proofErr w:type="spellStart"/>
      <w:r w:rsidRPr="00580C0D">
        <w:t>barnehagar</w:t>
      </w:r>
      <w:proofErr w:type="spellEnd"/>
      <w:r w:rsidRPr="00580C0D">
        <w:t xml:space="preserve">, sjå del II, programkategori 07.30 </w:t>
      </w:r>
      <w:proofErr w:type="spellStart"/>
      <w:r w:rsidRPr="00580C0D">
        <w:t>Barnehagar</w:t>
      </w:r>
      <w:proofErr w:type="spellEnd"/>
      <w:r w:rsidRPr="00580C0D">
        <w:t>.</w:t>
      </w:r>
    </w:p>
    <w:p w14:paraId="697C0C4F"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56F12796" w14:textId="77777777" w:rsidR="00F7113A" w:rsidRPr="00580C0D" w:rsidRDefault="00142E5B" w:rsidP="00580C0D">
      <w:pPr>
        <w:pStyle w:val="avsnitt-tittel"/>
      </w:pPr>
      <w:r w:rsidRPr="00580C0D">
        <w:t xml:space="preserve">Gjeninnføre rett for </w:t>
      </w:r>
      <w:proofErr w:type="spellStart"/>
      <w:r w:rsidRPr="00580C0D">
        <w:t>kommunane</w:t>
      </w:r>
      <w:proofErr w:type="spellEnd"/>
      <w:r w:rsidRPr="00580C0D">
        <w:t xml:space="preserve"> til å føre tilsyn med private </w:t>
      </w:r>
      <w:proofErr w:type="spellStart"/>
      <w:r w:rsidRPr="00580C0D">
        <w:t>barnehagar</w:t>
      </w:r>
      <w:proofErr w:type="spellEnd"/>
    </w:p>
    <w:p w14:paraId="7C888D1D" w14:textId="77777777" w:rsidR="00F7113A" w:rsidRPr="00580C0D" w:rsidRDefault="00142E5B" w:rsidP="00580C0D">
      <w:pPr>
        <w:pStyle w:val="avsnitt-undertittel"/>
      </w:pPr>
      <w:r w:rsidRPr="00580C0D">
        <w:t>Vedtak nr. 35, pkt. 45, 2. desember 2021</w:t>
      </w:r>
    </w:p>
    <w:p w14:paraId="1D9A99C2" w14:textId="77777777" w:rsidR="00F7113A" w:rsidRPr="00580C0D" w:rsidRDefault="00142E5B" w:rsidP="00580C0D">
      <w:pPr>
        <w:pStyle w:val="blokksit"/>
        <w:rPr>
          <w:rStyle w:val="kursiv"/>
        </w:rPr>
      </w:pPr>
      <w:r w:rsidRPr="00580C0D">
        <w:rPr>
          <w:rStyle w:val="kursiv"/>
        </w:rPr>
        <w:t>Stortinget ber regjeringen fremme nødvendige forslag for å gjeninnføre kommunenes rett til å føre tilsyn med private barnehager, herunder gi kommunene innsyn i alle økonomiske disposisjoner i barnehager i kommunen som mottar tilskudd.</w:t>
      </w:r>
    </w:p>
    <w:p w14:paraId="4F0963A5"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(2021–2022) </w:t>
      </w:r>
      <w:r w:rsidRPr="00580C0D">
        <w:rPr>
          <w:rStyle w:val="kursiv"/>
        </w:rPr>
        <w:t>Nasjonalbudsjettet 2022</w:t>
      </w:r>
      <w:r w:rsidRPr="00580C0D">
        <w:t xml:space="preserve">, jf. </w:t>
      </w:r>
      <w:proofErr w:type="spellStart"/>
      <w:r w:rsidRPr="00580C0D">
        <w:t>Innst</w:t>
      </w:r>
      <w:proofErr w:type="spellEnd"/>
      <w:r w:rsidRPr="00580C0D">
        <w:t>. 2 S (2021–2022).</w:t>
      </w:r>
    </w:p>
    <w:p w14:paraId="36408550" w14:textId="77777777" w:rsidR="00F7113A" w:rsidRPr="00580C0D" w:rsidRDefault="00142E5B" w:rsidP="00580C0D">
      <w:r w:rsidRPr="00580C0D">
        <w:t xml:space="preserve">Departementet vil i løpet av </w:t>
      </w:r>
      <w:proofErr w:type="spellStart"/>
      <w:r w:rsidRPr="00580C0D">
        <w:t>hausten</w:t>
      </w:r>
      <w:proofErr w:type="spellEnd"/>
      <w:r w:rsidRPr="00580C0D">
        <w:t xml:space="preserve"> 2023 sende på </w:t>
      </w:r>
      <w:proofErr w:type="spellStart"/>
      <w:r w:rsidRPr="00580C0D">
        <w:t>offentleg</w:t>
      </w:r>
      <w:proofErr w:type="spellEnd"/>
      <w:r w:rsidRPr="00580C0D">
        <w:t xml:space="preserve"> </w:t>
      </w:r>
      <w:proofErr w:type="spellStart"/>
      <w:r w:rsidRPr="00580C0D">
        <w:t>høyring</w:t>
      </w:r>
      <w:proofErr w:type="spellEnd"/>
      <w:r w:rsidRPr="00580C0D">
        <w:t xml:space="preserve"> ei rekke forslag om </w:t>
      </w:r>
      <w:proofErr w:type="spellStart"/>
      <w:r w:rsidRPr="00580C0D">
        <w:t>endringar</w:t>
      </w:r>
      <w:proofErr w:type="spellEnd"/>
      <w:r w:rsidRPr="00580C0D">
        <w:t xml:space="preserve"> i barnehagelova om styring og finansiering av barnehagesektoren. For </w:t>
      </w:r>
      <w:proofErr w:type="spellStart"/>
      <w:r w:rsidRPr="00580C0D">
        <w:t>meir</w:t>
      </w:r>
      <w:proofErr w:type="spellEnd"/>
      <w:r w:rsidRPr="00580C0D">
        <w:t xml:space="preserve"> </w:t>
      </w:r>
      <w:proofErr w:type="spellStart"/>
      <w:r w:rsidRPr="00580C0D">
        <w:t>utførleg</w:t>
      </w:r>
      <w:proofErr w:type="spellEnd"/>
      <w:r w:rsidRPr="00580C0D">
        <w:t xml:space="preserve"> tekst om arbeidet med regelverket for private </w:t>
      </w:r>
      <w:proofErr w:type="spellStart"/>
      <w:r w:rsidRPr="00580C0D">
        <w:t>barnehagar</w:t>
      </w:r>
      <w:proofErr w:type="spellEnd"/>
      <w:r w:rsidRPr="00580C0D">
        <w:t xml:space="preserve">, sjå del II, programkategori 07.30 </w:t>
      </w:r>
      <w:proofErr w:type="spellStart"/>
      <w:r w:rsidRPr="00580C0D">
        <w:t>Barnehagar</w:t>
      </w:r>
      <w:proofErr w:type="spellEnd"/>
      <w:r w:rsidRPr="00580C0D">
        <w:t>.</w:t>
      </w:r>
    </w:p>
    <w:p w14:paraId="644715C4"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161AF9E4" w14:textId="77777777" w:rsidR="00F7113A" w:rsidRPr="00580C0D" w:rsidRDefault="00142E5B" w:rsidP="00580C0D">
      <w:pPr>
        <w:pStyle w:val="avsnitt-tittel"/>
      </w:pPr>
      <w:r w:rsidRPr="00580C0D">
        <w:t xml:space="preserve">Kartlegging av </w:t>
      </w:r>
      <w:proofErr w:type="spellStart"/>
      <w:r w:rsidRPr="00580C0D">
        <w:t>utfordringar</w:t>
      </w:r>
      <w:proofErr w:type="spellEnd"/>
      <w:r w:rsidRPr="00580C0D">
        <w:t xml:space="preserve"> for praktisk opplæring i </w:t>
      </w:r>
      <w:proofErr w:type="spellStart"/>
      <w:r w:rsidRPr="00580C0D">
        <w:t>skulen</w:t>
      </w:r>
      <w:proofErr w:type="spellEnd"/>
    </w:p>
    <w:p w14:paraId="23F152B5" w14:textId="77777777" w:rsidR="00F7113A" w:rsidRPr="00580C0D" w:rsidRDefault="00142E5B" w:rsidP="00580C0D">
      <w:pPr>
        <w:pStyle w:val="avsnitt-undertittel"/>
      </w:pPr>
      <w:r w:rsidRPr="00580C0D">
        <w:t>Vedtak nr. 35, pkt. 53, 2. desember 2021</w:t>
      </w:r>
    </w:p>
    <w:p w14:paraId="7BFEAA0A" w14:textId="77777777" w:rsidR="00F7113A" w:rsidRPr="00580C0D" w:rsidRDefault="00142E5B" w:rsidP="00580C0D">
      <w:pPr>
        <w:pStyle w:val="blokksit"/>
        <w:rPr>
          <w:rStyle w:val="kursiv"/>
        </w:rPr>
      </w:pPr>
      <w:r w:rsidRPr="00580C0D">
        <w:rPr>
          <w:rStyle w:val="kursiv"/>
        </w:rPr>
        <w:t>Stortinget ber regjeringen kartlegge hva som er de største utfordringene for praktisk opplæring både i de praktiske og estetiske fagene og andre fag i skolen, og komme tilbake til Stortinget på egnet måte. Kartleggingen må blant annet vurdere kompetanse, fysiske fasiliteter og utstyrssituasjonen, særlig i de praktiske og estetiske fagene.</w:t>
      </w:r>
    </w:p>
    <w:p w14:paraId="73CE3BFD"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 (2021–2022) </w:t>
      </w:r>
      <w:r w:rsidRPr="00580C0D">
        <w:rPr>
          <w:rStyle w:val="kursiv"/>
        </w:rPr>
        <w:t>Nasjonalbudsjettet 2022</w:t>
      </w:r>
      <w:r w:rsidRPr="00580C0D">
        <w:t xml:space="preserve">, jf. </w:t>
      </w:r>
      <w:proofErr w:type="spellStart"/>
      <w:r w:rsidRPr="00580C0D">
        <w:t>Innst</w:t>
      </w:r>
      <w:proofErr w:type="spellEnd"/>
      <w:r w:rsidRPr="00580C0D">
        <w:t>. 2 S (2021–2022).</w:t>
      </w:r>
    </w:p>
    <w:p w14:paraId="49E04A93" w14:textId="77777777" w:rsidR="00F7113A" w:rsidRPr="00580C0D" w:rsidRDefault="00142E5B" w:rsidP="00580C0D">
      <w:r w:rsidRPr="00580C0D">
        <w:t xml:space="preserve">Vedtaket vil bli </w:t>
      </w:r>
      <w:proofErr w:type="spellStart"/>
      <w:r w:rsidRPr="00580C0D">
        <w:t>følgt</w:t>
      </w:r>
      <w:proofErr w:type="spellEnd"/>
      <w:r w:rsidRPr="00580C0D">
        <w:t xml:space="preserve"> opp i den varsla meldinga om 5.–10. trinn i </w:t>
      </w:r>
      <w:proofErr w:type="spellStart"/>
      <w:r w:rsidRPr="00580C0D">
        <w:t>grunnskulen</w:t>
      </w:r>
      <w:proofErr w:type="spellEnd"/>
      <w:r w:rsidRPr="00580C0D">
        <w:t>.</w:t>
      </w:r>
    </w:p>
    <w:p w14:paraId="3C99D85F"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750E8EB9" w14:textId="77777777" w:rsidR="00F7113A" w:rsidRPr="00580C0D" w:rsidRDefault="00142E5B" w:rsidP="00580C0D">
      <w:pPr>
        <w:pStyle w:val="avsnitt-tittel"/>
      </w:pPr>
      <w:r w:rsidRPr="00580C0D">
        <w:t>Styrking av praktisk læring</w:t>
      </w:r>
    </w:p>
    <w:p w14:paraId="4A8643B8" w14:textId="77777777" w:rsidR="00F7113A" w:rsidRPr="00580C0D" w:rsidRDefault="00142E5B" w:rsidP="00580C0D">
      <w:pPr>
        <w:pStyle w:val="avsnitt-undertittel"/>
      </w:pPr>
      <w:r w:rsidRPr="00580C0D">
        <w:t>Vedtak nr. 374, 1. februar 2022</w:t>
      </w:r>
    </w:p>
    <w:p w14:paraId="1BE0D512" w14:textId="77777777" w:rsidR="00F7113A" w:rsidRPr="00580C0D" w:rsidRDefault="00142E5B" w:rsidP="00580C0D">
      <w:pPr>
        <w:pStyle w:val="blokksit"/>
        <w:rPr>
          <w:rStyle w:val="kursiv"/>
        </w:rPr>
      </w:pPr>
      <w:r w:rsidRPr="00580C0D">
        <w:rPr>
          <w:rStyle w:val="kursiv"/>
        </w:rPr>
        <w:t>Stortinget ber regjeringen i sitt varslede arbeid med en helhetlig ungdomsskolereform vektlegge endringer som skal bidra til å øke elevenes motivasjon, læring og trivsel og styrke den praktiske læringen, og videre at regjeringen inkluderer sektoren tett i arbeidet.</w:t>
      </w:r>
    </w:p>
    <w:p w14:paraId="1B5AC43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8:18 S (2021–2022) </w:t>
      </w:r>
      <w:r w:rsidRPr="00580C0D">
        <w:rPr>
          <w:rStyle w:val="kursiv"/>
        </w:rPr>
        <w:t xml:space="preserve">Representantforslag fra stortingsrepresentantene Erna Solberg, Jan Tore Sanner, Kari-Anne </w:t>
      </w:r>
      <w:proofErr w:type="spellStart"/>
      <w:r w:rsidRPr="00580C0D">
        <w:rPr>
          <w:rStyle w:val="kursiv"/>
        </w:rPr>
        <w:t>Jønnes</w:t>
      </w:r>
      <w:proofErr w:type="spellEnd"/>
      <w:r w:rsidRPr="00580C0D">
        <w:rPr>
          <w:rStyle w:val="kursiv"/>
        </w:rPr>
        <w:t xml:space="preserve">, Margret Hagerup, Mathilde Tybring-Gjedde og Turid Kristensen, </w:t>
      </w:r>
      <w:r w:rsidRPr="00580C0D">
        <w:t xml:space="preserve">jf. </w:t>
      </w:r>
      <w:proofErr w:type="spellStart"/>
      <w:r w:rsidRPr="00580C0D">
        <w:t>Innst</w:t>
      </w:r>
      <w:proofErr w:type="spellEnd"/>
      <w:r w:rsidRPr="00580C0D">
        <w:t>. 129 S (2021–2022).</w:t>
      </w:r>
    </w:p>
    <w:p w14:paraId="04275AEA" w14:textId="77777777" w:rsidR="00F7113A" w:rsidRPr="00580C0D" w:rsidRDefault="00142E5B" w:rsidP="00580C0D">
      <w:r w:rsidRPr="00580C0D">
        <w:t xml:space="preserve">Vedtaket vil bli </w:t>
      </w:r>
      <w:proofErr w:type="spellStart"/>
      <w:r w:rsidRPr="00580C0D">
        <w:t>følgt</w:t>
      </w:r>
      <w:proofErr w:type="spellEnd"/>
      <w:r w:rsidRPr="00580C0D">
        <w:t xml:space="preserve"> opp i den varsla meldinga om 5.–10. trinn i </w:t>
      </w:r>
      <w:proofErr w:type="spellStart"/>
      <w:r w:rsidRPr="00580C0D">
        <w:t>grunnskulen</w:t>
      </w:r>
      <w:proofErr w:type="spellEnd"/>
      <w:r w:rsidRPr="00580C0D">
        <w:t>.</w:t>
      </w:r>
    </w:p>
    <w:p w14:paraId="74D7750F"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08B2A72E" w14:textId="77777777" w:rsidR="00F7113A" w:rsidRPr="00580C0D" w:rsidRDefault="00142E5B" w:rsidP="00580C0D">
      <w:pPr>
        <w:pStyle w:val="Overskrift2"/>
      </w:pPr>
      <w:r w:rsidRPr="00580C0D">
        <w:t>Stortingssesjon 2020–2021</w:t>
      </w:r>
    </w:p>
    <w:p w14:paraId="48C44463" w14:textId="77777777" w:rsidR="00F7113A" w:rsidRPr="00580C0D" w:rsidRDefault="00142E5B" w:rsidP="00580C0D">
      <w:pPr>
        <w:pStyle w:val="Undertittel"/>
      </w:pPr>
      <w:r w:rsidRPr="00580C0D">
        <w:t>Oppmodingsvedtak under kunnskapsministeren</w:t>
      </w:r>
    </w:p>
    <w:p w14:paraId="2C80580B" w14:textId="77777777" w:rsidR="00F7113A" w:rsidRPr="00580C0D" w:rsidRDefault="00142E5B" w:rsidP="00580C0D">
      <w:pPr>
        <w:pStyle w:val="avsnitt-tittel"/>
      </w:pPr>
      <w:r w:rsidRPr="00580C0D">
        <w:t xml:space="preserve">Politiattest for </w:t>
      </w:r>
      <w:proofErr w:type="spellStart"/>
      <w:r w:rsidRPr="00580C0D">
        <w:t>tilsetjing</w:t>
      </w:r>
      <w:proofErr w:type="spellEnd"/>
      <w:r w:rsidRPr="00580C0D">
        <w:t xml:space="preserve"> i </w:t>
      </w:r>
      <w:proofErr w:type="spellStart"/>
      <w:r w:rsidRPr="00580C0D">
        <w:t>skular</w:t>
      </w:r>
      <w:proofErr w:type="spellEnd"/>
      <w:r w:rsidRPr="00580C0D">
        <w:t xml:space="preserve"> og </w:t>
      </w:r>
      <w:proofErr w:type="spellStart"/>
      <w:r w:rsidRPr="00580C0D">
        <w:t>barnehagar</w:t>
      </w:r>
      <w:proofErr w:type="spellEnd"/>
    </w:p>
    <w:p w14:paraId="52BE5BD0" w14:textId="77777777" w:rsidR="00F7113A" w:rsidRPr="00580C0D" w:rsidRDefault="00142E5B" w:rsidP="00580C0D">
      <w:pPr>
        <w:pStyle w:val="avsnitt-undertittel"/>
      </w:pPr>
      <w:r w:rsidRPr="00580C0D">
        <w:t>Vedtak nr. 79, 12. november 2020</w:t>
      </w:r>
    </w:p>
    <w:p w14:paraId="6BD50EC8" w14:textId="77777777" w:rsidR="00F7113A" w:rsidRPr="00580C0D" w:rsidRDefault="00142E5B" w:rsidP="00580C0D">
      <w:pPr>
        <w:pStyle w:val="blokksit"/>
        <w:rPr>
          <w:rStyle w:val="kursiv"/>
        </w:rPr>
      </w:pPr>
      <w:r w:rsidRPr="00580C0D">
        <w:rPr>
          <w:rStyle w:val="kursiv"/>
        </w:rPr>
        <w:t>Stortinget ber regjeringen om å fremme forslag om nødvendige regelendringer slik at politiattesten gir et fullstendig bilde av søkeren og viser alle relevante lovbrudd i de tilfeller som gjelder ansettelsesforhold i skole, barnehage eller andre steder der kontakt med barn utgjør en viktig del av stillingen.</w:t>
      </w:r>
    </w:p>
    <w:p w14:paraId="67A4EECA"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8:113 S (2019–2020) </w:t>
      </w:r>
      <w:r w:rsidRPr="00580C0D">
        <w:rPr>
          <w:rStyle w:val="kursiv"/>
        </w:rPr>
        <w:t xml:space="preserve">Representantforslag fra stortingsrepresentantene Hanne Dyveke </w:t>
      </w:r>
      <w:proofErr w:type="spellStart"/>
      <w:r w:rsidRPr="00580C0D">
        <w:rPr>
          <w:rStyle w:val="kursiv"/>
        </w:rPr>
        <w:t>Søttar</w:t>
      </w:r>
      <w:proofErr w:type="spellEnd"/>
      <w:r w:rsidRPr="00580C0D">
        <w:rPr>
          <w:rStyle w:val="kursiv"/>
        </w:rPr>
        <w:t xml:space="preserve">, Kari </w:t>
      </w:r>
      <w:proofErr w:type="spellStart"/>
      <w:r w:rsidRPr="00580C0D">
        <w:rPr>
          <w:rStyle w:val="kursiv"/>
        </w:rPr>
        <w:t>Kjønaas</w:t>
      </w:r>
      <w:proofErr w:type="spellEnd"/>
      <w:r w:rsidRPr="00580C0D">
        <w:rPr>
          <w:rStyle w:val="kursiv"/>
        </w:rPr>
        <w:t xml:space="preserve"> Kjos, Silje Hjemdal og Roy Steffensen om nødvendige regelendringer om politiattest for ansettelsesforhold i skoler og barnehager</w:t>
      </w:r>
      <w:r w:rsidRPr="00580C0D">
        <w:t xml:space="preserve">, jf. </w:t>
      </w:r>
      <w:proofErr w:type="spellStart"/>
      <w:r w:rsidRPr="00580C0D">
        <w:t>Innst</w:t>
      </w:r>
      <w:proofErr w:type="spellEnd"/>
      <w:r w:rsidRPr="00580C0D">
        <w:t>. 64 S (2020–2021).</w:t>
      </w:r>
    </w:p>
    <w:p w14:paraId="3D699705" w14:textId="77777777" w:rsidR="00F7113A" w:rsidRPr="00580C0D" w:rsidRDefault="00142E5B" w:rsidP="00580C0D">
      <w:r w:rsidRPr="00580C0D">
        <w:t xml:space="preserve">Området for kva </w:t>
      </w:r>
      <w:proofErr w:type="spellStart"/>
      <w:r w:rsidRPr="00580C0D">
        <w:t>straffebod</w:t>
      </w:r>
      <w:proofErr w:type="spellEnd"/>
      <w:r w:rsidRPr="00580C0D">
        <w:t xml:space="preserve"> som skal noterast på </w:t>
      </w:r>
      <w:proofErr w:type="spellStart"/>
      <w:r w:rsidRPr="00580C0D">
        <w:t>ein</w:t>
      </w:r>
      <w:proofErr w:type="spellEnd"/>
      <w:r w:rsidRPr="00580C0D">
        <w:t xml:space="preserve"> politiattest, er utvida i den nye </w:t>
      </w:r>
      <w:proofErr w:type="spellStart"/>
      <w:r w:rsidRPr="00580C0D">
        <w:t>opplæringslova</w:t>
      </w:r>
      <w:proofErr w:type="spellEnd"/>
      <w:r w:rsidRPr="00580C0D">
        <w:t xml:space="preserve"> som Stortinget vedtok 5. juni 2023. Det er </w:t>
      </w:r>
      <w:proofErr w:type="spellStart"/>
      <w:r w:rsidRPr="00580C0D">
        <w:t>fleire</w:t>
      </w:r>
      <w:proofErr w:type="spellEnd"/>
      <w:r w:rsidRPr="00580C0D">
        <w:t xml:space="preserve"> </w:t>
      </w:r>
      <w:proofErr w:type="spellStart"/>
      <w:r w:rsidRPr="00580C0D">
        <w:t>straffebod</w:t>
      </w:r>
      <w:proofErr w:type="spellEnd"/>
      <w:r w:rsidRPr="00580C0D">
        <w:t xml:space="preserve"> enn det som er i politiregisterlova § 39. Det gjeld </w:t>
      </w:r>
      <w:proofErr w:type="spellStart"/>
      <w:r w:rsidRPr="00580C0D">
        <w:t>reglar</w:t>
      </w:r>
      <w:proofErr w:type="spellEnd"/>
      <w:r w:rsidRPr="00580C0D">
        <w:t xml:space="preserve"> som </w:t>
      </w:r>
      <w:proofErr w:type="spellStart"/>
      <w:r w:rsidRPr="00580C0D">
        <w:t>rettar</w:t>
      </w:r>
      <w:proofErr w:type="spellEnd"/>
      <w:r w:rsidRPr="00580C0D">
        <w:t xml:space="preserve"> seg dels mot den </w:t>
      </w:r>
      <w:proofErr w:type="spellStart"/>
      <w:r w:rsidRPr="00580C0D">
        <w:t>personlege</w:t>
      </w:r>
      <w:proofErr w:type="spellEnd"/>
      <w:r w:rsidRPr="00580C0D">
        <w:t xml:space="preserve"> fridommen og fred, dels mot </w:t>
      </w:r>
      <w:proofErr w:type="spellStart"/>
      <w:r w:rsidRPr="00580C0D">
        <w:t>valdslovbrot</w:t>
      </w:r>
      <w:proofErr w:type="spellEnd"/>
      <w:r w:rsidRPr="00580C0D">
        <w:t xml:space="preserve">, </w:t>
      </w:r>
      <w:proofErr w:type="spellStart"/>
      <w:r w:rsidRPr="00580C0D">
        <w:t>einskilde</w:t>
      </w:r>
      <w:proofErr w:type="spellEnd"/>
      <w:r w:rsidRPr="00580C0D">
        <w:t xml:space="preserve"> </w:t>
      </w:r>
      <w:proofErr w:type="spellStart"/>
      <w:r w:rsidRPr="00580C0D">
        <w:t>vinningslovbrot</w:t>
      </w:r>
      <w:proofErr w:type="spellEnd"/>
      <w:r w:rsidRPr="00580C0D">
        <w:t xml:space="preserve"> og dels mot kjønnslemlesting og </w:t>
      </w:r>
      <w:proofErr w:type="spellStart"/>
      <w:r w:rsidRPr="00580C0D">
        <w:t>forbodet</w:t>
      </w:r>
      <w:proofErr w:type="spellEnd"/>
      <w:r w:rsidRPr="00580C0D">
        <w:t xml:space="preserve"> mot tvangsekteskap.</w:t>
      </w:r>
    </w:p>
    <w:p w14:paraId="16D37A47" w14:textId="77777777" w:rsidR="00F7113A" w:rsidRPr="00580C0D" w:rsidRDefault="00142E5B" w:rsidP="00580C0D">
      <w:r w:rsidRPr="00580C0D">
        <w:t xml:space="preserve">Når </w:t>
      </w:r>
      <w:proofErr w:type="spellStart"/>
      <w:r w:rsidRPr="00580C0D">
        <w:t>barneomsorgsattestane</w:t>
      </w:r>
      <w:proofErr w:type="spellEnd"/>
      <w:r w:rsidRPr="00580C0D">
        <w:t xml:space="preserve"> etter </w:t>
      </w:r>
      <w:proofErr w:type="spellStart"/>
      <w:r w:rsidRPr="00580C0D">
        <w:t>opplæringslova</w:t>
      </w:r>
      <w:proofErr w:type="spellEnd"/>
      <w:r w:rsidRPr="00580C0D">
        <w:t xml:space="preserve"> blir utvida til å omfatte </w:t>
      </w:r>
      <w:proofErr w:type="spellStart"/>
      <w:r w:rsidRPr="00580C0D">
        <w:t>fleire</w:t>
      </w:r>
      <w:proofErr w:type="spellEnd"/>
      <w:r w:rsidRPr="00580C0D">
        <w:t xml:space="preserve"> </w:t>
      </w:r>
      <w:proofErr w:type="spellStart"/>
      <w:r w:rsidRPr="00580C0D">
        <w:t>straffebod</w:t>
      </w:r>
      <w:proofErr w:type="spellEnd"/>
      <w:r w:rsidRPr="00580C0D">
        <w:t xml:space="preserve"> som </w:t>
      </w:r>
      <w:proofErr w:type="spellStart"/>
      <w:r w:rsidRPr="00580C0D">
        <w:t>ikkje</w:t>
      </w:r>
      <w:proofErr w:type="spellEnd"/>
      <w:r w:rsidRPr="00580C0D">
        <w:t xml:space="preserve"> er omfatta av politiregisterlova § 39 første ledd, </w:t>
      </w:r>
      <w:proofErr w:type="spellStart"/>
      <w:r w:rsidRPr="00580C0D">
        <w:t>inneber</w:t>
      </w:r>
      <w:proofErr w:type="spellEnd"/>
      <w:r w:rsidRPr="00580C0D">
        <w:t xml:space="preserve"> det </w:t>
      </w:r>
      <w:proofErr w:type="spellStart"/>
      <w:r w:rsidRPr="00580C0D">
        <w:t>eit</w:t>
      </w:r>
      <w:proofErr w:type="spellEnd"/>
      <w:r w:rsidRPr="00580C0D">
        <w:t xml:space="preserve"> avvik </w:t>
      </w:r>
      <w:proofErr w:type="spellStart"/>
      <w:r w:rsidRPr="00580C0D">
        <w:t>frå</w:t>
      </w:r>
      <w:proofErr w:type="spellEnd"/>
      <w:r w:rsidRPr="00580C0D">
        <w:t xml:space="preserve"> den elles </w:t>
      </w:r>
      <w:proofErr w:type="spellStart"/>
      <w:r w:rsidRPr="00580C0D">
        <w:t>einsarta</w:t>
      </w:r>
      <w:proofErr w:type="spellEnd"/>
      <w:r w:rsidRPr="00580C0D">
        <w:t xml:space="preserve"> reguleringa av </w:t>
      </w:r>
      <w:proofErr w:type="spellStart"/>
      <w:r w:rsidRPr="00580C0D">
        <w:t>barneomsorgsattestar</w:t>
      </w:r>
      <w:proofErr w:type="spellEnd"/>
      <w:r w:rsidRPr="00580C0D">
        <w:t xml:space="preserve">. Regjeringa følger opp oppmodingsvedtaket gjennom </w:t>
      </w:r>
      <w:proofErr w:type="spellStart"/>
      <w:r w:rsidRPr="00580C0D">
        <w:t>eit</w:t>
      </w:r>
      <w:proofErr w:type="spellEnd"/>
      <w:r w:rsidRPr="00580C0D">
        <w:t xml:space="preserve"> interdepartementalt samarbeid for gjennomgang og revisjon av </w:t>
      </w:r>
      <w:proofErr w:type="spellStart"/>
      <w:r w:rsidRPr="00580C0D">
        <w:t>barneomsorgsattestar</w:t>
      </w:r>
      <w:proofErr w:type="spellEnd"/>
      <w:r w:rsidRPr="00580C0D">
        <w:t xml:space="preserve"> etter politiregisterlova § 39. Det blir </w:t>
      </w:r>
      <w:proofErr w:type="spellStart"/>
      <w:r w:rsidRPr="00580C0D">
        <w:t>arbeidd</w:t>
      </w:r>
      <w:proofErr w:type="spellEnd"/>
      <w:r w:rsidRPr="00580C0D">
        <w:t xml:space="preserve"> for å sende </w:t>
      </w:r>
      <w:proofErr w:type="spellStart"/>
      <w:r w:rsidRPr="00580C0D">
        <w:t>eit</w:t>
      </w:r>
      <w:proofErr w:type="spellEnd"/>
      <w:r w:rsidRPr="00580C0D">
        <w:t xml:space="preserve"> forslag til endring av politiregisterlova § 39 på </w:t>
      </w:r>
      <w:proofErr w:type="spellStart"/>
      <w:r w:rsidRPr="00580C0D">
        <w:t>høyring</w:t>
      </w:r>
      <w:proofErr w:type="spellEnd"/>
      <w:r w:rsidRPr="00580C0D">
        <w:t xml:space="preserve">. Gjennom revisjon av politiregisterlova tek </w:t>
      </w:r>
      <w:proofErr w:type="spellStart"/>
      <w:r w:rsidRPr="00580C0D">
        <w:t>ein</w:t>
      </w:r>
      <w:proofErr w:type="spellEnd"/>
      <w:r w:rsidRPr="00580C0D">
        <w:t xml:space="preserve"> sikte på å etablere </w:t>
      </w:r>
      <w:proofErr w:type="spellStart"/>
      <w:r w:rsidRPr="00580C0D">
        <w:t>ein</w:t>
      </w:r>
      <w:proofErr w:type="spellEnd"/>
      <w:r w:rsidRPr="00580C0D">
        <w:t xml:space="preserve"> </w:t>
      </w:r>
      <w:proofErr w:type="spellStart"/>
      <w:r w:rsidRPr="00580C0D">
        <w:t>einsarta</w:t>
      </w:r>
      <w:proofErr w:type="spellEnd"/>
      <w:r w:rsidRPr="00580C0D">
        <w:t xml:space="preserve"> praksis for </w:t>
      </w:r>
      <w:proofErr w:type="spellStart"/>
      <w:r w:rsidRPr="00580C0D">
        <w:t>innhaldet</w:t>
      </w:r>
      <w:proofErr w:type="spellEnd"/>
      <w:r w:rsidRPr="00580C0D">
        <w:t xml:space="preserve"> av </w:t>
      </w:r>
      <w:proofErr w:type="spellStart"/>
      <w:r w:rsidRPr="00580C0D">
        <w:t>barneomsorgsattestar</w:t>
      </w:r>
      <w:proofErr w:type="spellEnd"/>
      <w:r w:rsidRPr="00580C0D">
        <w:t xml:space="preserve"> i samarbeid mellom </w:t>
      </w:r>
      <w:proofErr w:type="spellStart"/>
      <w:r w:rsidRPr="00580C0D">
        <w:t>dei</w:t>
      </w:r>
      <w:proofErr w:type="spellEnd"/>
      <w:r w:rsidRPr="00580C0D">
        <w:t xml:space="preserve"> departementa det gjeld.</w:t>
      </w:r>
    </w:p>
    <w:p w14:paraId="4A06B901" w14:textId="77777777" w:rsidR="00F7113A" w:rsidRPr="00580C0D" w:rsidRDefault="00142E5B" w:rsidP="00580C0D">
      <w:r w:rsidRPr="00580C0D">
        <w:t xml:space="preserve">Når det </w:t>
      </w:r>
      <w:proofErr w:type="spellStart"/>
      <w:r w:rsidRPr="00580C0D">
        <w:t>no</w:t>
      </w:r>
      <w:proofErr w:type="spellEnd"/>
      <w:r w:rsidRPr="00580C0D">
        <w:t xml:space="preserve"> er gjort </w:t>
      </w:r>
      <w:proofErr w:type="spellStart"/>
      <w:r w:rsidRPr="00580C0D">
        <w:t>endringar</w:t>
      </w:r>
      <w:proofErr w:type="spellEnd"/>
      <w:r w:rsidRPr="00580C0D">
        <w:t xml:space="preserve"> i </w:t>
      </w:r>
      <w:proofErr w:type="spellStart"/>
      <w:r w:rsidRPr="00580C0D">
        <w:t>reglane</w:t>
      </w:r>
      <w:proofErr w:type="spellEnd"/>
      <w:r w:rsidRPr="00580C0D">
        <w:t xml:space="preserve"> om politiattest på </w:t>
      </w:r>
      <w:proofErr w:type="spellStart"/>
      <w:r w:rsidRPr="00580C0D">
        <w:t>skuleområdet</w:t>
      </w:r>
      <w:proofErr w:type="spellEnd"/>
      <w:r w:rsidRPr="00580C0D">
        <w:t xml:space="preserve">, vil departementet vurdere å </w:t>
      </w:r>
      <w:proofErr w:type="spellStart"/>
      <w:r w:rsidRPr="00580C0D">
        <w:t>gjere</w:t>
      </w:r>
      <w:proofErr w:type="spellEnd"/>
      <w:r w:rsidRPr="00580C0D">
        <w:t xml:space="preserve"> </w:t>
      </w:r>
      <w:proofErr w:type="spellStart"/>
      <w:r w:rsidRPr="00580C0D">
        <w:t>tilsvarande</w:t>
      </w:r>
      <w:proofErr w:type="spellEnd"/>
      <w:r w:rsidRPr="00580C0D">
        <w:t xml:space="preserve"> </w:t>
      </w:r>
      <w:proofErr w:type="spellStart"/>
      <w:r w:rsidRPr="00580C0D">
        <w:t>endringar</w:t>
      </w:r>
      <w:proofErr w:type="spellEnd"/>
      <w:r w:rsidRPr="00580C0D">
        <w:t xml:space="preserve"> i </w:t>
      </w:r>
      <w:proofErr w:type="spellStart"/>
      <w:r w:rsidRPr="00580C0D">
        <w:t>reglane</w:t>
      </w:r>
      <w:proofErr w:type="spellEnd"/>
      <w:r w:rsidRPr="00580C0D">
        <w:t xml:space="preserve"> om politiattest på barnehageområdet.</w:t>
      </w:r>
    </w:p>
    <w:p w14:paraId="7EF43294"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w:t>
      </w:r>
      <w:proofErr w:type="spellStart"/>
      <w:r w:rsidRPr="00580C0D">
        <w:t>ein</w:t>
      </w:r>
      <w:proofErr w:type="spellEnd"/>
      <w:r w:rsidRPr="00580C0D">
        <w:t xml:space="preserve"> eigna måte.</w:t>
      </w:r>
    </w:p>
    <w:p w14:paraId="79454216" w14:textId="77777777" w:rsidR="00F7113A" w:rsidRPr="00580C0D" w:rsidRDefault="00142E5B" w:rsidP="00580C0D">
      <w:pPr>
        <w:pStyle w:val="avsnitt-tittel"/>
      </w:pPr>
      <w:r w:rsidRPr="00580C0D">
        <w:t xml:space="preserve">Greie ut Østfold-modellen for </w:t>
      </w:r>
      <w:proofErr w:type="spellStart"/>
      <w:r w:rsidRPr="00580C0D">
        <w:t>lærekandidatar</w:t>
      </w:r>
      <w:proofErr w:type="spellEnd"/>
      <w:r w:rsidRPr="00580C0D">
        <w:t xml:space="preserve"> med tilretteleggingsbehov</w:t>
      </w:r>
    </w:p>
    <w:p w14:paraId="71053C9A" w14:textId="77777777" w:rsidR="00F7113A" w:rsidRPr="00580C0D" w:rsidRDefault="00142E5B" w:rsidP="00580C0D">
      <w:pPr>
        <w:pStyle w:val="avsnitt-undertittel"/>
      </w:pPr>
      <w:r w:rsidRPr="00580C0D">
        <w:t>Vedtak nr. 182, 3. desember 2020</w:t>
      </w:r>
    </w:p>
    <w:p w14:paraId="70F2CE76" w14:textId="77777777" w:rsidR="00F7113A" w:rsidRPr="00580C0D" w:rsidRDefault="00142E5B" w:rsidP="00580C0D">
      <w:pPr>
        <w:pStyle w:val="blokksit"/>
        <w:rPr>
          <w:rStyle w:val="kursiv"/>
        </w:rPr>
      </w:pPr>
      <w:r w:rsidRPr="00580C0D">
        <w:rPr>
          <w:rStyle w:val="kursiv"/>
        </w:rPr>
        <w:t>Stortinget ber regjeringen utrede Østfold-modellen for lærekandidater med tilretteleggingsbehov, som er utarbeidet av ASVL (Arbeidssamvirkenes landsforening), og vurdere om dette kan gjøres til en nasjonal ordning, slik det anbefales i NIFU-rapport 18: 2018.</w:t>
      </w:r>
    </w:p>
    <w:p w14:paraId="2DE78213"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1 S Tillegg 1 (2020–2021) </w:t>
      </w:r>
      <w:r w:rsidRPr="00580C0D">
        <w:rPr>
          <w:rStyle w:val="kursiv"/>
        </w:rPr>
        <w:t xml:space="preserve">Endring av </w:t>
      </w:r>
      <w:proofErr w:type="spellStart"/>
      <w:r w:rsidRPr="00580C0D">
        <w:rPr>
          <w:rStyle w:val="kursiv"/>
        </w:rPr>
        <w:t>Prop</w:t>
      </w:r>
      <w:proofErr w:type="spellEnd"/>
      <w:r w:rsidRPr="00580C0D">
        <w:rPr>
          <w:rStyle w:val="kursiv"/>
        </w:rPr>
        <w:t>. 1 S (2020–2021) Statsbudsjettet 2021 (saldering)</w:t>
      </w:r>
      <w:r w:rsidRPr="00580C0D">
        <w:t xml:space="preserve">, jf. </w:t>
      </w:r>
      <w:proofErr w:type="spellStart"/>
      <w:r w:rsidRPr="00580C0D">
        <w:t>Innst</w:t>
      </w:r>
      <w:proofErr w:type="spellEnd"/>
      <w:r w:rsidRPr="00580C0D">
        <w:t>. 2 S (2020–2021).</w:t>
      </w:r>
    </w:p>
    <w:p w14:paraId="2575DA76" w14:textId="77777777" w:rsidR="00F7113A" w:rsidRPr="00580C0D" w:rsidRDefault="00142E5B" w:rsidP="00580C0D">
      <w:r w:rsidRPr="00580C0D">
        <w:t xml:space="preserve">I statsbudsjettet for 2024 foreslår regjeringa 485 mill. kroner for å styrke arbeidet for </w:t>
      </w:r>
      <w:proofErr w:type="spellStart"/>
      <w:r w:rsidRPr="00580C0D">
        <w:t>fleire</w:t>
      </w:r>
      <w:proofErr w:type="spellEnd"/>
      <w:r w:rsidRPr="00580C0D">
        <w:t xml:space="preserve"> </w:t>
      </w:r>
      <w:proofErr w:type="spellStart"/>
      <w:r w:rsidRPr="00580C0D">
        <w:t>læreplassar</w:t>
      </w:r>
      <w:proofErr w:type="spellEnd"/>
      <w:r w:rsidRPr="00580C0D">
        <w:t xml:space="preserve"> og bidra til kvalifisering og formidling til </w:t>
      </w:r>
      <w:proofErr w:type="spellStart"/>
      <w:r w:rsidRPr="00580C0D">
        <w:t>læreplassar</w:t>
      </w:r>
      <w:proofErr w:type="spellEnd"/>
      <w:r w:rsidRPr="00580C0D">
        <w:t xml:space="preserve"> i fag- og yrkesopplæringa. </w:t>
      </w:r>
      <w:proofErr w:type="spellStart"/>
      <w:r w:rsidRPr="00580C0D">
        <w:t>Fylkeskommunane</w:t>
      </w:r>
      <w:proofErr w:type="spellEnd"/>
      <w:r w:rsidRPr="00580C0D">
        <w:t xml:space="preserve"> har ansvaret for </w:t>
      </w:r>
      <w:proofErr w:type="spellStart"/>
      <w:r w:rsidRPr="00580C0D">
        <w:t>vidaregåande</w:t>
      </w:r>
      <w:proofErr w:type="spellEnd"/>
      <w:r w:rsidRPr="00580C0D">
        <w:t xml:space="preserve"> opplæring og er best eigna til å vurdere kva for tiltak som er </w:t>
      </w:r>
      <w:proofErr w:type="spellStart"/>
      <w:r w:rsidRPr="00580C0D">
        <w:t>dei</w:t>
      </w:r>
      <w:proofErr w:type="spellEnd"/>
      <w:r w:rsidRPr="00580C0D">
        <w:t xml:space="preserve"> beste for å oppfylle behova i </w:t>
      </w:r>
      <w:proofErr w:type="spellStart"/>
      <w:r w:rsidRPr="00580C0D">
        <w:t>dei</w:t>
      </w:r>
      <w:proofErr w:type="spellEnd"/>
      <w:r w:rsidRPr="00580C0D">
        <w:t xml:space="preserve"> ulike fylka. Østfold-modellen kan </w:t>
      </w:r>
      <w:proofErr w:type="spellStart"/>
      <w:r w:rsidRPr="00580C0D">
        <w:t>vere</w:t>
      </w:r>
      <w:proofErr w:type="spellEnd"/>
      <w:r w:rsidRPr="00580C0D">
        <w:t xml:space="preserve"> </w:t>
      </w:r>
      <w:proofErr w:type="spellStart"/>
      <w:r w:rsidRPr="00580C0D">
        <w:t>ein</w:t>
      </w:r>
      <w:proofErr w:type="spellEnd"/>
      <w:r w:rsidRPr="00580C0D">
        <w:t xml:space="preserve"> god modell for </w:t>
      </w:r>
      <w:proofErr w:type="spellStart"/>
      <w:r w:rsidRPr="00580C0D">
        <w:t>lærekandidatar</w:t>
      </w:r>
      <w:proofErr w:type="spellEnd"/>
      <w:r w:rsidRPr="00580C0D">
        <w:t xml:space="preserve"> med behov for tilrettelegging. </w:t>
      </w:r>
      <w:proofErr w:type="spellStart"/>
      <w:r w:rsidRPr="00580C0D">
        <w:t>Tilskotsmidlane</w:t>
      </w:r>
      <w:proofErr w:type="spellEnd"/>
      <w:r w:rsidRPr="00580C0D">
        <w:t xml:space="preserve"> til betre læreplassformidling og kvalifisering </w:t>
      </w:r>
      <w:proofErr w:type="spellStart"/>
      <w:r w:rsidRPr="00580C0D">
        <w:t>legg</w:t>
      </w:r>
      <w:proofErr w:type="spellEnd"/>
      <w:r w:rsidRPr="00580C0D">
        <w:t xml:space="preserve"> til rette for at </w:t>
      </w:r>
      <w:proofErr w:type="spellStart"/>
      <w:r w:rsidRPr="00580C0D">
        <w:t>fleire</w:t>
      </w:r>
      <w:proofErr w:type="spellEnd"/>
      <w:r w:rsidRPr="00580C0D">
        <w:t xml:space="preserve"> </w:t>
      </w:r>
      <w:proofErr w:type="spellStart"/>
      <w:r w:rsidRPr="00580C0D">
        <w:t>fylkeskommunar</w:t>
      </w:r>
      <w:proofErr w:type="spellEnd"/>
      <w:r w:rsidRPr="00580C0D">
        <w:t xml:space="preserve"> kan ta i bruk slike </w:t>
      </w:r>
      <w:proofErr w:type="spellStart"/>
      <w:r w:rsidRPr="00580C0D">
        <w:t>modellar</w:t>
      </w:r>
      <w:proofErr w:type="spellEnd"/>
      <w:r w:rsidRPr="00580C0D">
        <w:t>.</w:t>
      </w:r>
    </w:p>
    <w:p w14:paraId="354AA640" w14:textId="77777777" w:rsidR="00F7113A" w:rsidRPr="00580C0D" w:rsidRDefault="00142E5B" w:rsidP="00580C0D">
      <w:r w:rsidRPr="00580C0D">
        <w:t xml:space="preserve">Regjeringa følger opp Meld. St. 21 (2020–2021) </w:t>
      </w:r>
      <w:r w:rsidRPr="00580C0D">
        <w:rPr>
          <w:rStyle w:val="kursiv"/>
        </w:rPr>
        <w:t>Fullføringsreformen – med åpne dører til verden og fremtiden.</w:t>
      </w:r>
      <w:r w:rsidRPr="00580C0D">
        <w:t xml:space="preserve"> </w:t>
      </w:r>
      <w:proofErr w:type="spellStart"/>
      <w:r w:rsidRPr="00580C0D">
        <w:t>Ein</w:t>
      </w:r>
      <w:proofErr w:type="spellEnd"/>
      <w:r w:rsidRPr="00580C0D">
        <w:t xml:space="preserve"> viktig del av reforma er at </w:t>
      </w:r>
      <w:proofErr w:type="spellStart"/>
      <w:r w:rsidRPr="00580C0D">
        <w:t>vidaregåande</w:t>
      </w:r>
      <w:proofErr w:type="spellEnd"/>
      <w:r w:rsidRPr="00580C0D">
        <w:t xml:space="preserve"> opplæring skal bli betre tilpassa </w:t>
      </w:r>
      <w:proofErr w:type="spellStart"/>
      <w:r w:rsidRPr="00580C0D">
        <w:t>mangfaldet</w:t>
      </w:r>
      <w:proofErr w:type="spellEnd"/>
      <w:r w:rsidRPr="00580C0D">
        <w:t xml:space="preserve"> i elevgruppa. Det kan også gi behov for å utvikle lærekandidatordninga. Ordninga er godt etablert og blir nytta i alle </w:t>
      </w:r>
      <w:proofErr w:type="spellStart"/>
      <w:r w:rsidRPr="00580C0D">
        <w:t>fylkeskommunane</w:t>
      </w:r>
      <w:proofErr w:type="spellEnd"/>
      <w:r w:rsidRPr="00580C0D">
        <w:t>.</w:t>
      </w:r>
    </w:p>
    <w:p w14:paraId="0BD8C6BC"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w:t>
      </w:r>
      <w:proofErr w:type="spellStart"/>
      <w:r w:rsidRPr="00580C0D">
        <w:t>ein</w:t>
      </w:r>
      <w:proofErr w:type="spellEnd"/>
      <w:r w:rsidRPr="00580C0D">
        <w:t xml:space="preserve"> eigna måte.</w:t>
      </w:r>
    </w:p>
    <w:p w14:paraId="164CD9D7" w14:textId="77777777" w:rsidR="00F7113A" w:rsidRPr="00580C0D" w:rsidRDefault="00142E5B" w:rsidP="00580C0D">
      <w:pPr>
        <w:pStyle w:val="avsnitt-tittel"/>
      </w:pPr>
      <w:r w:rsidRPr="00580C0D">
        <w:t xml:space="preserve">Styrke rådgivings- og </w:t>
      </w:r>
      <w:proofErr w:type="spellStart"/>
      <w:r w:rsidRPr="00580C0D">
        <w:t>rettleiingstenesta</w:t>
      </w:r>
      <w:proofErr w:type="spellEnd"/>
      <w:r w:rsidRPr="00580C0D">
        <w:t xml:space="preserve"> i </w:t>
      </w:r>
      <w:proofErr w:type="spellStart"/>
      <w:r w:rsidRPr="00580C0D">
        <w:t>skulen</w:t>
      </w:r>
      <w:proofErr w:type="spellEnd"/>
    </w:p>
    <w:p w14:paraId="1D4DC1C8" w14:textId="77777777" w:rsidR="00F7113A" w:rsidRPr="00580C0D" w:rsidRDefault="00142E5B" w:rsidP="00580C0D">
      <w:pPr>
        <w:pStyle w:val="avsnitt-undertittel"/>
      </w:pPr>
      <w:r w:rsidRPr="00580C0D">
        <w:t>Vedtak nr. 942, 20. mai 2021</w:t>
      </w:r>
    </w:p>
    <w:p w14:paraId="4B0FE3BB" w14:textId="77777777" w:rsidR="00F7113A" w:rsidRPr="00580C0D" w:rsidRDefault="00142E5B" w:rsidP="00580C0D">
      <w:pPr>
        <w:pStyle w:val="blokksit"/>
        <w:rPr>
          <w:rStyle w:val="kursiv"/>
        </w:rPr>
      </w:pPr>
      <w:r w:rsidRPr="00580C0D">
        <w:rPr>
          <w:rStyle w:val="kursiv"/>
        </w:rPr>
        <w:t>Stortinget ber regjeringen styrke rådgivnings- og veiledningstjenesten i skolen gjennom å legge til rette for en tverrfaglig rådgivertjeneste og samarbeid mellom skoleeier, ungdomsskole, rådgivertjenesten, den videregående skolen og arbeidslivet, og gjøre det enklere for yrkesgrupper med erfaring fra annet arbeidsliv å bli ansatt i skolen som rådgivere.</w:t>
      </w:r>
    </w:p>
    <w:p w14:paraId="3BA0611D"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8:282 S (2020–2021) </w:t>
      </w:r>
      <w:r w:rsidRPr="00580C0D">
        <w:rPr>
          <w:rStyle w:val="kursiv"/>
        </w:rPr>
        <w:t xml:space="preserve">Representantforslag fra Hanne Dyveke </w:t>
      </w:r>
      <w:proofErr w:type="spellStart"/>
      <w:r w:rsidRPr="00580C0D">
        <w:rPr>
          <w:rStyle w:val="kursiv"/>
        </w:rPr>
        <w:t>Søttar</w:t>
      </w:r>
      <w:proofErr w:type="spellEnd"/>
      <w:r w:rsidRPr="00580C0D">
        <w:rPr>
          <w:rStyle w:val="kursiv"/>
        </w:rPr>
        <w:t xml:space="preserve">, Hans Andreas </w:t>
      </w:r>
      <w:proofErr w:type="spellStart"/>
      <w:r w:rsidRPr="00580C0D">
        <w:rPr>
          <w:rStyle w:val="kursiv"/>
        </w:rPr>
        <w:t>Limi</w:t>
      </w:r>
      <w:proofErr w:type="spellEnd"/>
      <w:r w:rsidRPr="00580C0D">
        <w:rPr>
          <w:rStyle w:val="kursiv"/>
        </w:rPr>
        <w:t>, Roy Steffensen, Silje Hjemdal, Terje Halleland om et yrkesfagløft for verdiskaping</w:t>
      </w:r>
      <w:r w:rsidRPr="00580C0D">
        <w:t xml:space="preserve">, jf. </w:t>
      </w:r>
      <w:proofErr w:type="spellStart"/>
      <w:r w:rsidRPr="00580C0D">
        <w:t>Innst</w:t>
      </w:r>
      <w:proofErr w:type="spellEnd"/>
      <w:r w:rsidRPr="00580C0D">
        <w:t>. 414 S (2020–2021).</w:t>
      </w:r>
    </w:p>
    <w:p w14:paraId="12BA69C2" w14:textId="77777777" w:rsidR="00F7113A" w:rsidRPr="00580C0D" w:rsidRDefault="00142E5B" w:rsidP="00580C0D">
      <w:r w:rsidRPr="00580C0D">
        <w:t xml:space="preserve">Departementet vil følge opp vedtaket i samband med oppfølginga av tiltaka i Meld. St. 21 (2020–2021) </w:t>
      </w:r>
      <w:r w:rsidRPr="00580C0D">
        <w:rPr>
          <w:rStyle w:val="kursiv"/>
        </w:rPr>
        <w:t>Fullføringsreformen – med åpne dører til verden og fremtiden.</w:t>
      </w:r>
    </w:p>
    <w:p w14:paraId="1477F140"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w:t>
      </w:r>
      <w:proofErr w:type="spellStart"/>
      <w:r w:rsidRPr="00580C0D">
        <w:t>ein</w:t>
      </w:r>
      <w:proofErr w:type="spellEnd"/>
      <w:r w:rsidRPr="00580C0D">
        <w:t xml:space="preserve"> eigna måte.</w:t>
      </w:r>
    </w:p>
    <w:p w14:paraId="586ED973" w14:textId="77777777" w:rsidR="00F7113A" w:rsidRPr="00580C0D" w:rsidRDefault="00142E5B" w:rsidP="00580C0D">
      <w:pPr>
        <w:pStyle w:val="avsnitt-tittel"/>
      </w:pPr>
      <w:r w:rsidRPr="00580C0D">
        <w:t>Krav til minstestandard på teknisk utstyr på yrkesfag</w:t>
      </w:r>
    </w:p>
    <w:p w14:paraId="2F98E945" w14:textId="77777777" w:rsidR="00F7113A" w:rsidRPr="00580C0D" w:rsidRDefault="00142E5B" w:rsidP="00580C0D">
      <w:pPr>
        <w:pStyle w:val="avsnitt-undertittel"/>
      </w:pPr>
      <w:r w:rsidRPr="00580C0D">
        <w:t>Vedtak nr. 943, 20. mai 2021</w:t>
      </w:r>
    </w:p>
    <w:p w14:paraId="1839C367" w14:textId="77777777" w:rsidR="00F7113A" w:rsidRPr="00580C0D" w:rsidRDefault="00142E5B" w:rsidP="00580C0D">
      <w:pPr>
        <w:pStyle w:val="blokksit"/>
        <w:rPr>
          <w:rStyle w:val="kursiv"/>
        </w:rPr>
      </w:pPr>
      <w:r w:rsidRPr="00580C0D">
        <w:rPr>
          <w:rStyle w:val="kursiv"/>
        </w:rPr>
        <w:t>Stortinget ber regjeringen legge til rette for at det innføres krav til minstestandard på teknisk utstyr på yrkesfag. Minstestandarden skal utvikles i samarbeid mellom skoler og næringsliv.</w:t>
      </w:r>
    </w:p>
    <w:p w14:paraId="7B09F6E5"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8:282 S (2020–2021) </w:t>
      </w:r>
      <w:r w:rsidRPr="00580C0D">
        <w:rPr>
          <w:rStyle w:val="kursiv"/>
        </w:rPr>
        <w:t xml:space="preserve">Representantforslag fra Hanne Dyveke </w:t>
      </w:r>
      <w:proofErr w:type="spellStart"/>
      <w:r w:rsidRPr="00580C0D">
        <w:rPr>
          <w:rStyle w:val="kursiv"/>
        </w:rPr>
        <w:t>Søttar</w:t>
      </w:r>
      <w:proofErr w:type="spellEnd"/>
      <w:r w:rsidRPr="00580C0D">
        <w:rPr>
          <w:rStyle w:val="kursiv"/>
        </w:rPr>
        <w:t xml:space="preserve">, Hans Andreas </w:t>
      </w:r>
      <w:proofErr w:type="spellStart"/>
      <w:r w:rsidRPr="00580C0D">
        <w:rPr>
          <w:rStyle w:val="kursiv"/>
        </w:rPr>
        <w:t>Limi</w:t>
      </w:r>
      <w:proofErr w:type="spellEnd"/>
      <w:r w:rsidRPr="00580C0D">
        <w:rPr>
          <w:rStyle w:val="kursiv"/>
        </w:rPr>
        <w:t>, Roy Steffensen, Silje Hjemdal, Terje Halleland om et yrkesfagløft for verdiskaping</w:t>
      </w:r>
      <w:r w:rsidRPr="00580C0D">
        <w:t xml:space="preserve">, jf. </w:t>
      </w:r>
      <w:proofErr w:type="spellStart"/>
      <w:r w:rsidRPr="00580C0D">
        <w:t>Innst</w:t>
      </w:r>
      <w:proofErr w:type="spellEnd"/>
      <w:r w:rsidRPr="00580C0D">
        <w:t>. 414 S (2020–2021).</w:t>
      </w:r>
    </w:p>
    <w:p w14:paraId="48519D09" w14:textId="77777777" w:rsidR="00F7113A" w:rsidRPr="00580C0D" w:rsidRDefault="00142E5B" w:rsidP="00580C0D">
      <w:proofErr w:type="spellStart"/>
      <w:r w:rsidRPr="00580C0D">
        <w:t>Fylkeskommunane</w:t>
      </w:r>
      <w:proofErr w:type="spellEnd"/>
      <w:r w:rsidRPr="00580C0D">
        <w:t xml:space="preserve"> har ansvaret for at </w:t>
      </w:r>
      <w:proofErr w:type="spellStart"/>
      <w:r w:rsidRPr="00580C0D">
        <w:t>dei</w:t>
      </w:r>
      <w:proofErr w:type="spellEnd"/>
      <w:r w:rsidRPr="00580C0D">
        <w:t xml:space="preserve"> </w:t>
      </w:r>
      <w:proofErr w:type="spellStart"/>
      <w:r w:rsidRPr="00580C0D">
        <w:t>vidaregåande</w:t>
      </w:r>
      <w:proofErr w:type="spellEnd"/>
      <w:r w:rsidRPr="00580C0D">
        <w:t xml:space="preserve"> </w:t>
      </w:r>
      <w:proofErr w:type="spellStart"/>
      <w:r w:rsidRPr="00580C0D">
        <w:t>skulane</w:t>
      </w:r>
      <w:proofErr w:type="spellEnd"/>
      <w:r w:rsidRPr="00580C0D">
        <w:t xml:space="preserve"> har tilgang til relevant utstyr, slik at undervisninga er i tråd med kompetansemåla i læreplanen. </w:t>
      </w:r>
      <w:proofErr w:type="spellStart"/>
      <w:r w:rsidRPr="00580C0D">
        <w:t>Skulane</w:t>
      </w:r>
      <w:proofErr w:type="spellEnd"/>
      <w:r w:rsidRPr="00580C0D">
        <w:t xml:space="preserve"> og </w:t>
      </w:r>
      <w:proofErr w:type="spellStart"/>
      <w:r w:rsidRPr="00580C0D">
        <w:t>lærarane</w:t>
      </w:r>
      <w:proofErr w:type="spellEnd"/>
      <w:r w:rsidRPr="00580C0D">
        <w:t xml:space="preserve"> har stor grad av fridom i val av metode, og </w:t>
      </w:r>
      <w:proofErr w:type="spellStart"/>
      <w:r w:rsidRPr="00580C0D">
        <w:t>dei</w:t>
      </w:r>
      <w:proofErr w:type="spellEnd"/>
      <w:r w:rsidRPr="00580C0D">
        <w:t xml:space="preserve"> har lokalt handlingsrom </w:t>
      </w:r>
      <w:proofErr w:type="spellStart"/>
      <w:r w:rsidRPr="00580C0D">
        <w:t>innanfor</w:t>
      </w:r>
      <w:proofErr w:type="spellEnd"/>
      <w:r w:rsidRPr="00580C0D">
        <w:t xml:space="preserve"> læreplanen når det gjeld korleis opplæringa blir organisert. Regjeringa vil gjennom </w:t>
      </w:r>
      <w:proofErr w:type="spellStart"/>
      <w:r w:rsidRPr="00580C0D">
        <w:t>tillitsreforma</w:t>
      </w:r>
      <w:proofErr w:type="spellEnd"/>
      <w:r w:rsidRPr="00580C0D">
        <w:t xml:space="preserve"> styrke det lokale handlingsrommet og unngå unødvendige </w:t>
      </w:r>
      <w:proofErr w:type="spellStart"/>
      <w:r w:rsidRPr="00580C0D">
        <w:t>statlege</w:t>
      </w:r>
      <w:proofErr w:type="spellEnd"/>
      <w:r w:rsidRPr="00580C0D">
        <w:t xml:space="preserve"> krav og styring. </w:t>
      </w:r>
      <w:proofErr w:type="spellStart"/>
      <w:r w:rsidRPr="00580C0D">
        <w:t>Fylkeskommunar</w:t>
      </w:r>
      <w:proofErr w:type="spellEnd"/>
      <w:r w:rsidRPr="00580C0D">
        <w:t xml:space="preserve"> og </w:t>
      </w:r>
      <w:proofErr w:type="spellStart"/>
      <w:r w:rsidRPr="00580C0D">
        <w:t>skular</w:t>
      </w:r>
      <w:proofErr w:type="spellEnd"/>
      <w:r w:rsidRPr="00580C0D">
        <w:t xml:space="preserve"> kan, i tråd med det lokale handlingsrommet, utvikle lokale </w:t>
      </w:r>
      <w:proofErr w:type="spellStart"/>
      <w:r w:rsidRPr="00580C0D">
        <w:t>minstestandardar</w:t>
      </w:r>
      <w:proofErr w:type="spellEnd"/>
      <w:r w:rsidRPr="00580C0D">
        <w:t xml:space="preserve"> ved behov for å sikre </w:t>
      </w:r>
      <w:proofErr w:type="spellStart"/>
      <w:r w:rsidRPr="00580C0D">
        <w:t>tilstrekkeleg</w:t>
      </w:r>
      <w:proofErr w:type="spellEnd"/>
      <w:r w:rsidRPr="00580C0D">
        <w:t xml:space="preserve"> utstyr i samarbeid med lokalt næringsliv.</w:t>
      </w:r>
    </w:p>
    <w:p w14:paraId="7E024732" w14:textId="77777777" w:rsidR="00F7113A" w:rsidRPr="00580C0D" w:rsidRDefault="00142E5B" w:rsidP="00580C0D">
      <w:proofErr w:type="spellStart"/>
      <w:r w:rsidRPr="00580C0D">
        <w:t>Minstestandardar</w:t>
      </w:r>
      <w:proofErr w:type="spellEnd"/>
      <w:r w:rsidRPr="00580C0D">
        <w:t xml:space="preserve"> kan bli oppfatta som </w:t>
      </w:r>
      <w:proofErr w:type="spellStart"/>
      <w:r w:rsidRPr="00580C0D">
        <w:t>ein</w:t>
      </w:r>
      <w:proofErr w:type="spellEnd"/>
      <w:r w:rsidRPr="00580C0D">
        <w:t xml:space="preserve"> standard, slik at </w:t>
      </w:r>
      <w:proofErr w:type="spellStart"/>
      <w:r w:rsidRPr="00580C0D">
        <w:t>skular</w:t>
      </w:r>
      <w:proofErr w:type="spellEnd"/>
      <w:r w:rsidRPr="00580C0D">
        <w:t xml:space="preserve"> som </w:t>
      </w:r>
      <w:proofErr w:type="spellStart"/>
      <w:r w:rsidRPr="00580C0D">
        <w:t>elles</w:t>
      </w:r>
      <w:proofErr w:type="spellEnd"/>
      <w:r w:rsidRPr="00580C0D">
        <w:t xml:space="preserve"> ville hatt betre utstyr, </w:t>
      </w:r>
      <w:proofErr w:type="spellStart"/>
      <w:r w:rsidRPr="00580C0D">
        <w:t>legg</w:t>
      </w:r>
      <w:proofErr w:type="spellEnd"/>
      <w:r w:rsidRPr="00580C0D">
        <w:t xml:space="preserve"> seg på minstestandarden. Det er </w:t>
      </w:r>
      <w:proofErr w:type="spellStart"/>
      <w:r w:rsidRPr="00580C0D">
        <w:t>utfordrande</w:t>
      </w:r>
      <w:proofErr w:type="spellEnd"/>
      <w:r w:rsidRPr="00580C0D">
        <w:t xml:space="preserve"> å lage nasjonale </w:t>
      </w:r>
      <w:proofErr w:type="spellStart"/>
      <w:r w:rsidRPr="00580C0D">
        <w:t>minstestandardar</w:t>
      </w:r>
      <w:proofErr w:type="spellEnd"/>
      <w:r w:rsidRPr="00580C0D">
        <w:t xml:space="preserve"> som </w:t>
      </w:r>
      <w:proofErr w:type="spellStart"/>
      <w:r w:rsidRPr="00580C0D">
        <w:t>varetek</w:t>
      </w:r>
      <w:proofErr w:type="spellEnd"/>
      <w:r w:rsidRPr="00580C0D">
        <w:t xml:space="preserve"> at det er stor variasjon mellom </w:t>
      </w:r>
      <w:proofErr w:type="spellStart"/>
      <w:r w:rsidRPr="00580C0D">
        <w:t>fylkeskommunane</w:t>
      </w:r>
      <w:proofErr w:type="spellEnd"/>
      <w:r w:rsidRPr="00580C0D">
        <w:t xml:space="preserve"> i kva utdanningsprogram og programområde som er </w:t>
      </w:r>
      <w:proofErr w:type="spellStart"/>
      <w:r w:rsidRPr="00580C0D">
        <w:t>tilbodne</w:t>
      </w:r>
      <w:proofErr w:type="spellEnd"/>
      <w:r w:rsidRPr="00580C0D">
        <w:t xml:space="preserve">. Til dømes kan behova for utstyr i same utdanningsprogram variere mellom ulike </w:t>
      </w:r>
      <w:proofErr w:type="spellStart"/>
      <w:r w:rsidRPr="00580C0D">
        <w:t>delar</w:t>
      </w:r>
      <w:proofErr w:type="spellEnd"/>
      <w:r w:rsidRPr="00580C0D">
        <w:t xml:space="preserve"> av landet, basert på det lokale næringslivet. Det vil òg </w:t>
      </w:r>
      <w:proofErr w:type="spellStart"/>
      <w:r w:rsidRPr="00580C0D">
        <w:t>vere</w:t>
      </w:r>
      <w:proofErr w:type="spellEnd"/>
      <w:r w:rsidRPr="00580C0D">
        <w:t xml:space="preserve"> </w:t>
      </w:r>
      <w:proofErr w:type="spellStart"/>
      <w:r w:rsidRPr="00580C0D">
        <w:t>krevjande</w:t>
      </w:r>
      <w:proofErr w:type="spellEnd"/>
      <w:r w:rsidRPr="00580C0D">
        <w:t xml:space="preserve"> å forvalte og </w:t>
      </w:r>
      <w:proofErr w:type="spellStart"/>
      <w:r w:rsidRPr="00580C0D">
        <w:t>halde</w:t>
      </w:r>
      <w:proofErr w:type="spellEnd"/>
      <w:r w:rsidRPr="00580C0D">
        <w:t xml:space="preserve"> ved like </w:t>
      </w:r>
      <w:proofErr w:type="spellStart"/>
      <w:r w:rsidRPr="00580C0D">
        <w:t>ein</w:t>
      </w:r>
      <w:proofErr w:type="spellEnd"/>
      <w:r w:rsidRPr="00580C0D">
        <w:t xml:space="preserve"> minstestandard som er oppdatert og relevant. Ulike </w:t>
      </w:r>
      <w:proofErr w:type="spellStart"/>
      <w:r w:rsidRPr="00580C0D">
        <w:t>tilnærmingar</w:t>
      </w:r>
      <w:proofErr w:type="spellEnd"/>
      <w:r w:rsidRPr="00580C0D">
        <w:t xml:space="preserve"> til korleis utstyret blir gjort </w:t>
      </w:r>
      <w:proofErr w:type="spellStart"/>
      <w:r w:rsidRPr="00580C0D">
        <w:t>tilgjengeleg</w:t>
      </w:r>
      <w:proofErr w:type="spellEnd"/>
      <w:r w:rsidRPr="00580C0D">
        <w:t xml:space="preserve"> for </w:t>
      </w:r>
      <w:proofErr w:type="spellStart"/>
      <w:r w:rsidRPr="00580C0D">
        <w:t>elevane</w:t>
      </w:r>
      <w:proofErr w:type="spellEnd"/>
      <w:r w:rsidRPr="00580C0D">
        <w:t xml:space="preserve">, til dømes gjennom ulik grad av utstyrssamarbeid eller </w:t>
      </w:r>
      <w:proofErr w:type="spellStart"/>
      <w:r w:rsidRPr="00580C0D">
        <w:t>varierande</w:t>
      </w:r>
      <w:proofErr w:type="spellEnd"/>
      <w:r w:rsidRPr="00580C0D">
        <w:t xml:space="preserve"> samarbeid med næringslivet, er òg </w:t>
      </w:r>
      <w:proofErr w:type="spellStart"/>
      <w:r w:rsidRPr="00580C0D">
        <w:t>ein</w:t>
      </w:r>
      <w:proofErr w:type="spellEnd"/>
      <w:r w:rsidRPr="00580C0D">
        <w:t xml:space="preserve"> faktor som kan </w:t>
      </w:r>
      <w:proofErr w:type="spellStart"/>
      <w:r w:rsidRPr="00580C0D">
        <w:t>gjere</w:t>
      </w:r>
      <w:proofErr w:type="spellEnd"/>
      <w:r w:rsidRPr="00580C0D">
        <w:t xml:space="preserve"> det </w:t>
      </w:r>
      <w:proofErr w:type="spellStart"/>
      <w:r w:rsidRPr="00580C0D">
        <w:t>vanskeleg</w:t>
      </w:r>
      <w:proofErr w:type="spellEnd"/>
      <w:r w:rsidRPr="00580C0D">
        <w:t xml:space="preserve"> å lage </w:t>
      </w:r>
      <w:proofErr w:type="spellStart"/>
      <w:r w:rsidRPr="00580C0D">
        <w:t>ein</w:t>
      </w:r>
      <w:proofErr w:type="spellEnd"/>
      <w:r w:rsidRPr="00580C0D">
        <w:t xml:space="preserve"> nasjonal minstestandard.</w:t>
      </w:r>
    </w:p>
    <w:p w14:paraId="38723CB4" w14:textId="77777777" w:rsidR="00F7113A" w:rsidRPr="00580C0D" w:rsidRDefault="00142E5B" w:rsidP="00580C0D">
      <w:r w:rsidRPr="00580C0D">
        <w:t xml:space="preserve">Regjeringa har gjennomført </w:t>
      </w:r>
      <w:proofErr w:type="spellStart"/>
      <w:r w:rsidRPr="00580C0D">
        <w:t>eit</w:t>
      </w:r>
      <w:proofErr w:type="spellEnd"/>
      <w:r w:rsidRPr="00580C0D">
        <w:t xml:space="preserve"> forsøk med ulike </w:t>
      </w:r>
      <w:proofErr w:type="spellStart"/>
      <w:r w:rsidRPr="00580C0D">
        <w:t>modellar</w:t>
      </w:r>
      <w:proofErr w:type="spellEnd"/>
      <w:r w:rsidRPr="00580C0D">
        <w:t xml:space="preserve"> for </w:t>
      </w:r>
      <w:proofErr w:type="spellStart"/>
      <w:r w:rsidRPr="00580C0D">
        <w:t>tilskot</w:t>
      </w:r>
      <w:proofErr w:type="spellEnd"/>
      <w:r w:rsidRPr="00580C0D">
        <w:t xml:space="preserve"> til </w:t>
      </w:r>
      <w:proofErr w:type="spellStart"/>
      <w:r w:rsidRPr="00580C0D">
        <w:t>investeringar</w:t>
      </w:r>
      <w:proofErr w:type="spellEnd"/>
      <w:r w:rsidRPr="00580C0D">
        <w:t xml:space="preserve"> i utstyr i </w:t>
      </w:r>
      <w:proofErr w:type="spellStart"/>
      <w:r w:rsidRPr="00580C0D">
        <w:t>vidaregåande</w:t>
      </w:r>
      <w:proofErr w:type="spellEnd"/>
      <w:r w:rsidRPr="00580C0D">
        <w:t xml:space="preserve"> opplæring som skal bidra til oppdatert og kvalitetssikra utstyr i </w:t>
      </w:r>
      <w:proofErr w:type="spellStart"/>
      <w:r w:rsidRPr="00580C0D">
        <w:t>dei</w:t>
      </w:r>
      <w:proofErr w:type="spellEnd"/>
      <w:r w:rsidRPr="00580C0D">
        <w:t xml:space="preserve"> yrkesfaglege utdanningsprogramma. Målet var å finne ut </w:t>
      </w:r>
      <w:proofErr w:type="spellStart"/>
      <w:r w:rsidRPr="00580C0D">
        <w:t>kva</w:t>
      </w:r>
      <w:proofErr w:type="spellEnd"/>
      <w:r w:rsidRPr="00580C0D">
        <w:t xml:space="preserve"> modell som kan </w:t>
      </w:r>
      <w:proofErr w:type="spellStart"/>
      <w:r w:rsidRPr="00580C0D">
        <w:t>vere</w:t>
      </w:r>
      <w:proofErr w:type="spellEnd"/>
      <w:r w:rsidRPr="00580C0D">
        <w:t xml:space="preserve"> </w:t>
      </w:r>
      <w:proofErr w:type="spellStart"/>
      <w:r w:rsidRPr="00580C0D">
        <w:t>berekraftig</w:t>
      </w:r>
      <w:proofErr w:type="spellEnd"/>
      <w:r w:rsidRPr="00580C0D">
        <w:t xml:space="preserve"> på sikt, og bidra til stabil finansiering </w:t>
      </w:r>
      <w:proofErr w:type="spellStart"/>
      <w:r w:rsidRPr="00580C0D">
        <w:t>frå</w:t>
      </w:r>
      <w:proofErr w:type="spellEnd"/>
      <w:r w:rsidRPr="00580C0D">
        <w:t xml:space="preserve"> </w:t>
      </w:r>
      <w:proofErr w:type="spellStart"/>
      <w:r w:rsidRPr="00580C0D">
        <w:t>fylkeskommunane</w:t>
      </w:r>
      <w:proofErr w:type="spellEnd"/>
      <w:r w:rsidRPr="00580C0D">
        <w:t xml:space="preserve">. Oslo </w:t>
      </w:r>
      <w:proofErr w:type="spellStart"/>
      <w:r w:rsidRPr="00580C0D">
        <w:t>Economics</w:t>
      </w:r>
      <w:proofErr w:type="spellEnd"/>
      <w:r w:rsidRPr="00580C0D">
        <w:t xml:space="preserve"> og Samfunns- og næringslivsforskning AS har forska på forsøket, og </w:t>
      </w:r>
      <w:proofErr w:type="spellStart"/>
      <w:r w:rsidRPr="00580C0D">
        <w:t>ein</w:t>
      </w:r>
      <w:proofErr w:type="spellEnd"/>
      <w:r w:rsidRPr="00580C0D">
        <w:t xml:space="preserve"> rapport blei publisert i august. Rapporten </w:t>
      </w:r>
      <w:proofErr w:type="spellStart"/>
      <w:r w:rsidRPr="00580C0D">
        <w:t>peikar</w:t>
      </w:r>
      <w:proofErr w:type="spellEnd"/>
      <w:r w:rsidRPr="00580C0D">
        <w:t xml:space="preserve"> mellom anna på at det er usikkert kva for langsiktig effekt </w:t>
      </w:r>
      <w:proofErr w:type="spellStart"/>
      <w:r w:rsidRPr="00580C0D">
        <w:t>tilskotet</w:t>
      </w:r>
      <w:proofErr w:type="spellEnd"/>
      <w:r w:rsidRPr="00580C0D">
        <w:t xml:space="preserve"> som blei gitt i samband med forsøket, vil ha. Regjeringa vil vurdere </w:t>
      </w:r>
      <w:proofErr w:type="spellStart"/>
      <w:r w:rsidRPr="00580C0D">
        <w:t>kva</w:t>
      </w:r>
      <w:proofErr w:type="spellEnd"/>
      <w:r w:rsidRPr="00580C0D">
        <w:t xml:space="preserve"> som bør </w:t>
      </w:r>
      <w:proofErr w:type="spellStart"/>
      <w:r w:rsidRPr="00580C0D">
        <w:t>gjerast</w:t>
      </w:r>
      <w:proofErr w:type="spellEnd"/>
      <w:r w:rsidRPr="00580C0D">
        <w:t xml:space="preserve"> </w:t>
      </w:r>
      <w:proofErr w:type="spellStart"/>
      <w:r w:rsidRPr="00580C0D">
        <w:t>vidare</w:t>
      </w:r>
      <w:proofErr w:type="spellEnd"/>
      <w:r w:rsidRPr="00580C0D">
        <w:t xml:space="preserve"> på dette området etter at rapporten er klar. Samstundes vil </w:t>
      </w:r>
      <w:proofErr w:type="spellStart"/>
      <w:r w:rsidRPr="00580C0D">
        <w:t>ikkje</w:t>
      </w:r>
      <w:proofErr w:type="spellEnd"/>
      <w:r w:rsidRPr="00580C0D">
        <w:t xml:space="preserve"> regjeringa innføre krav til </w:t>
      </w:r>
      <w:proofErr w:type="spellStart"/>
      <w:r w:rsidRPr="00580C0D">
        <w:t>minstestandardar</w:t>
      </w:r>
      <w:proofErr w:type="spellEnd"/>
      <w:r w:rsidRPr="00580C0D">
        <w:t xml:space="preserve"> på teknisk utstyr </w:t>
      </w:r>
      <w:proofErr w:type="spellStart"/>
      <w:r w:rsidRPr="00580C0D">
        <w:t>innanfor</w:t>
      </w:r>
      <w:proofErr w:type="spellEnd"/>
      <w:r w:rsidRPr="00580C0D">
        <w:t xml:space="preserve"> fag- og yrkesopplæringa i tråd med vedtaket.</w:t>
      </w:r>
    </w:p>
    <w:p w14:paraId="118FA2D4" w14:textId="77777777" w:rsidR="00F7113A" w:rsidRPr="00580C0D" w:rsidRDefault="00142E5B" w:rsidP="00580C0D">
      <w:r w:rsidRPr="00580C0D">
        <w:t xml:space="preserve">Departementet foreslår derfor at vedtaket blir oppheva, jf. forslag til vedtak </w:t>
      </w:r>
      <w:proofErr w:type="spellStart"/>
      <w:r w:rsidRPr="00580C0D">
        <w:t>X</w:t>
      </w:r>
      <w:proofErr w:type="spellEnd"/>
      <w:r w:rsidRPr="00580C0D">
        <w:t>.</w:t>
      </w:r>
    </w:p>
    <w:p w14:paraId="4E6665E6" w14:textId="77777777" w:rsidR="00F7113A" w:rsidRPr="00580C0D" w:rsidRDefault="00142E5B" w:rsidP="00580C0D">
      <w:pPr>
        <w:pStyle w:val="avsnitt-tittel"/>
      </w:pPr>
      <w:r w:rsidRPr="00580C0D">
        <w:t xml:space="preserve">Rekrutteringsstipend for </w:t>
      </w:r>
      <w:proofErr w:type="spellStart"/>
      <w:r w:rsidRPr="00580C0D">
        <w:t>yrkesfaglærarutdanning</w:t>
      </w:r>
      <w:proofErr w:type="spellEnd"/>
    </w:p>
    <w:p w14:paraId="495FFBF3" w14:textId="77777777" w:rsidR="00F7113A" w:rsidRPr="00580C0D" w:rsidRDefault="00142E5B" w:rsidP="00580C0D">
      <w:pPr>
        <w:pStyle w:val="avsnitt-undertittel"/>
      </w:pPr>
      <w:r w:rsidRPr="00580C0D">
        <w:t>Vedtak nr. 945, 20. mai 2021</w:t>
      </w:r>
    </w:p>
    <w:p w14:paraId="0251797D" w14:textId="77777777" w:rsidR="00F7113A" w:rsidRPr="00580C0D" w:rsidRDefault="00142E5B" w:rsidP="00580C0D">
      <w:pPr>
        <w:pStyle w:val="blokksit"/>
        <w:rPr>
          <w:rStyle w:val="kursiv"/>
        </w:rPr>
      </w:pPr>
      <w:r w:rsidRPr="00580C0D">
        <w:rPr>
          <w:rStyle w:val="kursiv"/>
        </w:rPr>
        <w:t>Stortinget ber regjeringen styrke ordningen med rekrutteringsstipend for personer utenfor skolesektoren som ønsker å ta en yrkesfaglærerutdanning for å jobbe i skolen.</w:t>
      </w:r>
    </w:p>
    <w:p w14:paraId="0AAE6C95"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8:282 S (2020–2021) </w:t>
      </w:r>
      <w:r w:rsidRPr="00580C0D">
        <w:rPr>
          <w:rStyle w:val="kursiv"/>
        </w:rPr>
        <w:t xml:space="preserve">Representantforslag fra Hanne Dyveke </w:t>
      </w:r>
      <w:proofErr w:type="spellStart"/>
      <w:r w:rsidRPr="00580C0D">
        <w:rPr>
          <w:rStyle w:val="kursiv"/>
        </w:rPr>
        <w:t>Søttar</w:t>
      </w:r>
      <w:proofErr w:type="spellEnd"/>
      <w:r w:rsidRPr="00580C0D">
        <w:rPr>
          <w:rStyle w:val="kursiv"/>
        </w:rPr>
        <w:t xml:space="preserve">, Hans Andreas </w:t>
      </w:r>
      <w:proofErr w:type="spellStart"/>
      <w:r w:rsidRPr="00580C0D">
        <w:rPr>
          <w:rStyle w:val="kursiv"/>
        </w:rPr>
        <w:t>Limi</w:t>
      </w:r>
      <w:proofErr w:type="spellEnd"/>
      <w:r w:rsidRPr="00580C0D">
        <w:rPr>
          <w:rStyle w:val="kursiv"/>
        </w:rPr>
        <w:t>, Roy Steffensen, Silje Hjemdal, Terje Halleland om et yrkesfagløft for verdiskaping</w:t>
      </w:r>
      <w:r w:rsidRPr="00580C0D">
        <w:t xml:space="preserve">, jf. </w:t>
      </w:r>
      <w:proofErr w:type="spellStart"/>
      <w:r w:rsidRPr="00580C0D">
        <w:t>Innst</w:t>
      </w:r>
      <w:proofErr w:type="spellEnd"/>
      <w:r w:rsidRPr="00580C0D">
        <w:t>. 414 S (2020–2021).</w:t>
      </w:r>
    </w:p>
    <w:p w14:paraId="60883E23" w14:textId="77777777" w:rsidR="00F7113A" w:rsidRPr="00580C0D" w:rsidRDefault="00142E5B" w:rsidP="00580C0D">
      <w:r w:rsidRPr="00580C0D">
        <w:t xml:space="preserve">Utdanningsdirektoratet administrerer ordninga med utdannings- og rekrutteringsstipend til kvalifisering av </w:t>
      </w:r>
      <w:proofErr w:type="gramStart"/>
      <w:r w:rsidRPr="00580C0D">
        <w:t>tilsette</w:t>
      </w:r>
      <w:proofErr w:type="gramEnd"/>
      <w:r w:rsidRPr="00580C0D">
        <w:t xml:space="preserve"> som har undervisningsstilling, men som </w:t>
      </w:r>
      <w:proofErr w:type="spellStart"/>
      <w:r w:rsidRPr="00580C0D">
        <w:t>manglar</w:t>
      </w:r>
      <w:proofErr w:type="spellEnd"/>
      <w:r w:rsidRPr="00580C0D">
        <w:t xml:space="preserve"> </w:t>
      </w:r>
      <w:proofErr w:type="spellStart"/>
      <w:r w:rsidRPr="00580C0D">
        <w:t>godkjend</w:t>
      </w:r>
      <w:proofErr w:type="spellEnd"/>
      <w:r w:rsidRPr="00580C0D">
        <w:t xml:space="preserve"> </w:t>
      </w:r>
      <w:proofErr w:type="spellStart"/>
      <w:r w:rsidRPr="00580C0D">
        <w:t>lærarutdanning</w:t>
      </w:r>
      <w:proofErr w:type="spellEnd"/>
      <w:r w:rsidRPr="00580C0D">
        <w:t xml:space="preserve">, og rekruttering av </w:t>
      </w:r>
      <w:proofErr w:type="spellStart"/>
      <w:r w:rsidRPr="00580C0D">
        <w:t>personar</w:t>
      </w:r>
      <w:proofErr w:type="spellEnd"/>
      <w:r w:rsidRPr="00580C0D">
        <w:t xml:space="preserve"> som </w:t>
      </w:r>
      <w:proofErr w:type="spellStart"/>
      <w:r w:rsidRPr="00580C0D">
        <w:t>enno</w:t>
      </w:r>
      <w:proofErr w:type="spellEnd"/>
      <w:r w:rsidRPr="00580C0D">
        <w:t xml:space="preserve"> </w:t>
      </w:r>
      <w:proofErr w:type="spellStart"/>
      <w:r w:rsidRPr="00580C0D">
        <w:t>ikkje</w:t>
      </w:r>
      <w:proofErr w:type="spellEnd"/>
      <w:r w:rsidRPr="00580C0D">
        <w:t xml:space="preserve"> er tilsette i </w:t>
      </w:r>
      <w:proofErr w:type="spellStart"/>
      <w:r w:rsidRPr="00580C0D">
        <w:t>skulen</w:t>
      </w:r>
      <w:proofErr w:type="spellEnd"/>
      <w:r w:rsidRPr="00580C0D">
        <w:t xml:space="preserve">. I 2023 </w:t>
      </w:r>
      <w:proofErr w:type="spellStart"/>
      <w:r w:rsidRPr="00580C0D">
        <w:t>godkjende</w:t>
      </w:r>
      <w:proofErr w:type="spellEnd"/>
      <w:r w:rsidRPr="00580C0D">
        <w:t xml:space="preserve"> direktoratet totalt 603 søknader om utdannings- og rekrutteringsstipend, og av </w:t>
      </w:r>
      <w:proofErr w:type="spellStart"/>
      <w:r w:rsidRPr="00580C0D">
        <w:t>desse</w:t>
      </w:r>
      <w:proofErr w:type="spellEnd"/>
      <w:r w:rsidRPr="00580C0D">
        <w:t xml:space="preserve"> var det 175 stipend til </w:t>
      </w:r>
      <w:proofErr w:type="spellStart"/>
      <w:r w:rsidRPr="00580C0D">
        <w:t>yrkesfaglærarutdanninga</w:t>
      </w:r>
      <w:proofErr w:type="spellEnd"/>
      <w:r w:rsidRPr="00580C0D">
        <w:t xml:space="preserve">. Ifølge Utdanningsdirektoratet </w:t>
      </w:r>
      <w:proofErr w:type="spellStart"/>
      <w:r w:rsidRPr="00580C0D">
        <w:t>fekk</w:t>
      </w:r>
      <w:proofErr w:type="spellEnd"/>
      <w:r w:rsidRPr="00580C0D">
        <w:t xml:space="preserve"> alle </w:t>
      </w:r>
      <w:proofErr w:type="spellStart"/>
      <w:r w:rsidRPr="00580C0D">
        <w:t>skuleeigarar</w:t>
      </w:r>
      <w:proofErr w:type="spellEnd"/>
      <w:r w:rsidRPr="00580C0D">
        <w:t xml:space="preserve"> godkjent søknadene sine om den typen stipend som er omtalt i oppmodingsvedtaket. Departementet meiner dette viser at dekningsgraden for stipendet er god. Departementet vurderer derfor situasjonen slik at det </w:t>
      </w:r>
      <w:proofErr w:type="spellStart"/>
      <w:r w:rsidRPr="00580C0D">
        <w:t>ikkje</w:t>
      </w:r>
      <w:proofErr w:type="spellEnd"/>
      <w:r w:rsidRPr="00580C0D">
        <w:t xml:space="preserve"> er behov for å styrke ordninga no. Departementet vil følge med på dekningsgraden og vurdere tiltak dersom det viser seg at ordninga </w:t>
      </w:r>
      <w:proofErr w:type="spellStart"/>
      <w:r w:rsidRPr="00580C0D">
        <w:t>ikkje</w:t>
      </w:r>
      <w:proofErr w:type="spellEnd"/>
      <w:r w:rsidRPr="00580C0D">
        <w:t xml:space="preserve"> er godt nok </w:t>
      </w:r>
      <w:proofErr w:type="spellStart"/>
      <w:r w:rsidRPr="00580C0D">
        <w:t>kjend</w:t>
      </w:r>
      <w:proofErr w:type="spellEnd"/>
      <w:r w:rsidRPr="00580C0D">
        <w:t xml:space="preserve">, eller dersom det blir oversøking til stipendet for </w:t>
      </w:r>
      <w:proofErr w:type="spellStart"/>
      <w:r w:rsidRPr="00580C0D">
        <w:t>yrkesfaglærarutdanninga</w:t>
      </w:r>
      <w:proofErr w:type="spellEnd"/>
      <w:r w:rsidRPr="00580C0D">
        <w:t xml:space="preserve">. Det er ulike </w:t>
      </w:r>
      <w:proofErr w:type="spellStart"/>
      <w:r w:rsidRPr="00580C0D">
        <w:t>erfaringar</w:t>
      </w:r>
      <w:proofErr w:type="spellEnd"/>
      <w:r w:rsidRPr="00580C0D">
        <w:t xml:space="preserve"> med ordninga. Til dømes melder </w:t>
      </w:r>
      <w:proofErr w:type="spellStart"/>
      <w:r w:rsidRPr="00580C0D">
        <w:t>fylkeskommunane</w:t>
      </w:r>
      <w:proofErr w:type="spellEnd"/>
      <w:r w:rsidRPr="00580C0D">
        <w:t xml:space="preserve"> at det er svært </w:t>
      </w:r>
      <w:proofErr w:type="spellStart"/>
      <w:r w:rsidRPr="00580C0D">
        <w:t>arbeidskrevjande</w:t>
      </w:r>
      <w:proofErr w:type="spellEnd"/>
      <w:r w:rsidRPr="00580C0D">
        <w:t xml:space="preserve"> å følge opp ordninga med rekrutteringsstipend, og at det er behov for å </w:t>
      </w:r>
      <w:proofErr w:type="spellStart"/>
      <w:r w:rsidRPr="00580C0D">
        <w:t>forbetre</w:t>
      </w:r>
      <w:proofErr w:type="spellEnd"/>
      <w:r w:rsidRPr="00580C0D">
        <w:t xml:space="preserve"> ordninga.</w:t>
      </w:r>
    </w:p>
    <w:p w14:paraId="65C4A36A" w14:textId="77777777" w:rsidR="00F7113A" w:rsidRPr="00580C0D" w:rsidRDefault="00142E5B" w:rsidP="00580C0D">
      <w:r w:rsidRPr="00580C0D">
        <w:t xml:space="preserve">Departementet viser </w:t>
      </w:r>
      <w:proofErr w:type="spellStart"/>
      <w:r w:rsidRPr="00580C0D">
        <w:t>vidare</w:t>
      </w:r>
      <w:proofErr w:type="spellEnd"/>
      <w:r w:rsidRPr="00580C0D">
        <w:t xml:space="preserve"> til </w:t>
      </w:r>
      <w:proofErr w:type="spellStart"/>
      <w:r w:rsidRPr="00580C0D">
        <w:t>eit</w:t>
      </w:r>
      <w:proofErr w:type="spellEnd"/>
      <w:r w:rsidRPr="00580C0D">
        <w:t xml:space="preserve"> relevant vedtak som skal </w:t>
      </w:r>
      <w:proofErr w:type="spellStart"/>
      <w:r w:rsidRPr="00580C0D">
        <w:t>følgast</w:t>
      </w:r>
      <w:proofErr w:type="spellEnd"/>
      <w:r w:rsidRPr="00580C0D">
        <w:t xml:space="preserve"> opp, </w:t>
      </w:r>
      <w:proofErr w:type="spellStart"/>
      <w:r w:rsidRPr="00580C0D">
        <w:t>nemleg</w:t>
      </w:r>
      <w:proofErr w:type="spellEnd"/>
      <w:r w:rsidRPr="00580C0D">
        <w:t xml:space="preserve"> vedtak 690, 25. mai 2023, som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8:211 S (2022–2023): «Stortinget ber regjeringa laga </w:t>
      </w:r>
      <w:proofErr w:type="spellStart"/>
      <w:r w:rsidRPr="00580C0D">
        <w:t>ein</w:t>
      </w:r>
      <w:proofErr w:type="spellEnd"/>
      <w:r w:rsidRPr="00580C0D">
        <w:t xml:space="preserve"> strategi for </w:t>
      </w:r>
      <w:proofErr w:type="spellStart"/>
      <w:r w:rsidRPr="00580C0D">
        <w:t>auka</w:t>
      </w:r>
      <w:proofErr w:type="spellEnd"/>
      <w:r w:rsidRPr="00580C0D">
        <w:t xml:space="preserve"> rekruttering av </w:t>
      </w:r>
      <w:proofErr w:type="spellStart"/>
      <w:r w:rsidRPr="00580C0D">
        <w:t>lærarar</w:t>
      </w:r>
      <w:proofErr w:type="spellEnd"/>
      <w:r w:rsidRPr="00580C0D">
        <w:t xml:space="preserve"> og komma tilbake til Stortinget på eigna måte om strategien. Strategien må </w:t>
      </w:r>
      <w:proofErr w:type="spellStart"/>
      <w:r w:rsidRPr="00580C0D">
        <w:t>sjåast</w:t>
      </w:r>
      <w:proofErr w:type="spellEnd"/>
      <w:r w:rsidRPr="00580C0D">
        <w:t xml:space="preserve"> i </w:t>
      </w:r>
      <w:proofErr w:type="spellStart"/>
      <w:r w:rsidRPr="00580C0D">
        <w:t>samanheng</w:t>
      </w:r>
      <w:proofErr w:type="spellEnd"/>
      <w:r w:rsidRPr="00580C0D">
        <w:t xml:space="preserve"> med </w:t>
      </w:r>
      <w:proofErr w:type="spellStart"/>
      <w:r w:rsidRPr="00580C0D">
        <w:t>ordningane</w:t>
      </w:r>
      <w:proofErr w:type="spellEnd"/>
      <w:r w:rsidRPr="00580C0D">
        <w:t xml:space="preserve"> for rettleiing av nyutdanna, etter- og </w:t>
      </w:r>
      <w:proofErr w:type="spellStart"/>
      <w:r w:rsidRPr="00580C0D">
        <w:t>vidareutdanningstilbodet</w:t>
      </w:r>
      <w:proofErr w:type="spellEnd"/>
      <w:r w:rsidRPr="00580C0D">
        <w:t xml:space="preserve">, nye </w:t>
      </w:r>
      <w:proofErr w:type="spellStart"/>
      <w:r w:rsidRPr="00580C0D">
        <w:t>karrierevegar</w:t>
      </w:r>
      <w:proofErr w:type="spellEnd"/>
      <w:r w:rsidRPr="00580C0D">
        <w:t xml:space="preserve"> for </w:t>
      </w:r>
      <w:proofErr w:type="spellStart"/>
      <w:r w:rsidRPr="00580C0D">
        <w:t>lærarar</w:t>
      </w:r>
      <w:proofErr w:type="spellEnd"/>
      <w:r w:rsidRPr="00580C0D">
        <w:t xml:space="preserve"> i </w:t>
      </w:r>
      <w:proofErr w:type="spellStart"/>
      <w:r w:rsidRPr="00580C0D">
        <w:t>skulen</w:t>
      </w:r>
      <w:proofErr w:type="spellEnd"/>
      <w:r w:rsidRPr="00580C0D">
        <w:t xml:space="preserve"> og den varsla profesjonsmeldinga.» I utforminga av </w:t>
      </w:r>
      <w:proofErr w:type="spellStart"/>
      <w:r w:rsidRPr="00580C0D">
        <w:t>ein</w:t>
      </w:r>
      <w:proofErr w:type="spellEnd"/>
      <w:r w:rsidRPr="00580C0D">
        <w:t xml:space="preserve"> slik strategi er det </w:t>
      </w:r>
      <w:proofErr w:type="spellStart"/>
      <w:r w:rsidRPr="00580C0D">
        <w:t>naturleg</w:t>
      </w:r>
      <w:proofErr w:type="spellEnd"/>
      <w:r w:rsidRPr="00580C0D">
        <w:t xml:space="preserve"> at departementet vurderer ordninga med utdannings- og rekrutteringsstipend.</w:t>
      </w:r>
    </w:p>
    <w:p w14:paraId="43BDFAD7"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6A4CE212" w14:textId="77777777" w:rsidR="00F7113A" w:rsidRPr="00580C0D" w:rsidRDefault="00142E5B" w:rsidP="00580C0D">
      <w:pPr>
        <w:pStyle w:val="avsnitt-tittel"/>
      </w:pPr>
      <w:r w:rsidRPr="00580C0D">
        <w:t>Yrkesopplæring tilpassa arbeidslivet</w:t>
      </w:r>
    </w:p>
    <w:p w14:paraId="2289AFD2" w14:textId="77777777" w:rsidR="00F7113A" w:rsidRPr="00580C0D" w:rsidRDefault="00142E5B" w:rsidP="00580C0D">
      <w:pPr>
        <w:pStyle w:val="avsnitt-undertittel"/>
      </w:pPr>
      <w:r w:rsidRPr="00580C0D">
        <w:t>Vedtak nr. 947, 20. mai 2021</w:t>
      </w:r>
    </w:p>
    <w:p w14:paraId="172AD89E" w14:textId="77777777" w:rsidR="00F7113A" w:rsidRPr="00580C0D" w:rsidRDefault="00142E5B" w:rsidP="00580C0D">
      <w:pPr>
        <w:pStyle w:val="blokksit"/>
        <w:rPr>
          <w:rStyle w:val="kursiv"/>
        </w:rPr>
      </w:pPr>
      <w:r w:rsidRPr="00580C0D">
        <w:rPr>
          <w:rStyle w:val="kursiv"/>
        </w:rPr>
        <w:t>Stortinget ber regjeringen sørge for at det etableres en tettere kobling mellom avgivende skoler og lærebedrifter også gjennom lærlingtiden, slik at innholdet i yrkesopplæringen blir best mulig tilpasset arbeidslivets behov.</w:t>
      </w:r>
    </w:p>
    <w:p w14:paraId="61C4EA41"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8:282 S (2020–2021) </w:t>
      </w:r>
      <w:r w:rsidRPr="00580C0D">
        <w:rPr>
          <w:rStyle w:val="kursiv"/>
        </w:rPr>
        <w:t xml:space="preserve">Representantforslag </w:t>
      </w:r>
      <w:proofErr w:type="spellStart"/>
      <w:r w:rsidRPr="00580C0D">
        <w:rPr>
          <w:rStyle w:val="kursiv"/>
        </w:rPr>
        <w:t>frå</w:t>
      </w:r>
      <w:proofErr w:type="spellEnd"/>
      <w:r w:rsidRPr="00580C0D">
        <w:rPr>
          <w:rStyle w:val="kursiv"/>
        </w:rPr>
        <w:t xml:space="preserve"> Hanne Dyveke </w:t>
      </w:r>
      <w:proofErr w:type="spellStart"/>
      <w:r w:rsidRPr="00580C0D">
        <w:rPr>
          <w:rStyle w:val="kursiv"/>
        </w:rPr>
        <w:t>Søttar</w:t>
      </w:r>
      <w:proofErr w:type="spellEnd"/>
      <w:r w:rsidRPr="00580C0D">
        <w:rPr>
          <w:rStyle w:val="kursiv"/>
        </w:rPr>
        <w:t xml:space="preserve">, Hans Andreas </w:t>
      </w:r>
      <w:proofErr w:type="spellStart"/>
      <w:r w:rsidRPr="00580C0D">
        <w:rPr>
          <w:rStyle w:val="kursiv"/>
        </w:rPr>
        <w:t>Limi</w:t>
      </w:r>
      <w:proofErr w:type="spellEnd"/>
      <w:r w:rsidRPr="00580C0D">
        <w:rPr>
          <w:rStyle w:val="kursiv"/>
        </w:rPr>
        <w:t>, Roy Steffensen, Silje Hjemdal, Terje Halleland om et yrkesfagløft for verdiskaping</w:t>
      </w:r>
      <w:r w:rsidRPr="00580C0D">
        <w:t xml:space="preserve">, jf. </w:t>
      </w:r>
      <w:proofErr w:type="spellStart"/>
      <w:r w:rsidRPr="00580C0D">
        <w:t>Innst</w:t>
      </w:r>
      <w:proofErr w:type="spellEnd"/>
      <w:r w:rsidRPr="00580C0D">
        <w:t>. 414 S (2020–2021).</w:t>
      </w:r>
    </w:p>
    <w:p w14:paraId="5A5BBD0B" w14:textId="77777777" w:rsidR="00F7113A" w:rsidRPr="00580C0D" w:rsidRDefault="00142E5B" w:rsidP="00580C0D">
      <w:proofErr w:type="spellStart"/>
      <w:r w:rsidRPr="00580C0D">
        <w:t>Yrkesfagleg</w:t>
      </w:r>
      <w:proofErr w:type="spellEnd"/>
      <w:r w:rsidRPr="00580C0D">
        <w:t xml:space="preserve"> opplæring er </w:t>
      </w:r>
      <w:proofErr w:type="spellStart"/>
      <w:r w:rsidRPr="00580C0D">
        <w:t>eit</w:t>
      </w:r>
      <w:proofErr w:type="spellEnd"/>
      <w:r w:rsidRPr="00580C0D">
        <w:t xml:space="preserve"> samarbeid mellom </w:t>
      </w:r>
      <w:proofErr w:type="spellStart"/>
      <w:r w:rsidRPr="00580C0D">
        <w:t>fylkeskommunane</w:t>
      </w:r>
      <w:proofErr w:type="spellEnd"/>
      <w:r w:rsidRPr="00580C0D">
        <w:t xml:space="preserve">, </w:t>
      </w:r>
      <w:proofErr w:type="spellStart"/>
      <w:r w:rsidRPr="00580C0D">
        <w:t>skulane</w:t>
      </w:r>
      <w:proofErr w:type="spellEnd"/>
      <w:r w:rsidRPr="00580C0D">
        <w:t xml:space="preserve"> og lærebedrifter. Det er viktig at alle </w:t>
      </w:r>
      <w:proofErr w:type="spellStart"/>
      <w:r w:rsidRPr="00580C0D">
        <w:t>partar</w:t>
      </w:r>
      <w:proofErr w:type="spellEnd"/>
      <w:r w:rsidRPr="00580C0D">
        <w:t xml:space="preserve"> </w:t>
      </w:r>
      <w:proofErr w:type="spellStart"/>
      <w:r w:rsidRPr="00580C0D">
        <w:t>bidreg</w:t>
      </w:r>
      <w:proofErr w:type="spellEnd"/>
      <w:r w:rsidRPr="00580C0D">
        <w:t xml:space="preserve"> i utarbeiding av </w:t>
      </w:r>
      <w:proofErr w:type="spellStart"/>
      <w:r w:rsidRPr="00580C0D">
        <w:t>læreplanar</w:t>
      </w:r>
      <w:proofErr w:type="spellEnd"/>
      <w:r w:rsidRPr="00580C0D">
        <w:t xml:space="preserve"> og </w:t>
      </w:r>
      <w:proofErr w:type="spellStart"/>
      <w:r w:rsidRPr="00580C0D">
        <w:t>tilbodsstruktur</w:t>
      </w:r>
      <w:proofErr w:type="spellEnd"/>
      <w:r w:rsidRPr="00580C0D">
        <w:t xml:space="preserve"> i tillegg til det </w:t>
      </w:r>
      <w:proofErr w:type="spellStart"/>
      <w:r w:rsidRPr="00580C0D">
        <w:t>løpande</w:t>
      </w:r>
      <w:proofErr w:type="spellEnd"/>
      <w:r w:rsidRPr="00580C0D">
        <w:t xml:space="preserve"> samarbeidet rundt </w:t>
      </w:r>
      <w:proofErr w:type="spellStart"/>
      <w:r w:rsidRPr="00580C0D">
        <w:t>elevane</w:t>
      </w:r>
      <w:proofErr w:type="spellEnd"/>
      <w:r w:rsidRPr="00580C0D">
        <w:t xml:space="preserve"> med kvalifisering og formidling til læreplass. Dette systemet er godt utvikla i dag. </w:t>
      </w:r>
      <w:proofErr w:type="spellStart"/>
      <w:r w:rsidRPr="00580C0D">
        <w:t>Fylkeskommunane</w:t>
      </w:r>
      <w:proofErr w:type="spellEnd"/>
      <w:r w:rsidRPr="00580C0D">
        <w:t xml:space="preserve"> har ansvaret for at </w:t>
      </w:r>
      <w:proofErr w:type="spellStart"/>
      <w:r w:rsidRPr="00580C0D">
        <w:t>yrkesfagelevane</w:t>
      </w:r>
      <w:proofErr w:type="spellEnd"/>
      <w:r w:rsidRPr="00580C0D">
        <w:t xml:space="preserve"> i vg1 og vg2 når kompetansemåla i </w:t>
      </w:r>
      <w:proofErr w:type="spellStart"/>
      <w:r w:rsidRPr="00580C0D">
        <w:t>læreplanane</w:t>
      </w:r>
      <w:proofErr w:type="spellEnd"/>
      <w:r w:rsidRPr="00580C0D">
        <w:t xml:space="preserve"> og blir kvalifiserte til læreplass, og lærebedriftene har ansvaret for at lærlingen gjennom læretida når kompetansemåla i lærefaget i vg3. I statsbudsjettet for 2024 foreslår regjeringa 485 mill. kroner for å styrke arbeidet for </w:t>
      </w:r>
      <w:proofErr w:type="spellStart"/>
      <w:r w:rsidRPr="00580C0D">
        <w:t>fleire</w:t>
      </w:r>
      <w:proofErr w:type="spellEnd"/>
      <w:r w:rsidRPr="00580C0D">
        <w:t xml:space="preserve"> </w:t>
      </w:r>
      <w:proofErr w:type="spellStart"/>
      <w:r w:rsidRPr="00580C0D">
        <w:t>læreplassar</w:t>
      </w:r>
      <w:proofErr w:type="spellEnd"/>
      <w:r w:rsidRPr="00580C0D">
        <w:t xml:space="preserve"> og bidra til kvalifisering og formidling til </w:t>
      </w:r>
      <w:proofErr w:type="spellStart"/>
      <w:r w:rsidRPr="00580C0D">
        <w:t>læreplassar</w:t>
      </w:r>
      <w:proofErr w:type="spellEnd"/>
      <w:r w:rsidRPr="00580C0D">
        <w:t xml:space="preserve"> i fag- og yrkesopplæringa, jf. kap. 225, post 69. </w:t>
      </w:r>
      <w:proofErr w:type="spellStart"/>
      <w:r w:rsidRPr="00580C0D">
        <w:t>Midlane</w:t>
      </w:r>
      <w:proofErr w:type="spellEnd"/>
      <w:r w:rsidRPr="00580C0D">
        <w:t xml:space="preserve"> </w:t>
      </w:r>
      <w:proofErr w:type="spellStart"/>
      <w:r w:rsidRPr="00580C0D">
        <w:t>legg</w:t>
      </w:r>
      <w:proofErr w:type="spellEnd"/>
      <w:r w:rsidRPr="00580C0D">
        <w:t xml:space="preserve"> til rette for at det blir etablert </w:t>
      </w:r>
      <w:proofErr w:type="spellStart"/>
      <w:r w:rsidRPr="00580C0D">
        <w:t>tettare</w:t>
      </w:r>
      <w:proofErr w:type="spellEnd"/>
      <w:r w:rsidRPr="00580C0D">
        <w:t xml:space="preserve"> </w:t>
      </w:r>
      <w:proofErr w:type="spellStart"/>
      <w:r w:rsidRPr="00580C0D">
        <w:t>koplingar</w:t>
      </w:r>
      <w:proofErr w:type="spellEnd"/>
      <w:r w:rsidRPr="00580C0D">
        <w:t xml:space="preserve"> mellom </w:t>
      </w:r>
      <w:proofErr w:type="spellStart"/>
      <w:r w:rsidRPr="00580C0D">
        <w:t>avgivande</w:t>
      </w:r>
      <w:proofErr w:type="spellEnd"/>
      <w:r w:rsidRPr="00580C0D">
        <w:t xml:space="preserve"> </w:t>
      </w:r>
      <w:proofErr w:type="spellStart"/>
      <w:r w:rsidRPr="00580C0D">
        <w:t>skular</w:t>
      </w:r>
      <w:proofErr w:type="spellEnd"/>
      <w:r w:rsidRPr="00580C0D">
        <w:t xml:space="preserve"> og lærebedrifter gjennom læretida, slik at </w:t>
      </w:r>
      <w:proofErr w:type="spellStart"/>
      <w:r w:rsidRPr="00580C0D">
        <w:t>innhaldet</w:t>
      </w:r>
      <w:proofErr w:type="spellEnd"/>
      <w:r w:rsidRPr="00580C0D">
        <w:t xml:space="preserve"> i yrkesopplæringa blir best </w:t>
      </w:r>
      <w:proofErr w:type="spellStart"/>
      <w:r w:rsidRPr="00580C0D">
        <w:t>mogleg</w:t>
      </w:r>
      <w:proofErr w:type="spellEnd"/>
      <w:r w:rsidRPr="00580C0D">
        <w:t xml:space="preserve"> tilpassa behova til arbeidslivet. I kommuneproposisjonen for 2024 er det varsla at </w:t>
      </w:r>
      <w:proofErr w:type="spellStart"/>
      <w:r w:rsidRPr="00580C0D">
        <w:t>tilskotet</w:t>
      </w:r>
      <w:proofErr w:type="spellEnd"/>
      <w:r w:rsidRPr="00580C0D">
        <w:t xml:space="preserve"> skal </w:t>
      </w:r>
      <w:proofErr w:type="spellStart"/>
      <w:r w:rsidRPr="00580C0D">
        <w:t>vidareførast</w:t>
      </w:r>
      <w:proofErr w:type="spellEnd"/>
      <w:r w:rsidRPr="00580C0D">
        <w:t xml:space="preserve"> på om lag dagens nivå ut perioden til Samfunnskontrakten for </w:t>
      </w:r>
      <w:proofErr w:type="spellStart"/>
      <w:r w:rsidRPr="00580C0D">
        <w:t>fleire</w:t>
      </w:r>
      <w:proofErr w:type="spellEnd"/>
      <w:r w:rsidRPr="00580C0D">
        <w:t xml:space="preserve"> </w:t>
      </w:r>
      <w:proofErr w:type="spellStart"/>
      <w:r w:rsidRPr="00580C0D">
        <w:t>læreplassar</w:t>
      </w:r>
      <w:proofErr w:type="spellEnd"/>
      <w:r w:rsidRPr="00580C0D">
        <w:t xml:space="preserve"> (2022–2026).</w:t>
      </w:r>
    </w:p>
    <w:p w14:paraId="0C702B63"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463D2704" w14:textId="77777777" w:rsidR="00F7113A" w:rsidRPr="00580C0D" w:rsidRDefault="00142E5B" w:rsidP="00580C0D">
      <w:pPr>
        <w:pStyle w:val="avsnitt-tittel"/>
      </w:pPr>
      <w:r w:rsidRPr="00580C0D">
        <w:t xml:space="preserve">Undervisningsutstyr i tekniske fag i </w:t>
      </w:r>
      <w:proofErr w:type="spellStart"/>
      <w:r w:rsidRPr="00580C0D">
        <w:t>vidaregåande</w:t>
      </w:r>
      <w:proofErr w:type="spellEnd"/>
      <w:r w:rsidRPr="00580C0D">
        <w:t xml:space="preserve"> opplæring</w:t>
      </w:r>
    </w:p>
    <w:p w14:paraId="330EAB2E" w14:textId="77777777" w:rsidR="00F7113A" w:rsidRPr="00580C0D" w:rsidRDefault="00142E5B" w:rsidP="00580C0D">
      <w:pPr>
        <w:pStyle w:val="avsnitt-undertittel"/>
      </w:pPr>
      <w:r w:rsidRPr="00580C0D">
        <w:t>Vedtak nr. 949, 20. mai 2021</w:t>
      </w:r>
    </w:p>
    <w:p w14:paraId="54C9DEAC" w14:textId="77777777" w:rsidR="00F7113A" w:rsidRPr="00580C0D" w:rsidRDefault="00142E5B" w:rsidP="00580C0D">
      <w:pPr>
        <w:pStyle w:val="blokksit"/>
        <w:rPr>
          <w:rStyle w:val="kursiv"/>
        </w:rPr>
      </w:pPr>
      <w:r w:rsidRPr="00580C0D">
        <w:rPr>
          <w:rStyle w:val="kursiv"/>
        </w:rPr>
        <w:t>Stortinget ber regjeringen tilrettelegge for at det utvikles en bransjestandard med et minimumsnivå for undervisningsutstyr i tekniske fag i videregående skoler. Det er arbeidet med en bransjestandard for Teknikk og industriell produksjon (TIP). En slik standard kan følges opp med en samordning av innkjøp og vedlikehold av utstyret.</w:t>
      </w:r>
    </w:p>
    <w:p w14:paraId="5F7059F4"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Dok</w:t>
      </w:r>
      <w:proofErr w:type="spellEnd"/>
      <w:r w:rsidRPr="00580C0D">
        <w:t xml:space="preserve">. 8:282 S (2020–2021) </w:t>
      </w:r>
      <w:r w:rsidRPr="00580C0D">
        <w:rPr>
          <w:rStyle w:val="kursiv"/>
        </w:rPr>
        <w:t xml:space="preserve">Representantforslag fra Hanne Dyveke </w:t>
      </w:r>
      <w:proofErr w:type="spellStart"/>
      <w:r w:rsidRPr="00580C0D">
        <w:rPr>
          <w:rStyle w:val="kursiv"/>
        </w:rPr>
        <w:t>Søttar</w:t>
      </w:r>
      <w:proofErr w:type="spellEnd"/>
      <w:r w:rsidRPr="00580C0D">
        <w:rPr>
          <w:rStyle w:val="kursiv"/>
        </w:rPr>
        <w:t xml:space="preserve">, Hans Andreas </w:t>
      </w:r>
      <w:proofErr w:type="spellStart"/>
      <w:r w:rsidRPr="00580C0D">
        <w:rPr>
          <w:rStyle w:val="kursiv"/>
        </w:rPr>
        <w:t>Limi</w:t>
      </w:r>
      <w:proofErr w:type="spellEnd"/>
      <w:r w:rsidRPr="00580C0D">
        <w:rPr>
          <w:rStyle w:val="kursiv"/>
        </w:rPr>
        <w:t>, Roy Steffensen, Silje Hjemdal, Terje Halleland om et yrkesfagløft for verdiskaping</w:t>
      </w:r>
      <w:r w:rsidRPr="00580C0D">
        <w:t xml:space="preserve">, jf. </w:t>
      </w:r>
      <w:proofErr w:type="spellStart"/>
      <w:r w:rsidRPr="00580C0D">
        <w:t>Innst</w:t>
      </w:r>
      <w:proofErr w:type="spellEnd"/>
      <w:r w:rsidRPr="00580C0D">
        <w:t>. 414 S (2020–2021).</w:t>
      </w:r>
    </w:p>
    <w:p w14:paraId="7437CDF0" w14:textId="77777777" w:rsidR="00F7113A" w:rsidRPr="00580C0D" w:rsidRDefault="00142E5B" w:rsidP="00580C0D">
      <w:proofErr w:type="spellStart"/>
      <w:r w:rsidRPr="00580C0D">
        <w:t>Fylkeskommunane</w:t>
      </w:r>
      <w:proofErr w:type="spellEnd"/>
      <w:r w:rsidRPr="00580C0D">
        <w:t xml:space="preserve"> har ansvaret for at </w:t>
      </w:r>
      <w:proofErr w:type="spellStart"/>
      <w:r w:rsidRPr="00580C0D">
        <w:t>dei</w:t>
      </w:r>
      <w:proofErr w:type="spellEnd"/>
      <w:r w:rsidRPr="00580C0D">
        <w:t xml:space="preserve"> </w:t>
      </w:r>
      <w:proofErr w:type="spellStart"/>
      <w:r w:rsidRPr="00580C0D">
        <w:t>vidaregåande</w:t>
      </w:r>
      <w:proofErr w:type="spellEnd"/>
      <w:r w:rsidRPr="00580C0D">
        <w:t xml:space="preserve"> </w:t>
      </w:r>
      <w:proofErr w:type="spellStart"/>
      <w:r w:rsidRPr="00580C0D">
        <w:t>skulane</w:t>
      </w:r>
      <w:proofErr w:type="spellEnd"/>
      <w:r w:rsidRPr="00580C0D">
        <w:t xml:space="preserve"> har tilgang til relevant utstyr, slik at undervisninga er i tråd med kompetansemåla i læreplanen. </w:t>
      </w:r>
      <w:proofErr w:type="spellStart"/>
      <w:r w:rsidRPr="00580C0D">
        <w:t>Skulane</w:t>
      </w:r>
      <w:proofErr w:type="spellEnd"/>
      <w:r w:rsidRPr="00580C0D">
        <w:t xml:space="preserve"> og </w:t>
      </w:r>
      <w:proofErr w:type="spellStart"/>
      <w:r w:rsidRPr="00580C0D">
        <w:t>lærarane</w:t>
      </w:r>
      <w:proofErr w:type="spellEnd"/>
      <w:r w:rsidRPr="00580C0D">
        <w:t xml:space="preserve"> har stor grad av fridom i val av metode, og </w:t>
      </w:r>
      <w:proofErr w:type="spellStart"/>
      <w:r w:rsidRPr="00580C0D">
        <w:t>dei</w:t>
      </w:r>
      <w:proofErr w:type="spellEnd"/>
      <w:r w:rsidRPr="00580C0D">
        <w:t xml:space="preserve"> har lokalt handlingsrom </w:t>
      </w:r>
      <w:proofErr w:type="spellStart"/>
      <w:r w:rsidRPr="00580C0D">
        <w:t>innanfor</w:t>
      </w:r>
      <w:proofErr w:type="spellEnd"/>
      <w:r w:rsidRPr="00580C0D">
        <w:t xml:space="preserve"> læreplanen når det gjeld korleis opplæringa blir organisert. Regjeringa vil gjennom </w:t>
      </w:r>
      <w:proofErr w:type="spellStart"/>
      <w:r w:rsidRPr="00580C0D">
        <w:t>tillitsreforma</w:t>
      </w:r>
      <w:proofErr w:type="spellEnd"/>
      <w:r w:rsidRPr="00580C0D">
        <w:t xml:space="preserve"> styrke det lokale handlingsrommet, og unngå unødvendige </w:t>
      </w:r>
      <w:proofErr w:type="spellStart"/>
      <w:r w:rsidRPr="00580C0D">
        <w:t>statlege</w:t>
      </w:r>
      <w:proofErr w:type="spellEnd"/>
      <w:r w:rsidRPr="00580C0D">
        <w:t xml:space="preserve"> krav og styring. </w:t>
      </w:r>
      <w:proofErr w:type="spellStart"/>
      <w:r w:rsidRPr="00580C0D">
        <w:t>Fylkeskommunar</w:t>
      </w:r>
      <w:proofErr w:type="spellEnd"/>
      <w:r w:rsidRPr="00580C0D">
        <w:t xml:space="preserve"> og </w:t>
      </w:r>
      <w:proofErr w:type="spellStart"/>
      <w:r w:rsidRPr="00580C0D">
        <w:t>skular</w:t>
      </w:r>
      <w:proofErr w:type="spellEnd"/>
      <w:r w:rsidRPr="00580C0D">
        <w:t xml:space="preserve"> kan, i tråd med det lokale handlingsrommet, utvikle lokale </w:t>
      </w:r>
      <w:proofErr w:type="spellStart"/>
      <w:r w:rsidRPr="00580C0D">
        <w:t>minstestandardar</w:t>
      </w:r>
      <w:proofErr w:type="spellEnd"/>
      <w:r w:rsidRPr="00580C0D">
        <w:t xml:space="preserve"> ved behov for å sikre </w:t>
      </w:r>
      <w:proofErr w:type="spellStart"/>
      <w:r w:rsidRPr="00580C0D">
        <w:t>tilstrekkeleg</w:t>
      </w:r>
      <w:proofErr w:type="spellEnd"/>
      <w:r w:rsidRPr="00580C0D">
        <w:t xml:space="preserve"> utstyr i samarbeid med lokalt næringsliv.</w:t>
      </w:r>
    </w:p>
    <w:p w14:paraId="1BE46A66" w14:textId="77777777" w:rsidR="00F7113A" w:rsidRPr="00580C0D" w:rsidRDefault="00142E5B" w:rsidP="00580C0D">
      <w:proofErr w:type="spellStart"/>
      <w:r w:rsidRPr="00580C0D">
        <w:t>Minstestandardar</w:t>
      </w:r>
      <w:proofErr w:type="spellEnd"/>
      <w:r w:rsidRPr="00580C0D">
        <w:t xml:space="preserve"> kan bli oppfatta som </w:t>
      </w:r>
      <w:proofErr w:type="spellStart"/>
      <w:r w:rsidRPr="00580C0D">
        <w:t>ein</w:t>
      </w:r>
      <w:proofErr w:type="spellEnd"/>
      <w:r w:rsidRPr="00580C0D">
        <w:t xml:space="preserve"> standard, slik at </w:t>
      </w:r>
      <w:proofErr w:type="spellStart"/>
      <w:r w:rsidRPr="00580C0D">
        <w:t>skular</w:t>
      </w:r>
      <w:proofErr w:type="spellEnd"/>
      <w:r w:rsidRPr="00580C0D">
        <w:t xml:space="preserve"> som </w:t>
      </w:r>
      <w:proofErr w:type="spellStart"/>
      <w:r w:rsidRPr="00580C0D">
        <w:t>elles</w:t>
      </w:r>
      <w:proofErr w:type="spellEnd"/>
      <w:r w:rsidRPr="00580C0D">
        <w:t xml:space="preserve"> ville hatt betre utstyr, </w:t>
      </w:r>
      <w:proofErr w:type="spellStart"/>
      <w:r w:rsidRPr="00580C0D">
        <w:t>legg</w:t>
      </w:r>
      <w:proofErr w:type="spellEnd"/>
      <w:r w:rsidRPr="00580C0D">
        <w:t xml:space="preserve"> seg på minstestandarden. Det er </w:t>
      </w:r>
      <w:proofErr w:type="spellStart"/>
      <w:r w:rsidRPr="00580C0D">
        <w:t>utfordrande</w:t>
      </w:r>
      <w:proofErr w:type="spellEnd"/>
      <w:r w:rsidRPr="00580C0D">
        <w:t xml:space="preserve"> å lage nasjonale og bransjespesifikke </w:t>
      </w:r>
      <w:proofErr w:type="spellStart"/>
      <w:r w:rsidRPr="00580C0D">
        <w:t>minstestandardar</w:t>
      </w:r>
      <w:proofErr w:type="spellEnd"/>
      <w:r w:rsidRPr="00580C0D">
        <w:t xml:space="preserve"> som </w:t>
      </w:r>
      <w:proofErr w:type="spellStart"/>
      <w:r w:rsidRPr="00580C0D">
        <w:t>tek</w:t>
      </w:r>
      <w:proofErr w:type="spellEnd"/>
      <w:r w:rsidRPr="00580C0D">
        <w:t xml:space="preserve"> omsyn til at det er stor variasjon mellom </w:t>
      </w:r>
      <w:proofErr w:type="spellStart"/>
      <w:r w:rsidRPr="00580C0D">
        <w:t>fylkeskommunane</w:t>
      </w:r>
      <w:proofErr w:type="spellEnd"/>
      <w:r w:rsidRPr="00580C0D">
        <w:t xml:space="preserve"> i kva utdanningsprogram og programområde som er </w:t>
      </w:r>
      <w:proofErr w:type="spellStart"/>
      <w:r w:rsidRPr="00580C0D">
        <w:t>tilbodne</w:t>
      </w:r>
      <w:proofErr w:type="spellEnd"/>
      <w:r w:rsidRPr="00580C0D">
        <w:t xml:space="preserve">. Til dømes kan behova for utstyr i same utdanningsprogram variere mellom ulike </w:t>
      </w:r>
      <w:proofErr w:type="spellStart"/>
      <w:r w:rsidRPr="00580C0D">
        <w:t>delar</w:t>
      </w:r>
      <w:proofErr w:type="spellEnd"/>
      <w:r w:rsidRPr="00580C0D">
        <w:t xml:space="preserve"> av landet, basert på det lokale næringslivet. Det vil òg </w:t>
      </w:r>
      <w:proofErr w:type="spellStart"/>
      <w:r w:rsidRPr="00580C0D">
        <w:t>vere</w:t>
      </w:r>
      <w:proofErr w:type="spellEnd"/>
      <w:r w:rsidRPr="00580C0D">
        <w:t xml:space="preserve"> </w:t>
      </w:r>
      <w:proofErr w:type="spellStart"/>
      <w:r w:rsidRPr="00580C0D">
        <w:t>krevjande</w:t>
      </w:r>
      <w:proofErr w:type="spellEnd"/>
      <w:r w:rsidRPr="00580C0D">
        <w:t xml:space="preserve"> å forvalte og </w:t>
      </w:r>
      <w:proofErr w:type="spellStart"/>
      <w:r w:rsidRPr="00580C0D">
        <w:t>halde</w:t>
      </w:r>
      <w:proofErr w:type="spellEnd"/>
      <w:r w:rsidRPr="00580C0D">
        <w:t xml:space="preserve"> ved like </w:t>
      </w:r>
      <w:proofErr w:type="spellStart"/>
      <w:r w:rsidRPr="00580C0D">
        <w:t>ein</w:t>
      </w:r>
      <w:proofErr w:type="spellEnd"/>
      <w:r w:rsidRPr="00580C0D">
        <w:t xml:space="preserve"> minstestandard som er oppdatert og relevant. Ulike </w:t>
      </w:r>
      <w:proofErr w:type="spellStart"/>
      <w:r w:rsidRPr="00580C0D">
        <w:t>tilnærmingar</w:t>
      </w:r>
      <w:proofErr w:type="spellEnd"/>
      <w:r w:rsidRPr="00580C0D">
        <w:t xml:space="preserve"> til korleis utstyret blir gjort </w:t>
      </w:r>
      <w:proofErr w:type="spellStart"/>
      <w:r w:rsidRPr="00580C0D">
        <w:t>tilgjengeleg</w:t>
      </w:r>
      <w:proofErr w:type="spellEnd"/>
      <w:r w:rsidRPr="00580C0D">
        <w:t xml:space="preserve"> for </w:t>
      </w:r>
      <w:proofErr w:type="spellStart"/>
      <w:r w:rsidRPr="00580C0D">
        <w:t>elevane</w:t>
      </w:r>
      <w:proofErr w:type="spellEnd"/>
      <w:r w:rsidRPr="00580C0D">
        <w:t xml:space="preserve">, til dømes gjennom ulik grad av utstyrssamarbeid eller </w:t>
      </w:r>
      <w:proofErr w:type="spellStart"/>
      <w:r w:rsidRPr="00580C0D">
        <w:t>varierande</w:t>
      </w:r>
      <w:proofErr w:type="spellEnd"/>
      <w:r w:rsidRPr="00580C0D">
        <w:t xml:space="preserve"> samarbeid med næringslivet, er òg </w:t>
      </w:r>
      <w:proofErr w:type="spellStart"/>
      <w:r w:rsidRPr="00580C0D">
        <w:t>ein</w:t>
      </w:r>
      <w:proofErr w:type="spellEnd"/>
      <w:r w:rsidRPr="00580C0D">
        <w:t xml:space="preserve"> faktor som kan </w:t>
      </w:r>
      <w:proofErr w:type="spellStart"/>
      <w:r w:rsidRPr="00580C0D">
        <w:t>gjere</w:t>
      </w:r>
      <w:proofErr w:type="spellEnd"/>
      <w:r w:rsidRPr="00580C0D">
        <w:t xml:space="preserve"> det </w:t>
      </w:r>
      <w:proofErr w:type="spellStart"/>
      <w:r w:rsidRPr="00580C0D">
        <w:t>vanskeleg</w:t>
      </w:r>
      <w:proofErr w:type="spellEnd"/>
      <w:r w:rsidRPr="00580C0D">
        <w:t xml:space="preserve"> å lage </w:t>
      </w:r>
      <w:proofErr w:type="spellStart"/>
      <w:r w:rsidRPr="00580C0D">
        <w:t>ein</w:t>
      </w:r>
      <w:proofErr w:type="spellEnd"/>
      <w:r w:rsidRPr="00580C0D">
        <w:t xml:space="preserve"> minstestandard.</w:t>
      </w:r>
    </w:p>
    <w:p w14:paraId="24D2886C" w14:textId="77777777" w:rsidR="00F7113A" w:rsidRPr="00580C0D" w:rsidRDefault="00142E5B" w:rsidP="00580C0D">
      <w:r w:rsidRPr="00580C0D">
        <w:t xml:space="preserve">Regjeringa har gjennomført </w:t>
      </w:r>
      <w:proofErr w:type="spellStart"/>
      <w:r w:rsidRPr="00580C0D">
        <w:t>eit</w:t>
      </w:r>
      <w:proofErr w:type="spellEnd"/>
      <w:r w:rsidRPr="00580C0D">
        <w:t xml:space="preserve"> forsøk med ulike </w:t>
      </w:r>
      <w:proofErr w:type="spellStart"/>
      <w:r w:rsidRPr="00580C0D">
        <w:t>modellar</w:t>
      </w:r>
      <w:proofErr w:type="spellEnd"/>
      <w:r w:rsidRPr="00580C0D">
        <w:t xml:space="preserve"> for </w:t>
      </w:r>
      <w:proofErr w:type="spellStart"/>
      <w:r w:rsidRPr="00580C0D">
        <w:t>tilskot</w:t>
      </w:r>
      <w:proofErr w:type="spellEnd"/>
      <w:r w:rsidRPr="00580C0D">
        <w:t xml:space="preserve"> til </w:t>
      </w:r>
      <w:proofErr w:type="spellStart"/>
      <w:r w:rsidRPr="00580C0D">
        <w:t>investeringar</w:t>
      </w:r>
      <w:proofErr w:type="spellEnd"/>
      <w:r w:rsidRPr="00580C0D">
        <w:t xml:space="preserve"> i utstyr i </w:t>
      </w:r>
      <w:proofErr w:type="spellStart"/>
      <w:r w:rsidRPr="00580C0D">
        <w:t>vidaregåande</w:t>
      </w:r>
      <w:proofErr w:type="spellEnd"/>
      <w:r w:rsidRPr="00580C0D">
        <w:t xml:space="preserve"> opplæring som skal bidra til oppdatert og kvalitetssikra utstyr i </w:t>
      </w:r>
      <w:proofErr w:type="spellStart"/>
      <w:r w:rsidRPr="00580C0D">
        <w:t>dei</w:t>
      </w:r>
      <w:proofErr w:type="spellEnd"/>
      <w:r w:rsidRPr="00580C0D">
        <w:t xml:space="preserve"> yrkesfaglege utdanningsprogramma. Målet var å finne ut </w:t>
      </w:r>
      <w:proofErr w:type="spellStart"/>
      <w:r w:rsidRPr="00580C0D">
        <w:t>kva</w:t>
      </w:r>
      <w:proofErr w:type="spellEnd"/>
      <w:r w:rsidRPr="00580C0D">
        <w:t xml:space="preserve"> modell som kan </w:t>
      </w:r>
      <w:proofErr w:type="spellStart"/>
      <w:r w:rsidRPr="00580C0D">
        <w:t>vere</w:t>
      </w:r>
      <w:proofErr w:type="spellEnd"/>
      <w:r w:rsidRPr="00580C0D">
        <w:t xml:space="preserve"> </w:t>
      </w:r>
      <w:proofErr w:type="spellStart"/>
      <w:r w:rsidRPr="00580C0D">
        <w:t>berekraftig</w:t>
      </w:r>
      <w:proofErr w:type="spellEnd"/>
      <w:r w:rsidRPr="00580C0D">
        <w:t xml:space="preserve"> på sikt, og bidra til stabil finansiering </w:t>
      </w:r>
      <w:proofErr w:type="spellStart"/>
      <w:r w:rsidRPr="00580C0D">
        <w:t>frå</w:t>
      </w:r>
      <w:proofErr w:type="spellEnd"/>
      <w:r w:rsidRPr="00580C0D">
        <w:t xml:space="preserve"> </w:t>
      </w:r>
      <w:proofErr w:type="spellStart"/>
      <w:r w:rsidRPr="00580C0D">
        <w:t>fylkeskommunane</w:t>
      </w:r>
      <w:proofErr w:type="spellEnd"/>
      <w:r w:rsidRPr="00580C0D">
        <w:t xml:space="preserve">. Oslo </w:t>
      </w:r>
      <w:proofErr w:type="spellStart"/>
      <w:r w:rsidRPr="00580C0D">
        <w:t>Economics</w:t>
      </w:r>
      <w:proofErr w:type="spellEnd"/>
      <w:r w:rsidRPr="00580C0D">
        <w:t xml:space="preserve"> og Samfunns- og næringslivsforskning AS har forska på forsøket, og </w:t>
      </w:r>
      <w:proofErr w:type="spellStart"/>
      <w:r w:rsidRPr="00580C0D">
        <w:t>ein</w:t>
      </w:r>
      <w:proofErr w:type="spellEnd"/>
      <w:r w:rsidRPr="00580C0D">
        <w:t xml:space="preserve"> rapport blei publisert i august. Rapporten </w:t>
      </w:r>
      <w:proofErr w:type="spellStart"/>
      <w:r w:rsidRPr="00580C0D">
        <w:t>peikar</w:t>
      </w:r>
      <w:proofErr w:type="spellEnd"/>
      <w:r w:rsidRPr="00580C0D">
        <w:t xml:space="preserve"> mellom anna på at det er usikkert kva for langsiktig effekt </w:t>
      </w:r>
      <w:proofErr w:type="spellStart"/>
      <w:r w:rsidRPr="00580C0D">
        <w:t>tilskotet</w:t>
      </w:r>
      <w:proofErr w:type="spellEnd"/>
      <w:r w:rsidRPr="00580C0D">
        <w:t xml:space="preserve"> som blei gitt i samband med forsøket, vil ha. Regjeringa vil vurdere </w:t>
      </w:r>
      <w:proofErr w:type="spellStart"/>
      <w:r w:rsidRPr="00580C0D">
        <w:t>kva</w:t>
      </w:r>
      <w:proofErr w:type="spellEnd"/>
      <w:r w:rsidRPr="00580C0D">
        <w:t xml:space="preserve"> som bør </w:t>
      </w:r>
      <w:proofErr w:type="spellStart"/>
      <w:r w:rsidRPr="00580C0D">
        <w:t>gjerast</w:t>
      </w:r>
      <w:proofErr w:type="spellEnd"/>
      <w:r w:rsidRPr="00580C0D">
        <w:t xml:space="preserve"> </w:t>
      </w:r>
      <w:proofErr w:type="spellStart"/>
      <w:r w:rsidRPr="00580C0D">
        <w:t>vidare</w:t>
      </w:r>
      <w:proofErr w:type="spellEnd"/>
      <w:r w:rsidRPr="00580C0D">
        <w:t xml:space="preserve"> på dette området etter at rapporten er klar. Samstundes vil </w:t>
      </w:r>
      <w:proofErr w:type="spellStart"/>
      <w:r w:rsidRPr="00580C0D">
        <w:t>ikkje</w:t>
      </w:r>
      <w:proofErr w:type="spellEnd"/>
      <w:r w:rsidRPr="00580C0D">
        <w:t xml:space="preserve"> regjeringa innføre krav til </w:t>
      </w:r>
      <w:proofErr w:type="spellStart"/>
      <w:r w:rsidRPr="00580C0D">
        <w:t>minstestandardar</w:t>
      </w:r>
      <w:proofErr w:type="spellEnd"/>
      <w:r w:rsidRPr="00580C0D">
        <w:t xml:space="preserve"> på teknisk utstyr </w:t>
      </w:r>
      <w:proofErr w:type="spellStart"/>
      <w:r w:rsidRPr="00580C0D">
        <w:t>innanfor</w:t>
      </w:r>
      <w:proofErr w:type="spellEnd"/>
      <w:r w:rsidRPr="00580C0D">
        <w:t xml:space="preserve"> fag- og yrkesopplæringa i tråd med vedtaket.</w:t>
      </w:r>
    </w:p>
    <w:p w14:paraId="3BC86802" w14:textId="77777777" w:rsidR="00F7113A" w:rsidRPr="00580C0D" w:rsidRDefault="00142E5B" w:rsidP="00580C0D">
      <w:r w:rsidRPr="00580C0D">
        <w:t xml:space="preserve">Departementet foreslår derfor at vedtaket blir oppheva, jf. forslag til vedtak </w:t>
      </w:r>
      <w:proofErr w:type="spellStart"/>
      <w:r w:rsidRPr="00580C0D">
        <w:t>X</w:t>
      </w:r>
      <w:proofErr w:type="spellEnd"/>
      <w:r w:rsidRPr="00580C0D">
        <w:t>.</w:t>
      </w:r>
    </w:p>
    <w:p w14:paraId="124AE73A" w14:textId="77777777" w:rsidR="00F7113A" w:rsidRPr="00580C0D" w:rsidRDefault="00142E5B" w:rsidP="00580C0D">
      <w:pPr>
        <w:pStyle w:val="avsnitt-tittel"/>
      </w:pPr>
      <w:proofErr w:type="spellStart"/>
      <w:r w:rsidRPr="00580C0D">
        <w:t>Opplæringslova</w:t>
      </w:r>
      <w:proofErr w:type="spellEnd"/>
      <w:r w:rsidRPr="00580C0D">
        <w:t>, barnehagelova og FNs barnekonvensjon</w:t>
      </w:r>
    </w:p>
    <w:p w14:paraId="5E954F05" w14:textId="77777777" w:rsidR="00F7113A" w:rsidRPr="00580C0D" w:rsidRDefault="00142E5B" w:rsidP="00580C0D">
      <w:pPr>
        <w:pStyle w:val="avsnitt-undertittel"/>
      </w:pPr>
      <w:r w:rsidRPr="00580C0D">
        <w:t>Vedtak nr. 1017, 27. mai 2021</w:t>
      </w:r>
    </w:p>
    <w:p w14:paraId="21056070" w14:textId="77777777" w:rsidR="00F7113A" w:rsidRPr="00580C0D" w:rsidRDefault="00142E5B" w:rsidP="00580C0D">
      <w:pPr>
        <w:pStyle w:val="blokksit"/>
        <w:rPr>
          <w:rStyle w:val="kursiv"/>
        </w:rPr>
      </w:pPr>
      <w:r w:rsidRPr="00580C0D">
        <w:rPr>
          <w:rStyle w:val="kursiv"/>
        </w:rPr>
        <w:t xml:space="preserve">Stortinget ber regjeringa sikre at ny opplæringslov og barnehagelov er i tråd med FNs barnekonvensjon sine </w:t>
      </w:r>
      <w:proofErr w:type="spellStart"/>
      <w:r w:rsidRPr="00580C0D">
        <w:rPr>
          <w:rStyle w:val="kursiv"/>
        </w:rPr>
        <w:t>grunnleggjande</w:t>
      </w:r>
      <w:proofErr w:type="spellEnd"/>
      <w:r w:rsidRPr="00580C0D">
        <w:rPr>
          <w:rStyle w:val="kursiv"/>
        </w:rPr>
        <w:t xml:space="preserve"> </w:t>
      </w:r>
      <w:proofErr w:type="spellStart"/>
      <w:r w:rsidRPr="00580C0D">
        <w:rPr>
          <w:rStyle w:val="kursiv"/>
        </w:rPr>
        <w:t>rettar</w:t>
      </w:r>
      <w:proofErr w:type="spellEnd"/>
      <w:r w:rsidRPr="00580C0D">
        <w:rPr>
          <w:rStyle w:val="kursiv"/>
        </w:rPr>
        <w:t xml:space="preserve"> for framgangsmåte om barns rett til informasjon, til å uttale seg fritt, barns rett til privatliv og at alle </w:t>
      </w:r>
      <w:proofErr w:type="spellStart"/>
      <w:r w:rsidRPr="00580C0D">
        <w:rPr>
          <w:rStyle w:val="kursiv"/>
        </w:rPr>
        <w:t>handlingar</w:t>
      </w:r>
      <w:proofErr w:type="spellEnd"/>
      <w:r w:rsidRPr="00580C0D">
        <w:rPr>
          <w:rStyle w:val="kursiv"/>
        </w:rPr>
        <w:t xml:space="preserve"> og avgjerder som </w:t>
      </w:r>
      <w:proofErr w:type="spellStart"/>
      <w:r w:rsidRPr="00580C0D">
        <w:rPr>
          <w:rStyle w:val="kursiv"/>
        </w:rPr>
        <w:t>omhandlar</w:t>
      </w:r>
      <w:proofErr w:type="spellEnd"/>
      <w:r w:rsidRPr="00580C0D">
        <w:rPr>
          <w:rStyle w:val="kursiv"/>
        </w:rPr>
        <w:t xml:space="preserve"> barn, blir gjorde til barnets beste</w:t>
      </w:r>
      <w:r w:rsidRPr="00580C0D">
        <w:t>.</w:t>
      </w:r>
    </w:p>
    <w:p w14:paraId="6651788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145 L (2020–2021) </w:t>
      </w:r>
      <w:proofErr w:type="spellStart"/>
      <w:r w:rsidRPr="00580C0D">
        <w:rPr>
          <w:rStyle w:val="kursiv"/>
        </w:rPr>
        <w:t>Endringar</w:t>
      </w:r>
      <w:proofErr w:type="spellEnd"/>
      <w:r w:rsidRPr="00580C0D">
        <w:rPr>
          <w:rStyle w:val="kursiv"/>
        </w:rPr>
        <w:t xml:space="preserve"> i opplæringslova, </w:t>
      </w:r>
      <w:proofErr w:type="spellStart"/>
      <w:r w:rsidRPr="00580C0D">
        <w:rPr>
          <w:rStyle w:val="kursiv"/>
        </w:rPr>
        <w:t>friskulelova</w:t>
      </w:r>
      <w:proofErr w:type="spellEnd"/>
      <w:r w:rsidRPr="00580C0D">
        <w:rPr>
          <w:rStyle w:val="kursiv"/>
        </w:rPr>
        <w:t xml:space="preserve"> og barnehagelova (behandling av </w:t>
      </w:r>
      <w:proofErr w:type="spellStart"/>
      <w:r w:rsidRPr="00580C0D">
        <w:rPr>
          <w:rStyle w:val="kursiv"/>
        </w:rPr>
        <w:t>personopplysningar</w:t>
      </w:r>
      <w:proofErr w:type="spellEnd"/>
      <w:r w:rsidRPr="00580C0D">
        <w:rPr>
          <w:rStyle w:val="kursiv"/>
        </w:rPr>
        <w:t>, fjernundervisning o.a.)</w:t>
      </w:r>
      <w:r w:rsidRPr="00580C0D">
        <w:t xml:space="preserve">, jf. </w:t>
      </w:r>
      <w:proofErr w:type="spellStart"/>
      <w:r w:rsidRPr="00580C0D">
        <w:t>Innst</w:t>
      </w:r>
      <w:proofErr w:type="spellEnd"/>
      <w:r w:rsidRPr="00580C0D">
        <w:t>. 512 L (2020–2021).</w:t>
      </w:r>
    </w:p>
    <w:p w14:paraId="5E8AF7EA" w14:textId="77777777" w:rsidR="00F7113A" w:rsidRPr="00580C0D" w:rsidRDefault="00142E5B" w:rsidP="00580C0D">
      <w:r w:rsidRPr="00580C0D">
        <w:t xml:space="preserve">Når det </w:t>
      </w:r>
      <w:proofErr w:type="spellStart"/>
      <w:r w:rsidRPr="00580C0D">
        <w:t>gjeld</w:t>
      </w:r>
      <w:proofErr w:type="spellEnd"/>
      <w:r w:rsidRPr="00580C0D">
        <w:t xml:space="preserve"> den delen av oppmodingsvedtaket som gjeld barnehagelova, meiner departementet at </w:t>
      </w:r>
      <w:proofErr w:type="spellStart"/>
      <w:r w:rsidRPr="00580C0D">
        <w:t>dei</w:t>
      </w:r>
      <w:proofErr w:type="spellEnd"/>
      <w:r w:rsidRPr="00580C0D">
        <w:t xml:space="preserve"> </w:t>
      </w:r>
      <w:proofErr w:type="spellStart"/>
      <w:r w:rsidRPr="00580C0D">
        <w:t>grunnleggande</w:t>
      </w:r>
      <w:proofErr w:type="spellEnd"/>
      <w:r w:rsidRPr="00580C0D">
        <w:t xml:space="preserve"> </w:t>
      </w:r>
      <w:proofErr w:type="spellStart"/>
      <w:r w:rsidRPr="00580C0D">
        <w:t>rettane</w:t>
      </w:r>
      <w:proofErr w:type="spellEnd"/>
      <w:r w:rsidRPr="00580C0D">
        <w:t xml:space="preserve"> i FNs barnekonvensjon og prinsippet om barnets beste er </w:t>
      </w:r>
      <w:proofErr w:type="spellStart"/>
      <w:r w:rsidRPr="00580C0D">
        <w:t>tekne</w:t>
      </w:r>
      <w:proofErr w:type="spellEnd"/>
      <w:r w:rsidRPr="00580C0D">
        <w:t xml:space="preserve"> vare på gjennom barnehagelova § 3 om barns rett til </w:t>
      </w:r>
      <w:proofErr w:type="spellStart"/>
      <w:r w:rsidRPr="00580C0D">
        <w:t>medverknad</w:t>
      </w:r>
      <w:proofErr w:type="spellEnd"/>
      <w:r w:rsidRPr="00580C0D">
        <w:t xml:space="preserve"> og omsynet til barnets beste. Føresegna er endra </w:t>
      </w:r>
      <w:proofErr w:type="spellStart"/>
      <w:r w:rsidRPr="00580C0D">
        <w:t>frå</w:t>
      </w:r>
      <w:proofErr w:type="spellEnd"/>
      <w:r w:rsidRPr="00580C0D">
        <w:t xml:space="preserve"> 1. januar 2021, jf. </w:t>
      </w:r>
      <w:proofErr w:type="spellStart"/>
      <w:r w:rsidRPr="00580C0D">
        <w:t>Prop</w:t>
      </w:r>
      <w:proofErr w:type="spellEnd"/>
      <w:r w:rsidRPr="00580C0D">
        <w:t xml:space="preserve">. 96 L (2019–2020). Det er </w:t>
      </w:r>
      <w:proofErr w:type="spellStart"/>
      <w:r w:rsidRPr="00580C0D">
        <w:t>no</w:t>
      </w:r>
      <w:proofErr w:type="spellEnd"/>
      <w:r w:rsidRPr="00580C0D">
        <w:t xml:space="preserve"> lovfesta at barn i barnehagen har rett til å gi uttrykk for sitt syn på den </w:t>
      </w:r>
      <w:proofErr w:type="spellStart"/>
      <w:r w:rsidRPr="00580C0D">
        <w:t>daglege</w:t>
      </w:r>
      <w:proofErr w:type="spellEnd"/>
      <w:r w:rsidRPr="00580C0D">
        <w:t xml:space="preserve"> </w:t>
      </w:r>
      <w:proofErr w:type="spellStart"/>
      <w:r w:rsidRPr="00580C0D">
        <w:t>verksemda</w:t>
      </w:r>
      <w:proofErr w:type="spellEnd"/>
      <w:r w:rsidRPr="00580C0D">
        <w:t xml:space="preserve"> i barnehagen og i saker som </w:t>
      </w:r>
      <w:proofErr w:type="spellStart"/>
      <w:r w:rsidRPr="00580C0D">
        <w:t>gjeld</w:t>
      </w:r>
      <w:proofErr w:type="spellEnd"/>
      <w:r w:rsidRPr="00580C0D">
        <w:t xml:space="preserve"> </w:t>
      </w:r>
      <w:proofErr w:type="spellStart"/>
      <w:r w:rsidRPr="00580C0D">
        <w:t>dei</w:t>
      </w:r>
      <w:proofErr w:type="spellEnd"/>
      <w:r w:rsidRPr="00580C0D">
        <w:t xml:space="preserve"> sjølve, og at det som er best for barnet, skal </w:t>
      </w:r>
      <w:proofErr w:type="spellStart"/>
      <w:r w:rsidRPr="00580C0D">
        <w:t>vere</w:t>
      </w:r>
      <w:proofErr w:type="spellEnd"/>
      <w:r w:rsidRPr="00580C0D">
        <w:t xml:space="preserve"> </w:t>
      </w:r>
      <w:proofErr w:type="spellStart"/>
      <w:r w:rsidRPr="00580C0D">
        <w:t>eit</w:t>
      </w:r>
      <w:proofErr w:type="spellEnd"/>
      <w:r w:rsidRPr="00580C0D">
        <w:t xml:space="preserve"> </w:t>
      </w:r>
      <w:proofErr w:type="spellStart"/>
      <w:r w:rsidRPr="00580C0D">
        <w:t>grunnleggande</w:t>
      </w:r>
      <w:proofErr w:type="spellEnd"/>
      <w:r w:rsidRPr="00580C0D">
        <w:t xml:space="preserve"> omsyn i alle </w:t>
      </w:r>
      <w:proofErr w:type="spellStart"/>
      <w:r w:rsidRPr="00580C0D">
        <w:t>handlingar</w:t>
      </w:r>
      <w:proofErr w:type="spellEnd"/>
      <w:r w:rsidRPr="00580C0D">
        <w:t xml:space="preserve"> og avgjerder som </w:t>
      </w:r>
      <w:proofErr w:type="spellStart"/>
      <w:r w:rsidRPr="00580C0D">
        <w:t>gjeld</w:t>
      </w:r>
      <w:proofErr w:type="spellEnd"/>
      <w:r w:rsidRPr="00580C0D">
        <w:t xml:space="preserve"> barn i barnehagen. Dei </w:t>
      </w:r>
      <w:proofErr w:type="spellStart"/>
      <w:r w:rsidRPr="00580C0D">
        <w:t>grunnleggande</w:t>
      </w:r>
      <w:proofErr w:type="spellEnd"/>
      <w:r w:rsidRPr="00580C0D">
        <w:t xml:space="preserve"> </w:t>
      </w:r>
      <w:proofErr w:type="spellStart"/>
      <w:r w:rsidRPr="00580C0D">
        <w:t>rettane</w:t>
      </w:r>
      <w:proofErr w:type="spellEnd"/>
      <w:r w:rsidRPr="00580C0D">
        <w:t xml:space="preserve"> i barnekonvensjonen er òg omtalte </w:t>
      </w:r>
      <w:proofErr w:type="spellStart"/>
      <w:r w:rsidRPr="00580C0D">
        <w:t>fleire</w:t>
      </w:r>
      <w:proofErr w:type="spellEnd"/>
      <w:r w:rsidRPr="00580C0D">
        <w:t xml:space="preserve"> </w:t>
      </w:r>
      <w:proofErr w:type="spellStart"/>
      <w:r w:rsidRPr="00580C0D">
        <w:t>stadar</w:t>
      </w:r>
      <w:proofErr w:type="spellEnd"/>
      <w:r w:rsidRPr="00580C0D">
        <w:t xml:space="preserve"> i forskrift om rammeplan for barnehagens </w:t>
      </w:r>
      <w:proofErr w:type="spellStart"/>
      <w:r w:rsidRPr="00580C0D">
        <w:t>innhald</w:t>
      </w:r>
      <w:proofErr w:type="spellEnd"/>
      <w:r w:rsidRPr="00580C0D">
        <w:t xml:space="preserve"> og </w:t>
      </w:r>
      <w:proofErr w:type="spellStart"/>
      <w:r w:rsidRPr="00580C0D">
        <w:t>oppgåver</w:t>
      </w:r>
      <w:proofErr w:type="spellEnd"/>
      <w:r w:rsidRPr="00580C0D">
        <w:t>.</w:t>
      </w:r>
    </w:p>
    <w:p w14:paraId="1455B06A" w14:textId="77777777" w:rsidR="00F7113A" w:rsidRPr="00580C0D" w:rsidRDefault="00142E5B" w:rsidP="00580C0D">
      <w:r w:rsidRPr="00580C0D">
        <w:t xml:space="preserve">Når det </w:t>
      </w:r>
      <w:proofErr w:type="spellStart"/>
      <w:r w:rsidRPr="00580C0D">
        <w:t>gjeld</w:t>
      </w:r>
      <w:proofErr w:type="spellEnd"/>
      <w:r w:rsidRPr="00580C0D">
        <w:t xml:space="preserve"> den delen av oppmodingsvedtaket som gjeld </w:t>
      </w:r>
      <w:proofErr w:type="spellStart"/>
      <w:r w:rsidRPr="00580C0D">
        <w:t>opplæringslova</w:t>
      </w:r>
      <w:proofErr w:type="spellEnd"/>
      <w:r w:rsidRPr="00580C0D">
        <w:t xml:space="preserve">, meiner departementet at den er blitt </w:t>
      </w:r>
      <w:proofErr w:type="spellStart"/>
      <w:r w:rsidRPr="00580C0D">
        <w:t>følgd</w:t>
      </w:r>
      <w:proofErr w:type="spellEnd"/>
      <w:r w:rsidRPr="00580C0D">
        <w:t xml:space="preserve"> opp i forslaget til ny opplæringslov som blei sendt til Stortinget våren 2023, jf. </w:t>
      </w:r>
      <w:proofErr w:type="spellStart"/>
      <w:r w:rsidRPr="00580C0D">
        <w:t>Prop</w:t>
      </w:r>
      <w:proofErr w:type="spellEnd"/>
      <w:r w:rsidRPr="00580C0D">
        <w:t xml:space="preserve">. 57 L (2022–2023) og </w:t>
      </w:r>
      <w:proofErr w:type="spellStart"/>
      <w:r w:rsidRPr="00580C0D">
        <w:t>vedteke</w:t>
      </w:r>
      <w:proofErr w:type="spellEnd"/>
      <w:r w:rsidRPr="00580C0D">
        <w:t xml:space="preserve"> av Stortinget 5. juni 2023. Lova skal etter planen ta til å gjelde 1. august 2024. I lova er det </w:t>
      </w:r>
      <w:proofErr w:type="spellStart"/>
      <w:r w:rsidRPr="00580C0D">
        <w:t>teke</w:t>
      </w:r>
      <w:proofErr w:type="spellEnd"/>
      <w:r w:rsidRPr="00580C0D">
        <w:t xml:space="preserve"> inn føresegner om at </w:t>
      </w:r>
      <w:proofErr w:type="spellStart"/>
      <w:r w:rsidRPr="00580C0D">
        <w:t>elevane</w:t>
      </w:r>
      <w:proofErr w:type="spellEnd"/>
      <w:r w:rsidRPr="00580C0D">
        <w:t xml:space="preserve"> har rett til </w:t>
      </w:r>
      <w:proofErr w:type="spellStart"/>
      <w:r w:rsidRPr="00580C0D">
        <w:t>medverknad</w:t>
      </w:r>
      <w:proofErr w:type="spellEnd"/>
      <w:r w:rsidRPr="00580C0D">
        <w:t xml:space="preserve"> og til å ytre </w:t>
      </w:r>
      <w:proofErr w:type="spellStart"/>
      <w:r w:rsidRPr="00580C0D">
        <w:t>meiningane</w:t>
      </w:r>
      <w:proofErr w:type="spellEnd"/>
      <w:r w:rsidRPr="00580C0D">
        <w:t xml:space="preserve"> sine fritt (§ 10-2), om eleven sitt beste (§ 10-1) og om informasjon til </w:t>
      </w:r>
      <w:proofErr w:type="spellStart"/>
      <w:r w:rsidRPr="00580C0D">
        <w:t>elevane</w:t>
      </w:r>
      <w:proofErr w:type="spellEnd"/>
      <w:r w:rsidRPr="00580C0D">
        <w:t xml:space="preserve"> og foreldra (§ 10-8).</w:t>
      </w:r>
    </w:p>
    <w:p w14:paraId="365D9545"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av vedtaket med dette er </w:t>
      </w:r>
      <w:proofErr w:type="spellStart"/>
      <w:r w:rsidRPr="00580C0D">
        <w:t>følgt</w:t>
      </w:r>
      <w:proofErr w:type="spellEnd"/>
      <w:r w:rsidRPr="00580C0D">
        <w:t xml:space="preserve"> opp.</w:t>
      </w:r>
    </w:p>
    <w:p w14:paraId="3F344BD6" w14:textId="77777777" w:rsidR="00F7113A" w:rsidRPr="00580C0D" w:rsidRDefault="00142E5B" w:rsidP="00580C0D">
      <w:pPr>
        <w:pStyle w:val="avsnitt-tittel"/>
      </w:pPr>
      <w:r w:rsidRPr="00580C0D">
        <w:t>Fjernundervisning og opplæringslova</w:t>
      </w:r>
    </w:p>
    <w:p w14:paraId="544E2D6D" w14:textId="77777777" w:rsidR="00F7113A" w:rsidRPr="00580C0D" w:rsidRDefault="00142E5B" w:rsidP="00580C0D">
      <w:pPr>
        <w:pStyle w:val="avsnitt-undertittel"/>
      </w:pPr>
      <w:r w:rsidRPr="00580C0D">
        <w:t>Vedtak nr. 1018, 20. mai 2021</w:t>
      </w:r>
    </w:p>
    <w:p w14:paraId="5631A2E3" w14:textId="77777777" w:rsidR="00F7113A" w:rsidRPr="00580C0D" w:rsidRDefault="00142E5B" w:rsidP="00580C0D">
      <w:pPr>
        <w:pStyle w:val="blokksit"/>
        <w:rPr>
          <w:rStyle w:val="kursiv"/>
        </w:rPr>
      </w:pPr>
      <w:r w:rsidRPr="00580C0D">
        <w:rPr>
          <w:rStyle w:val="kursiv"/>
        </w:rPr>
        <w:t>Stortinget ber regjeringen komme tilbake med forslag om fjernundervisning i lovproposisjonen om ny opplæringslov</w:t>
      </w:r>
      <w:r w:rsidRPr="00580C0D">
        <w:t>.</w:t>
      </w:r>
    </w:p>
    <w:p w14:paraId="4942B4B5"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145 L (2020–2021)</w:t>
      </w:r>
      <w:r w:rsidRPr="00580C0D">
        <w:rPr>
          <w:rStyle w:val="kursiv"/>
        </w:rPr>
        <w:t xml:space="preserve"> </w:t>
      </w:r>
      <w:proofErr w:type="spellStart"/>
      <w:r w:rsidRPr="00580C0D">
        <w:rPr>
          <w:rStyle w:val="kursiv"/>
        </w:rPr>
        <w:t>Endringar</w:t>
      </w:r>
      <w:proofErr w:type="spellEnd"/>
      <w:r w:rsidRPr="00580C0D">
        <w:rPr>
          <w:rStyle w:val="kursiv"/>
        </w:rPr>
        <w:t xml:space="preserve"> i opplæringslova, </w:t>
      </w:r>
      <w:proofErr w:type="spellStart"/>
      <w:r w:rsidRPr="00580C0D">
        <w:rPr>
          <w:rStyle w:val="kursiv"/>
        </w:rPr>
        <w:t>friskulelova</w:t>
      </w:r>
      <w:proofErr w:type="spellEnd"/>
      <w:r w:rsidRPr="00580C0D">
        <w:rPr>
          <w:rStyle w:val="kursiv"/>
        </w:rPr>
        <w:t xml:space="preserve">, og barnehagelova (behandling av </w:t>
      </w:r>
      <w:proofErr w:type="spellStart"/>
      <w:r w:rsidRPr="00580C0D">
        <w:rPr>
          <w:rStyle w:val="kursiv"/>
        </w:rPr>
        <w:t>personopplysningar</w:t>
      </w:r>
      <w:proofErr w:type="spellEnd"/>
      <w:r w:rsidRPr="00580C0D">
        <w:rPr>
          <w:rStyle w:val="kursiv"/>
        </w:rPr>
        <w:t>, fjernundervisning o.a.)</w:t>
      </w:r>
      <w:r w:rsidRPr="00580C0D">
        <w:t xml:space="preserve">, jf. </w:t>
      </w:r>
      <w:proofErr w:type="spellStart"/>
      <w:r w:rsidRPr="00580C0D">
        <w:t>Innst</w:t>
      </w:r>
      <w:proofErr w:type="spellEnd"/>
      <w:r w:rsidRPr="00580C0D">
        <w:t>. 512 L (2020–2021).</w:t>
      </w:r>
    </w:p>
    <w:p w14:paraId="1F1B6038"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w:t>
      </w:r>
      <w:proofErr w:type="spellStart"/>
      <w:r w:rsidRPr="00580C0D">
        <w:t>Prop</w:t>
      </w:r>
      <w:proofErr w:type="spellEnd"/>
      <w:r w:rsidRPr="00580C0D">
        <w:t xml:space="preserve">. 57 L (2022–2023), som blei lagd fram for Stortinget 24. mars 2023 og behandla 5. juni 2023. Departementet viser til </w:t>
      </w:r>
      <w:proofErr w:type="spellStart"/>
      <w:r w:rsidRPr="00580C0D">
        <w:t>Prop</w:t>
      </w:r>
      <w:proofErr w:type="spellEnd"/>
      <w:r w:rsidRPr="00580C0D">
        <w:t>. 57 L (2022–2023) punkt 15 om fjernundervisning.</w:t>
      </w:r>
    </w:p>
    <w:p w14:paraId="7846FD5C"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av vedtaket med dette er </w:t>
      </w:r>
      <w:proofErr w:type="spellStart"/>
      <w:r w:rsidRPr="00580C0D">
        <w:t>følgt</w:t>
      </w:r>
      <w:proofErr w:type="spellEnd"/>
      <w:r w:rsidRPr="00580C0D">
        <w:t xml:space="preserve"> opp.</w:t>
      </w:r>
    </w:p>
    <w:p w14:paraId="5672BB64" w14:textId="77777777" w:rsidR="00F7113A" w:rsidRPr="00580C0D" w:rsidRDefault="00142E5B" w:rsidP="00580C0D">
      <w:pPr>
        <w:pStyle w:val="avsnitt-tittel"/>
      </w:pPr>
      <w:r w:rsidRPr="00580C0D">
        <w:t xml:space="preserve">Rett til innføringsfag i </w:t>
      </w:r>
      <w:proofErr w:type="spellStart"/>
      <w:r w:rsidRPr="00580C0D">
        <w:t>vidaregåande</w:t>
      </w:r>
      <w:proofErr w:type="spellEnd"/>
      <w:r w:rsidRPr="00580C0D">
        <w:t xml:space="preserve"> opplæring</w:t>
      </w:r>
    </w:p>
    <w:p w14:paraId="0A8BC6AB" w14:textId="77777777" w:rsidR="00F7113A" w:rsidRPr="00580C0D" w:rsidRDefault="00142E5B" w:rsidP="00580C0D">
      <w:pPr>
        <w:pStyle w:val="avsnitt-undertittel"/>
      </w:pPr>
      <w:r w:rsidRPr="00580C0D">
        <w:t>Vedtak nr. 1069, 1. juni 2021</w:t>
      </w:r>
    </w:p>
    <w:p w14:paraId="2F5151B5" w14:textId="77777777" w:rsidR="00F7113A" w:rsidRPr="00580C0D" w:rsidRDefault="00142E5B" w:rsidP="00580C0D">
      <w:pPr>
        <w:pStyle w:val="blokksit"/>
        <w:rPr>
          <w:rStyle w:val="kursiv"/>
        </w:rPr>
      </w:pPr>
      <w:r w:rsidRPr="00580C0D">
        <w:rPr>
          <w:rStyle w:val="kursiv"/>
        </w:rPr>
        <w:t xml:space="preserve">Stortinget ber regjeringen gi elever i videregående opplæring som trenger det, rett til innføringsfag. Språkopplæring i norsk skal være integrert i dette tilbudet, og opplæringen skal </w:t>
      </w:r>
      <w:proofErr w:type="gramStart"/>
      <w:r w:rsidRPr="00580C0D">
        <w:rPr>
          <w:rStyle w:val="kursiv"/>
        </w:rPr>
        <w:t>integreres</w:t>
      </w:r>
      <w:proofErr w:type="gramEnd"/>
      <w:r w:rsidRPr="00580C0D">
        <w:rPr>
          <w:rStyle w:val="kursiv"/>
        </w:rPr>
        <w:t xml:space="preserve"> i elevens Vg1-løp.</w:t>
      </w:r>
    </w:p>
    <w:p w14:paraId="5DB86073"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 xml:space="preserve">Fullføringsreformen </w:t>
      </w:r>
      <w:r w:rsidRPr="00580C0D">
        <w:t xml:space="preserve">– </w:t>
      </w:r>
      <w:r w:rsidRPr="00580C0D">
        <w:rPr>
          <w:rStyle w:val="kursiv"/>
        </w:rPr>
        <w:t>med åpne dører til verden og fremtiden</w:t>
      </w:r>
      <w:r w:rsidRPr="00580C0D">
        <w:t xml:space="preserve">, jf. </w:t>
      </w:r>
      <w:proofErr w:type="spellStart"/>
      <w:r w:rsidRPr="00580C0D">
        <w:t>Innst</w:t>
      </w:r>
      <w:proofErr w:type="spellEnd"/>
      <w:r w:rsidRPr="00580C0D">
        <w:t>. 585 S (2020–2021).</w:t>
      </w:r>
    </w:p>
    <w:p w14:paraId="0558F180" w14:textId="77777777" w:rsidR="00F7113A" w:rsidRPr="00580C0D" w:rsidRDefault="00142E5B" w:rsidP="00580C0D">
      <w:r w:rsidRPr="00580C0D">
        <w:t xml:space="preserve">I </w:t>
      </w:r>
      <w:proofErr w:type="spellStart"/>
      <w:r w:rsidRPr="00580C0D">
        <w:t>Prop</w:t>
      </w:r>
      <w:proofErr w:type="spellEnd"/>
      <w:r w:rsidRPr="00580C0D">
        <w:t xml:space="preserve">. 57 L (2022–2023) om ny opplæringslov blei det foreslått ei plikt for </w:t>
      </w:r>
      <w:proofErr w:type="spellStart"/>
      <w:r w:rsidRPr="00580C0D">
        <w:t>fylkeskommunane</w:t>
      </w:r>
      <w:proofErr w:type="spellEnd"/>
      <w:r w:rsidRPr="00580C0D">
        <w:t xml:space="preserve"> til å ha </w:t>
      </w:r>
      <w:proofErr w:type="spellStart"/>
      <w:r w:rsidRPr="00580C0D">
        <w:t>eit</w:t>
      </w:r>
      <w:proofErr w:type="spellEnd"/>
      <w:r w:rsidRPr="00580C0D">
        <w:t xml:space="preserve"> </w:t>
      </w:r>
      <w:proofErr w:type="spellStart"/>
      <w:r w:rsidRPr="00580C0D">
        <w:t>opplæringstilbod</w:t>
      </w:r>
      <w:proofErr w:type="spellEnd"/>
      <w:r w:rsidRPr="00580C0D">
        <w:t xml:space="preserve"> i overgangen til </w:t>
      </w:r>
      <w:proofErr w:type="spellStart"/>
      <w:r w:rsidRPr="00580C0D">
        <w:t>vidaregåande</w:t>
      </w:r>
      <w:proofErr w:type="spellEnd"/>
      <w:r w:rsidRPr="00580C0D">
        <w:t xml:space="preserve"> opplæring for </w:t>
      </w:r>
      <w:proofErr w:type="spellStart"/>
      <w:r w:rsidRPr="00580C0D">
        <w:t>elevar</w:t>
      </w:r>
      <w:proofErr w:type="spellEnd"/>
      <w:r w:rsidRPr="00580C0D">
        <w:t xml:space="preserve"> som </w:t>
      </w:r>
      <w:proofErr w:type="spellStart"/>
      <w:r w:rsidRPr="00580C0D">
        <w:t>manglar</w:t>
      </w:r>
      <w:proofErr w:type="spellEnd"/>
      <w:r w:rsidRPr="00580C0D">
        <w:t xml:space="preserve"> </w:t>
      </w:r>
      <w:proofErr w:type="spellStart"/>
      <w:r w:rsidRPr="00580C0D">
        <w:t>faglege</w:t>
      </w:r>
      <w:proofErr w:type="spellEnd"/>
      <w:r w:rsidRPr="00580C0D">
        <w:t xml:space="preserve"> eller </w:t>
      </w:r>
      <w:proofErr w:type="spellStart"/>
      <w:r w:rsidRPr="00580C0D">
        <w:t>språklege</w:t>
      </w:r>
      <w:proofErr w:type="spellEnd"/>
      <w:r w:rsidRPr="00580C0D">
        <w:t xml:space="preserve"> </w:t>
      </w:r>
      <w:proofErr w:type="spellStart"/>
      <w:r w:rsidRPr="00580C0D">
        <w:t>føresetnader</w:t>
      </w:r>
      <w:proofErr w:type="spellEnd"/>
      <w:r w:rsidRPr="00580C0D">
        <w:t xml:space="preserve"> for å kunne delta i og bestå </w:t>
      </w:r>
      <w:proofErr w:type="spellStart"/>
      <w:r w:rsidRPr="00580C0D">
        <w:t>vidaregåande</w:t>
      </w:r>
      <w:proofErr w:type="spellEnd"/>
      <w:r w:rsidRPr="00580C0D">
        <w:t xml:space="preserve"> opplæring. Dette forslaget blei </w:t>
      </w:r>
      <w:proofErr w:type="spellStart"/>
      <w:r w:rsidRPr="00580C0D">
        <w:t>vedteke</w:t>
      </w:r>
      <w:proofErr w:type="spellEnd"/>
      <w:r w:rsidRPr="00580C0D">
        <w:t xml:space="preserve"> av Stortinget i juni 2023, og ny opplæringslov vil etter planen tre i kraft i august 2024. Retten til opplæring fram til </w:t>
      </w:r>
      <w:proofErr w:type="spellStart"/>
      <w:r w:rsidRPr="00580C0D">
        <w:t>ein</w:t>
      </w:r>
      <w:proofErr w:type="spellEnd"/>
      <w:r w:rsidRPr="00580C0D">
        <w:t xml:space="preserve"> har oppnådd studie- eller yrkeskompetanse som òg er </w:t>
      </w:r>
      <w:proofErr w:type="spellStart"/>
      <w:r w:rsidRPr="00580C0D">
        <w:t>vedteke</w:t>
      </w:r>
      <w:proofErr w:type="spellEnd"/>
      <w:r w:rsidRPr="00580C0D">
        <w:t xml:space="preserve"> med ny opplæringslov, </w:t>
      </w:r>
      <w:proofErr w:type="spellStart"/>
      <w:r w:rsidRPr="00580C0D">
        <w:t>inneber</w:t>
      </w:r>
      <w:proofErr w:type="spellEnd"/>
      <w:r w:rsidRPr="00580C0D">
        <w:t xml:space="preserve"> mellom anna at dagens </w:t>
      </w:r>
      <w:proofErr w:type="spellStart"/>
      <w:r w:rsidRPr="00580C0D">
        <w:t>tidsavgrensing</w:t>
      </w:r>
      <w:proofErr w:type="spellEnd"/>
      <w:r w:rsidRPr="00580C0D">
        <w:t xml:space="preserve"> i ungdomsretten på tre år fell bort. Dette </w:t>
      </w:r>
      <w:proofErr w:type="spellStart"/>
      <w:r w:rsidRPr="00580C0D">
        <w:t>gjer</w:t>
      </w:r>
      <w:proofErr w:type="spellEnd"/>
      <w:r w:rsidRPr="00580C0D">
        <w:t xml:space="preserve"> at opplæringa skal bli </w:t>
      </w:r>
      <w:proofErr w:type="spellStart"/>
      <w:r w:rsidRPr="00580C0D">
        <w:t>meir</w:t>
      </w:r>
      <w:proofErr w:type="spellEnd"/>
      <w:r w:rsidRPr="00580C0D">
        <w:t xml:space="preserve"> fleksibel, og at </w:t>
      </w:r>
      <w:proofErr w:type="spellStart"/>
      <w:r w:rsidRPr="00580C0D">
        <w:t>fleire</w:t>
      </w:r>
      <w:proofErr w:type="spellEnd"/>
      <w:r w:rsidRPr="00580C0D">
        <w:t xml:space="preserve"> skal få </w:t>
      </w:r>
      <w:proofErr w:type="spellStart"/>
      <w:r w:rsidRPr="00580C0D">
        <w:t>moglegheit</w:t>
      </w:r>
      <w:proofErr w:type="spellEnd"/>
      <w:r w:rsidRPr="00580C0D">
        <w:t xml:space="preserve"> til å bestå </w:t>
      </w:r>
      <w:proofErr w:type="spellStart"/>
      <w:r w:rsidRPr="00580C0D">
        <w:t>vidaregåande</w:t>
      </w:r>
      <w:proofErr w:type="spellEnd"/>
      <w:r w:rsidRPr="00580C0D">
        <w:t xml:space="preserve"> opplæring. Departementet meiner at plikta for </w:t>
      </w:r>
      <w:proofErr w:type="spellStart"/>
      <w:r w:rsidRPr="00580C0D">
        <w:t>fylkeskommunane</w:t>
      </w:r>
      <w:proofErr w:type="spellEnd"/>
      <w:r w:rsidRPr="00580C0D">
        <w:t xml:space="preserve"> om å ha </w:t>
      </w:r>
      <w:proofErr w:type="spellStart"/>
      <w:r w:rsidRPr="00580C0D">
        <w:t>eit</w:t>
      </w:r>
      <w:proofErr w:type="spellEnd"/>
      <w:r w:rsidRPr="00580C0D">
        <w:t xml:space="preserve"> </w:t>
      </w:r>
      <w:proofErr w:type="spellStart"/>
      <w:r w:rsidRPr="00580C0D">
        <w:t>overgangstilbod</w:t>
      </w:r>
      <w:proofErr w:type="spellEnd"/>
      <w:r w:rsidRPr="00580C0D">
        <w:t xml:space="preserve"> og retten til opplæring fram til </w:t>
      </w:r>
      <w:proofErr w:type="spellStart"/>
      <w:r w:rsidRPr="00580C0D">
        <w:t>ein</w:t>
      </w:r>
      <w:proofErr w:type="spellEnd"/>
      <w:r w:rsidRPr="00580C0D">
        <w:t xml:space="preserve"> har fullført </w:t>
      </w:r>
      <w:proofErr w:type="spellStart"/>
      <w:r w:rsidRPr="00580C0D">
        <w:t>vidaregåande</w:t>
      </w:r>
      <w:proofErr w:type="spellEnd"/>
      <w:r w:rsidRPr="00580C0D">
        <w:t xml:space="preserve"> opplæring, svarer til intensjonen bak oppmodingsvedtaket.</w:t>
      </w:r>
    </w:p>
    <w:p w14:paraId="4035672F"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5BC44BF1" w14:textId="77777777" w:rsidR="00F7113A" w:rsidRPr="00580C0D" w:rsidRDefault="00142E5B" w:rsidP="00580C0D">
      <w:pPr>
        <w:pStyle w:val="avsnitt-tittel"/>
      </w:pPr>
      <w:r w:rsidRPr="00580C0D">
        <w:t xml:space="preserve">Sluttkompetanse i </w:t>
      </w:r>
      <w:proofErr w:type="spellStart"/>
      <w:r w:rsidRPr="00580C0D">
        <w:t>vidaregåande</w:t>
      </w:r>
      <w:proofErr w:type="spellEnd"/>
      <w:r w:rsidRPr="00580C0D">
        <w:t xml:space="preserve"> skule</w:t>
      </w:r>
    </w:p>
    <w:p w14:paraId="14A23C89" w14:textId="77777777" w:rsidR="00F7113A" w:rsidRPr="00580C0D" w:rsidRDefault="00142E5B" w:rsidP="00580C0D">
      <w:pPr>
        <w:pStyle w:val="avsnitt-undertittel"/>
      </w:pPr>
      <w:r w:rsidRPr="00580C0D">
        <w:t>Vedtak nr. 1070, 1. juni 2021</w:t>
      </w:r>
    </w:p>
    <w:p w14:paraId="2EF92166" w14:textId="77777777" w:rsidR="00F7113A" w:rsidRPr="00580C0D" w:rsidRDefault="00142E5B" w:rsidP="00580C0D">
      <w:pPr>
        <w:pStyle w:val="blokksit"/>
        <w:rPr>
          <w:rStyle w:val="kursiv"/>
        </w:rPr>
      </w:pPr>
      <w:r w:rsidRPr="00580C0D">
        <w:rPr>
          <w:rStyle w:val="kursiv"/>
        </w:rPr>
        <w:t>Stortinget ber regjeringen, i samarbeid med partene, konkretisere nærmere forbedringer av Vg3 i skole som gir elevene en sluttkompetanse som tilfredsstiller arbeidslivets krav og som har tillit i nærings- og arbeidslivet.</w:t>
      </w:r>
    </w:p>
    <w:p w14:paraId="2683006D"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 xml:space="preserve">Fullføringsreformen </w:t>
      </w:r>
      <w:r w:rsidRPr="00580C0D">
        <w:t xml:space="preserve">– </w:t>
      </w:r>
      <w:r w:rsidRPr="00580C0D">
        <w:rPr>
          <w:rStyle w:val="kursiv"/>
        </w:rPr>
        <w:t>med åpne dører til verden og fremtiden</w:t>
      </w:r>
      <w:r w:rsidRPr="00580C0D">
        <w:t xml:space="preserve">, jf. </w:t>
      </w:r>
      <w:proofErr w:type="spellStart"/>
      <w:r w:rsidRPr="00580C0D">
        <w:t>Innst</w:t>
      </w:r>
      <w:proofErr w:type="spellEnd"/>
      <w:r w:rsidRPr="00580C0D">
        <w:t>. 585 S (2020–2021).</w:t>
      </w:r>
    </w:p>
    <w:p w14:paraId="0AB41C2F" w14:textId="77777777" w:rsidR="00F7113A" w:rsidRPr="00580C0D" w:rsidRDefault="00142E5B" w:rsidP="00580C0D">
      <w:r w:rsidRPr="00580C0D">
        <w:t xml:space="preserve">Departementet vil følge opp vedtaket i samband med oppfølginga av tiltaka i Meld. St. 21 (2020–2021) </w:t>
      </w:r>
      <w:r w:rsidRPr="00580C0D">
        <w:rPr>
          <w:rStyle w:val="kursiv"/>
        </w:rPr>
        <w:t>Fullføringsreformen – med åpne dører til verden og fremtiden.</w:t>
      </w:r>
      <w:r w:rsidRPr="00580C0D">
        <w:t xml:space="preserve"> Departementet vil i samarbeid med </w:t>
      </w:r>
      <w:proofErr w:type="spellStart"/>
      <w:r w:rsidRPr="00580C0D">
        <w:t>partane</w:t>
      </w:r>
      <w:proofErr w:type="spellEnd"/>
      <w:r w:rsidRPr="00580C0D">
        <w:t xml:space="preserve"> betre </w:t>
      </w:r>
      <w:proofErr w:type="spellStart"/>
      <w:r w:rsidRPr="00580C0D">
        <w:t>tilbodet</w:t>
      </w:r>
      <w:proofErr w:type="spellEnd"/>
      <w:r w:rsidRPr="00580C0D">
        <w:t xml:space="preserve"> til </w:t>
      </w:r>
      <w:proofErr w:type="spellStart"/>
      <w:r w:rsidRPr="00580C0D">
        <w:t>dei</w:t>
      </w:r>
      <w:proofErr w:type="spellEnd"/>
      <w:r w:rsidRPr="00580C0D">
        <w:t xml:space="preserve"> som </w:t>
      </w:r>
      <w:proofErr w:type="spellStart"/>
      <w:r w:rsidRPr="00580C0D">
        <w:t>ikkje</w:t>
      </w:r>
      <w:proofErr w:type="spellEnd"/>
      <w:r w:rsidRPr="00580C0D">
        <w:t xml:space="preserve"> får læreplass, og følge opp vedtaket i forslag til forskrift til ny opplæringslov. Forslaget skal på </w:t>
      </w:r>
      <w:proofErr w:type="spellStart"/>
      <w:r w:rsidRPr="00580C0D">
        <w:t>høyring</w:t>
      </w:r>
      <w:proofErr w:type="spellEnd"/>
      <w:r w:rsidRPr="00580C0D">
        <w:t xml:space="preserve"> </w:t>
      </w:r>
      <w:proofErr w:type="spellStart"/>
      <w:r w:rsidRPr="00580C0D">
        <w:t>hausten</w:t>
      </w:r>
      <w:proofErr w:type="spellEnd"/>
      <w:r w:rsidRPr="00580C0D">
        <w:t xml:space="preserve"> 2023.</w:t>
      </w:r>
    </w:p>
    <w:p w14:paraId="3AA9EE99" w14:textId="77777777" w:rsidR="00F7113A" w:rsidRPr="00580C0D" w:rsidRDefault="00142E5B" w:rsidP="00580C0D">
      <w:r w:rsidRPr="00580C0D">
        <w:t xml:space="preserve">Regjeringa gjennomfører </w:t>
      </w:r>
      <w:proofErr w:type="spellStart"/>
      <w:r w:rsidRPr="00580C0D">
        <w:t>eit</w:t>
      </w:r>
      <w:proofErr w:type="spellEnd"/>
      <w:r w:rsidRPr="00580C0D">
        <w:t xml:space="preserve"> løft for yrkesfaga. I statsbudsjettet for 2024 foreslår regjeringa 485 mill. kroner for å styrke arbeidet for </w:t>
      </w:r>
      <w:proofErr w:type="spellStart"/>
      <w:r w:rsidRPr="00580C0D">
        <w:t>fleire</w:t>
      </w:r>
      <w:proofErr w:type="spellEnd"/>
      <w:r w:rsidRPr="00580C0D">
        <w:t xml:space="preserve"> </w:t>
      </w:r>
      <w:proofErr w:type="spellStart"/>
      <w:r w:rsidRPr="00580C0D">
        <w:t>læreplassar</w:t>
      </w:r>
      <w:proofErr w:type="spellEnd"/>
      <w:r w:rsidRPr="00580C0D">
        <w:t xml:space="preserve"> og bidra til kvalifisering og formidling til </w:t>
      </w:r>
      <w:proofErr w:type="spellStart"/>
      <w:r w:rsidRPr="00580C0D">
        <w:t>læreplassar</w:t>
      </w:r>
      <w:proofErr w:type="spellEnd"/>
      <w:r w:rsidRPr="00580C0D">
        <w:t xml:space="preserve"> i fag- og yrkesopplæringa, jf. kap. 225, post 69. </w:t>
      </w:r>
      <w:proofErr w:type="spellStart"/>
      <w:r w:rsidRPr="00580C0D">
        <w:t>Midlane</w:t>
      </w:r>
      <w:proofErr w:type="spellEnd"/>
      <w:r w:rsidRPr="00580C0D">
        <w:t xml:space="preserve"> skal òg kunne brukast på å gi ei god opplæring til </w:t>
      </w:r>
      <w:proofErr w:type="spellStart"/>
      <w:r w:rsidRPr="00580C0D">
        <w:t>elevar</w:t>
      </w:r>
      <w:proofErr w:type="spellEnd"/>
      <w:r w:rsidRPr="00580C0D">
        <w:t xml:space="preserve"> som </w:t>
      </w:r>
      <w:proofErr w:type="spellStart"/>
      <w:r w:rsidRPr="00580C0D">
        <w:t>ikkje</w:t>
      </w:r>
      <w:proofErr w:type="spellEnd"/>
      <w:r w:rsidRPr="00580C0D">
        <w:t xml:space="preserve"> får læreplass, slik at </w:t>
      </w:r>
      <w:proofErr w:type="spellStart"/>
      <w:r w:rsidRPr="00580C0D">
        <w:t>dei</w:t>
      </w:r>
      <w:proofErr w:type="spellEnd"/>
      <w:r w:rsidRPr="00580C0D">
        <w:t xml:space="preserve"> kan fullføre med </w:t>
      </w:r>
      <w:proofErr w:type="spellStart"/>
      <w:r w:rsidRPr="00580C0D">
        <w:t>eit</w:t>
      </w:r>
      <w:proofErr w:type="spellEnd"/>
      <w:r w:rsidRPr="00580C0D">
        <w:t xml:space="preserve"> fag- eller </w:t>
      </w:r>
      <w:proofErr w:type="spellStart"/>
      <w:r w:rsidRPr="00580C0D">
        <w:t>sveinebrev</w:t>
      </w:r>
      <w:proofErr w:type="spellEnd"/>
      <w:r w:rsidRPr="00580C0D">
        <w:t xml:space="preserve"> som blir verdsett i arbeidslivet.</w:t>
      </w:r>
    </w:p>
    <w:p w14:paraId="24332DEA"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w:t>
      </w:r>
      <w:proofErr w:type="spellStart"/>
      <w:r w:rsidRPr="00580C0D">
        <w:t>ein</w:t>
      </w:r>
      <w:proofErr w:type="spellEnd"/>
      <w:r w:rsidRPr="00580C0D">
        <w:t xml:space="preserve"> eigna måte.</w:t>
      </w:r>
    </w:p>
    <w:p w14:paraId="5A7524AD" w14:textId="77777777" w:rsidR="00F7113A" w:rsidRPr="00580C0D" w:rsidRDefault="00142E5B" w:rsidP="00580C0D">
      <w:pPr>
        <w:pStyle w:val="avsnitt-tittel"/>
      </w:pPr>
      <w:r w:rsidRPr="00580C0D">
        <w:t xml:space="preserve">Overgangskurs i </w:t>
      </w:r>
      <w:proofErr w:type="spellStart"/>
      <w:r w:rsidRPr="00580C0D">
        <w:t>vidaregåande</w:t>
      </w:r>
      <w:proofErr w:type="spellEnd"/>
      <w:r w:rsidRPr="00580C0D">
        <w:t xml:space="preserve"> opplæring</w:t>
      </w:r>
    </w:p>
    <w:p w14:paraId="5B0CE34D" w14:textId="77777777" w:rsidR="00F7113A" w:rsidRPr="00580C0D" w:rsidRDefault="00142E5B" w:rsidP="00580C0D">
      <w:pPr>
        <w:pStyle w:val="avsnitt-undertittel"/>
      </w:pPr>
      <w:r w:rsidRPr="00580C0D">
        <w:t>Vedtak nr. 1071, 1. juni 2021</w:t>
      </w:r>
    </w:p>
    <w:p w14:paraId="1878F4BD" w14:textId="77777777" w:rsidR="00F7113A" w:rsidRPr="00580C0D" w:rsidRDefault="00142E5B" w:rsidP="00580C0D">
      <w:pPr>
        <w:pStyle w:val="blokksit"/>
        <w:rPr>
          <w:rStyle w:val="kursiv"/>
        </w:rPr>
      </w:pPr>
      <w:r w:rsidRPr="00580C0D">
        <w:rPr>
          <w:rStyle w:val="kursiv"/>
        </w:rPr>
        <w:t>Stortinget ber regjeringen gjennomføre forsøk med obligatorisk overgangskurs for elever med svakt språklig grunnlag for å gjennomføre videregående opplæring.</w:t>
      </w:r>
    </w:p>
    <w:p w14:paraId="7351C27C"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Fullføringsreformen – med åpne dører til verden og fremtiden</w:t>
      </w:r>
      <w:r w:rsidRPr="00580C0D">
        <w:t xml:space="preserve">, jf. </w:t>
      </w:r>
      <w:proofErr w:type="spellStart"/>
      <w:r w:rsidRPr="00580C0D">
        <w:t>Innst</w:t>
      </w:r>
      <w:proofErr w:type="spellEnd"/>
      <w:r w:rsidRPr="00580C0D">
        <w:t>. 585 S (2020–2021).</w:t>
      </w:r>
    </w:p>
    <w:p w14:paraId="229F085C" w14:textId="77777777" w:rsidR="00F7113A" w:rsidRPr="00580C0D" w:rsidRDefault="00142E5B" w:rsidP="00580C0D">
      <w:r w:rsidRPr="00580C0D">
        <w:t xml:space="preserve">Departementet viser til at det i </w:t>
      </w:r>
      <w:proofErr w:type="spellStart"/>
      <w:r w:rsidRPr="00580C0D">
        <w:t>Prop</w:t>
      </w:r>
      <w:proofErr w:type="spellEnd"/>
      <w:r w:rsidRPr="00580C0D">
        <w:t xml:space="preserve">. L 57 (2022–2023) om ny opplæringslov blei foreslått ei plikt for </w:t>
      </w:r>
      <w:proofErr w:type="spellStart"/>
      <w:r w:rsidRPr="00580C0D">
        <w:t>fylkeskommunane</w:t>
      </w:r>
      <w:proofErr w:type="spellEnd"/>
      <w:r w:rsidRPr="00580C0D">
        <w:t xml:space="preserve"> til å ha </w:t>
      </w:r>
      <w:proofErr w:type="spellStart"/>
      <w:r w:rsidRPr="00580C0D">
        <w:t>eit</w:t>
      </w:r>
      <w:proofErr w:type="spellEnd"/>
      <w:r w:rsidRPr="00580C0D">
        <w:t xml:space="preserve"> </w:t>
      </w:r>
      <w:proofErr w:type="spellStart"/>
      <w:r w:rsidRPr="00580C0D">
        <w:t>opplæringstilbod</w:t>
      </w:r>
      <w:proofErr w:type="spellEnd"/>
      <w:r w:rsidRPr="00580C0D">
        <w:t xml:space="preserve"> i overgangen til </w:t>
      </w:r>
      <w:proofErr w:type="spellStart"/>
      <w:r w:rsidRPr="00580C0D">
        <w:t>vidaregåande</w:t>
      </w:r>
      <w:proofErr w:type="spellEnd"/>
      <w:r w:rsidRPr="00580C0D">
        <w:t xml:space="preserve"> opplæring for </w:t>
      </w:r>
      <w:proofErr w:type="spellStart"/>
      <w:r w:rsidRPr="00580C0D">
        <w:t>elevar</w:t>
      </w:r>
      <w:proofErr w:type="spellEnd"/>
      <w:r w:rsidRPr="00580C0D">
        <w:t xml:space="preserve"> som </w:t>
      </w:r>
      <w:proofErr w:type="spellStart"/>
      <w:r w:rsidRPr="00580C0D">
        <w:t>manglar</w:t>
      </w:r>
      <w:proofErr w:type="spellEnd"/>
      <w:r w:rsidRPr="00580C0D">
        <w:t xml:space="preserve"> </w:t>
      </w:r>
      <w:proofErr w:type="spellStart"/>
      <w:r w:rsidRPr="00580C0D">
        <w:t>faglege</w:t>
      </w:r>
      <w:proofErr w:type="spellEnd"/>
      <w:r w:rsidRPr="00580C0D">
        <w:t xml:space="preserve"> eller </w:t>
      </w:r>
      <w:proofErr w:type="spellStart"/>
      <w:r w:rsidRPr="00580C0D">
        <w:t>språklege</w:t>
      </w:r>
      <w:proofErr w:type="spellEnd"/>
      <w:r w:rsidRPr="00580C0D">
        <w:t xml:space="preserve"> </w:t>
      </w:r>
      <w:proofErr w:type="spellStart"/>
      <w:r w:rsidRPr="00580C0D">
        <w:t>føresetnader</w:t>
      </w:r>
      <w:proofErr w:type="spellEnd"/>
      <w:r w:rsidRPr="00580C0D">
        <w:t xml:space="preserve"> for å kunne delta i og bestå </w:t>
      </w:r>
      <w:proofErr w:type="spellStart"/>
      <w:r w:rsidRPr="00580C0D">
        <w:t>vidaregåande</w:t>
      </w:r>
      <w:proofErr w:type="spellEnd"/>
      <w:r w:rsidRPr="00580C0D">
        <w:t xml:space="preserve"> opplæring. Dette forslaget blei </w:t>
      </w:r>
      <w:proofErr w:type="spellStart"/>
      <w:r w:rsidRPr="00580C0D">
        <w:t>vedteke</w:t>
      </w:r>
      <w:proofErr w:type="spellEnd"/>
      <w:r w:rsidRPr="00580C0D">
        <w:t xml:space="preserve"> av Stortinget i juni 2023.</w:t>
      </w:r>
    </w:p>
    <w:p w14:paraId="4A1067E5" w14:textId="77777777" w:rsidR="00F7113A" w:rsidRPr="00580C0D" w:rsidRDefault="00142E5B" w:rsidP="00580C0D">
      <w:r w:rsidRPr="00580C0D">
        <w:t xml:space="preserve">Fylkeskommunen står fritt til å søke om forsøk etter </w:t>
      </w:r>
      <w:proofErr w:type="spellStart"/>
      <w:r w:rsidRPr="00580C0D">
        <w:t>opplæringslova</w:t>
      </w:r>
      <w:proofErr w:type="spellEnd"/>
      <w:r w:rsidRPr="00580C0D">
        <w:t xml:space="preserve">, men departementet kan </w:t>
      </w:r>
      <w:proofErr w:type="spellStart"/>
      <w:r w:rsidRPr="00580C0D">
        <w:t>ikkje</w:t>
      </w:r>
      <w:proofErr w:type="spellEnd"/>
      <w:r w:rsidRPr="00580C0D">
        <w:t xml:space="preserve"> pålegge fylkeskommunen forsøk. I retningslinjene til Utdanningsdirektoratet for forsøksordninga etter </w:t>
      </w:r>
      <w:proofErr w:type="spellStart"/>
      <w:r w:rsidRPr="00580C0D">
        <w:t>opplæringslova</w:t>
      </w:r>
      <w:proofErr w:type="spellEnd"/>
      <w:r w:rsidRPr="00580C0D">
        <w:t xml:space="preserve"> er det presisert at det </w:t>
      </w:r>
      <w:proofErr w:type="spellStart"/>
      <w:r w:rsidRPr="00580C0D">
        <w:t>ikkje</w:t>
      </w:r>
      <w:proofErr w:type="spellEnd"/>
      <w:r w:rsidRPr="00580C0D">
        <w:t xml:space="preserve"> vil bli innvilga forsøk som kan </w:t>
      </w:r>
      <w:proofErr w:type="spellStart"/>
      <w:r w:rsidRPr="00580C0D">
        <w:t>innebere</w:t>
      </w:r>
      <w:proofErr w:type="spellEnd"/>
      <w:r w:rsidRPr="00580C0D">
        <w:t xml:space="preserve"> inngrep i </w:t>
      </w:r>
      <w:proofErr w:type="spellStart"/>
      <w:r w:rsidRPr="00580C0D">
        <w:t>dei</w:t>
      </w:r>
      <w:proofErr w:type="spellEnd"/>
      <w:r w:rsidRPr="00580C0D">
        <w:t xml:space="preserve"> </w:t>
      </w:r>
      <w:proofErr w:type="spellStart"/>
      <w:r w:rsidRPr="00580C0D">
        <w:t>grunnleggjande</w:t>
      </w:r>
      <w:proofErr w:type="spellEnd"/>
      <w:r w:rsidRPr="00580C0D">
        <w:t xml:space="preserve"> </w:t>
      </w:r>
      <w:proofErr w:type="spellStart"/>
      <w:r w:rsidRPr="00580C0D">
        <w:t>rettane</w:t>
      </w:r>
      <w:proofErr w:type="spellEnd"/>
      <w:r w:rsidRPr="00580C0D">
        <w:t xml:space="preserve"> og pliktene til den </w:t>
      </w:r>
      <w:proofErr w:type="spellStart"/>
      <w:r w:rsidRPr="00580C0D">
        <w:t>einskilde</w:t>
      </w:r>
      <w:proofErr w:type="spellEnd"/>
      <w:r w:rsidRPr="00580C0D">
        <w:t xml:space="preserve">. Det er derfor </w:t>
      </w:r>
      <w:proofErr w:type="spellStart"/>
      <w:r w:rsidRPr="00580C0D">
        <w:t>tvilsamt</w:t>
      </w:r>
      <w:proofErr w:type="spellEnd"/>
      <w:r w:rsidRPr="00580C0D">
        <w:t xml:space="preserve"> om </w:t>
      </w:r>
      <w:proofErr w:type="spellStart"/>
      <w:r w:rsidRPr="00580C0D">
        <w:t>eit</w:t>
      </w:r>
      <w:proofErr w:type="spellEnd"/>
      <w:r w:rsidRPr="00580C0D">
        <w:t xml:space="preserve"> forsøk med obligatoriske kurs, som vil </w:t>
      </w:r>
      <w:proofErr w:type="spellStart"/>
      <w:r w:rsidRPr="00580C0D">
        <w:t>innebere</w:t>
      </w:r>
      <w:proofErr w:type="spellEnd"/>
      <w:r w:rsidRPr="00580C0D">
        <w:t xml:space="preserve"> at </w:t>
      </w:r>
      <w:proofErr w:type="spellStart"/>
      <w:r w:rsidRPr="00580C0D">
        <w:t>einskilde</w:t>
      </w:r>
      <w:proofErr w:type="spellEnd"/>
      <w:r w:rsidRPr="00580C0D">
        <w:t xml:space="preserve"> </w:t>
      </w:r>
      <w:proofErr w:type="spellStart"/>
      <w:r w:rsidRPr="00580C0D">
        <w:t>elevar</w:t>
      </w:r>
      <w:proofErr w:type="spellEnd"/>
      <w:r w:rsidRPr="00580C0D">
        <w:t xml:space="preserve"> blir pålagt </w:t>
      </w:r>
      <w:proofErr w:type="spellStart"/>
      <w:r w:rsidRPr="00580C0D">
        <w:t>meir</w:t>
      </w:r>
      <w:proofErr w:type="spellEnd"/>
      <w:r w:rsidRPr="00580C0D">
        <w:t xml:space="preserve"> undervisning enn andre, kan </w:t>
      </w:r>
      <w:proofErr w:type="spellStart"/>
      <w:r w:rsidRPr="00580C0D">
        <w:t>seiast</w:t>
      </w:r>
      <w:proofErr w:type="spellEnd"/>
      <w:r w:rsidRPr="00580C0D">
        <w:t xml:space="preserve"> å </w:t>
      </w:r>
      <w:proofErr w:type="spellStart"/>
      <w:r w:rsidRPr="00580C0D">
        <w:t>vere</w:t>
      </w:r>
      <w:proofErr w:type="spellEnd"/>
      <w:r w:rsidRPr="00580C0D">
        <w:t xml:space="preserve"> </w:t>
      </w:r>
      <w:proofErr w:type="spellStart"/>
      <w:r w:rsidRPr="00580C0D">
        <w:t>innanfor</w:t>
      </w:r>
      <w:proofErr w:type="spellEnd"/>
      <w:r w:rsidRPr="00580C0D">
        <w:t xml:space="preserve"> </w:t>
      </w:r>
      <w:proofErr w:type="spellStart"/>
      <w:r w:rsidRPr="00580C0D">
        <w:t>gjeldande</w:t>
      </w:r>
      <w:proofErr w:type="spellEnd"/>
      <w:r w:rsidRPr="00580C0D">
        <w:t xml:space="preserve"> ordning. Nye plikter skal ha </w:t>
      </w:r>
      <w:proofErr w:type="spellStart"/>
      <w:r w:rsidRPr="00580C0D">
        <w:t>tydeleg</w:t>
      </w:r>
      <w:proofErr w:type="spellEnd"/>
      <w:r w:rsidRPr="00580C0D">
        <w:t xml:space="preserve"> heimel i lov. Forsøk med obligatoriske kurs reiser også ei rekke spørsmål som måtte </w:t>
      </w:r>
      <w:proofErr w:type="spellStart"/>
      <w:r w:rsidRPr="00580C0D">
        <w:t>utgreiast</w:t>
      </w:r>
      <w:proofErr w:type="spellEnd"/>
      <w:r w:rsidRPr="00580C0D">
        <w:t xml:space="preserve"> </w:t>
      </w:r>
      <w:proofErr w:type="spellStart"/>
      <w:r w:rsidRPr="00580C0D">
        <w:t>nærare</w:t>
      </w:r>
      <w:proofErr w:type="spellEnd"/>
      <w:r w:rsidRPr="00580C0D">
        <w:t xml:space="preserve"> før </w:t>
      </w:r>
      <w:proofErr w:type="spellStart"/>
      <w:r w:rsidRPr="00580C0D">
        <w:t>ein</w:t>
      </w:r>
      <w:proofErr w:type="spellEnd"/>
      <w:r w:rsidRPr="00580C0D">
        <w:t xml:space="preserve"> eventuelt kunne invitere </w:t>
      </w:r>
      <w:proofErr w:type="spellStart"/>
      <w:r w:rsidRPr="00580C0D">
        <w:t>fylkeskommunar</w:t>
      </w:r>
      <w:proofErr w:type="spellEnd"/>
      <w:r w:rsidRPr="00580C0D">
        <w:t xml:space="preserve"> til å søke om å delta i </w:t>
      </w:r>
      <w:proofErr w:type="spellStart"/>
      <w:r w:rsidRPr="00580C0D">
        <w:t>eit</w:t>
      </w:r>
      <w:proofErr w:type="spellEnd"/>
      <w:r w:rsidRPr="00580C0D">
        <w:t xml:space="preserve"> slikt forsøk. Dette </w:t>
      </w:r>
      <w:proofErr w:type="spellStart"/>
      <w:r w:rsidRPr="00580C0D">
        <w:t>gjeld</w:t>
      </w:r>
      <w:proofErr w:type="spellEnd"/>
      <w:r w:rsidRPr="00580C0D">
        <w:t xml:space="preserve"> mellom anna spørsmål om finansiering, korleis </w:t>
      </w:r>
      <w:proofErr w:type="spellStart"/>
      <w:r w:rsidRPr="00580C0D">
        <w:t>ein</w:t>
      </w:r>
      <w:proofErr w:type="spellEnd"/>
      <w:r w:rsidRPr="00580C0D">
        <w:t xml:space="preserve"> skal identifisere kva for </w:t>
      </w:r>
      <w:proofErr w:type="spellStart"/>
      <w:r w:rsidRPr="00580C0D">
        <w:t>elevar</w:t>
      </w:r>
      <w:proofErr w:type="spellEnd"/>
      <w:r w:rsidRPr="00580C0D">
        <w:t xml:space="preserve"> som skal </w:t>
      </w:r>
      <w:proofErr w:type="spellStart"/>
      <w:r w:rsidRPr="00580C0D">
        <w:t>vere</w:t>
      </w:r>
      <w:proofErr w:type="spellEnd"/>
      <w:r w:rsidRPr="00580C0D">
        <w:t xml:space="preserve"> omfatte av ei plikt til å delta og kva </w:t>
      </w:r>
      <w:proofErr w:type="spellStart"/>
      <w:r w:rsidRPr="00580C0D">
        <w:t>konsekvensar</w:t>
      </w:r>
      <w:proofErr w:type="spellEnd"/>
      <w:r w:rsidRPr="00580C0D">
        <w:t xml:space="preserve"> det skal ha for eleven om hen </w:t>
      </w:r>
      <w:proofErr w:type="spellStart"/>
      <w:r w:rsidRPr="00580C0D">
        <w:t>ikkje</w:t>
      </w:r>
      <w:proofErr w:type="spellEnd"/>
      <w:r w:rsidRPr="00580C0D">
        <w:t xml:space="preserve"> </w:t>
      </w:r>
      <w:proofErr w:type="spellStart"/>
      <w:r w:rsidRPr="00580C0D">
        <w:t>deltek</w:t>
      </w:r>
      <w:proofErr w:type="spellEnd"/>
      <w:r w:rsidRPr="00580C0D">
        <w:t xml:space="preserve"> i kurset. Ei forsøksordning vil uansett ha </w:t>
      </w:r>
      <w:proofErr w:type="spellStart"/>
      <w:r w:rsidRPr="00580C0D">
        <w:t>eit</w:t>
      </w:r>
      <w:proofErr w:type="spellEnd"/>
      <w:r w:rsidRPr="00580C0D">
        <w:t xml:space="preserve"> avgrensa område.</w:t>
      </w:r>
    </w:p>
    <w:p w14:paraId="726E980D" w14:textId="77777777" w:rsidR="00F7113A" w:rsidRPr="00580C0D" w:rsidRDefault="00142E5B" w:rsidP="00580C0D">
      <w:r w:rsidRPr="00580C0D">
        <w:t xml:space="preserve">Lovendringa som er </w:t>
      </w:r>
      <w:proofErr w:type="spellStart"/>
      <w:r w:rsidRPr="00580C0D">
        <w:t>vedteken</w:t>
      </w:r>
      <w:proofErr w:type="spellEnd"/>
      <w:r w:rsidRPr="00580C0D">
        <w:t xml:space="preserve"> </w:t>
      </w:r>
      <w:proofErr w:type="spellStart"/>
      <w:r w:rsidRPr="00580C0D">
        <w:t>inneber</w:t>
      </w:r>
      <w:proofErr w:type="spellEnd"/>
      <w:r w:rsidRPr="00580C0D">
        <w:t xml:space="preserve"> at alle </w:t>
      </w:r>
      <w:proofErr w:type="spellStart"/>
      <w:r w:rsidRPr="00580C0D">
        <w:t>fylkeskommunane</w:t>
      </w:r>
      <w:proofErr w:type="spellEnd"/>
      <w:r w:rsidRPr="00580C0D">
        <w:t xml:space="preserve"> får plikt til å ha </w:t>
      </w:r>
      <w:proofErr w:type="spellStart"/>
      <w:r w:rsidRPr="00580C0D">
        <w:t>eit</w:t>
      </w:r>
      <w:proofErr w:type="spellEnd"/>
      <w:r w:rsidRPr="00580C0D">
        <w:t xml:space="preserve"> </w:t>
      </w:r>
      <w:proofErr w:type="spellStart"/>
      <w:r w:rsidRPr="00580C0D">
        <w:t>tilbod</w:t>
      </w:r>
      <w:proofErr w:type="spellEnd"/>
      <w:r w:rsidRPr="00580C0D">
        <w:t xml:space="preserve"> som treffer </w:t>
      </w:r>
      <w:proofErr w:type="spellStart"/>
      <w:r w:rsidRPr="00580C0D">
        <w:t>elevar</w:t>
      </w:r>
      <w:proofErr w:type="spellEnd"/>
      <w:r w:rsidRPr="00580C0D">
        <w:t xml:space="preserve"> som har </w:t>
      </w:r>
      <w:proofErr w:type="spellStart"/>
      <w:r w:rsidRPr="00580C0D">
        <w:t>faglege</w:t>
      </w:r>
      <w:proofErr w:type="spellEnd"/>
      <w:r w:rsidRPr="00580C0D">
        <w:t xml:space="preserve"> eller </w:t>
      </w:r>
      <w:proofErr w:type="spellStart"/>
      <w:r w:rsidRPr="00580C0D">
        <w:t>språklege</w:t>
      </w:r>
      <w:proofErr w:type="spellEnd"/>
      <w:r w:rsidRPr="00580C0D">
        <w:t xml:space="preserve"> </w:t>
      </w:r>
      <w:proofErr w:type="spellStart"/>
      <w:r w:rsidRPr="00580C0D">
        <w:t>utfordringar</w:t>
      </w:r>
      <w:proofErr w:type="spellEnd"/>
      <w:r w:rsidRPr="00580C0D">
        <w:t xml:space="preserve">. Det </w:t>
      </w:r>
      <w:proofErr w:type="spellStart"/>
      <w:r w:rsidRPr="00580C0D">
        <w:t>inneber</w:t>
      </w:r>
      <w:proofErr w:type="spellEnd"/>
      <w:r w:rsidRPr="00580C0D">
        <w:t xml:space="preserve"> at fylkeskommunen har det nødvendige handlingsrommet og insitamentet til å </w:t>
      </w:r>
      <w:proofErr w:type="spellStart"/>
      <w:r w:rsidRPr="00580C0D">
        <w:t>setje</w:t>
      </w:r>
      <w:proofErr w:type="spellEnd"/>
      <w:r w:rsidRPr="00580C0D">
        <w:t xml:space="preserve"> i gang tiltak for den aktuelle gruppa.</w:t>
      </w:r>
    </w:p>
    <w:p w14:paraId="17CC1F17" w14:textId="77777777" w:rsidR="00F7113A" w:rsidRPr="00580C0D" w:rsidRDefault="00142E5B" w:rsidP="00580C0D">
      <w:r w:rsidRPr="00580C0D">
        <w:t xml:space="preserve">Departementet foreslår at oppmodingsvedtaket blir oppheva jf. forslag til vedtak </w:t>
      </w:r>
      <w:proofErr w:type="spellStart"/>
      <w:r w:rsidRPr="00580C0D">
        <w:t>X</w:t>
      </w:r>
      <w:proofErr w:type="spellEnd"/>
      <w:r w:rsidRPr="00580C0D">
        <w:t>.</w:t>
      </w:r>
    </w:p>
    <w:p w14:paraId="0CD16C48" w14:textId="77777777" w:rsidR="00F7113A" w:rsidRPr="00580C0D" w:rsidRDefault="00142E5B" w:rsidP="00580C0D">
      <w:pPr>
        <w:pStyle w:val="avsnitt-tittel"/>
      </w:pPr>
      <w:proofErr w:type="spellStart"/>
      <w:r w:rsidRPr="00580C0D">
        <w:t>Overgangstilbod</w:t>
      </w:r>
      <w:proofErr w:type="spellEnd"/>
      <w:r w:rsidRPr="00580C0D">
        <w:t xml:space="preserve"> i </w:t>
      </w:r>
      <w:proofErr w:type="spellStart"/>
      <w:r w:rsidRPr="00580C0D">
        <w:t>vidaregåande</w:t>
      </w:r>
      <w:proofErr w:type="spellEnd"/>
      <w:r w:rsidRPr="00580C0D">
        <w:t xml:space="preserve"> opplæring</w:t>
      </w:r>
    </w:p>
    <w:p w14:paraId="5933BF1A" w14:textId="77777777" w:rsidR="00F7113A" w:rsidRPr="00580C0D" w:rsidRDefault="00142E5B" w:rsidP="00580C0D">
      <w:pPr>
        <w:pStyle w:val="avsnitt-undertittel"/>
      </w:pPr>
      <w:r w:rsidRPr="00580C0D">
        <w:t>Vedtak nr. 1072, 1. juni 2021</w:t>
      </w:r>
    </w:p>
    <w:p w14:paraId="31372415" w14:textId="77777777" w:rsidR="00F7113A" w:rsidRPr="00580C0D" w:rsidRDefault="00142E5B" w:rsidP="00580C0D">
      <w:pPr>
        <w:pStyle w:val="blokksit"/>
        <w:rPr>
          <w:rStyle w:val="kursiv"/>
        </w:rPr>
      </w:pPr>
      <w:r w:rsidRPr="00580C0D">
        <w:rPr>
          <w:rStyle w:val="kursiv"/>
        </w:rPr>
        <w:t>Stortinget ber regjeringen gjennomføre forsøk med obligatorisk overgangstilbud for elever med svakt faglig grunnlag for å gjennomføre videregående opplæring</w:t>
      </w:r>
      <w:r w:rsidRPr="00580C0D">
        <w:t>.</w:t>
      </w:r>
    </w:p>
    <w:p w14:paraId="2B701917"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 xml:space="preserve">Fullføringsreformen – med åpne dører til verden og fremtiden, </w:t>
      </w:r>
      <w:r w:rsidRPr="00580C0D">
        <w:t xml:space="preserve">jf. </w:t>
      </w:r>
      <w:proofErr w:type="spellStart"/>
      <w:r w:rsidRPr="00580C0D">
        <w:t>Innst</w:t>
      </w:r>
      <w:proofErr w:type="spellEnd"/>
      <w:r w:rsidRPr="00580C0D">
        <w:t>. 585 S (2020–2021).</w:t>
      </w:r>
    </w:p>
    <w:p w14:paraId="067F4A92" w14:textId="77777777" w:rsidR="00F7113A" w:rsidRPr="00580C0D" w:rsidRDefault="00142E5B" w:rsidP="00580C0D">
      <w:r w:rsidRPr="00580C0D">
        <w:t xml:space="preserve">Departementet viser til at det i </w:t>
      </w:r>
      <w:proofErr w:type="spellStart"/>
      <w:r w:rsidRPr="00580C0D">
        <w:t>Prop</w:t>
      </w:r>
      <w:proofErr w:type="spellEnd"/>
      <w:r w:rsidRPr="00580C0D">
        <w:t xml:space="preserve">. 57 L (2022–2023) om ny opplæringslov blei foreslått ei plikt for </w:t>
      </w:r>
      <w:proofErr w:type="spellStart"/>
      <w:r w:rsidRPr="00580C0D">
        <w:t>fylkeskommunane</w:t>
      </w:r>
      <w:proofErr w:type="spellEnd"/>
      <w:r w:rsidRPr="00580C0D">
        <w:t xml:space="preserve"> til å ha </w:t>
      </w:r>
      <w:proofErr w:type="spellStart"/>
      <w:r w:rsidRPr="00580C0D">
        <w:t>eit</w:t>
      </w:r>
      <w:proofErr w:type="spellEnd"/>
      <w:r w:rsidRPr="00580C0D">
        <w:t xml:space="preserve"> </w:t>
      </w:r>
      <w:proofErr w:type="spellStart"/>
      <w:r w:rsidRPr="00580C0D">
        <w:t>opplæringstilbod</w:t>
      </w:r>
      <w:proofErr w:type="spellEnd"/>
      <w:r w:rsidRPr="00580C0D">
        <w:t xml:space="preserve"> i overgangen til </w:t>
      </w:r>
      <w:proofErr w:type="spellStart"/>
      <w:r w:rsidRPr="00580C0D">
        <w:t>vidaregåande</w:t>
      </w:r>
      <w:proofErr w:type="spellEnd"/>
      <w:r w:rsidRPr="00580C0D">
        <w:t xml:space="preserve"> opplæring for </w:t>
      </w:r>
      <w:proofErr w:type="spellStart"/>
      <w:r w:rsidRPr="00580C0D">
        <w:t>elevar</w:t>
      </w:r>
      <w:proofErr w:type="spellEnd"/>
      <w:r w:rsidRPr="00580C0D">
        <w:t xml:space="preserve"> som </w:t>
      </w:r>
      <w:proofErr w:type="spellStart"/>
      <w:r w:rsidRPr="00580C0D">
        <w:t>manglar</w:t>
      </w:r>
      <w:proofErr w:type="spellEnd"/>
      <w:r w:rsidRPr="00580C0D">
        <w:t xml:space="preserve"> </w:t>
      </w:r>
      <w:proofErr w:type="spellStart"/>
      <w:r w:rsidRPr="00580C0D">
        <w:t>faglege</w:t>
      </w:r>
      <w:proofErr w:type="spellEnd"/>
      <w:r w:rsidRPr="00580C0D">
        <w:t xml:space="preserve"> eller </w:t>
      </w:r>
      <w:proofErr w:type="spellStart"/>
      <w:r w:rsidRPr="00580C0D">
        <w:t>språklege</w:t>
      </w:r>
      <w:proofErr w:type="spellEnd"/>
      <w:r w:rsidRPr="00580C0D">
        <w:t xml:space="preserve"> </w:t>
      </w:r>
      <w:proofErr w:type="spellStart"/>
      <w:r w:rsidRPr="00580C0D">
        <w:t>føresetnader</w:t>
      </w:r>
      <w:proofErr w:type="spellEnd"/>
      <w:r w:rsidRPr="00580C0D">
        <w:t xml:space="preserve"> for å kunne delta i og bestå </w:t>
      </w:r>
      <w:proofErr w:type="spellStart"/>
      <w:r w:rsidRPr="00580C0D">
        <w:t>vidaregåande</w:t>
      </w:r>
      <w:proofErr w:type="spellEnd"/>
      <w:r w:rsidRPr="00580C0D">
        <w:t xml:space="preserve"> opplæring. Dette forslaget blei </w:t>
      </w:r>
      <w:proofErr w:type="spellStart"/>
      <w:r w:rsidRPr="00580C0D">
        <w:t>vedteke</w:t>
      </w:r>
      <w:proofErr w:type="spellEnd"/>
      <w:r w:rsidRPr="00580C0D">
        <w:t xml:space="preserve"> av Stortinget i juni 2023.</w:t>
      </w:r>
    </w:p>
    <w:p w14:paraId="5C5C73E4" w14:textId="77777777" w:rsidR="00F7113A" w:rsidRPr="00580C0D" w:rsidRDefault="00142E5B" w:rsidP="00580C0D">
      <w:r w:rsidRPr="00580C0D">
        <w:t xml:space="preserve">Fylkeskommunen står fritt til å søke om forsøk etter </w:t>
      </w:r>
      <w:proofErr w:type="spellStart"/>
      <w:r w:rsidRPr="00580C0D">
        <w:t>opplæringslova</w:t>
      </w:r>
      <w:proofErr w:type="spellEnd"/>
      <w:r w:rsidRPr="00580C0D">
        <w:t xml:space="preserve">, men departementet kan </w:t>
      </w:r>
      <w:proofErr w:type="spellStart"/>
      <w:r w:rsidRPr="00580C0D">
        <w:t>ikkje</w:t>
      </w:r>
      <w:proofErr w:type="spellEnd"/>
      <w:r w:rsidRPr="00580C0D">
        <w:t xml:space="preserve"> pålegge fylkeskommunen forsøk. I retningslinjene til Utdanningsdirektoratet for forsøksordninga etter </w:t>
      </w:r>
      <w:proofErr w:type="spellStart"/>
      <w:r w:rsidRPr="00580C0D">
        <w:t>opplæringslova</w:t>
      </w:r>
      <w:proofErr w:type="spellEnd"/>
      <w:r w:rsidRPr="00580C0D">
        <w:t xml:space="preserve"> er det presisert at det </w:t>
      </w:r>
      <w:proofErr w:type="spellStart"/>
      <w:r w:rsidRPr="00580C0D">
        <w:t>ikkje</w:t>
      </w:r>
      <w:proofErr w:type="spellEnd"/>
      <w:r w:rsidRPr="00580C0D">
        <w:t xml:space="preserve"> vil bli innvilga forsøk som kan </w:t>
      </w:r>
      <w:proofErr w:type="spellStart"/>
      <w:r w:rsidRPr="00580C0D">
        <w:t>innebere</w:t>
      </w:r>
      <w:proofErr w:type="spellEnd"/>
      <w:r w:rsidRPr="00580C0D">
        <w:t xml:space="preserve"> inngrep i </w:t>
      </w:r>
      <w:proofErr w:type="spellStart"/>
      <w:r w:rsidRPr="00580C0D">
        <w:t>dei</w:t>
      </w:r>
      <w:proofErr w:type="spellEnd"/>
      <w:r w:rsidRPr="00580C0D">
        <w:t xml:space="preserve"> </w:t>
      </w:r>
      <w:proofErr w:type="spellStart"/>
      <w:r w:rsidRPr="00580C0D">
        <w:t>grunnleggjande</w:t>
      </w:r>
      <w:proofErr w:type="spellEnd"/>
      <w:r w:rsidRPr="00580C0D">
        <w:t xml:space="preserve"> </w:t>
      </w:r>
      <w:proofErr w:type="spellStart"/>
      <w:r w:rsidRPr="00580C0D">
        <w:t>rettane</w:t>
      </w:r>
      <w:proofErr w:type="spellEnd"/>
      <w:r w:rsidRPr="00580C0D">
        <w:t xml:space="preserve"> og pliktene til den </w:t>
      </w:r>
      <w:proofErr w:type="spellStart"/>
      <w:r w:rsidRPr="00580C0D">
        <w:t>einskilde</w:t>
      </w:r>
      <w:proofErr w:type="spellEnd"/>
      <w:r w:rsidRPr="00580C0D">
        <w:t xml:space="preserve">. Det er derfor </w:t>
      </w:r>
      <w:proofErr w:type="spellStart"/>
      <w:r w:rsidRPr="00580C0D">
        <w:t>tvilsamt</w:t>
      </w:r>
      <w:proofErr w:type="spellEnd"/>
      <w:r w:rsidRPr="00580C0D">
        <w:t xml:space="preserve"> om </w:t>
      </w:r>
      <w:proofErr w:type="spellStart"/>
      <w:r w:rsidRPr="00580C0D">
        <w:t>eit</w:t>
      </w:r>
      <w:proofErr w:type="spellEnd"/>
      <w:r w:rsidRPr="00580C0D">
        <w:t xml:space="preserve"> forsøk med obligatoriske kurs, som vil </w:t>
      </w:r>
      <w:proofErr w:type="spellStart"/>
      <w:r w:rsidRPr="00580C0D">
        <w:t>innebere</w:t>
      </w:r>
      <w:proofErr w:type="spellEnd"/>
      <w:r w:rsidRPr="00580C0D">
        <w:t xml:space="preserve"> at </w:t>
      </w:r>
      <w:proofErr w:type="spellStart"/>
      <w:r w:rsidRPr="00580C0D">
        <w:t>einskilde</w:t>
      </w:r>
      <w:proofErr w:type="spellEnd"/>
      <w:r w:rsidRPr="00580C0D">
        <w:t xml:space="preserve"> </w:t>
      </w:r>
      <w:proofErr w:type="spellStart"/>
      <w:r w:rsidRPr="00580C0D">
        <w:t>elevar</w:t>
      </w:r>
      <w:proofErr w:type="spellEnd"/>
      <w:r w:rsidRPr="00580C0D">
        <w:t xml:space="preserve"> blir pålagt </w:t>
      </w:r>
      <w:proofErr w:type="spellStart"/>
      <w:r w:rsidRPr="00580C0D">
        <w:t>meir</w:t>
      </w:r>
      <w:proofErr w:type="spellEnd"/>
      <w:r w:rsidRPr="00580C0D">
        <w:t xml:space="preserve"> undervisning enn andre, kan </w:t>
      </w:r>
      <w:proofErr w:type="spellStart"/>
      <w:r w:rsidRPr="00580C0D">
        <w:t>seiast</w:t>
      </w:r>
      <w:proofErr w:type="spellEnd"/>
      <w:r w:rsidRPr="00580C0D">
        <w:t xml:space="preserve"> å </w:t>
      </w:r>
      <w:proofErr w:type="spellStart"/>
      <w:r w:rsidRPr="00580C0D">
        <w:t>vere</w:t>
      </w:r>
      <w:proofErr w:type="spellEnd"/>
      <w:r w:rsidRPr="00580C0D">
        <w:t xml:space="preserve"> </w:t>
      </w:r>
      <w:proofErr w:type="spellStart"/>
      <w:r w:rsidRPr="00580C0D">
        <w:t>innanfor</w:t>
      </w:r>
      <w:proofErr w:type="spellEnd"/>
      <w:r w:rsidRPr="00580C0D">
        <w:t xml:space="preserve"> </w:t>
      </w:r>
      <w:proofErr w:type="spellStart"/>
      <w:r w:rsidRPr="00580C0D">
        <w:t>gjeldande</w:t>
      </w:r>
      <w:proofErr w:type="spellEnd"/>
      <w:r w:rsidRPr="00580C0D">
        <w:t xml:space="preserve"> ordning. Nye plikter skal ha </w:t>
      </w:r>
      <w:proofErr w:type="spellStart"/>
      <w:r w:rsidRPr="00580C0D">
        <w:t>tydeleg</w:t>
      </w:r>
      <w:proofErr w:type="spellEnd"/>
      <w:r w:rsidRPr="00580C0D">
        <w:t xml:space="preserve"> heimel i lov. Forsøk med obligatoriske kurs reiser også ei rekke spørsmål som måtte </w:t>
      </w:r>
      <w:proofErr w:type="spellStart"/>
      <w:r w:rsidRPr="00580C0D">
        <w:t>utgreiast</w:t>
      </w:r>
      <w:proofErr w:type="spellEnd"/>
      <w:r w:rsidRPr="00580C0D">
        <w:t xml:space="preserve"> </w:t>
      </w:r>
      <w:proofErr w:type="spellStart"/>
      <w:r w:rsidRPr="00580C0D">
        <w:t>nærare</w:t>
      </w:r>
      <w:proofErr w:type="spellEnd"/>
      <w:r w:rsidRPr="00580C0D">
        <w:t xml:space="preserve"> før </w:t>
      </w:r>
      <w:proofErr w:type="spellStart"/>
      <w:r w:rsidRPr="00580C0D">
        <w:t>ein</w:t>
      </w:r>
      <w:proofErr w:type="spellEnd"/>
      <w:r w:rsidRPr="00580C0D">
        <w:t xml:space="preserve"> eventuelt kunne invitere </w:t>
      </w:r>
      <w:proofErr w:type="spellStart"/>
      <w:r w:rsidRPr="00580C0D">
        <w:t>fylkeskommunar</w:t>
      </w:r>
      <w:proofErr w:type="spellEnd"/>
      <w:r w:rsidRPr="00580C0D">
        <w:t xml:space="preserve"> til å søke om å delta i </w:t>
      </w:r>
      <w:proofErr w:type="spellStart"/>
      <w:r w:rsidRPr="00580C0D">
        <w:t>eit</w:t>
      </w:r>
      <w:proofErr w:type="spellEnd"/>
      <w:r w:rsidRPr="00580C0D">
        <w:t xml:space="preserve"> slikt forsøk. Dette </w:t>
      </w:r>
      <w:proofErr w:type="spellStart"/>
      <w:r w:rsidRPr="00580C0D">
        <w:t>gjeld</w:t>
      </w:r>
      <w:proofErr w:type="spellEnd"/>
      <w:r w:rsidRPr="00580C0D">
        <w:t xml:space="preserve"> mellom anna spørsmål om finansiering, korleis </w:t>
      </w:r>
      <w:proofErr w:type="spellStart"/>
      <w:r w:rsidRPr="00580C0D">
        <w:t>ein</w:t>
      </w:r>
      <w:proofErr w:type="spellEnd"/>
      <w:r w:rsidRPr="00580C0D">
        <w:t xml:space="preserve"> skal identifisere kva for </w:t>
      </w:r>
      <w:proofErr w:type="spellStart"/>
      <w:r w:rsidRPr="00580C0D">
        <w:t>elevar</w:t>
      </w:r>
      <w:proofErr w:type="spellEnd"/>
      <w:r w:rsidRPr="00580C0D">
        <w:t xml:space="preserve"> som skal </w:t>
      </w:r>
      <w:proofErr w:type="spellStart"/>
      <w:r w:rsidRPr="00580C0D">
        <w:t>vere</w:t>
      </w:r>
      <w:proofErr w:type="spellEnd"/>
      <w:r w:rsidRPr="00580C0D">
        <w:t xml:space="preserve"> omfatte av ei plikt til å delta og kva </w:t>
      </w:r>
      <w:proofErr w:type="spellStart"/>
      <w:r w:rsidRPr="00580C0D">
        <w:t>konsekvensar</w:t>
      </w:r>
      <w:proofErr w:type="spellEnd"/>
      <w:r w:rsidRPr="00580C0D">
        <w:t xml:space="preserve"> det skal ha for eleven om hen </w:t>
      </w:r>
      <w:proofErr w:type="spellStart"/>
      <w:r w:rsidRPr="00580C0D">
        <w:t>ikkje</w:t>
      </w:r>
      <w:proofErr w:type="spellEnd"/>
      <w:r w:rsidRPr="00580C0D">
        <w:t xml:space="preserve"> </w:t>
      </w:r>
      <w:proofErr w:type="spellStart"/>
      <w:r w:rsidRPr="00580C0D">
        <w:t>deltek</w:t>
      </w:r>
      <w:proofErr w:type="spellEnd"/>
      <w:r w:rsidRPr="00580C0D">
        <w:t xml:space="preserve"> i kurset. Ei forsøksordning vil uansett ha </w:t>
      </w:r>
      <w:proofErr w:type="spellStart"/>
      <w:r w:rsidRPr="00580C0D">
        <w:t>eit</w:t>
      </w:r>
      <w:proofErr w:type="spellEnd"/>
      <w:r w:rsidRPr="00580C0D">
        <w:t xml:space="preserve"> avgrensa område.</w:t>
      </w:r>
    </w:p>
    <w:p w14:paraId="61D6DC26" w14:textId="77777777" w:rsidR="00F7113A" w:rsidRPr="00580C0D" w:rsidRDefault="00142E5B" w:rsidP="00580C0D">
      <w:r w:rsidRPr="00580C0D">
        <w:t xml:space="preserve">Lovendringa som er </w:t>
      </w:r>
      <w:proofErr w:type="spellStart"/>
      <w:r w:rsidRPr="00580C0D">
        <w:t>vedteken</w:t>
      </w:r>
      <w:proofErr w:type="spellEnd"/>
      <w:r w:rsidRPr="00580C0D">
        <w:t xml:space="preserve"> </w:t>
      </w:r>
      <w:proofErr w:type="spellStart"/>
      <w:r w:rsidRPr="00580C0D">
        <w:t>inneber</w:t>
      </w:r>
      <w:proofErr w:type="spellEnd"/>
      <w:r w:rsidRPr="00580C0D">
        <w:t xml:space="preserve"> at alle </w:t>
      </w:r>
      <w:proofErr w:type="spellStart"/>
      <w:r w:rsidRPr="00580C0D">
        <w:t>fylkeskommunane</w:t>
      </w:r>
      <w:proofErr w:type="spellEnd"/>
      <w:r w:rsidRPr="00580C0D">
        <w:t xml:space="preserve"> får plikt til å ha </w:t>
      </w:r>
      <w:proofErr w:type="spellStart"/>
      <w:r w:rsidRPr="00580C0D">
        <w:t>eit</w:t>
      </w:r>
      <w:proofErr w:type="spellEnd"/>
      <w:r w:rsidRPr="00580C0D">
        <w:t xml:space="preserve"> </w:t>
      </w:r>
      <w:proofErr w:type="spellStart"/>
      <w:r w:rsidRPr="00580C0D">
        <w:t>tilbod</w:t>
      </w:r>
      <w:proofErr w:type="spellEnd"/>
      <w:r w:rsidRPr="00580C0D">
        <w:t xml:space="preserve"> som treffer </w:t>
      </w:r>
      <w:proofErr w:type="spellStart"/>
      <w:r w:rsidRPr="00580C0D">
        <w:t>elevar</w:t>
      </w:r>
      <w:proofErr w:type="spellEnd"/>
      <w:r w:rsidRPr="00580C0D">
        <w:t xml:space="preserve"> som har </w:t>
      </w:r>
      <w:proofErr w:type="spellStart"/>
      <w:r w:rsidRPr="00580C0D">
        <w:t>faglege</w:t>
      </w:r>
      <w:proofErr w:type="spellEnd"/>
      <w:r w:rsidRPr="00580C0D">
        <w:t xml:space="preserve"> eller </w:t>
      </w:r>
      <w:proofErr w:type="spellStart"/>
      <w:r w:rsidRPr="00580C0D">
        <w:t>språklege</w:t>
      </w:r>
      <w:proofErr w:type="spellEnd"/>
      <w:r w:rsidRPr="00580C0D">
        <w:t xml:space="preserve"> </w:t>
      </w:r>
      <w:proofErr w:type="spellStart"/>
      <w:r w:rsidRPr="00580C0D">
        <w:t>utfordringar</w:t>
      </w:r>
      <w:proofErr w:type="spellEnd"/>
      <w:r w:rsidRPr="00580C0D">
        <w:t xml:space="preserve">. Det </w:t>
      </w:r>
      <w:proofErr w:type="spellStart"/>
      <w:r w:rsidRPr="00580C0D">
        <w:t>inneber</w:t>
      </w:r>
      <w:proofErr w:type="spellEnd"/>
      <w:r w:rsidRPr="00580C0D">
        <w:t xml:space="preserve"> at fylkeskommunen har det nødvendige handlingsrommet og insitamentet til å </w:t>
      </w:r>
      <w:proofErr w:type="spellStart"/>
      <w:r w:rsidRPr="00580C0D">
        <w:t>setje</w:t>
      </w:r>
      <w:proofErr w:type="spellEnd"/>
      <w:r w:rsidRPr="00580C0D">
        <w:t xml:space="preserve"> i gang tiltak for den aktuelle gruppa.</w:t>
      </w:r>
    </w:p>
    <w:p w14:paraId="0AC89458" w14:textId="77777777" w:rsidR="00F7113A" w:rsidRPr="00580C0D" w:rsidRDefault="00142E5B" w:rsidP="00580C0D">
      <w:r w:rsidRPr="00580C0D">
        <w:t xml:space="preserve">Departementet foreslår at oppmodingsvedtaket blir oppheva jf. forslag til vedtak </w:t>
      </w:r>
      <w:proofErr w:type="spellStart"/>
      <w:r w:rsidRPr="00580C0D">
        <w:t>X</w:t>
      </w:r>
      <w:proofErr w:type="spellEnd"/>
      <w:r w:rsidRPr="00580C0D">
        <w:t>.</w:t>
      </w:r>
    </w:p>
    <w:p w14:paraId="4BEFB515" w14:textId="77777777" w:rsidR="00F7113A" w:rsidRPr="00580C0D" w:rsidRDefault="00142E5B" w:rsidP="00580C0D">
      <w:pPr>
        <w:pStyle w:val="avsnitt-tittel"/>
      </w:pPr>
      <w:proofErr w:type="spellStart"/>
      <w:r w:rsidRPr="00580C0D">
        <w:t>Tilbod</w:t>
      </w:r>
      <w:proofErr w:type="spellEnd"/>
      <w:r w:rsidRPr="00580C0D">
        <w:t xml:space="preserve"> om praksisbrev i </w:t>
      </w:r>
      <w:proofErr w:type="spellStart"/>
      <w:r w:rsidRPr="00580C0D">
        <w:t>vidaregåande</w:t>
      </w:r>
      <w:proofErr w:type="spellEnd"/>
      <w:r w:rsidRPr="00580C0D">
        <w:t xml:space="preserve"> opplæring</w:t>
      </w:r>
    </w:p>
    <w:p w14:paraId="4602BA8C" w14:textId="77777777" w:rsidR="00F7113A" w:rsidRPr="00580C0D" w:rsidRDefault="00142E5B" w:rsidP="00580C0D">
      <w:pPr>
        <w:pStyle w:val="avsnitt-undertittel"/>
      </w:pPr>
      <w:r w:rsidRPr="00580C0D">
        <w:t>Vedtak nr. 1074, 1. juni 2021</w:t>
      </w:r>
    </w:p>
    <w:p w14:paraId="71BB777B" w14:textId="77777777" w:rsidR="00F7113A" w:rsidRPr="00580C0D" w:rsidRDefault="00142E5B" w:rsidP="00580C0D">
      <w:pPr>
        <w:pStyle w:val="blokksit"/>
        <w:rPr>
          <w:rStyle w:val="kursiv"/>
        </w:rPr>
      </w:pPr>
      <w:r w:rsidRPr="00580C0D">
        <w:rPr>
          <w:rStyle w:val="kursiv"/>
        </w:rPr>
        <w:t>Stortinget ber regjeringen komme tilbake med forslag som sikrer at alle videregående skoler med yrkesfag gir tilbud om praksisbrev eller tilsvarende tilbud for elever som har behov for mer tid og et tilrettelagt opplæringsløp ute i bedrift.</w:t>
      </w:r>
    </w:p>
    <w:p w14:paraId="3FE395BB"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Fullføringsreformen – med åpne dører til verden og fremtiden</w:t>
      </w:r>
      <w:r w:rsidRPr="00580C0D">
        <w:t xml:space="preserve">, jf. </w:t>
      </w:r>
      <w:proofErr w:type="spellStart"/>
      <w:r w:rsidRPr="00580C0D">
        <w:t>Innst</w:t>
      </w:r>
      <w:proofErr w:type="spellEnd"/>
      <w:r w:rsidRPr="00580C0D">
        <w:t>. 585 S (2020–2021).</w:t>
      </w:r>
    </w:p>
    <w:p w14:paraId="18F3FE14" w14:textId="77777777" w:rsidR="00F7113A" w:rsidRPr="00580C0D" w:rsidRDefault="00142E5B" w:rsidP="00580C0D">
      <w:r w:rsidRPr="00580C0D">
        <w:t xml:space="preserve">Det ansvaret </w:t>
      </w:r>
      <w:proofErr w:type="spellStart"/>
      <w:r w:rsidRPr="00580C0D">
        <w:t>fylkeskommunane</w:t>
      </w:r>
      <w:proofErr w:type="spellEnd"/>
      <w:r w:rsidRPr="00580C0D">
        <w:t xml:space="preserve"> har for å dimensjonere det </w:t>
      </w:r>
      <w:proofErr w:type="spellStart"/>
      <w:r w:rsidRPr="00580C0D">
        <w:t>vidaregåande</w:t>
      </w:r>
      <w:proofErr w:type="spellEnd"/>
      <w:r w:rsidRPr="00580C0D">
        <w:t xml:space="preserve"> </w:t>
      </w:r>
      <w:proofErr w:type="spellStart"/>
      <w:r w:rsidRPr="00580C0D">
        <w:t>opplæringstilbodet</w:t>
      </w:r>
      <w:proofErr w:type="spellEnd"/>
      <w:r w:rsidRPr="00580C0D">
        <w:t xml:space="preserve">, gir i utgangspunktet stort handlingsrom til å </w:t>
      </w:r>
      <w:proofErr w:type="spellStart"/>
      <w:r w:rsidRPr="00580C0D">
        <w:t>velje</w:t>
      </w:r>
      <w:proofErr w:type="spellEnd"/>
      <w:r w:rsidRPr="00580C0D">
        <w:t xml:space="preserve"> kva for </w:t>
      </w:r>
      <w:proofErr w:type="spellStart"/>
      <w:r w:rsidRPr="00580C0D">
        <w:t>tilbod</w:t>
      </w:r>
      <w:proofErr w:type="spellEnd"/>
      <w:r w:rsidRPr="00580C0D">
        <w:t xml:space="preserve"> </w:t>
      </w:r>
      <w:proofErr w:type="spellStart"/>
      <w:r w:rsidRPr="00580C0D">
        <w:t>dei</w:t>
      </w:r>
      <w:proofErr w:type="spellEnd"/>
      <w:r w:rsidRPr="00580C0D">
        <w:t xml:space="preserve"> vil tilby, og kor mange </w:t>
      </w:r>
      <w:proofErr w:type="spellStart"/>
      <w:r w:rsidRPr="00580C0D">
        <w:t>plassar</w:t>
      </w:r>
      <w:proofErr w:type="spellEnd"/>
      <w:r w:rsidRPr="00580C0D">
        <w:t xml:space="preserve"> det skal </w:t>
      </w:r>
      <w:proofErr w:type="spellStart"/>
      <w:r w:rsidRPr="00580C0D">
        <w:t>vere</w:t>
      </w:r>
      <w:proofErr w:type="spellEnd"/>
      <w:r w:rsidRPr="00580C0D">
        <w:t xml:space="preserve"> på det </w:t>
      </w:r>
      <w:proofErr w:type="spellStart"/>
      <w:r w:rsidRPr="00580C0D">
        <w:t>einskilde</w:t>
      </w:r>
      <w:proofErr w:type="spellEnd"/>
      <w:r w:rsidRPr="00580C0D">
        <w:t xml:space="preserve"> </w:t>
      </w:r>
      <w:proofErr w:type="spellStart"/>
      <w:r w:rsidRPr="00580C0D">
        <w:t>tilbodet</w:t>
      </w:r>
      <w:proofErr w:type="spellEnd"/>
      <w:r w:rsidRPr="00580C0D">
        <w:t xml:space="preserve">. Handlingsrommet er avgrensa av </w:t>
      </w:r>
      <w:proofErr w:type="spellStart"/>
      <w:r w:rsidRPr="00580C0D">
        <w:t>einskilde</w:t>
      </w:r>
      <w:proofErr w:type="spellEnd"/>
      <w:r w:rsidRPr="00580C0D">
        <w:t xml:space="preserve"> lovfesta plikter til å gi konkrete </w:t>
      </w:r>
      <w:proofErr w:type="spellStart"/>
      <w:r w:rsidRPr="00580C0D">
        <w:t>tilbod</w:t>
      </w:r>
      <w:proofErr w:type="spellEnd"/>
      <w:r w:rsidRPr="00580C0D">
        <w:t xml:space="preserve">, til dømes slår </w:t>
      </w:r>
      <w:proofErr w:type="spellStart"/>
      <w:r w:rsidRPr="00580C0D">
        <w:t>opplæringslova</w:t>
      </w:r>
      <w:proofErr w:type="spellEnd"/>
      <w:r w:rsidRPr="00580C0D">
        <w:t xml:space="preserve"> fast at </w:t>
      </w:r>
      <w:proofErr w:type="spellStart"/>
      <w:r w:rsidRPr="00580C0D">
        <w:t>fylkeskommunar</w:t>
      </w:r>
      <w:proofErr w:type="spellEnd"/>
      <w:r w:rsidRPr="00580C0D">
        <w:t xml:space="preserve"> har plikt til å gi </w:t>
      </w:r>
      <w:proofErr w:type="spellStart"/>
      <w:r w:rsidRPr="00580C0D">
        <w:t>tilbod</w:t>
      </w:r>
      <w:proofErr w:type="spellEnd"/>
      <w:r w:rsidRPr="00580C0D">
        <w:t xml:space="preserve"> om praksisbrevopplæring. I ny opplæringslov er plikta til å tilby praksisbrevopplæring </w:t>
      </w:r>
      <w:proofErr w:type="spellStart"/>
      <w:r w:rsidRPr="00580C0D">
        <w:t>vidareført</w:t>
      </w:r>
      <w:proofErr w:type="spellEnd"/>
      <w:r w:rsidRPr="00580C0D">
        <w:t>.</w:t>
      </w:r>
    </w:p>
    <w:p w14:paraId="63670241"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er </w:t>
      </w:r>
      <w:proofErr w:type="spellStart"/>
      <w:r w:rsidRPr="00580C0D">
        <w:t>følgt</w:t>
      </w:r>
      <w:proofErr w:type="spellEnd"/>
      <w:r w:rsidRPr="00580C0D">
        <w:t xml:space="preserve"> opp.</w:t>
      </w:r>
    </w:p>
    <w:p w14:paraId="01CE7246" w14:textId="77777777" w:rsidR="00F7113A" w:rsidRPr="00580C0D" w:rsidRDefault="00142E5B" w:rsidP="00580C0D">
      <w:pPr>
        <w:pStyle w:val="avsnitt-tittel"/>
      </w:pPr>
      <w:proofErr w:type="spellStart"/>
      <w:r w:rsidRPr="00580C0D">
        <w:t>Vekslingsmodellar</w:t>
      </w:r>
      <w:proofErr w:type="spellEnd"/>
      <w:r w:rsidRPr="00580C0D">
        <w:t xml:space="preserve"> i </w:t>
      </w:r>
      <w:proofErr w:type="spellStart"/>
      <w:r w:rsidRPr="00580C0D">
        <w:t>vidaregåande</w:t>
      </w:r>
      <w:proofErr w:type="spellEnd"/>
      <w:r w:rsidRPr="00580C0D">
        <w:t xml:space="preserve"> opplæring</w:t>
      </w:r>
    </w:p>
    <w:p w14:paraId="6802A82A" w14:textId="77777777" w:rsidR="00F7113A" w:rsidRPr="00580C0D" w:rsidRDefault="00142E5B" w:rsidP="00580C0D">
      <w:pPr>
        <w:pStyle w:val="avsnitt-undertittel"/>
      </w:pPr>
      <w:r w:rsidRPr="00580C0D">
        <w:t>Vedtak nr. 1075, 1. juni 2021</w:t>
      </w:r>
    </w:p>
    <w:p w14:paraId="48FA5111" w14:textId="77777777" w:rsidR="00F7113A" w:rsidRPr="00580C0D" w:rsidRDefault="00142E5B" w:rsidP="00580C0D">
      <w:pPr>
        <w:pStyle w:val="blokksit"/>
        <w:rPr>
          <w:rStyle w:val="kursiv"/>
        </w:rPr>
      </w:pPr>
      <w:r w:rsidRPr="00580C0D">
        <w:rPr>
          <w:rStyle w:val="kursiv"/>
        </w:rPr>
        <w:t>Stortinget ber regjeringen gi fylkeskommunene incitamenter til å utvide omfanget av ulike vekslingsmodeller som alternativ til hovedmodellen med 2 år i skole + 2 år i lærebedrift, slik at flere elever får mulighet til å veksle mellom opplæring i skole og bedrift gjennom hele opplæringsløpet.</w:t>
      </w:r>
    </w:p>
    <w:p w14:paraId="4604C2AE"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Fullføringsreformen – med åpne dører til verden og fremtiden</w:t>
      </w:r>
      <w:r w:rsidRPr="00580C0D">
        <w:t xml:space="preserve">, jf. </w:t>
      </w:r>
      <w:proofErr w:type="spellStart"/>
      <w:r w:rsidRPr="00580C0D">
        <w:t>Innst</w:t>
      </w:r>
      <w:proofErr w:type="spellEnd"/>
      <w:r w:rsidRPr="00580C0D">
        <w:t>. 585 S (2020–2021).</w:t>
      </w:r>
    </w:p>
    <w:p w14:paraId="3FAD6E51" w14:textId="77777777" w:rsidR="00F7113A" w:rsidRPr="00580C0D" w:rsidRDefault="00142E5B" w:rsidP="00580C0D">
      <w:r w:rsidRPr="00580C0D">
        <w:t xml:space="preserve">Det er </w:t>
      </w:r>
      <w:proofErr w:type="spellStart"/>
      <w:r w:rsidRPr="00580C0D">
        <w:t>fylkeskommunane</w:t>
      </w:r>
      <w:proofErr w:type="spellEnd"/>
      <w:r w:rsidRPr="00580C0D">
        <w:t xml:space="preserve"> som har ansvaret for å tilby tilpassa opplæring og val av ulike </w:t>
      </w:r>
      <w:proofErr w:type="spellStart"/>
      <w:r w:rsidRPr="00580C0D">
        <w:t>modellar</w:t>
      </w:r>
      <w:proofErr w:type="spellEnd"/>
      <w:r w:rsidRPr="00580C0D">
        <w:t xml:space="preserve"> for opplæringa. </w:t>
      </w:r>
      <w:proofErr w:type="spellStart"/>
      <w:r w:rsidRPr="00580C0D">
        <w:t>Opplæringslova</w:t>
      </w:r>
      <w:proofErr w:type="spellEnd"/>
      <w:r w:rsidRPr="00580C0D">
        <w:t xml:space="preserve"> og rammefinansieringa av </w:t>
      </w:r>
      <w:proofErr w:type="spellStart"/>
      <w:r w:rsidRPr="00580C0D">
        <w:t>fylkeskommunane</w:t>
      </w:r>
      <w:proofErr w:type="spellEnd"/>
      <w:r w:rsidRPr="00580C0D">
        <w:t xml:space="preserve"> gir </w:t>
      </w:r>
      <w:proofErr w:type="spellStart"/>
      <w:r w:rsidRPr="00580C0D">
        <w:t>skuleeigarar</w:t>
      </w:r>
      <w:proofErr w:type="spellEnd"/>
      <w:r w:rsidRPr="00580C0D">
        <w:t xml:space="preserve"> fridom til å </w:t>
      </w:r>
      <w:proofErr w:type="spellStart"/>
      <w:r w:rsidRPr="00580C0D">
        <w:t>velje</w:t>
      </w:r>
      <w:proofErr w:type="spellEnd"/>
      <w:r w:rsidRPr="00580C0D">
        <w:t xml:space="preserve"> </w:t>
      </w:r>
      <w:proofErr w:type="spellStart"/>
      <w:r w:rsidRPr="00580C0D">
        <w:t>modellar</w:t>
      </w:r>
      <w:proofErr w:type="spellEnd"/>
      <w:r w:rsidRPr="00580C0D">
        <w:t xml:space="preserve"> som er tilpassa det lokale arbeidslivet og behovet </w:t>
      </w:r>
      <w:proofErr w:type="spellStart"/>
      <w:r w:rsidRPr="00580C0D">
        <w:t>elevar</w:t>
      </w:r>
      <w:proofErr w:type="spellEnd"/>
      <w:r w:rsidRPr="00580C0D">
        <w:t xml:space="preserve"> og </w:t>
      </w:r>
      <w:proofErr w:type="spellStart"/>
      <w:r w:rsidRPr="00580C0D">
        <w:t>lærlingar</w:t>
      </w:r>
      <w:proofErr w:type="spellEnd"/>
      <w:r w:rsidRPr="00580C0D">
        <w:t xml:space="preserve"> har for opplæring. I statsbudsjettet for 2024 foreslår regjeringa 485 mill. kroner for å styrke arbeidet for </w:t>
      </w:r>
      <w:proofErr w:type="spellStart"/>
      <w:r w:rsidRPr="00580C0D">
        <w:t>fleire</w:t>
      </w:r>
      <w:proofErr w:type="spellEnd"/>
      <w:r w:rsidRPr="00580C0D">
        <w:t xml:space="preserve"> </w:t>
      </w:r>
      <w:proofErr w:type="spellStart"/>
      <w:r w:rsidRPr="00580C0D">
        <w:t>læreplassar</w:t>
      </w:r>
      <w:proofErr w:type="spellEnd"/>
      <w:r w:rsidRPr="00580C0D">
        <w:t xml:space="preserve">, og bidra til kvalifisering og formidling til </w:t>
      </w:r>
      <w:proofErr w:type="spellStart"/>
      <w:r w:rsidRPr="00580C0D">
        <w:t>læreplassar</w:t>
      </w:r>
      <w:proofErr w:type="spellEnd"/>
      <w:r w:rsidRPr="00580C0D">
        <w:t xml:space="preserve"> i fag- og yrkesopplæringa, jf. kap. 225, post 69. </w:t>
      </w:r>
      <w:proofErr w:type="spellStart"/>
      <w:r w:rsidRPr="00580C0D">
        <w:t>Desse</w:t>
      </w:r>
      <w:proofErr w:type="spellEnd"/>
      <w:r w:rsidRPr="00580C0D">
        <w:t xml:space="preserve"> </w:t>
      </w:r>
      <w:proofErr w:type="spellStart"/>
      <w:r w:rsidRPr="00580C0D">
        <w:t>midlane</w:t>
      </w:r>
      <w:proofErr w:type="spellEnd"/>
      <w:r w:rsidRPr="00580C0D">
        <w:t xml:space="preserve"> kan òg </w:t>
      </w:r>
      <w:proofErr w:type="spellStart"/>
      <w:r w:rsidRPr="00580C0D">
        <w:t>nyttast</w:t>
      </w:r>
      <w:proofErr w:type="spellEnd"/>
      <w:r w:rsidRPr="00580C0D">
        <w:t xml:space="preserve"> til å utvide </w:t>
      </w:r>
      <w:proofErr w:type="spellStart"/>
      <w:r w:rsidRPr="00580C0D">
        <w:t>tilbodet</w:t>
      </w:r>
      <w:proofErr w:type="spellEnd"/>
      <w:r w:rsidRPr="00580C0D">
        <w:t xml:space="preserve"> som </w:t>
      </w:r>
      <w:proofErr w:type="spellStart"/>
      <w:r w:rsidRPr="00580C0D">
        <w:t>vekslingsmodellar</w:t>
      </w:r>
      <w:proofErr w:type="spellEnd"/>
      <w:r w:rsidRPr="00580C0D">
        <w:t>.</w:t>
      </w:r>
    </w:p>
    <w:p w14:paraId="7B6E02D9" w14:textId="77777777" w:rsidR="00F7113A" w:rsidRPr="00580C0D" w:rsidRDefault="00142E5B" w:rsidP="00580C0D">
      <w:r w:rsidRPr="00580C0D">
        <w:t xml:space="preserve">Departementet meiner at vedtaket med dette er </w:t>
      </w:r>
      <w:proofErr w:type="spellStart"/>
      <w:r w:rsidRPr="00580C0D">
        <w:t>følgt</w:t>
      </w:r>
      <w:proofErr w:type="spellEnd"/>
      <w:r w:rsidRPr="00580C0D">
        <w:t xml:space="preserve"> opp.</w:t>
      </w:r>
    </w:p>
    <w:p w14:paraId="46702E7A" w14:textId="77777777" w:rsidR="00F7113A" w:rsidRPr="00580C0D" w:rsidRDefault="00142E5B" w:rsidP="00580C0D">
      <w:pPr>
        <w:pStyle w:val="avsnitt-tittel"/>
      </w:pPr>
      <w:r w:rsidRPr="00580C0D">
        <w:t xml:space="preserve">Forsterka oppfølgingsansvar i </w:t>
      </w:r>
      <w:proofErr w:type="spellStart"/>
      <w:r w:rsidRPr="00580C0D">
        <w:t>vidaregåande</w:t>
      </w:r>
      <w:proofErr w:type="spellEnd"/>
      <w:r w:rsidRPr="00580C0D">
        <w:t xml:space="preserve"> opplæring</w:t>
      </w:r>
    </w:p>
    <w:p w14:paraId="58B3CAAC" w14:textId="77777777" w:rsidR="00F7113A" w:rsidRPr="00580C0D" w:rsidRDefault="00142E5B" w:rsidP="00580C0D">
      <w:pPr>
        <w:pStyle w:val="avsnitt-undertittel"/>
      </w:pPr>
      <w:r w:rsidRPr="00580C0D">
        <w:t>Vedtak nr. 1076, 1. juni 2021</w:t>
      </w:r>
    </w:p>
    <w:p w14:paraId="047305D9" w14:textId="77777777" w:rsidR="00F7113A" w:rsidRPr="00580C0D" w:rsidRDefault="00142E5B" w:rsidP="00580C0D">
      <w:pPr>
        <w:pStyle w:val="blokksit"/>
        <w:rPr>
          <w:rStyle w:val="kursiv"/>
        </w:rPr>
      </w:pPr>
      <w:r w:rsidRPr="00580C0D">
        <w:rPr>
          <w:rStyle w:val="kursiv"/>
        </w:rPr>
        <w:t>Stortinget ber regjeringen forsterke skolenes oppfølgingsansvar for eleven gjennom hele opplæringsløpet, også i den tiden eleven er lærling i en lærebedrift.</w:t>
      </w:r>
    </w:p>
    <w:p w14:paraId="4BB415B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Fullføringsreformen – med åpne dører til verden og fremtiden</w:t>
      </w:r>
      <w:r w:rsidRPr="00580C0D">
        <w:t xml:space="preserve">, jf. </w:t>
      </w:r>
      <w:proofErr w:type="spellStart"/>
      <w:r w:rsidRPr="00580C0D">
        <w:t>Innst</w:t>
      </w:r>
      <w:proofErr w:type="spellEnd"/>
      <w:r w:rsidRPr="00580C0D">
        <w:t>. 585 S (2020–2021).</w:t>
      </w:r>
    </w:p>
    <w:p w14:paraId="56B317E7" w14:textId="77777777" w:rsidR="00F7113A" w:rsidRPr="00580C0D" w:rsidRDefault="00142E5B" w:rsidP="00580C0D">
      <w:r w:rsidRPr="00580C0D">
        <w:t xml:space="preserve">Regjeringa viser til at det i ny opplæringslov som Stortinget vedtok i juni 2023, er ei ny plikt for fylkeskommunen til å sørge for at </w:t>
      </w:r>
      <w:proofErr w:type="spellStart"/>
      <w:r w:rsidRPr="00580C0D">
        <w:t>dei</w:t>
      </w:r>
      <w:proofErr w:type="spellEnd"/>
      <w:r w:rsidRPr="00580C0D">
        <w:t xml:space="preserve"> som har læretid i bedrift, har tilgang til rådgiving om utdannings- og </w:t>
      </w:r>
      <w:proofErr w:type="spellStart"/>
      <w:r w:rsidRPr="00580C0D">
        <w:t>yrkesval</w:t>
      </w:r>
      <w:proofErr w:type="spellEnd"/>
      <w:r w:rsidRPr="00580C0D">
        <w:t xml:space="preserve"> og rådgiving om sosiale og </w:t>
      </w:r>
      <w:proofErr w:type="spellStart"/>
      <w:r w:rsidRPr="00580C0D">
        <w:t>personlege</w:t>
      </w:r>
      <w:proofErr w:type="spellEnd"/>
      <w:r w:rsidRPr="00580C0D">
        <w:t xml:space="preserve"> forhold, (§16-1, tredje ledd og 16-2, tredje ledd).</w:t>
      </w:r>
    </w:p>
    <w:p w14:paraId="2FA8D8C1"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7B9023CD" w14:textId="77777777" w:rsidR="00F7113A" w:rsidRPr="00580C0D" w:rsidRDefault="00142E5B" w:rsidP="00580C0D">
      <w:pPr>
        <w:pStyle w:val="avsnitt-tittel"/>
      </w:pPr>
      <w:r w:rsidRPr="00580C0D">
        <w:t>Opplæringskontor og lærebedrifter</w:t>
      </w:r>
    </w:p>
    <w:p w14:paraId="63BA5872" w14:textId="77777777" w:rsidR="00F7113A" w:rsidRPr="00580C0D" w:rsidRDefault="00142E5B" w:rsidP="00580C0D">
      <w:pPr>
        <w:pStyle w:val="avsnitt-undertittel"/>
      </w:pPr>
      <w:r w:rsidRPr="00580C0D">
        <w:t>Vedtak nr. 1078, 1. juni 2021</w:t>
      </w:r>
    </w:p>
    <w:p w14:paraId="7EDFF9AF" w14:textId="77777777" w:rsidR="00F7113A" w:rsidRPr="00580C0D" w:rsidRDefault="00142E5B" w:rsidP="00580C0D">
      <w:pPr>
        <w:pStyle w:val="blokksit"/>
        <w:rPr>
          <w:rStyle w:val="kursiv"/>
        </w:rPr>
      </w:pPr>
      <w:r w:rsidRPr="00580C0D">
        <w:rPr>
          <w:rStyle w:val="kursiv"/>
        </w:rPr>
        <w:t>Stortinget ber regjeringen videreføre lovfesting av opplæringskontorene og godkjenning som lærebedrift, samt forsterke opplæringskontorenes funksjon som bindeledd mellom skolen og lærebedriftene</w:t>
      </w:r>
      <w:r w:rsidRPr="00580C0D">
        <w:t>.</w:t>
      </w:r>
    </w:p>
    <w:p w14:paraId="717A9A78"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21 (2020–2021) </w:t>
      </w:r>
      <w:r w:rsidRPr="00580C0D">
        <w:rPr>
          <w:rStyle w:val="kursiv"/>
        </w:rPr>
        <w:t>Fullføringsreformen – med åpne dører til verden og fremtiden</w:t>
      </w:r>
      <w:r w:rsidRPr="00580C0D">
        <w:t xml:space="preserve">, jf. </w:t>
      </w:r>
      <w:proofErr w:type="spellStart"/>
      <w:r w:rsidRPr="00580C0D">
        <w:t>Innst</w:t>
      </w:r>
      <w:proofErr w:type="spellEnd"/>
      <w:r w:rsidRPr="00580C0D">
        <w:t>. 585 S (2020–2021).</w:t>
      </w:r>
    </w:p>
    <w:p w14:paraId="0784DD04" w14:textId="77777777" w:rsidR="00F7113A" w:rsidRPr="00580C0D" w:rsidRDefault="00142E5B" w:rsidP="00580C0D">
      <w:r w:rsidRPr="00580C0D">
        <w:t xml:space="preserve">Forslaget til ny opplæringslov slik ho </w:t>
      </w:r>
      <w:proofErr w:type="spellStart"/>
      <w:r w:rsidRPr="00580C0D">
        <w:t>no</w:t>
      </w:r>
      <w:proofErr w:type="spellEnd"/>
      <w:r w:rsidRPr="00580C0D">
        <w:t xml:space="preserve"> er </w:t>
      </w:r>
      <w:proofErr w:type="spellStart"/>
      <w:r w:rsidRPr="00580C0D">
        <w:t>vedteken</w:t>
      </w:r>
      <w:proofErr w:type="spellEnd"/>
      <w:r w:rsidRPr="00580C0D">
        <w:t xml:space="preserve"> av Stortinget, jf. </w:t>
      </w:r>
      <w:proofErr w:type="spellStart"/>
      <w:r w:rsidRPr="00580C0D">
        <w:t>Prop</w:t>
      </w:r>
      <w:proofErr w:type="spellEnd"/>
      <w:r w:rsidRPr="00580C0D">
        <w:t xml:space="preserve"> 57. L (2022–2023) og </w:t>
      </w:r>
      <w:proofErr w:type="spellStart"/>
      <w:r w:rsidRPr="00580C0D">
        <w:t>Innst</w:t>
      </w:r>
      <w:proofErr w:type="spellEnd"/>
      <w:r w:rsidRPr="00580C0D">
        <w:t xml:space="preserve">. 442 L (2022–2023), anerkjenner at opplæringskontora </w:t>
      </w:r>
      <w:proofErr w:type="spellStart"/>
      <w:r w:rsidRPr="00580C0D">
        <w:t>spelar</w:t>
      </w:r>
      <w:proofErr w:type="spellEnd"/>
      <w:r w:rsidRPr="00580C0D">
        <w:t xml:space="preserve"> ei viktig rolle for fag- og yrkesopplæringa. Forslaget </w:t>
      </w:r>
      <w:proofErr w:type="spellStart"/>
      <w:r w:rsidRPr="00580C0D">
        <w:t>klargjer</w:t>
      </w:r>
      <w:proofErr w:type="spellEnd"/>
      <w:r w:rsidRPr="00580C0D">
        <w:t xml:space="preserve"> utgangspunkta for ansvarsforhold og rolledeling i samarbeidet mellom lærebedrift, opplæringskontor og fylkeskommune. Den nye reguleringa i lova vil etter departementets oppfatning bidra til å </w:t>
      </w:r>
      <w:proofErr w:type="spellStart"/>
      <w:r w:rsidRPr="00580C0D">
        <w:t>gjere</w:t>
      </w:r>
      <w:proofErr w:type="spellEnd"/>
      <w:r w:rsidRPr="00580C0D">
        <w:t xml:space="preserve"> rolla til kontora </w:t>
      </w:r>
      <w:proofErr w:type="spellStart"/>
      <w:r w:rsidRPr="00580C0D">
        <w:t>tydeleg</w:t>
      </w:r>
      <w:proofErr w:type="spellEnd"/>
      <w:r w:rsidRPr="00580C0D">
        <w:t xml:space="preserve">. Forslaget </w:t>
      </w:r>
      <w:proofErr w:type="spellStart"/>
      <w:r w:rsidRPr="00580C0D">
        <w:t>inneheld</w:t>
      </w:r>
      <w:proofErr w:type="spellEnd"/>
      <w:r w:rsidRPr="00580C0D">
        <w:t xml:space="preserve"> også ei presisering av at opplæringskontora </w:t>
      </w:r>
      <w:proofErr w:type="spellStart"/>
      <w:r w:rsidRPr="00580C0D">
        <w:t>framleis</w:t>
      </w:r>
      <w:proofErr w:type="spellEnd"/>
      <w:r w:rsidRPr="00580C0D">
        <w:t xml:space="preserve"> kan </w:t>
      </w:r>
      <w:proofErr w:type="spellStart"/>
      <w:r w:rsidRPr="00580C0D">
        <w:t>vere</w:t>
      </w:r>
      <w:proofErr w:type="spellEnd"/>
      <w:r w:rsidRPr="00580C0D">
        <w:t xml:space="preserve"> part i </w:t>
      </w:r>
      <w:proofErr w:type="spellStart"/>
      <w:r w:rsidRPr="00580C0D">
        <w:t>lærekontraktane</w:t>
      </w:r>
      <w:proofErr w:type="spellEnd"/>
      <w:r w:rsidRPr="00580C0D">
        <w:t xml:space="preserve"> og få </w:t>
      </w:r>
      <w:proofErr w:type="spellStart"/>
      <w:r w:rsidRPr="00580C0D">
        <w:t>lærlingtilskot</w:t>
      </w:r>
      <w:proofErr w:type="spellEnd"/>
      <w:r w:rsidRPr="00580C0D">
        <w:t>.</w:t>
      </w:r>
    </w:p>
    <w:p w14:paraId="0F1F99D4"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er </w:t>
      </w:r>
      <w:proofErr w:type="spellStart"/>
      <w:r w:rsidRPr="00580C0D">
        <w:t>følgt</w:t>
      </w:r>
      <w:proofErr w:type="spellEnd"/>
      <w:r w:rsidRPr="00580C0D">
        <w:t xml:space="preserve"> opp i ny opplæringslov.</w:t>
      </w:r>
    </w:p>
    <w:p w14:paraId="4A5D1668" w14:textId="77777777" w:rsidR="00F7113A" w:rsidRPr="00580C0D" w:rsidRDefault="00142E5B" w:rsidP="00580C0D">
      <w:pPr>
        <w:pStyle w:val="avsnitt-tittel"/>
      </w:pPr>
      <w:proofErr w:type="spellStart"/>
      <w:r w:rsidRPr="00580C0D">
        <w:t>Heilskaplege</w:t>
      </w:r>
      <w:proofErr w:type="spellEnd"/>
      <w:r w:rsidRPr="00580C0D">
        <w:t xml:space="preserve"> og koordinerte </w:t>
      </w:r>
      <w:proofErr w:type="spellStart"/>
      <w:r w:rsidRPr="00580C0D">
        <w:t>tenester</w:t>
      </w:r>
      <w:proofErr w:type="spellEnd"/>
    </w:p>
    <w:p w14:paraId="70317D0E" w14:textId="77777777" w:rsidR="00F7113A" w:rsidRPr="00580C0D" w:rsidRDefault="00142E5B" w:rsidP="00580C0D">
      <w:pPr>
        <w:pStyle w:val="avsnitt-undertittel"/>
      </w:pPr>
      <w:r w:rsidRPr="00580C0D">
        <w:t>Vedtak nr. 1104, 2. juni 2021</w:t>
      </w:r>
    </w:p>
    <w:p w14:paraId="359763CB" w14:textId="77777777" w:rsidR="00F7113A" w:rsidRPr="00580C0D" w:rsidRDefault="00142E5B" w:rsidP="00580C0D">
      <w:pPr>
        <w:pStyle w:val="blokksit"/>
        <w:rPr>
          <w:rStyle w:val="kursiv"/>
        </w:rPr>
      </w:pPr>
      <w:r w:rsidRPr="00580C0D">
        <w:rPr>
          <w:rStyle w:val="kursiv"/>
        </w:rPr>
        <w:t>Stortinget ber regjeringen utrede og fremme en sak for Stortinget med forslag til nødvendige lovendringer for å sikre at barn som trenger det, gis en rett til helhetlige og koordinerte tjenester.</w:t>
      </w:r>
    </w:p>
    <w:p w14:paraId="0BDC3732"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100 L (2020–2021) </w:t>
      </w:r>
      <w:r w:rsidRPr="00580C0D">
        <w:rPr>
          <w:rStyle w:val="kursiv"/>
        </w:rPr>
        <w:t>Endringer i velferdstjenestelovgivningen (samarbeid, samordning og barnekoordinator)</w:t>
      </w:r>
      <w:r w:rsidRPr="00580C0D">
        <w:t xml:space="preserve">, jf. </w:t>
      </w:r>
      <w:proofErr w:type="spellStart"/>
      <w:r w:rsidRPr="00580C0D">
        <w:t>Innst</w:t>
      </w:r>
      <w:proofErr w:type="spellEnd"/>
      <w:r w:rsidRPr="00580C0D">
        <w:t>. 581 L (2020–2021).</w:t>
      </w:r>
    </w:p>
    <w:p w14:paraId="1A3E217A" w14:textId="77777777" w:rsidR="00F7113A" w:rsidRPr="00580C0D" w:rsidRDefault="00142E5B" w:rsidP="00580C0D">
      <w:r w:rsidRPr="00580C0D">
        <w:t xml:space="preserve">Departementet har vurdert saka i samarbeid med Arbeids- og inkluderingsdepartementet, Barne- og familiedepartementet, Helse- og omsorgsdepartementet og Kommunal- og </w:t>
      </w:r>
      <w:proofErr w:type="spellStart"/>
      <w:r w:rsidRPr="00580C0D">
        <w:t>distriktsdepartementet</w:t>
      </w:r>
      <w:proofErr w:type="spellEnd"/>
      <w:r w:rsidRPr="00580C0D">
        <w:t>.</w:t>
      </w:r>
    </w:p>
    <w:p w14:paraId="5C971485" w14:textId="77777777" w:rsidR="00F7113A" w:rsidRPr="00580C0D" w:rsidRDefault="00142E5B" w:rsidP="00580C0D">
      <w:r w:rsidRPr="00580C0D">
        <w:t xml:space="preserve">Regjeringa er </w:t>
      </w:r>
      <w:proofErr w:type="spellStart"/>
      <w:r w:rsidRPr="00580C0D">
        <w:t>oppteken</w:t>
      </w:r>
      <w:proofErr w:type="spellEnd"/>
      <w:r w:rsidRPr="00580C0D">
        <w:t xml:space="preserve"> av at barn og unge får </w:t>
      </w:r>
      <w:proofErr w:type="spellStart"/>
      <w:r w:rsidRPr="00580C0D">
        <w:t>dei</w:t>
      </w:r>
      <w:proofErr w:type="spellEnd"/>
      <w:r w:rsidRPr="00580C0D">
        <w:t xml:space="preserve"> </w:t>
      </w:r>
      <w:proofErr w:type="spellStart"/>
      <w:r w:rsidRPr="00580C0D">
        <w:t>tenestene</w:t>
      </w:r>
      <w:proofErr w:type="spellEnd"/>
      <w:r w:rsidRPr="00580C0D">
        <w:t xml:space="preserve"> </w:t>
      </w:r>
      <w:proofErr w:type="spellStart"/>
      <w:r w:rsidRPr="00580C0D">
        <w:t>dei</w:t>
      </w:r>
      <w:proofErr w:type="spellEnd"/>
      <w:r w:rsidRPr="00580C0D">
        <w:t xml:space="preserve"> treng, og at </w:t>
      </w:r>
      <w:proofErr w:type="spellStart"/>
      <w:r w:rsidRPr="00580C0D">
        <w:t>tenestene</w:t>
      </w:r>
      <w:proofErr w:type="spellEnd"/>
      <w:r w:rsidRPr="00580C0D">
        <w:t xml:space="preserve"> er godt koordinerte. 1. august 2022 tok ei rekke </w:t>
      </w:r>
      <w:proofErr w:type="spellStart"/>
      <w:r w:rsidRPr="00580C0D">
        <w:t>endringar</w:t>
      </w:r>
      <w:proofErr w:type="spellEnd"/>
      <w:r w:rsidRPr="00580C0D">
        <w:t xml:space="preserve"> i </w:t>
      </w:r>
      <w:proofErr w:type="spellStart"/>
      <w:r w:rsidRPr="00580C0D">
        <w:t>velferdstenestelovgivinga</w:t>
      </w:r>
      <w:proofErr w:type="spellEnd"/>
      <w:r w:rsidRPr="00580C0D">
        <w:t xml:space="preserve"> til å gjelde, jf. </w:t>
      </w:r>
      <w:proofErr w:type="spellStart"/>
      <w:r w:rsidRPr="00580C0D">
        <w:t>Innst</w:t>
      </w:r>
      <w:proofErr w:type="spellEnd"/>
      <w:r w:rsidRPr="00580C0D">
        <w:t xml:space="preserve">. 581 L (2020–2021) og </w:t>
      </w:r>
      <w:proofErr w:type="spellStart"/>
      <w:r w:rsidRPr="00580C0D">
        <w:t>Prop</w:t>
      </w:r>
      <w:proofErr w:type="spellEnd"/>
      <w:r w:rsidRPr="00580C0D">
        <w:t xml:space="preserve">. 100 L (2020–2021). </w:t>
      </w:r>
      <w:proofErr w:type="spellStart"/>
      <w:r w:rsidRPr="00580C0D">
        <w:t>Endringane</w:t>
      </w:r>
      <w:proofErr w:type="spellEnd"/>
      <w:r w:rsidRPr="00580C0D">
        <w:t xml:space="preserve"> </w:t>
      </w:r>
      <w:proofErr w:type="spellStart"/>
      <w:r w:rsidRPr="00580C0D">
        <w:t>omfattar</w:t>
      </w:r>
      <w:proofErr w:type="spellEnd"/>
      <w:r w:rsidRPr="00580C0D">
        <w:t xml:space="preserve"> 14 lover og </w:t>
      </w:r>
      <w:proofErr w:type="spellStart"/>
      <w:r w:rsidRPr="00580C0D">
        <w:t>inneber</w:t>
      </w:r>
      <w:proofErr w:type="spellEnd"/>
      <w:r w:rsidRPr="00580C0D">
        <w:t xml:space="preserve"> mellom anna at </w:t>
      </w:r>
      <w:proofErr w:type="spellStart"/>
      <w:r w:rsidRPr="00580C0D">
        <w:t>reglane</w:t>
      </w:r>
      <w:proofErr w:type="spellEnd"/>
      <w:r w:rsidRPr="00580C0D">
        <w:t xml:space="preserve"> om samarbeid og individuell plan er harmoniserte og styrkte, at det er innført ei plikt for kommunen til å samordne </w:t>
      </w:r>
      <w:proofErr w:type="spellStart"/>
      <w:r w:rsidRPr="00580C0D">
        <w:t>tenestetilbodet</w:t>
      </w:r>
      <w:proofErr w:type="spellEnd"/>
      <w:r w:rsidRPr="00580C0D">
        <w:t xml:space="preserve"> til den </w:t>
      </w:r>
      <w:proofErr w:type="spellStart"/>
      <w:r w:rsidRPr="00580C0D">
        <w:t>einskilde</w:t>
      </w:r>
      <w:proofErr w:type="spellEnd"/>
      <w:r w:rsidRPr="00580C0D">
        <w:t xml:space="preserve">, og </w:t>
      </w:r>
      <w:proofErr w:type="spellStart"/>
      <w:r w:rsidRPr="00580C0D">
        <w:t>ein</w:t>
      </w:r>
      <w:proofErr w:type="spellEnd"/>
      <w:r w:rsidRPr="00580C0D">
        <w:t xml:space="preserve"> rett til barnekoordinator på visse vilkår. Formålet med </w:t>
      </w:r>
      <w:proofErr w:type="spellStart"/>
      <w:r w:rsidRPr="00580C0D">
        <w:t>endringane</w:t>
      </w:r>
      <w:proofErr w:type="spellEnd"/>
      <w:r w:rsidRPr="00580C0D">
        <w:t xml:space="preserve"> er å styrke oppfølginga av </w:t>
      </w:r>
      <w:proofErr w:type="gramStart"/>
      <w:r w:rsidRPr="00580C0D">
        <w:t>utsette</w:t>
      </w:r>
      <w:proofErr w:type="gramEnd"/>
      <w:r w:rsidRPr="00580C0D">
        <w:t xml:space="preserve"> barn og unge og </w:t>
      </w:r>
      <w:proofErr w:type="spellStart"/>
      <w:r w:rsidRPr="00580C0D">
        <w:t>familiane</w:t>
      </w:r>
      <w:proofErr w:type="spellEnd"/>
      <w:r w:rsidRPr="00580C0D">
        <w:t xml:space="preserve"> </w:t>
      </w:r>
      <w:proofErr w:type="spellStart"/>
      <w:r w:rsidRPr="00580C0D">
        <w:t>deira</w:t>
      </w:r>
      <w:proofErr w:type="spellEnd"/>
      <w:r w:rsidRPr="00580C0D">
        <w:t xml:space="preserve"> gjennom </w:t>
      </w:r>
      <w:proofErr w:type="spellStart"/>
      <w:r w:rsidRPr="00580C0D">
        <w:t>auka</w:t>
      </w:r>
      <w:proofErr w:type="spellEnd"/>
      <w:r w:rsidRPr="00580C0D">
        <w:t xml:space="preserve"> samarbeid mellom </w:t>
      </w:r>
      <w:proofErr w:type="spellStart"/>
      <w:r w:rsidRPr="00580C0D">
        <w:t>velferdstenestene</w:t>
      </w:r>
      <w:proofErr w:type="spellEnd"/>
      <w:r w:rsidRPr="00580C0D">
        <w:t>.</w:t>
      </w:r>
    </w:p>
    <w:p w14:paraId="2AFB0BEF" w14:textId="77777777" w:rsidR="00F7113A" w:rsidRPr="00580C0D" w:rsidRDefault="00142E5B" w:rsidP="00580C0D">
      <w:r w:rsidRPr="00580C0D">
        <w:t xml:space="preserve">Det er viktig at </w:t>
      </w:r>
      <w:proofErr w:type="spellStart"/>
      <w:r w:rsidRPr="00580C0D">
        <w:t>reglane</w:t>
      </w:r>
      <w:proofErr w:type="spellEnd"/>
      <w:r w:rsidRPr="00580C0D">
        <w:t xml:space="preserve"> legg til rette for godt samarbeid mellom </w:t>
      </w:r>
      <w:proofErr w:type="spellStart"/>
      <w:r w:rsidRPr="00580C0D">
        <w:t>tenestene</w:t>
      </w:r>
      <w:proofErr w:type="spellEnd"/>
      <w:r w:rsidRPr="00580C0D">
        <w:t xml:space="preserve">. Samstundes er det viktig å arbeide med å skape </w:t>
      </w:r>
      <w:proofErr w:type="spellStart"/>
      <w:r w:rsidRPr="00580C0D">
        <w:t>ein</w:t>
      </w:r>
      <w:proofErr w:type="spellEnd"/>
      <w:r w:rsidRPr="00580C0D">
        <w:t xml:space="preserve"> god samarbeidskultur i </w:t>
      </w:r>
      <w:proofErr w:type="spellStart"/>
      <w:r w:rsidRPr="00580C0D">
        <w:t>tenestene</w:t>
      </w:r>
      <w:proofErr w:type="spellEnd"/>
      <w:r w:rsidRPr="00580C0D">
        <w:t xml:space="preserve">, både i kommune, fylkeskommune og stat. Helsedirektoratet, Arbeids- og velferdsdirektoratet, Barne-, ungdoms- og familiedirektoratet og Utdanningsdirektoratet arbeider med å gi god rettleiing om </w:t>
      </w:r>
      <w:proofErr w:type="spellStart"/>
      <w:r w:rsidRPr="00580C0D">
        <w:t>dei</w:t>
      </w:r>
      <w:proofErr w:type="spellEnd"/>
      <w:r w:rsidRPr="00580C0D">
        <w:t xml:space="preserve"> nye </w:t>
      </w:r>
      <w:proofErr w:type="spellStart"/>
      <w:r w:rsidRPr="00580C0D">
        <w:t>reglane</w:t>
      </w:r>
      <w:proofErr w:type="spellEnd"/>
      <w:r w:rsidRPr="00580C0D">
        <w:t xml:space="preserve"> til </w:t>
      </w:r>
      <w:proofErr w:type="spellStart"/>
      <w:r w:rsidRPr="00580C0D">
        <w:t>tenestene</w:t>
      </w:r>
      <w:proofErr w:type="spellEnd"/>
      <w:r w:rsidRPr="00580C0D">
        <w:t xml:space="preserve">. </w:t>
      </w:r>
      <w:proofErr w:type="spellStart"/>
      <w:r w:rsidRPr="00580C0D">
        <w:t>Ein</w:t>
      </w:r>
      <w:proofErr w:type="spellEnd"/>
      <w:r w:rsidRPr="00580C0D">
        <w:t xml:space="preserve"> felles </w:t>
      </w:r>
      <w:proofErr w:type="spellStart"/>
      <w:r w:rsidRPr="00580C0D">
        <w:t>rettleiar</w:t>
      </w:r>
      <w:proofErr w:type="spellEnd"/>
      <w:r w:rsidRPr="00580C0D">
        <w:t xml:space="preserve"> om samarbeid på tvers av </w:t>
      </w:r>
      <w:proofErr w:type="spellStart"/>
      <w:r w:rsidRPr="00580C0D">
        <w:t>velferdstenestene</w:t>
      </w:r>
      <w:proofErr w:type="spellEnd"/>
      <w:r w:rsidRPr="00580C0D">
        <w:t xml:space="preserve"> blei publisert </w:t>
      </w:r>
      <w:proofErr w:type="spellStart"/>
      <w:r w:rsidRPr="00580C0D">
        <w:t>hausten</w:t>
      </w:r>
      <w:proofErr w:type="spellEnd"/>
      <w:r w:rsidRPr="00580C0D">
        <w:t xml:space="preserve"> 2022.</w:t>
      </w:r>
    </w:p>
    <w:p w14:paraId="7C058C96" w14:textId="77777777" w:rsidR="00F7113A" w:rsidRPr="00580C0D" w:rsidRDefault="00142E5B" w:rsidP="00580C0D">
      <w:proofErr w:type="spellStart"/>
      <w:r w:rsidRPr="00580C0D">
        <w:t>Regelendringane</w:t>
      </w:r>
      <w:proofErr w:type="spellEnd"/>
      <w:r w:rsidRPr="00580C0D">
        <w:t xml:space="preserve"> blir evaluerte av </w:t>
      </w:r>
      <w:proofErr w:type="spellStart"/>
      <w:r w:rsidRPr="00580C0D">
        <w:t>Noregs</w:t>
      </w:r>
      <w:proofErr w:type="spellEnd"/>
      <w:r w:rsidRPr="00580C0D">
        <w:t xml:space="preserve"> teknisk-</w:t>
      </w:r>
      <w:proofErr w:type="spellStart"/>
      <w:r w:rsidRPr="00580C0D">
        <w:t>naturvitskaplege</w:t>
      </w:r>
      <w:proofErr w:type="spellEnd"/>
      <w:r w:rsidRPr="00580C0D">
        <w:t xml:space="preserve"> universitet (NTNU). Evalueringa skal ha implementeringa av </w:t>
      </w:r>
      <w:proofErr w:type="spellStart"/>
      <w:r w:rsidRPr="00580C0D">
        <w:t>lovendringane</w:t>
      </w:r>
      <w:proofErr w:type="spellEnd"/>
      <w:r w:rsidRPr="00580C0D">
        <w:t xml:space="preserve"> som </w:t>
      </w:r>
      <w:proofErr w:type="spellStart"/>
      <w:r w:rsidRPr="00580C0D">
        <w:t>hovudformål</w:t>
      </w:r>
      <w:proofErr w:type="spellEnd"/>
      <w:r w:rsidRPr="00580C0D">
        <w:t xml:space="preserve">. NTNU skal undersøke korleis sentrale </w:t>
      </w:r>
      <w:proofErr w:type="spellStart"/>
      <w:r w:rsidRPr="00580C0D">
        <w:t>aktørar</w:t>
      </w:r>
      <w:proofErr w:type="spellEnd"/>
      <w:r w:rsidRPr="00580C0D">
        <w:t xml:space="preserve"> </w:t>
      </w:r>
      <w:proofErr w:type="spellStart"/>
      <w:r w:rsidRPr="00580C0D">
        <w:t>tolkar</w:t>
      </w:r>
      <w:proofErr w:type="spellEnd"/>
      <w:r w:rsidRPr="00580C0D">
        <w:t xml:space="preserve"> og </w:t>
      </w:r>
      <w:proofErr w:type="spellStart"/>
      <w:r w:rsidRPr="00580C0D">
        <w:t>set</w:t>
      </w:r>
      <w:proofErr w:type="spellEnd"/>
      <w:r w:rsidRPr="00580C0D">
        <w:t xml:space="preserve"> i verk </w:t>
      </w:r>
      <w:proofErr w:type="spellStart"/>
      <w:r w:rsidRPr="00580C0D">
        <w:t>lovendringane</w:t>
      </w:r>
      <w:proofErr w:type="spellEnd"/>
      <w:r w:rsidRPr="00580C0D">
        <w:t xml:space="preserve">. </w:t>
      </w:r>
      <w:proofErr w:type="spellStart"/>
      <w:r w:rsidRPr="00580C0D">
        <w:t>Vidare</w:t>
      </w:r>
      <w:proofErr w:type="spellEnd"/>
      <w:r w:rsidRPr="00580C0D">
        <w:t xml:space="preserve"> skal evalueringa fange opp </w:t>
      </w:r>
      <w:proofErr w:type="spellStart"/>
      <w:r w:rsidRPr="00580C0D">
        <w:t>endringar</w:t>
      </w:r>
      <w:proofErr w:type="spellEnd"/>
      <w:r w:rsidRPr="00580C0D">
        <w:t xml:space="preserve"> som følger av </w:t>
      </w:r>
      <w:proofErr w:type="spellStart"/>
      <w:r w:rsidRPr="00580C0D">
        <w:t>lovendringane</w:t>
      </w:r>
      <w:proofErr w:type="spellEnd"/>
      <w:r w:rsidRPr="00580C0D">
        <w:t xml:space="preserve">, og om </w:t>
      </w:r>
      <w:proofErr w:type="spellStart"/>
      <w:r w:rsidRPr="00580C0D">
        <w:t>målsetjingane</w:t>
      </w:r>
      <w:proofErr w:type="spellEnd"/>
      <w:r w:rsidRPr="00580C0D">
        <w:t xml:space="preserve"> for </w:t>
      </w:r>
      <w:proofErr w:type="spellStart"/>
      <w:r w:rsidRPr="00580C0D">
        <w:t>endringane</w:t>
      </w:r>
      <w:proofErr w:type="spellEnd"/>
      <w:r w:rsidRPr="00580C0D">
        <w:t xml:space="preserve"> blir oppfylte. Evalueringa vil </w:t>
      </w:r>
      <w:proofErr w:type="spellStart"/>
      <w:r w:rsidRPr="00580C0D">
        <w:t>halde</w:t>
      </w:r>
      <w:proofErr w:type="spellEnd"/>
      <w:r w:rsidRPr="00580C0D">
        <w:t xml:space="preserve"> fram til våren 2027.</w:t>
      </w:r>
    </w:p>
    <w:p w14:paraId="7BEF629B" w14:textId="77777777" w:rsidR="00F7113A" w:rsidRPr="00580C0D" w:rsidRDefault="00142E5B" w:rsidP="00580C0D">
      <w:r w:rsidRPr="00580C0D">
        <w:t xml:space="preserve">Regjeringa vil vente på funn </w:t>
      </w:r>
      <w:proofErr w:type="spellStart"/>
      <w:r w:rsidRPr="00580C0D">
        <w:t>frå</w:t>
      </w:r>
      <w:proofErr w:type="spellEnd"/>
      <w:r w:rsidRPr="00580C0D">
        <w:t xml:space="preserve"> evalueringa før ei eventuell utgreiing av behovet for </w:t>
      </w:r>
      <w:proofErr w:type="spellStart"/>
      <w:r w:rsidRPr="00580C0D">
        <w:t>ytterlegare</w:t>
      </w:r>
      <w:proofErr w:type="spellEnd"/>
      <w:r w:rsidRPr="00580C0D">
        <w:t xml:space="preserve"> </w:t>
      </w:r>
      <w:proofErr w:type="spellStart"/>
      <w:r w:rsidRPr="00580C0D">
        <w:t>lovendringar</w:t>
      </w:r>
      <w:proofErr w:type="spellEnd"/>
      <w:r w:rsidRPr="00580C0D">
        <w:t xml:space="preserve"> for å sikre at barn og unge får </w:t>
      </w:r>
      <w:proofErr w:type="spellStart"/>
      <w:r w:rsidRPr="00580C0D">
        <w:t>heilskaplege</w:t>
      </w:r>
      <w:proofErr w:type="spellEnd"/>
      <w:r w:rsidRPr="00580C0D">
        <w:t xml:space="preserve"> og koordinerte </w:t>
      </w:r>
      <w:proofErr w:type="spellStart"/>
      <w:r w:rsidRPr="00580C0D">
        <w:t>tenester</w:t>
      </w:r>
      <w:proofErr w:type="spellEnd"/>
      <w:r w:rsidRPr="00580C0D">
        <w:t>.</w:t>
      </w:r>
    </w:p>
    <w:p w14:paraId="29A6C7ED"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på </w:t>
      </w:r>
      <w:proofErr w:type="spellStart"/>
      <w:r w:rsidRPr="00580C0D">
        <w:t>ein</w:t>
      </w:r>
      <w:proofErr w:type="spellEnd"/>
      <w:r w:rsidRPr="00580C0D">
        <w:t xml:space="preserve"> eigna måte.</w:t>
      </w:r>
    </w:p>
    <w:p w14:paraId="7E508D0F" w14:textId="77777777" w:rsidR="00F7113A" w:rsidRPr="00580C0D" w:rsidRDefault="00142E5B" w:rsidP="00580C0D">
      <w:pPr>
        <w:pStyle w:val="Undertittel"/>
      </w:pPr>
      <w:r w:rsidRPr="00580C0D">
        <w:t xml:space="preserve">Oppmodingsvedtak under forskings- og </w:t>
      </w:r>
      <w:proofErr w:type="spellStart"/>
      <w:r w:rsidRPr="00580C0D">
        <w:t>høgare</w:t>
      </w:r>
      <w:proofErr w:type="spellEnd"/>
      <w:r w:rsidRPr="00580C0D">
        <w:t xml:space="preserve"> utdanningsministeren</w:t>
      </w:r>
    </w:p>
    <w:p w14:paraId="734080F7" w14:textId="77777777" w:rsidR="00F7113A" w:rsidRPr="00580C0D" w:rsidRDefault="00142E5B" w:rsidP="00580C0D">
      <w:pPr>
        <w:pStyle w:val="avsnitt-tittel"/>
      </w:pPr>
      <w:r w:rsidRPr="00580C0D">
        <w:t xml:space="preserve">Gjennomgang av </w:t>
      </w:r>
      <w:proofErr w:type="spellStart"/>
      <w:r w:rsidRPr="00580C0D">
        <w:t>finansieringskategoriane</w:t>
      </w:r>
      <w:proofErr w:type="spellEnd"/>
      <w:r w:rsidRPr="00580C0D">
        <w:t xml:space="preserve"> i </w:t>
      </w:r>
      <w:proofErr w:type="spellStart"/>
      <w:r w:rsidRPr="00580C0D">
        <w:t>høgare</w:t>
      </w:r>
      <w:proofErr w:type="spellEnd"/>
      <w:r w:rsidRPr="00580C0D">
        <w:t xml:space="preserve"> utdanning</w:t>
      </w:r>
    </w:p>
    <w:p w14:paraId="0CA08223" w14:textId="77777777" w:rsidR="00F7113A" w:rsidRPr="00580C0D" w:rsidRDefault="00142E5B" w:rsidP="00580C0D">
      <w:pPr>
        <w:pStyle w:val="avsnitt-undertittel"/>
      </w:pPr>
      <w:r w:rsidRPr="00580C0D">
        <w:t>Vedtak nr. 16, 6. oktober 2020</w:t>
      </w:r>
    </w:p>
    <w:p w14:paraId="04AD3CAE" w14:textId="77777777" w:rsidR="00F7113A" w:rsidRPr="00580C0D" w:rsidRDefault="00142E5B" w:rsidP="00580C0D">
      <w:pPr>
        <w:pStyle w:val="blokksit"/>
        <w:rPr>
          <w:rStyle w:val="kursiv"/>
        </w:rPr>
      </w:pPr>
      <w:r w:rsidRPr="00580C0D">
        <w:rPr>
          <w:rStyle w:val="kursiv"/>
        </w:rPr>
        <w:t>Stortinget ber regjeringen om en gjennomgang av finansieringskategoriene i høyere utdanning, for å sikre at utdanninger som ingeniørfag, lærerutdanninger og andre utdanninger som er etterspurt i arbeidsmarkedet har riktig finansiering.</w:t>
      </w:r>
    </w:p>
    <w:p w14:paraId="04FD8906" w14:textId="77777777" w:rsidR="00F7113A" w:rsidRPr="00580C0D" w:rsidRDefault="00142E5B" w:rsidP="00580C0D">
      <w:r w:rsidRPr="00580C0D">
        <w:t xml:space="preserve">Oppmodingsvedtaket blei gjort i samband med debatten etter Hans Majestet Kongens tale til det 165. stortinget ved </w:t>
      </w:r>
      <w:proofErr w:type="spellStart"/>
      <w:r w:rsidRPr="00580C0D">
        <w:t>opninga</w:t>
      </w:r>
      <w:proofErr w:type="spellEnd"/>
      <w:r w:rsidRPr="00580C0D">
        <w:t xml:space="preserve"> og melding om </w:t>
      </w:r>
      <w:proofErr w:type="spellStart"/>
      <w:r w:rsidRPr="00580C0D">
        <w:t>Noregs</w:t>
      </w:r>
      <w:proofErr w:type="spellEnd"/>
      <w:r w:rsidRPr="00580C0D">
        <w:t xml:space="preserve"> rikes tilstand og styring (trontaledebatten).</w:t>
      </w:r>
    </w:p>
    <w:p w14:paraId="0D7E6C4C" w14:textId="77777777" w:rsidR="00F7113A" w:rsidRPr="00580C0D" w:rsidRDefault="00142E5B" w:rsidP="00580C0D">
      <w:r w:rsidRPr="00580C0D">
        <w:t xml:space="preserve">Kunnskapsdepartementet tok 17. mars 2022 imot rapporten </w:t>
      </w:r>
      <w:proofErr w:type="spellStart"/>
      <w:r w:rsidRPr="00580C0D">
        <w:t>frå</w:t>
      </w:r>
      <w:proofErr w:type="spellEnd"/>
      <w:r w:rsidRPr="00580C0D">
        <w:t xml:space="preserve"> </w:t>
      </w:r>
      <w:proofErr w:type="spellStart"/>
      <w:r w:rsidRPr="00580C0D">
        <w:t>utvalet</w:t>
      </w:r>
      <w:proofErr w:type="spellEnd"/>
      <w:r w:rsidRPr="00580C0D">
        <w:t xml:space="preserve"> leia av Siri Hatlen som var </w:t>
      </w:r>
      <w:proofErr w:type="spellStart"/>
      <w:r w:rsidRPr="00580C0D">
        <w:t>nemnt</w:t>
      </w:r>
      <w:proofErr w:type="spellEnd"/>
      <w:r w:rsidRPr="00580C0D">
        <w:t xml:space="preserve"> opp for å gå gjennom finansieringa av universiteta og </w:t>
      </w:r>
      <w:proofErr w:type="spellStart"/>
      <w:r w:rsidRPr="00580C0D">
        <w:t>høgskulane</w:t>
      </w:r>
      <w:proofErr w:type="spellEnd"/>
      <w:r w:rsidRPr="00580C0D">
        <w:t xml:space="preserve">. Rapporten var på </w:t>
      </w:r>
      <w:proofErr w:type="spellStart"/>
      <w:r w:rsidRPr="00580C0D">
        <w:t>høyring</w:t>
      </w:r>
      <w:proofErr w:type="spellEnd"/>
      <w:r w:rsidRPr="00580C0D">
        <w:t xml:space="preserve"> fram til 10. juni 2022. </w:t>
      </w:r>
      <w:proofErr w:type="spellStart"/>
      <w:r w:rsidRPr="00580C0D">
        <w:t>Utvalet</w:t>
      </w:r>
      <w:proofErr w:type="spellEnd"/>
      <w:r w:rsidRPr="00580C0D">
        <w:t xml:space="preserve"> var </w:t>
      </w:r>
      <w:proofErr w:type="spellStart"/>
      <w:r w:rsidRPr="00580C0D">
        <w:t>særleg</w:t>
      </w:r>
      <w:proofErr w:type="spellEnd"/>
      <w:r w:rsidRPr="00580C0D">
        <w:t xml:space="preserve"> bede om å følge opp oppmodingsvedtaka </w:t>
      </w:r>
      <w:proofErr w:type="spellStart"/>
      <w:r w:rsidRPr="00580C0D">
        <w:t>frå</w:t>
      </w:r>
      <w:proofErr w:type="spellEnd"/>
      <w:r w:rsidRPr="00580C0D">
        <w:t xml:space="preserve"> Stortinget </w:t>
      </w:r>
      <w:proofErr w:type="spellStart"/>
      <w:r w:rsidRPr="00580C0D">
        <w:t>frå</w:t>
      </w:r>
      <w:proofErr w:type="spellEnd"/>
      <w:r w:rsidRPr="00580C0D">
        <w:t xml:space="preserve"> 2020 som dreidde seg om finansieringa av sektoren.</w:t>
      </w:r>
    </w:p>
    <w:p w14:paraId="460D4D2A" w14:textId="77777777" w:rsidR="00F7113A" w:rsidRPr="00580C0D" w:rsidRDefault="00142E5B" w:rsidP="00580C0D">
      <w:proofErr w:type="spellStart"/>
      <w:r w:rsidRPr="00580C0D">
        <w:t>Tilrådingane</w:t>
      </w:r>
      <w:proofErr w:type="spellEnd"/>
      <w:r w:rsidRPr="00580C0D">
        <w:t xml:space="preserve"> og synspunkta </w:t>
      </w:r>
      <w:proofErr w:type="spellStart"/>
      <w:r w:rsidRPr="00580C0D">
        <w:t>frå</w:t>
      </w:r>
      <w:proofErr w:type="spellEnd"/>
      <w:r w:rsidRPr="00580C0D">
        <w:t xml:space="preserve"> den </w:t>
      </w:r>
      <w:proofErr w:type="spellStart"/>
      <w:r w:rsidRPr="00580C0D">
        <w:t>offentlege</w:t>
      </w:r>
      <w:proofErr w:type="spellEnd"/>
      <w:r w:rsidRPr="00580C0D">
        <w:t xml:space="preserve"> </w:t>
      </w:r>
      <w:proofErr w:type="spellStart"/>
      <w:r w:rsidRPr="00580C0D">
        <w:t>høyringa</w:t>
      </w:r>
      <w:proofErr w:type="spellEnd"/>
      <w:r w:rsidRPr="00580C0D">
        <w:t xml:space="preserve"> blei presenterte i </w:t>
      </w:r>
      <w:proofErr w:type="spellStart"/>
      <w:r w:rsidRPr="00580C0D">
        <w:t>Prop</w:t>
      </w:r>
      <w:proofErr w:type="spellEnd"/>
      <w:r w:rsidRPr="00580C0D">
        <w:t xml:space="preserve">. 1 S (2022–2023) for Kunnskapsdepartementet. Departementet bad i tillegg i november 2022 om </w:t>
      </w:r>
      <w:proofErr w:type="spellStart"/>
      <w:r w:rsidRPr="00580C0D">
        <w:t>innspel</w:t>
      </w:r>
      <w:proofErr w:type="spellEnd"/>
      <w:r w:rsidRPr="00580C0D">
        <w:t xml:space="preserve"> </w:t>
      </w:r>
      <w:proofErr w:type="spellStart"/>
      <w:r w:rsidRPr="00580C0D">
        <w:t>frå</w:t>
      </w:r>
      <w:proofErr w:type="spellEnd"/>
      <w:r w:rsidRPr="00580C0D">
        <w:t xml:space="preserve"> universiteta og </w:t>
      </w:r>
      <w:proofErr w:type="spellStart"/>
      <w:r w:rsidRPr="00580C0D">
        <w:t>høgskulane</w:t>
      </w:r>
      <w:proofErr w:type="spellEnd"/>
      <w:r w:rsidRPr="00580C0D">
        <w:t xml:space="preserve"> til modell for finansiering av nye </w:t>
      </w:r>
      <w:proofErr w:type="spellStart"/>
      <w:r w:rsidRPr="00580C0D">
        <w:t>studieplassar</w:t>
      </w:r>
      <w:proofErr w:type="spellEnd"/>
      <w:r w:rsidRPr="00580C0D">
        <w:t xml:space="preserve"> og </w:t>
      </w:r>
      <w:proofErr w:type="spellStart"/>
      <w:r w:rsidRPr="00580C0D">
        <w:t>finansieringskategoriane</w:t>
      </w:r>
      <w:proofErr w:type="spellEnd"/>
      <w:r w:rsidRPr="00580C0D">
        <w:t xml:space="preserve">. Regjeringa la fram forslag til </w:t>
      </w:r>
      <w:proofErr w:type="spellStart"/>
      <w:r w:rsidRPr="00580C0D">
        <w:t>endringar</w:t>
      </w:r>
      <w:proofErr w:type="spellEnd"/>
      <w:r w:rsidRPr="00580C0D">
        <w:t xml:space="preserve"> i finansieringssystemet i utsynsmeldinga, jf. </w:t>
      </w:r>
      <w:proofErr w:type="spellStart"/>
      <w:r w:rsidRPr="00580C0D">
        <w:t>Innst</w:t>
      </w:r>
      <w:proofErr w:type="spellEnd"/>
      <w:r w:rsidRPr="00580C0D">
        <w:t xml:space="preserve">. 472 S (2022–2023) og Meld. St. 14 (2022–2023). Det nye finansieringssystemet skal gi </w:t>
      </w:r>
      <w:proofErr w:type="spellStart"/>
      <w:r w:rsidRPr="00580C0D">
        <w:t>institusjonane</w:t>
      </w:r>
      <w:proofErr w:type="spellEnd"/>
      <w:r w:rsidRPr="00580C0D">
        <w:t xml:space="preserve"> </w:t>
      </w:r>
      <w:proofErr w:type="spellStart"/>
      <w:r w:rsidRPr="00580C0D">
        <w:t>meir</w:t>
      </w:r>
      <w:proofErr w:type="spellEnd"/>
      <w:r w:rsidRPr="00580C0D">
        <w:t xml:space="preserve"> tillit, handlingsrom og ansvar for å prioritere og dimensjonere </w:t>
      </w:r>
      <w:proofErr w:type="spellStart"/>
      <w:r w:rsidRPr="00580C0D">
        <w:t>innanfor</w:t>
      </w:r>
      <w:proofErr w:type="spellEnd"/>
      <w:r w:rsidRPr="00580C0D">
        <w:t xml:space="preserve"> rammeløyvinga for å nå sektormåla og </w:t>
      </w:r>
      <w:proofErr w:type="spellStart"/>
      <w:r w:rsidRPr="00580C0D">
        <w:t>verksemdsmåla</w:t>
      </w:r>
      <w:proofErr w:type="spellEnd"/>
      <w:r w:rsidRPr="00580C0D">
        <w:t xml:space="preserve">. </w:t>
      </w:r>
      <w:proofErr w:type="spellStart"/>
      <w:r w:rsidRPr="00580C0D">
        <w:t>Frå</w:t>
      </w:r>
      <w:proofErr w:type="spellEnd"/>
      <w:r w:rsidRPr="00580C0D">
        <w:t xml:space="preserve"> og med 2025 vil det </w:t>
      </w:r>
      <w:proofErr w:type="spellStart"/>
      <w:r w:rsidRPr="00580C0D">
        <w:t>berre</w:t>
      </w:r>
      <w:proofErr w:type="spellEnd"/>
      <w:r w:rsidRPr="00580C0D">
        <w:t xml:space="preserve"> </w:t>
      </w:r>
      <w:proofErr w:type="spellStart"/>
      <w:r w:rsidRPr="00580C0D">
        <w:t>vere</w:t>
      </w:r>
      <w:proofErr w:type="spellEnd"/>
      <w:r w:rsidRPr="00580C0D">
        <w:t xml:space="preserve"> gjennomførte studiepoeng, </w:t>
      </w:r>
      <w:proofErr w:type="spellStart"/>
      <w:r w:rsidRPr="00580C0D">
        <w:t>ein</w:t>
      </w:r>
      <w:proofErr w:type="spellEnd"/>
      <w:r w:rsidRPr="00580C0D">
        <w:t xml:space="preserve"> ny indikator for fullføring av studieprogram og doktorgradsindikatoren som får regelstyrt </w:t>
      </w:r>
      <w:proofErr w:type="spellStart"/>
      <w:r w:rsidRPr="00580C0D">
        <w:t>utteljing</w:t>
      </w:r>
      <w:proofErr w:type="spellEnd"/>
      <w:r w:rsidRPr="00580C0D">
        <w:t xml:space="preserve">. </w:t>
      </w:r>
      <w:proofErr w:type="spellStart"/>
      <w:r w:rsidRPr="00580C0D">
        <w:t>Talet</w:t>
      </w:r>
      <w:proofErr w:type="spellEnd"/>
      <w:r w:rsidRPr="00580C0D">
        <w:t xml:space="preserve"> på </w:t>
      </w:r>
      <w:proofErr w:type="spellStart"/>
      <w:r w:rsidRPr="00580C0D">
        <w:t>finansieringskategoriar</w:t>
      </w:r>
      <w:proofErr w:type="spellEnd"/>
      <w:r w:rsidRPr="00580C0D">
        <w:t xml:space="preserve"> for </w:t>
      </w:r>
      <w:proofErr w:type="spellStart"/>
      <w:r w:rsidRPr="00580C0D">
        <w:t>studieplassar</w:t>
      </w:r>
      <w:proofErr w:type="spellEnd"/>
      <w:r w:rsidRPr="00580C0D">
        <w:t xml:space="preserve"> blir redusert </w:t>
      </w:r>
      <w:proofErr w:type="spellStart"/>
      <w:r w:rsidRPr="00580C0D">
        <w:t>frå</w:t>
      </w:r>
      <w:proofErr w:type="spellEnd"/>
      <w:r w:rsidRPr="00580C0D">
        <w:t xml:space="preserve"> seks til tre. Dei nye </w:t>
      </w:r>
      <w:proofErr w:type="spellStart"/>
      <w:r w:rsidRPr="00580C0D">
        <w:t>satsane</w:t>
      </w:r>
      <w:proofErr w:type="spellEnd"/>
      <w:r w:rsidRPr="00580C0D">
        <w:t xml:space="preserve"> er presenterte i </w:t>
      </w:r>
      <w:proofErr w:type="spellStart"/>
      <w:r w:rsidRPr="00580C0D">
        <w:t>Prop</w:t>
      </w:r>
      <w:proofErr w:type="spellEnd"/>
      <w:r w:rsidRPr="00580C0D">
        <w:t>. 1 S (2023–2024), kapittel 12.</w:t>
      </w:r>
    </w:p>
    <w:p w14:paraId="07562EE2"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105159CA" w14:textId="77777777" w:rsidR="00F7113A" w:rsidRPr="00580C0D" w:rsidRDefault="00142E5B" w:rsidP="00580C0D">
      <w:pPr>
        <w:pStyle w:val="avsnitt-tittel"/>
      </w:pPr>
      <w:r w:rsidRPr="00580C0D">
        <w:t>Ordning i Statens lånekasse for utdanning for autorisasjon av helsepersonell</w:t>
      </w:r>
    </w:p>
    <w:p w14:paraId="1BEE4B04" w14:textId="77777777" w:rsidR="00F7113A" w:rsidRPr="00580C0D" w:rsidRDefault="00142E5B" w:rsidP="00580C0D">
      <w:pPr>
        <w:pStyle w:val="avsnitt-undertittel"/>
      </w:pPr>
      <w:r w:rsidRPr="00580C0D">
        <w:t>Vedtak nr. 30, 13. oktober 2020</w:t>
      </w:r>
    </w:p>
    <w:p w14:paraId="1FC08783" w14:textId="77777777" w:rsidR="00F7113A" w:rsidRPr="00580C0D" w:rsidRDefault="00142E5B" w:rsidP="00580C0D">
      <w:pPr>
        <w:pStyle w:val="blokksit"/>
        <w:rPr>
          <w:rStyle w:val="kursiv"/>
        </w:rPr>
      </w:pPr>
      <w:r w:rsidRPr="00580C0D">
        <w:rPr>
          <w:rStyle w:val="kursiv"/>
        </w:rPr>
        <w:t>Stortinget ber regjeringen ta initiativ til en stipend- og/eller låneordning, for eksempel gjennom Statens lånekasse for utdanning, for å dekke nødvendige kurs og fagprøver for å oppnå autorisasjon for helsepersonell.</w:t>
      </w:r>
    </w:p>
    <w:p w14:paraId="381B62C4"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89 L (2019–2020) </w:t>
      </w:r>
      <w:r w:rsidRPr="00580C0D">
        <w:rPr>
          <w:rStyle w:val="kursiv"/>
        </w:rPr>
        <w:t>Lov om integrering gjennom opplæring, utdanning og arbeid (integreringslova)</w:t>
      </w:r>
      <w:r w:rsidRPr="00580C0D">
        <w:t xml:space="preserve">, jf. </w:t>
      </w:r>
      <w:proofErr w:type="spellStart"/>
      <w:r w:rsidRPr="00580C0D">
        <w:t>Innst</w:t>
      </w:r>
      <w:proofErr w:type="spellEnd"/>
      <w:r w:rsidRPr="00580C0D">
        <w:t>. 389 L (2019–2020).</w:t>
      </w:r>
    </w:p>
    <w:p w14:paraId="0DA8B932" w14:textId="77777777" w:rsidR="00F7113A" w:rsidRPr="00580C0D" w:rsidRDefault="00142E5B" w:rsidP="00580C0D">
      <w:r w:rsidRPr="00580C0D">
        <w:t xml:space="preserve">I dag må helsepersonell ta kurs i nasjonale fag, ta språktest og andre </w:t>
      </w:r>
      <w:proofErr w:type="spellStart"/>
      <w:r w:rsidRPr="00580C0D">
        <w:t>prøvar</w:t>
      </w:r>
      <w:proofErr w:type="spellEnd"/>
      <w:r w:rsidRPr="00580C0D">
        <w:t xml:space="preserve"> for å få autorisasjon i </w:t>
      </w:r>
      <w:proofErr w:type="spellStart"/>
      <w:r w:rsidRPr="00580C0D">
        <w:t>Noreg</w:t>
      </w:r>
      <w:proofErr w:type="spellEnd"/>
      <w:r w:rsidRPr="00580C0D">
        <w:t xml:space="preserve">. </w:t>
      </w:r>
      <w:proofErr w:type="spellStart"/>
      <w:r w:rsidRPr="00580C0D">
        <w:t>Desse</w:t>
      </w:r>
      <w:proofErr w:type="spellEnd"/>
      <w:r w:rsidRPr="00580C0D">
        <w:t xml:space="preserve"> kan </w:t>
      </w:r>
      <w:proofErr w:type="spellStart"/>
      <w:r w:rsidRPr="00580C0D">
        <w:t>vere</w:t>
      </w:r>
      <w:proofErr w:type="spellEnd"/>
      <w:r w:rsidRPr="00580C0D">
        <w:t xml:space="preserve"> kostbare å gjennomføre, og det er gebyr for å ta </w:t>
      </w:r>
      <w:proofErr w:type="spellStart"/>
      <w:r w:rsidRPr="00580C0D">
        <w:t>dei</w:t>
      </w:r>
      <w:proofErr w:type="spellEnd"/>
      <w:r w:rsidRPr="00580C0D">
        <w:t xml:space="preserve">. Nødvendige kurs og </w:t>
      </w:r>
      <w:proofErr w:type="spellStart"/>
      <w:r w:rsidRPr="00580C0D">
        <w:t>fagprøvar</w:t>
      </w:r>
      <w:proofErr w:type="spellEnd"/>
      <w:r w:rsidRPr="00580C0D">
        <w:t xml:space="preserve"> for helsepersonell med </w:t>
      </w:r>
      <w:proofErr w:type="spellStart"/>
      <w:r w:rsidRPr="00580C0D">
        <w:t>yrkeskvalifikasjonar</w:t>
      </w:r>
      <w:proofErr w:type="spellEnd"/>
      <w:r w:rsidRPr="00580C0D">
        <w:t xml:space="preserve"> </w:t>
      </w:r>
      <w:proofErr w:type="spellStart"/>
      <w:r w:rsidRPr="00580C0D">
        <w:t>frå</w:t>
      </w:r>
      <w:proofErr w:type="spellEnd"/>
      <w:r w:rsidRPr="00580C0D">
        <w:t xml:space="preserve"> tredjeland </w:t>
      </w:r>
      <w:proofErr w:type="spellStart"/>
      <w:r w:rsidRPr="00580C0D">
        <w:t>skil</w:t>
      </w:r>
      <w:proofErr w:type="spellEnd"/>
      <w:r w:rsidRPr="00580C0D">
        <w:t xml:space="preserve"> seg ut </w:t>
      </w:r>
      <w:proofErr w:type="spellStart"/>
      <w:r w:rsidRPr="00580C0D">
        <w:t>frå</w:t>
      </w:r>
      <w:proofErr w:type="spellEnd"/>
      <w:r w:rsidRPr="00580C0D">
        <w:t xml:space="preserve"> den typen utdanning Lånekassen gir utdanningsstøtte til, slike kurs/</w:t>
      </w:r>
      <w:proofErr w:type="spellStart"/>
      <w:r w:rsidRPr="00580C0D">
        <w:t>fagprøvar</w:t>
      </w:r>
      <w:proofErr w:type="spellEnd"/>
      <w:r w:rsidRPr="00580C0D">
        <w:t xml:space="preserve"> er for korte til å gi rett til utdanningsstøtte for andre </w:t>
      </w:r>
      <w:proofErr w:type="spellStart"/>
      <w:r w:rsidRPr="00580C0D">
        <w:t>studentar</w:t>
      </w:r>
      <w:proofErr w:type="spellEnd"/>
      <w:r w:rsidRPr="00580C0D">
        <w:t xml:space="preserve">. Dette er også ei målgruppe som </w:t>
      </w:r>
      <w:proofErr w:type="spellStart"/>
      <w:r w:rsidRPr="00580C0D">
        <w:t>ikkje</w:t>
      </w:r>
      <w:proofErr w:type="spellEnd"/>
      <w:r w:rsidRPr="00580C0D">
        <w:t xml:space="preserve"> har rett til støtte i dag om </w:t>
      </w:r>
      <w:proofErr w:type="spellStart"/>
      <w:r w:rsidRPr="00580C0D">
        <w:t>dei</w:t>
      </w:r>
      <w:proofErr w:type="spellEnd"/>
      <w:r w:rsidRPr="00580C0D">
        <w:t xml:space="preserve"> </w:t>
      </w:r>
      <w:proofErr w:type="spellStart"/>
      <w:r w:rsidRPr="00580C0D">
        <w:t>ikkje</w:t>
      </w:r>
      <w:proofErr w:type="spellEnd"/>
      <w:r w:rsidRPr="00580C0D">
        <w:t xml:space="preserve"> har budd lenge i </w:t>
      </w:r>
      <w:proofErr w:type="spellStart"/>
      <w:r w:rsidRPr="00580C0D">
        <w:t>Noreg</w:t>
      </w:r>
      <w:proofErr w:type="spellEnd"/>
      <w:r w:rsidRPr="00580C0D">
        <w:t xml:space="preserve">. Ei </w:t>
      </w:r>
      <w:proofErr w:type="spellStart"/>
      <w:r w:rsidRPr="00580C0D">
        <w:t>særskild</w:t>
      </w:r>
      <w:proofErr w:type="spellEnd"/>
      <w:r w:rsidRPr="00580C0D">
        <w:t xml:space="preserve"> ordning for </w:t>
      </w:r>
      <w:proofErr w:type="spellStart"/>
      <w:r w:rsidRPr="00580C0D">
        <w:t>tredjelandsborgarar</w:t>
      </w:r>
      <w:proofErr w:type="spellEnd"/>
      <w:r w:rsidRPr="00580C0D">
        <w:t xml:space="preserve"> vil bryte med prinsippa i </w:t>
      </w:r>
      <w:proofErr w:type="spellStart"/>
      <w:r w:rsidRPr="00580C0D">
        <w:t>utdanningstøttelova</w:t>
      </w:r>
      <w:proofErr w:type="spellEnd"/>
      <w:r w:rsidRPr="00580C0D">
        <w:t xml:space="preserve">, og </w:t>
      </w:r>
      <w:proofErr w:type="spellStart"/>
      <w:r w:rsidRPr="00580C0D">
        <w:t>vere</w:t>
      </w:r>
      <w:proofErr w:type="spellEnd"/>
      <w:r w:rsidRPr="00580C0D">
        <w:t xml:space="preserve"> kostbart for Lånekassen å administrere. Kunnskapsdepartementets vurdering er at det </w:t>
      </w:r>
      <w:proofErr w:type="spellStart"/>
      <w:r w:rsidRPr="00580C0D">
        <w:t>ikkje</w:t>
      </w:r>
      <w:proofErr w:type="spellEnd"/>
      <w:r w:rsidRPr="00580C0D">
        <w:t xml:space="preserve"> er ei god løysing at </w:t>
      </w:r>
      <w:proofErr w:type="spellStart"/>
      <w:r w:rsidRPr="00580C0D">
        <w:t>dei</w:t>
      </w:r>
      <w:proofErr w:type="spellEnd"/>
      <w:r w:rsidRPr="00580C0D">
        <w:t xml:space="preserve"> </w:t>
      </w:r>
      <w:proofErr w:type="spellStart"/>
      <w:r w:rsidRPr="00580C0D">
        <w:t>tek</w:t>
      </w:r>
      <w:proofErr w:type="spellEnd"/>
      <w:r w:rsidRPr="00580C0D">
        <w:t xml:space="preserve"> ansvar for ei slik ordning.</w:t>
      </w:r>
    </w:p>
    <w:p w14:paraId="1CD56B4A" w14:textId="77777777" w:rsidR="00F7113A" w:rsidRPr="00580C0D" w:rsidRDefault="00142E5B" w:rsidP="00580C0D">
      <w:r w:rsidRPr="00580C0D">
        <w:t xml:space="preserve">I statsbudsjettet for 2024 foreslår regjeringa å løyve 20 mill. kroner til </w:t>
      </w:r>
      <w:proofErr w:type="spellStart"/>
      <w:r w:rsidRPr="00580C0D">
        <w:t>lågare</w:t>
      </w:r>
      <w:proofErr w:type="spellEnd"/>
      <w:r w:rsidRPr="00580C0D">
        <w:t xml:space="preserve"> gebyr og </w:t>
      </w:r>
      <w:proofErr w:type="spellStart"/>
      <w:r w:rsidRPr="00580C0D">
        <w:t>lågare</w:t>
      </w:r>
      <w:proofErr w:type="spellEnd"/>
      <w:r w:rsidRPr="00580C0D">
        <w:t xml:space="preserve"> </w:t>
      </w:r>
      <w:proofErr w:type="spellStart"/>
      <w:r w:rsidRPr="00580C0D">
        <w:t>kostnadar</w:t>
      </w:r>
      <w:proofErr w:type="spellEnd"/>
      <w:r w:rsidRPr="00580C0D">
        <w:t xml:space="preserve"> for tilleggskrav for </w:t>
      </w:r>
      <w:proofErr w:type="spellStart"/>
      <w:r w:rsidRPr="00580C0D">
        <w:t>søkarar</w:t>
      </w:r>
      <w:proofErr w:type="spellEnd"/>
      <w:r w:rsidRPr="00580C0D">
        <w:t xml:space="preserve"> </w:t>
      </w:r>
      <w:proofErr w:type="spellStart"/>
      <w:r w:rsidRPr="00580C0D">
        <w:t>frå</w:t>
      </w:r>
      <w:proofErr w:type="spellEnd"/>
      <w:r w:rsidRPr="00580C0D">
        <w:t xml:space="preserve"> tredjeland over budsjettet til Helse- og omsorgsdepartementet. 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4281AB3B" w14:textId="77777777" w:rsidR="00F7113A" w:rsidRPr="00580C0D" w:rsidRDefault="00142E5B" w:rsidP="00580C0D">
      <w:pPr>
        <w:pStyle w:val="avsnitt-tittel"/>
      </w:pPr>
      <w:r w:rsidRPr="00580C0D">
        <w:t xml:space="preserve">Finansiering av </w:t>
      </w:r>
      <w:proofErr w:type="spellStart"/>
      <w:r w:rsidRPr="00580C0D">
        <w:t>studieopphald</w:t>
      </w:r>
      <w:proofErr w:type="spellEnd"/>
      <w:r w:rsidRPr="00580C0D">
        <w:t xml:space="preserve"> i utlandet</w:t>
      </w:r>
    </w:p>
    <w:p w14:paraId="0392DCDD" w14:textId="77777777" w:rsidR="00F7113A" w:rsidRPr="00580C0D" w:rsidRDefault="00142E5B" w:rsidP="00580C0D">
      <w:pPr>
        <w:pStyle w:val="avsnitt-undertittel"/>
      </w:pPr>
      <w:r w:rsidRPr="00580C0D">
        <w:t>Vedtak nr. 684, 25. februar 2021</w:t>
      </w:r>
    </w:p>
    <w:p w14:paraId="342FC960" w14:textId="77777777" w:rsidR="00F7113A" w:rsidRPr="00580C0D" w:rsidRDefault="00142E5B" w:rsidP="00580C0D">
      <w:pPr>
        <w:pStyle w:val="blokksit"/>
        <w:rPr>
          <w:rStyle w:val="kursiv"/>
        </w:rPr>
      </w:pPr>
      <w:r w:rsidRPr="00580C0D">
        <w:rPr>
          <w:rStyle w:val="kursiv"/>
        </w:rPr>
        <w:t>Stortinget ber regjeringen sikre gode finansieringsmekanismer for studieopphold i utlandet for å sikre lik tilgang uansett økonomisk bakgrunn – også til høyt rangerte læresteder.</w:t>
      </w:r>
    </w:p>
    <w:p w14:paraId="284D3F78"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7 (2020–2021) </w:t>
      </w:r>
      <w:r w:rsidRPr="00580C0D">
        <w:rPr>
          <w:rStyle w:val="kursiv"/>
        </w:rPr>
        <w:t>En verden av muligheter – Internasjonal studentmobilitet i høyere utdanning</w:t>
      </w:r>
      <w:r w:rsidRPr="00580C0D">
        <w:t xml:space="preserve">, jf. </w:t>
      </w:r>
      <w:proofErr w:type="spellStart"/>
      <w:r w:rsidRPr="00580C0D">
        <w:t>Innst</w:t>
      </w:r>
      <w:proofErr w:type="spellEnd"/>
      <w:r w:rsidRPr="00580C0D">
        <w:t>. 247 S (2020–2021).</w:t>
      </w:r>
    </w:p>
    <w:p w14:paraId="36889F08" w14:textId="77777777" w:rsidR="00F7113A" w:rsidRPr="00580C0D" w:rsidRDefault="00142E5B" w:rsidP="00580C0D">
      <w:r w:rsidRPr="00580C0D">
        <w:t xml:space="preserve">Generelt er </w:t>
      </w:r>
      <w:proofErr w:type="spellStart"/>
      <w:r w:rsidRPr="00580C0D">
        <w:t>ordningane</w:t>
      </w:r>
      <w:proofErr w:type="spellEnd"/>
      <w:r w:rsidRPr="00580C0D">
        <w:t xml:space="preserve"> til Lånekassen utforma på </w:t>
      </w:r>
      <w:proofErr w:type="spellStart"/>
      <w:r w:rsidRPr="00580C0D">
        <w:t>ein</w:t>
      </w:r>
      <w:proofErr w:type="spellEnd"/>
      <w:r w:rsidRPr="00580C0D">
        <w:t xml:space="preserve"> universell måte </w:t>
      </w:r>
      <w:proofErr w:type="spellStart"/>
      <w:r w:rsidRPr="00580C0D">
        <w:t>utan</w:t>
      </w:r>
      <w:proofErr w:type="spellEnd"/>
      <w:r w:rsidRPr="00580C0D">
        <w:t xml:space="preserve"> omsyn til </w:t>
      </w:r>
      <w:proofErr w:type="spellStart"/>
      <w:r w:rsidRPr="00580C0D">
        <w:t>faktorar</w:t>
      </w:r>
      <w:proofErr w:type="spellEnd"/>
      <w:r w:rsidRPr="00580C0D">
        <w:t xml:space="preserve"> som økonomien til </w:t>
      </w:r>
      <w:proofErr w:type="spellStart"/>
      <w:r w:rsidRPr="00580C0D">
        <w:t>foreldra</w:t>
      </w:r>
      <w:proofErr w:type="spellEnd"/>
      <w:r w:rsidRPr="00580C0D">
        <w:t xml:space="preserve">, kvar i landet </w:t>
      </w:r>
      <w:proofErr w:type="spellStart"/>
      <w:r w:rsidRPr="00580C0D">
        <w:t>ein</w:t>
      </w:r>
      <w:proofErr w:type="spellEnd"/>
      <w:r w:rsidRPr="00580C0D">
        <w:t xml:space="preserve"> kjem </w:t>
      </w:r>
      <w:proofErr w:type="spellStart"/>
      <w:r w:rsidRPr="00580C0D">
        <w:t>frå</w:t>
      </w:r>
      <w:proofErr w:type="spellEnd"/>
      <w:r w:rsidRPr="00580C0D">
        <w:t xml:space="preserve">, eller kva etnisitet </w:t>
      </w:r>
      <w:proofErr w:type="spellStart"/>
      <w:r w:rsidRPr="00580C0D">
        <w:t>ein</w:t>
      </w:r>
      <w:proofErr w:type="spellEnd"/>
      <w:r w:rsidRPr="00580C0D">
        <w:t xml:space="preserve"> har. Dette heng </w:t>
      </w:r>
      <w:proofErr w:type="spellStart"/>
      <w:r w:rsidRPr="00580C0D">
        <w:t>saman</w:t>
      </w:r>
      <w:proofErr w:type="spellEnd"/>
      <w:r w:rsidRPr="00580C0D">
        <w:t xml:space="preserve"> med formålet med utdanningsstøtta. Ifølge lov om utdanningsstøtte § 1 er det å bidra til «like muligheter til utdanning uavhengig av geografiske forhold, alder, kjønn, </w:t>
      </w:r>
      <w:proofErr w:type="gramStart"/>
      <w:r w:rsidRPr="00580C0D">
        <w:t>funksjonsdyktighet,</w:t>
      </w:r>
      <w:proofErr w:type="gramEnd"/>
      <w:r w:rsidRPr="00580C0D">
        <w:t xml:space="preserve"> økonomiske og sosiale forhold». Det </w:t>
      </w:r>
      <w:proofErr w:type="spellStart"/>
      <w:r w:rsidRPr="00580C0D">
        <w:t>finst</w:t>
      </w:r>
      <w:proofErr w:type="spellEnd"/>
      <w:r w:rsidRPr="00580C0D">
        <w:t xml:space="preserve"> derfor </w:t>
      </w:r>
      <w:proofErr w:type="spellStart"/>
      <w:r w:rsidRPr="00580C0D">
        <w:t>ikkje</w:t>
      </w:r>
      <w:proofErr w:type="spellEnd"/>
      <w:r w:rsidRPr="00580C0D">
        <w:t xml:space="preserve"> </w:t>
      </w:r>
      <w:proofErr w:type="spellStart"/>
      <w:r w:rsidRPr="00580C0D">
        <w:t>ordningar</w:t>
      </w:r>
      <w:proofErr w:type="spellEnd"/>
      <w:r w:rsidRPr="00580C0D">
        <w:t xml:space="preserve"> i Lånekassen som </w:t>
      </w:r>
      <w:proofErr w:type="spellStart"/>
      <w:r w:rsidRPr="00580C0D">
        <w:t>skil</w:t>
      </w:r>
      <w:proofErr w:type="spellEnd"/>
      <w:r w:rsidRPr="00580C0D">
        <w:t xml:space="preserve"> mellom </w:t>
      </w:r>
      <w:proofErr w:type="spellStart"/>
      <w:r w:rsidRPr="00580C0D">
        <w:t>studentane</w:t>
      </w:r>
      <w:proofErr w:type="spellEnd"/>
      <w:r w:rsidRPr="00580C0D">
        <w:t xml:space="preserve"> etter </w:t>
      </w:r>
      <w:proofErr w:type="spellStart"/>
      <w:r w:rsidRPr="00580C0D">
        <w:t>dessa</w:t>
      </w:r>
      <w:proofErr w:type="spellEnd"/>
      <w:r w:rsidRPr="00580C0D">
        <w:t xml:space="preserve"> </w:t>
      </w:r>
      <w:proofErr w:type="spellStart"/>
      <w:r w:rsidRPr="00580C0D">
        <w:t>faktorane</w:t>
      </w:r>
      <w:proofErr w:type="spellEnd"/>
      <w:r w:rsidRPr="00580C0D">
        <w:t>.</w:t>
      </w:r>
    </w:p>
    <w:p w14:paraId="3249D7D7" w14:textId="77777777" w:rsidR="00F7113A" w:rsidRPr="00580C0D" w:rsidRDefault="00142E5B" w:rsidP="00580C0D">
      <w:r w:rsidRPr="00580C0D">
        <w:t xml:space="preserve">Lånekassen har ei eiga stipendordning for </w:t>
      </w:r>
      <w:proofErr w:type="spellStart"/>
      <w:r w:rsidRPr="00580C0D">
        <w:t>studentar</w:t>
      </w:r>
      <w:proofErr w:type="spellEnd"/>
      <w:r w:rsidRPr="00580C0D">
        <w:t xml:space="preserve"> som </w:t>
      </w:r>
      <w:proofErr w:type="spellStart"/>
      <w:r w:rsidRPr="00580C0D">
        <w:t>tek</w:t>
      </w:r>
      <w:proofErr w:type="spellEnd"/>
      <w:r w:rsidRPr="00580C0D">
        <w:t xml:space="preserve"> </w:t>
      </w:r>
      <w:proofErr w:type="spellStart"/>
      <w:r w:rsidRPr="00580C0D">
        <w:t>høgare</w:t>
      </w:r>
      <w:proofErr w:type="spellEnd"/>
      <w:r w:rsidRPr="00580C0D">
        <w:t xml:space="preserve"> utdanning ved </w:t>
      </w:r>
      <w:proofErr w:type="spellStart"/>
      <w:r w:rsidRPr="00580C0D">
        <w:t>særleg</w:t>
      </w:r>
      <w:proofErr w:type="spellEnd"/>
      <w:r w:rsidRPr="00580C0D">
        <w:t xml:space="preserve"> høgt rangerte </w:t>
      </w:r>
      <w:proofErr w:type="spellStart"/>
      <w:r w:rsidRPr="00580C0D">
        <w:t>lærestadar</w:t>
      </w:r>
      <w:proofErr w:type="spellEnd"/>
      <w:r w:rsidRPr="00580C0D">
        <w:t xml:space="preserve">. Den skal dekke </w:t>
      </w:r>
      <w:proofErr w:type="spellStart"/>
      <w:r w:rsidRPr="00580C0D">
        <w:t>skulepengar</w:t>
      </w:r>
      <w:proofErr w:type="spellEnd"/>
      <w:r w:rsidRPr="00580C0D">
        <w:t xml:space="preserve"> dersom </w:t>
      </w:r>
      <w:proofErr w:type="spellStart"/>
      <w:r w:rsidRPr="00580C0D">
        <w:t>ein</w:t>
      </w:r>
      <w:proofErr w:type="spellEnd"/>
      <w:r w:rsidRPr="00580C0D">
        <w:t xml:space="preserve"> må betale </w:t>
      </w:r>
      <w:proofErr w:type="spellStart"/>
      <w:r w:rsidRPr="00580C0D">
        <w:t>meir</w:t>
      </w:r>
      <w:proofErr w:type="spellEnd"/>
      <w:r w:rsidRPr="00580C0D">
        <w:t xml:space="preserve"> enn 152 177 kroner i året for studieåret 2023–24. Beløpet er </w:t>
      </w:r>
      <w:proofErr w:type="spellStart"/>
      <w:r w:rsidRPr="00580C0D">
        <w:t>auka</w:t>
      </w:r>
      <w:proofErr w:type="spellEnd"/>
      <w:r w:rsidRPr="00580C0D">
        <w:t xml:space="preserve"> med 7 pst. i statsbudsjettet for 2023, </w:t>
      </w:r>
      <w:proofErr w:type="spellStart"/>
      <w:r w:rsidRPr="00580C0D">
        <w:t>saman</w:t>
      </w:r>
      <w:proofErr w:type="spellEnd"/>
      <w:r w:rsidRPr="00580C0D">
        <w:t xml:space="preserve"> med </w:t>
      </w:r>
      <w:proofErr w:type="spellStart"/>
      <w:r w:rsidRPr="00580C0D">
        <w:t>dei</w:t>
      </w:r>
      <w:proofErr w:type="spellEnd"/>
      <w:r w:rsidRPr="00580C0D">
        <w:t xml:space="preserve"> andre </w:t>
      </w:r>
      <w:proofErr w:type="spellStart"/>
      <w:r w:rsidRPr="00580C0D">
        <w:t>ordningane</w:t>
      </w:r>
      <w:proofErr w:type="spellEnd"/>
      <w:r w:rsidRPr="00580C0D">
        <w:t xml:space="preserve"> som </w:t>
      </w:r>
      <w:proofErr w:type="spellStart"/>
      <w:r w:rsidRPr="00580C0D">
        <w:t>studentar</w:t>
      </w:r>
      <w:proofErr w:type="spellEnd"/>
      <w:r w:rsidRPr="00580C0D">
        <w:t xml:space="preserve"> ved høgt rangerte </w:t>
      </w:r>
      <w:proofErr w:type="spellStart"/>
      <w:r w:rsidRPr="00580C0D">
        <w:t>lærestadar</w:t>
      </w:r>
      <w:proofErr w:type="spellEnd"/>
      <w:r w:rsidRPr="00580C0D">
        <w:t xml:space="preserve"> har rett til, mellom anna basislånet, reisestipend og den ordinære ordninga for lån og stipend til </w:t>
      </w:r>
      <w:proofErr w:type="spellStart"/>
      <w:r w:rsidRPr="00580C0D">
        <w:t>skulepengar</w:t>
      </w:r>
      <w:proofErr w:type="spellEnd"/>
      <w:r w:rsidRPr="00580C0D">
        <w:t xml:space="preserve"> i land </w:t>
      </w:r>
      <w:proofErr w:type="spellStart"/>
      <w:r w:rsidRPr="00580C0D">
        <w:t>utanfor</w:t>
      </w:r>
      <w:proofErr w:type="spellEnd"/>
      <w:r w:rsidRPr="00580C0D">
        <w:t xml:space="preserve"> Norden. Regjeringa vil også understreke at </w:t>
      </w:r>
      <w:proofErr w:type="spellStart"/>
      <w:r w:rsidRPr="00580C0D">
        <w:t>sjølv</w:t>
      </w:r>
      <w:proofErr w:type="spellEnd"/>
      <w:r w:rsidRPr="00580C0D">
        <w:t xml:space="preserve"> om </w:t>
      </w:r>
      <w:proofErr w:type="spellStart"/>
      <w:r w:rsidRPr="00580C0D">
        <w:t>ein</w:t>
      </w:r>
      <w:proofErr w:type="spellEnd"/>
      <w:r w:rsidRPr="00580C0D">
        <w:t xml:space="preserve"> reduksjon i stipenddelen av den ordinære støtta til </w:t>
      </w:r>
      <w:proofErr w:type="spellStart"/>
      <w:r w:rsidRPr="00580C0D">
        <w:t>skulepengar</w:t>
      </w:r>
      <w:proofErr w:type="spellEnd"/>
      <w:r w:rsidRPr="00580C0D">
        <w:t xml:space="preserve"> var </w:t>
      </w:r>
      <w:proofErr w:type="spellStart"/>
      <w:r w:rsidRPr="00580C0D">
        <w:t>eit</w:t>
      </w:r>
      <w:proofErr w:type="spellEnd"/>
      <w:r w:rsidRPr="00580C0D">
        <w:t xml:space="preserve"> tiltak i statsbudsjettet for 2023, blei </w:t>
      </w:r>
      <w:proofErr w:type="spellStart"/>
      <w:r w:rsidRPr="00580C0D">
        <w:t>ikkje</w:t>
      </w:r>
      <w:proofErr w:type="spellEnd"/>
      <w:r w:rsidRPr="00580C0D">
        <w:t xml:space="preserve"> det utvida stipendet til </w:t>
      </w:r>
      <w:proofErr w:type="spellStart"/>
      <w:r w:rsidRPr="00580C0D">
        <w:t>skulepengar</w:t>
      </w:r>
      <w:proofErr w:type="spellEnd"/>
      <w:r w:rsidRPr="00580C0D">
        <w:t xml:space="preserve"> ved høgt rangerte </w:t>
      </w:r>
      <w:proofErr w:type="spellStart"/>
      <w:r w:rsidRPr="00580C0D">
        <w:t>lærestadar</w:t>
      </w:r>
      <w:proofErr w:type="spellEnd"/>
      <w:r w:rsidRPr="00580C0D">
        <w:t xml:space="preserve"> redusert.</w:t>
      </w:r>
    </w:p>
    <w:p w14:paraId="55EA1617" w14:textId="77777777" w:rsidR="00F7113A" w:rsidRPr="00580C0D" w:rsidRDefault="00142E5B" w:rsidP="00580C0D">
      <w:r w:rsidRPr="00580C0D">
        <w:t xml:space="preserve">For utdanning i utlandet er regjeringa </w:t>
      </w:r>
      <w:proofErr w:type="spellStart"/>
      <w:r w:rsidRPr="00580C0D">
        <w:t>oppteken</w:t>
      </w:r>
      <w:proofErr w:type="spellEnd"/>
      <w:r w:rsidRPr="00580C0D">
        <w:t xml:space="preserve"> av at </w:t>
      </w:r>
      <w:proofErr w:type="spellStart"/>
      <w:r w:rsidRPr="00580C0D">
        <w:t>studentar</w:t>
      </w:r>
      <w:proofErr w:type="spellEnd"/>
      <w:r w:rsidRPr="00580C0D">
        <w:t xml:space="preserve"> </w:t>
      </w:r>
      <w:proofErr w:type="spellStart"/>
      <w:r w:rsidRPr="00580C0D">
        <w:t>tek</w:t>
      </w:r>
      <w:proofErr w:type="spellEnd"/>
      <w:r w:rsidRPr="00580C0D">
        <w:t xml:space="preserve"> omsyn til kostnadsnivået når </w:t>
      </w:r>
      <w:proofErr w:type="spellStart"/>
      <w:r w:rsidRPr="00580C0D">
        <w:t>dei</w:t>
      </w:r>
      <w:proofErr w:type="spellEnd"/>
      <w:r w:rsidRPr="00580C0D">
        <w:t xml:space="preserve"> vel kvar </w:t>
      </w:r>
      <w:proofErr w:type="spellStart"/>
      <w:r w:rsidRPr="00580C0D">
        <w:t>dei</w:t>
      </w:r>
      <w:proofErr w:type="spellEnd"/>
      <w:r w:rsidRPr="00580C0D">
        <w:t xml:space="preserve"> vil studere. </w:t>
      </w:r>
      <w:proofErr w:type="spellStart"/>
      <w:r w:rsidRPr="00580C0D">
        <w:t>Frå</w:t>
      </w:r>
      <w:proofErr w:type="spellEnd"/>
      <w:r w:rsidRPr="00580C0D">
        <w:t xml:space="preserve"> 2022–23 blei lista over </w:t>
      </w:r>
      <w:proofErr w:type="spellStart"/>
      <w:r w:rsidRPr="00580C0D">
        <w:t>lærestadar</w:t>
      </w:r>
      <w:proofErr w:type="spellEnd"/>
      <w:r w:rsidRPr="00580C0D">
        <w:t xml:space="preserve"> som gir rett til utvida stipend til </w:t>
      </w:r>
      <w:proofErr w:type="spellStart"/>
      <w:r w:rsidRPr="00580C0D">
        <w:t>skulepengar</w:t>
      </w:r>
      <w:proofErr w:type="spellEnd"/>
      <w:r w:rsidRPr="00580C0D">
        <w:t xml:space="preserve">, redusert til </w:t>
      </w:r>
      <w:proofErr w:type="spellStart"/>
      <w:r w:rsidRPr="00580C0D">
        <w:t>dei</w:t>
      </w:r>
      <w:proofErr w:type="spellEnd"/>
      <w:r w:rsidRPr="00580C0D">
        <w:t xml:space="preserve"> </w:t>
      </w:r>
      <w:proofErr w:type="spellStart"/>
      <w:r w:rsidRPr="00580C0D">
        <w:t>øvste</w:t>
      </w:r>
      <w:proofErr w:type="spellEnd"/>
      <w:r w:rsidRPr="00580C0D">
        <w:t xml:space="preserve"> 75 </w:t>
      </w:r>
      <w:proofErr w:type="spellStart"/>
      <w:r w:rsidRPr="00580C0D">
        <w:t>lærestadane</w:t>
      </w:r>
      <w:proofErr w:type="spellEnd"/>
      <w:r w:rsidRPr="00580C0D">
        <w:t xml:space="preserve">, og dette kan </w:t>
      </w:r>
      <w:proofErr w:type="spellStart"/>
      <w:r w:rsidRPr="00580C0D">
        <w:t>gjere</w:t>
      </w:r>
      <w:proofErr w:type="spellEnd"/>
      <w:r w:rsidRPr="00580C0D">
        <w:t xml:space="preserve"> det </w:t>
      </w:r>
      <w:proofErr w:type="spellStart"/>
      <w:r w:rsidRPr="00580C0D">
        <w:t>tydelegare</w:t>
      </w:r>
      <w:proofErr w:type="spellEnd"/>
      <w:r w:rsidRPr="00580C0D">
        <w:t xml:space="preserve"> for </w:t>
      </w:r>
      <w:proofErr w:type="spellStart"/>
      <w:r w:rsidRPr="00580C0D">
        <w:t>studentane</w:t>
      </w:r>
      <w:proofErr w:type="spellEnd"/>
      <w:r w:rsidRPr="00580C0D">
        <w:t xml:space="preserve"> kva for </w:t>
      </w:r>
      <w:proofErr w:type="spellStart"/>
      <w:r w:rsidRPr="00580C0D">
        <w:t>lærestadar</w:t>
      </w:r>
      <w:proofErr w:type="spellEnd"/>
      <w:r w:rsidRPr="00580C0D">
        <w:t xml:space="preserve"> som leverer særskilt </w:t>
      </w:r>
      <w:proofErr w:type="spellStart"/>
      <w:r w:rsidRPr="00580C0D">
        <w:t>høg</w:t>
      </w:r>
      <w:proofErr w:type="spellEnd"/>
      <w:r w:rsidRPr="00580C0D">
        <w:t xml:space="preserve"> kvalitet. Reduksjonen gjorde det </w:t>
      </w:r>
      <w:proofErr w:type="spellStart"/>
      <w:r w:rsidRPr="00580C0D">
        <w:t>mogleg</w:t>
      </w:r>
      <w:proofErr w:type="spellEnd"/>
      <w:r w:rsidRPr="00580C0D">
        <w:t xml:space="preserve"> å innføre ei ny stipendordning for å rekruttere </w:t>
      </w:r>
      <w:proofErr w:type="spellStart"/>
      <w:r w:rsidRPr="00580C0D">
        <w:t>studentar</w:t>
      </w:r>
      <w:proofErr w:type="spellEnd"/>
      <w:r w:rsidRPr="00580C0D">
        <w:t xml:space="preserve"> til å </w:t>
      </w:r>
      <w:proofErr w:type="spellStart"/>
      <w:r w:rsidRPr="00580C0D">
        <w:t>velje</w:t>
      </w:r>
      <w:proofErr w:type="spellEnd"/>
      <w:r w:rsidRPr="00580C0D">
        <w:t xml:space="preserve"> utveksling til </w:t>
      </w:r>
      <w:proofErr w:type="spellStart"/>
      <w:r w:rsidRPr="00580C0D">
        <w:t>eit</w:t>
      </w:r>
      <w:proofErr w:type="spellEnd"/>
      <w:r w:rsidRPr="00580C0D">
        <w:t xml:space="preserve"> av </w:t>
      </w:r>
      <w:proofErr w:type="spellStart"/>
      <w:r w:rsidRPr="00580C0D">
        <w:t>Noregs</w:t>
      </w:r>
      <w:proofErr w:type="spellEnd"/>
      <w:r w:rsidRPr="00580C0D">
        <w:t xml:space="preserve"> prioriterte samarbeidsland på </w:t>
      </w:r>
      <w:proofErr w:type="spellStart"/>
      <w:r w:rsidRPr="00580C0D">
        <w:t>høgare</w:t>
      </w:r>
      <w:proofErr w:type="spellEnd"/>
      <w:r w:rsidRPr="00580C0D">
        <w:t xml:space="preserve"> utdanning og forsking. Den same reduksjonen </w:t>
      </w:r>
      <w:proofErr w:type="spellStart"/>
      <w:r w:rsidRPr="00580C0D">
        <w:t>gjer</w:t>
      </w:r>
      <w:proofErr w:type="spellEnd"/>
      <w:r w:rsidRPr="00580C0D">
        <w:t xml:space="preserve"> det også </w:t>
      </w:r>
      <w:proofErr w:type="spellStart"/>
      <w:r w:rsidRPr="00580C0D">
        <w:t>mogleg</w:t>
      </w:r>
      <w:proofErr w:type="spellEnd"/>
      <w:r w:rsidRPr="00580C0D">
        <w:t xml:space="preserve"> i 2024–25 </w:t>
      </w:r>
      <w:proofErr w:type="spellStart"/>
      <w:r w:rsidRPr="00580C0D">
        <w:t>å</w:t>
      </w:r>
      <w:proofErr w:type="spellEnd"/>
      <w:r w:rsidRPr="00580C0D">
        <w:t xml:space="preserve"> </w:t>
      </w:r>
      <w:proofErr w:type="spellStart"/>
      <w:r w:rsidRPr="00580C0D">
        <w:t>auke</w:t>
      </w:r>
      <w:proofErr w:type="spellEnd"/>
      <w:r w:rsidRPr="00580C0D">
        <w:t xml:space="preserve"> stipendbeløpet og utvide denne ordninga til å omfatte </w:t>
      </w:r>
      <w:proofErr w:type="spellStart"/>
      <w:r w:rsidRPr="00580C0D">
        <w:t>studentar</w:t>
      </w:r>
      <w:proofErr w:type="spellEnd"/>
      <w:r w:rsidRPr="00580C0D">
        <w:t xml:space="preserve"> som </w:t>
      </w:r>
      <w:proofErr w:type="spellStart"/>
      <w:r w:rsidRPr="00580C0D">
        <w:t>tek</w:t>
      </w:r>
      <w:proofErr w:type="spellEnd"/>
      <w:r w:rsidRPr="00580C0D">
        <w:t xml:space="preserve"> </w:t>
      </w:r>
      <w:proofErr w:type="spellStart"/>
      <w:r w:rsidRPr="00580C0D">
        <w:t>ein</w:t>
      </w:r>
      <w:proofErr w:type="spellEnd"/>
      <w:r w:rsidRPr="00580C0D">
        <w:t xml:space="preserve"> heil grad ved </w:t>
      </w:r>
      <w:proofErr w:type="spellStart"/>
      <w:r w:rsidRPr="00580C0D">
        <w:t>ein</w:t>
      </w:r>
      <w:proofErr w:type="spellEnd"/>
      <w:r w:rsidRPr="00580C0D">
        <w:t xml:space="preserve"> lærestad i </w:t>
      </w:r>
      <w:proofErr w:type="spellStart"/>
      <w:r w:rsidRPr="00580C0D">
        <w:t>eit</w:t>
      </w:r>
      <w:proofErr w:type="spellEnd"/>
      <w:r w:rsidRPr="00580C0D">
        <w:t xml:space="preserve"> prioritert samarbeidsland.</w:t>
      </w:r>
    </w:p>
    <w:p w14:paraId="105E5909"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0E8A583C" w14:textId="77777777" w:rsidR="00F7113A" w:rsidRPr="00580C0D" w:rsidRDefault="00142E5B" w:rsidP="00580C0D">
      <w:pPr>
        <w:pStyle w:val="avsnitt-tittel"/>
      </w:pPr>
      <w:r w:rsidRPr="00580C0D">
        <w:t xml:space="preserve">Betre </w:t>
      </w:r>
      <w:proofErr w:type="spellStart"/>
      <w:r w:rsidRPr="00580C0D">
        <w:t>godkjenningsordningar</w:t>
      </w:r>
      <w:proofErr w:type="spellEnd"/>
      <w:r w:rsidRPr="00580C0D">
        <w:t xml:space="preserve"> for </w:t>
      </w:r>
      <w:proofErr w:type="spellStart"/>
      <w:r w:rsidRPr="00580C0D">
        <w:t>utanlandsk</w:t>
      </w:r>
      <w:proofErr w:type="spellEnd"/>
      <w:r w:rsidRPr="00580C0D">
        <w:t xml:space="preserve"> utdanning</w:t>
      </w:r>
    </w:p>
    <w:p w14:paraId="6C679E7B" w14:textId="77777777" w:rsidR="00F7113A" w:rsidRPr="00580C0D" w:rsidRDefault="00142E5B" w:rsidP="00580C0D">
      <w:pPr>
        <w:pStyle w:val="avsnitt-undertittel"/>
      </w:pPr>
      <w:r w:rsidRPr="00580C0D">
        <w:t>Vedtak nr. 687, 25. februar 2021</w:t>
      </w:r>
    </w:p>
    <w:p w14:paraId="5E37C6B9" w14:textId="77777777" w:rsidR="00F7113A" w:rsidRPr="00580C0D" w:rsidRDefault="00142E5B" w:rsidP="00580C0D">
      <w:pPr>
        <w:pStyle w:val="blokksit"/>
        <w:rPr>
          <w:rStyle w:val="kursiv"/>
        </w:rPr>
      </w:pPr>
      <w:r w:rsidRPr="00580C0D">
        <w:rPr>
          <w:rStyle w:val="kursiv"/>
        </w:rPr>
        <w:t>Stortinget ber regjeringen videreutvikle enklere, raskere og mer forutsigbare godkjenningsordninger for utenlandsk utdanning og kompetanse.</w:t>
      </w:r>
    </w:p>
    <w:p w14:paraId="1CCF92BB"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7 (2020–2021) </w:t>
      </w:r>
      <w:r w:rsidRPr="00580C0D">
        <w:rPr>
          <w:rStyle w:val="kursiv"/>
        </w:rPr>
        <w:t>En verden av muligheter – Internasjonal studentmobilitet i høyere utdanning</w:t>
      </w:r>
      <w:r w:rsidRPr="00580C0D">
        <w:t xml:space="preserve">, jf. </w:t>
      </w:r>
      <w:proofErr w:type="spellStart"/>
      <w:r w:rsidRPr="00580C0D">
        <w:t>Innst</w:t>
      </w:r>
      <w:proofErr w:type="spellEnd"/>
      <w:r w:rsidRPr="00580C0D">
        <w:t>. 247 S (2020–2021)</w:t>
      </w:r>
    </w:p>
    <w:p w14:paraId="623CDC82" w14:textId="77777777" w:rsidR="00F7113A" w:rsidRPr="00580C0D" w:rsidRDefault="00142E5B" w:rsidP="00580C0D">
      <w:r w:rsidRPr="00580C0D">
        <w:t xml:space="preserve">Direktoratet for </w:t>
      </w:r>
      <w:proofErr w:type="spellStart"/>
      <w:r w:rsidRPr="00580C0D">
        <w:t>høgare</w:t>
      </w:r>
      <w:proofErr w:type="spellEnd"/>
      <w:r w:rsidRPr="00580C0D">
        <w:t xml:space="preserve"> utdanning og kompetanse (HK-</w:t>
      </w:r>
      <w:proofErr w:type="spellStart"/>
      <w:r w:rsidRPr="00580C0D">
        <w:t>dir</w:t>
      </w:r>
      <w:proofErr w:type="spellEnd"/>
      <w:r w:rsidRPr="00580C0D">
        <w:t xml:space="preserve">) er godkjenningsstyresmakt for </w:t>
      </w:r>
      <w:proofErr w:type="spellStart"/>
      <w:r w:rsidRPr="00580C0D">
        <w:t>utanlandsk</w:t>
      </w:r>
      <w:proofErr w:type="spellEnd"/>
      <w:r w:rsidRPr="00580C0D">
        <w:t xml:space="preserve"> fag- og yrkesopplæring, </w:t>
      </w:r>
      <w:proofErr w:type="spellStart"/>
      <w:r w:rsidRPr="00580C0D">
        <w:t>fagskuleutdanning</w:t>
      </w:r>
      <w:proofErr w:type="spellEnd"/>
      <w:r w:rsidRPr="00580C0D">
        <w:t xml:space="preserve">, </w:t>
      </w:r>
      <w:proofErr w:type="spellStart"/>
      <w:r w:rsidRPr="00580C0D">
        <w:t>høgare</w:t>
      </w:r>
      <w:proofErr w:type="spellEnd"/>
      <w:r w:rsidRPr="00580C0D">
        <w:t xml:space="preserve"> utdanning og lovregulerte yrke i </w:t>
      </w:r>
      <w:proofErr w:type="spellStart"/>
      <w:proofErr w:type="gramStart"/>
      <w:r w:rsidRPr="00580C0D">
        <w:t>skule</w:t>
      </w:r>
      <w:proofErr w:type="spellEnd"/>
      <w:proofErr w:type="gramEnd"/>
      <w:r w:rsidRPr="00580C0D">
        <w:t xml:space="preserve"> og barnehage. I tillegg er HK-</w:t>
      </w:r>
      <w:proofErr w:type="spellStart"/>
      <w:r w:rsidRPr="00580C0D">
        <w:t>dir</w:t>
      </w:r>
      <w:proofErr w:type="spellEnd"/>
      <w:r w:rsidRPr="00580C0D">
        <w:t xml:space="preserve"> </w:t>
      </w:r>
      <w:proofErr w:type="spellStart"/>
      <w:r w:rsidRPr="00580C0D">
        <w:t>Noregs</w:t>
      </w:r>
      <w:proofErr w:type="spellEnd"/>
      <w:r w:rsidRPr="00580C0D">
        <w:t xml:space="preserve"> informasjonssenter for samarbeidsforuma i European Network </w:t>
      </w:r>
      <w:proofErr w:type="spellStart"/>
      <w:r w:rsidRPr="00580C0D">
        <w:t>of</w:t>
      </w:r>
      <w:proofErr w:type="spellEnd"/>
      <w:r w:rsidRPr="00580C0D">
        <w:t xml:space="preserve"> Information Centres (ENIC) og National </w:t>
      </w:r>
      <w:proofErr w:type="spellStart"/>
      <w:r w:rsidRPr="00580C0D">
        <w:t>Academic</w:t>
      </w:r>
      <w:proofErr w:type="spellEnd"/>
      <w:r w:rsidRPr="00580C0D">
        <w:t xml:space="preserve"> </w:t>
      </w:r>
      <w:proofErr w:type="spellStart"/>
      <w:r w:rsidRPr="00580C0D">
        <w:t>Recognition</w:t>
      </w:r>
      <w:proofErr w:type="spellEnd"/>
      <w:r w:rsidRPr="00580C0D">
        <w:t xml:space="preserve"> Information Centres (NAIC), som internasjonalt går under </w:t>
      </w:r>
      <w:proofErr w:type="spellStart"/>
      <w:r w:rsidRPr="00580C0D">
        <w:t>fellesnemninga</w:t>
      </w:r>
      <w:proofErr w:type="spellEnd"/>
      <w:r w:rsidRPr="00580C0D">
        <w:t xml:space="preserve"> ENIC-NARIC. </w:t>
      </w:r>
      <w:proofErr w:type="spellStart"/>
      <w:r w:rsidRPr="00580C0D">
        <w:t>Desse</w:t>
      </w:r>
      <w:proofErr w:type="spellEnd"/>
      <w:r w:rsidRPr="00580C0D">
        <w:t xml:space="preserve"> følger opp arbeidet med generell godkjenning av </w:t>
      </w:r>
      <w:proofErr w:type="spellStart"/>
      <w:r w:rsidRPr="00580C0D">
        <w:t>høgare</w:t>
      </w:r>
      <w:proofErr w:type="spellEnd"/>
      <w:r w:rsidRPr="00580C0D">
        <w:t xml:space="preserve"> utdanning etter </w:t>
      </w:r>
      <w:proofErr w:type="spellStart"/>
      <w:r w:rsidRPr="00580C0D">
        <w:t>høvesvis</w:t>
      </w:r>
      <w:proofErr w:type="spellEnd"/>
      <w:r w:rsidRPr="00580C0D">
        <w:t xml:space="preserve"> Lisboakonvensjonen og i EU-</w:t>
      </w:r>
      <w:proofErr w:type="spellStart"/>
      <w:r w:rsidRPr="00580C0D">
        <w:t>samanheng</w:t>
      </w:r>
      <w:proofErr w:type="spellEnd"/>
      <w:r w:rsidRPr="00580C0D">
        <w:t>. HK-</w:t>
      </w:r>
      <w:proofErr w:type="spellStart"/>
      <w:r w:rsidRPr="00580C0D">
        <w:t>dir</w:t>
      </w:r>
      <w:proofErr w:type="spellEnd"/>
      <w:r w:rsidRPr="00580C0D">
        <w:t xml:space="preserve"> er også </w:t>
      </w:r>
      <w:proofErr w:type="spellStart"/>
      <w:r w:rsidRPr="00580C0D">
        <w:t>oppnemnd</w:t>
      </w:r>
      <w:proofErr w:type="spellEnd"/>
      <w:r w:rsidRPr="00580C0D">
        <w:t xml:space="preserve"> som nasjonalt informasjonssenter for </w:t>
      </w:r>
      <w:proofErr w:type="spellStart"/>
      <w:r w:rsidRPr="00580C0D">
        <w:t>UNESCOs</w:t>
      </w:r>
      <w:proofErr w:type="spellEnd"/>
      <w:r w:rsidRPr="00580C0D">
        <w:t xml:space="preserve"> globale konvensjon for godkjenning av </w:t>
      </w:r>
      <w:proofErr w:type="spellStart"/>
      <w:r w:rsidRPr="00580C0D">
        <w:t>høgare</w:t>
      </w:r>
      <w:proofErr w:type="spellEnd"/>
      <w:r w:rsidRPr="00580C0D">
        <w:t xml:space="preserve"> utdanning, som tok til å gjelde 5. mars 2023. </w:t>
      </w:r>
      <w:proofErr w:type="spellStart"/>
      <w:r w:rsidRPr="00580C0D">
        <w:t>Vidare</w:t>
      </w:r>
      <w:proofErr w:type="spellEnd"/>
      <w:r w:rsidRPr="00580C0D">
        <w:t xml:space="preserve"> er HK-</w:t>
      </w:r>
      <w:proofErr w:type="spellStart"/>
      <w:r w:rsidRPr="00580C0D">
        <w:t>dir</w:t>
      </w:r>
      <w:proofErr w:type="spellEnd"/>
      <w:r w:rsidRPr="00580C0D">
        <w:t xml:space="preserve"> assistansesenter for yrkeskvalifikasjonsdirektivet. Ansvaret for generell godkjenning av </w:t>
      </w:r>
      <w:proofErr w:type="spellStart"/>
      <w:r w:rsidRPr="00580C0D">
        <w:t>utanlandsk</w:t>
      </w:r>
      <w:proofErr w:type="spellEnd"/>
      <w:r w:rsidRPr="00580C0D">
        <w:t xml:space="preserve"> utdanning og </w:t>
      </w:r>
      <w:proofErr w:type="spellStart"/>
      <w:r w:rsidRPr="00580C0D">
        <w:t>yrkeskvalifikasjonar</w:t>
      </w:r>
      <w:proofErr w:type="spellEnd"/>
      <w:r w:rsidRPr="00580C0D">
        <w:t xml:space="preserve"> i </w:t>
      </w:r>
      <w:proofErr w:type="spellStart"/>
      <w:proofErr w:type="gramStart"/>
      <w:r w:rsidRPr="00580C0D">
        <w:t>skule</w:t>
      </w:r>
      <w:proofErr w:type="spellEnd"/>
      <w:proofErr w:type="gramEnd"/>
      <w:r w:rsidRPr="00580C0D">
        <w:t xml:space="preserve"> og barnehage låg </w:t>
      </w:r>
      <w:proofErr w:type="spellStart"/>
      <w:r w:rsidRPr="00580C0D">
        <w:t>tidlegare</w:t>
      </w:r>
      <w:proofErr w:type="spellEnd"/>
      <w:r w:rsidRPr="00580C0D">
        <w:t xml:space="preserve"> hos NOKUT, jf. </w:t>
      </w:r>
      <w:proofErr w:type="spellStart"/>
      <w:r w:rsidRPr="00580C0D">
        <w:t>Prop</w:t>
      </w:r>
      <w:proofErr w:type="spellEnd"/>
      <w:r w:rsidRPr="00580C0D">
        <w:t xml:space="preserve">. 74 L (2021–2022) </w:t>
      </w:r>
      <w:r w:rsidRPr="00580C0D">
        <w:rPr>
          <w:rStyle w:val="kursiv"/>
        </w:rPr>
        <w:t xml:space="preserve">Endringer i opplæringsloven, universitets- og høyskoleloven og fagskoleloven (endring av </w:t>
      </w:r>
      <w:proofErr w:type="spellStart"/>
      <w:r w:rsidRPr="00580C0D">
        <w:rPr>
          <w:rStyle w:val="kursiv"/>
        </w:rPr>
        <w:t>NOKUTs</w:t>
      </w:r>
      <w:proofErr w:type="spellEnd"/>
      <w:r w:rsidRPr="00580C0D">
        <w:rPr>
          <w:rStyle w:val="kursiv"/>
        </w:rPr>
        <w:t xml:space="preserve"> oppgaver, studentrettigheter mv.)</w:t>
      </w:r>
      <w:r w:rsidRPr="00580C0D">
        <w:t xml:space="preserve"> og </w:t>
      </w:r>
      <w:proofErr w:type="spellStart"/>
      <w:r w:rsidRPr="00580C0D">
        <w:t>Innst</w:t>
      </w:r>
      <w:proofErr w:type="spellEnd"/>
      <w:r w:rsidRPr="00580C0D">
        <w:t>. 287 L (2021–2022).</w:t>
      </w:r>
    </w:p>
    <w:p w14:paraId="53E4597E" w14:textId="77777777" w:rsidR="00F7113A" w:rsidRPr="00580C0D" w:rsidRDefault="00142E5B" w:rsidP="00580C0D">
      <w:proofErr w:type="spellStart"/>
      <w:r w:rsidRPr="00580C0D">
        <w:t>Godkjenningsoppgåvene</w:t>
      </w:r>
      <w:proofErr w:type="spellEnd"/>
      <w:r w:rsidRPr="00580C0D">
        <w:t xml:space="preserve"> blei flytta over </w:t>
      </w:r>
      <w:proofErr w:type="spellStart"/>
      <w:r w:rsidRPr="00580C0D">
        <w:t>frå</w:t>
      </w:r>
      <w:proofErr w:type="spellEnd"/>
      <w:r w:rsidRPr="00580C0D">
        <w:t xml:space="preserve"> NOKUT til HK-</w:t>
      </w:r>
      <w:proofErr w:type="spellStart"/>
      <w:r w:rsidRPr="00580C0D">
        <w:t>dir</w:t>
      </w:r>
      <w:proofErr w:type="spellEnd"/>
      <w:r w:rsidRPr="00580C0D">
        <w:t xml:space="preserve"> </w:t>
      </w:r>
      <w:proofErr w:type="spellStart"/>
      <w:r w:rsidRPr="00580C0D">
        <w:t>frå</w:t>
      </w:r>
      <w:proofErr w:type="spellEnd"/>
      <w:r w:rsidRPr="00580C0D">
        <w:t xml:space="preserve"> 1. januar 2023. Den siste praktiske delen av dette arbeidet blei fullført når HK-</w:t>
      </w:r>
      <w:proofErr w:type="spellStart"/>
      <w:r w:rsidRPr="00580C0D">
        <w:t>dir</w:t>
      </w:r>
      <w:proofErr w:type="spellEnd"/>
      <w:r w:rsidRPr="00580C0D">
        <w:t xml:space="preserve"> </w:t>
      </w:r>
      <w:proofErr w:type="spellStart"/>
      <w:r w:rsidRPr="00580C0D">
        <w:t>fekk</w:t>
      </w:r>
      <w:proofErr w:type="spellEnd"/>
      <w:r w:rsidRPr="00580C0D">
        <w:t xml:space="preserve"> nettsider og </w:t>
      </w:r>
      <w:proofErr w:type="spellStart"/>
      <w:r w:rsidRPr="00580C0D">
        <w:t>søkarportal</w:t>
      </w:r>
      <w:proofErr w:type="spellEnd"/>
      <w:r w:rsidRPr="00580C0D">
        <w:t xml:space="preserve"> over i eigne system </w:t>
      </w:r>
      <w:proofErr w:type="spellStart"/>
      <w:r w:rsidRPr="00580C0D">
        <w:t>frå</w:t>
      </w:r>
      <w:proofErr w:type="spellEnd"/>
      <w:r w:rsidRPr="00580C0D">
        <w:t xml:space="preserve"> 1. juli i år. Grunnlaget for langtidsverknadene av omorganiseringa som er skisserte i departementets svar på oppmodingsvedtaket, er </w:t>
      </w:r>
      <w:proofErr w:type="spellStart"/>
      <w:r w:rsidRPr="00580C0D">
        <w:t>no</w:t>
      </w:r>
      <w:proofErr w:type="spellEnd"/>
      <w:r w:rsidRPr="00580C0D">
        <w:t xml:space="preserve"> på plass. </w:t>
      </w:r>
    </w:p>
    <w:p w14:paraId="7A4A10AF" w14:textId="77777777" w:rsidR="00F7113A" w:rsidRPr="00580C0D" w:rsidRDefault="00142E5B" w:rsidP="00580C0D">
      <w:r w:rsidRPr="00580C0D">
        <w:t xml:space="preserve">I </w:t>
      </w:r>
      <w:proofErr w:type="spellStart"/>
      <w:r w:rsidRPr="00580C0D">
        <w:t>Prop</w:t>
      </w:r>
      <w:proofErr w:type="spellEnd"/>
      <w:r w:rsidRPr="00580C0D">
        <w:t xml:space="preserve">. 126 L (2022–2023) </w:t>
      </w:r>
      <w:r w:rsidRPr="00580C0D">
        <w:rPr>
          <w:rStyle w:val="kursiv"/>
        </w:rPr>
        <w:t>Lov om universiteter og høyskoler (universitets- og høyskoleloven)</w:t>
      </w:r>
      <w:r w:rsidRPr="00580C0D">
        <w:t xml:space="preserve"> har departementet foreslått å </w:t>
      </w:r>
      <w:proofErr w:type="spellStart"/>
      <w:r w:rsidRPr="00580C0D">
        <w:t>vidareføre</w:t>
      </w:r>
      <w:proofErr w:type="spellEnd"/>
      <w:r w:rsidRPr="00580C0D">
        <w:t xml:space="preserve"> </w:t>
      </w:r>
      <w:proofErr w:type="spellStart"/>
      <w:r w:rsidRPr="00580C0D">
        <w:t>reglane</w:t>
      </w:r>
      <w:proofErr w:type="spellEnd"/>
      <w:r w:rsidRPr="00580C0D">
        <w:t xml:space="preserve"> om godkjenning av </w:t>
      </w:r>
      <w:proofErr w:type="spellStart"/>
      <w:r w:rsidRPr="00580C0D">
        <w:t>utanlandsk</w:t>
      </w:r>
      <w:proofErr w:type="spellEnd"/>
      <w:r w:rsidRPr="00580C0D">
        <w:t xml:space="preserve"> </w:t>
      </w:r>
      <w:proofErr w:type="spellStart"/>
      <w:r w:rsidRPr="00580C0D">
        <w:t>høgare</w:t>
      </w:r>
      <w:proofErr w:type="spellEnd"/>
      <w:r w:rsidRPr="00580C0D">
        <w:t xml:space="preserve"> utdanning, og i tillegg vise til </w:t>
      </w:r>
      <w:proofErr w:type="spellStart"/>
      <w:r w:rsidRPr="00580C0D">
        <w:t>UNESCOs</w:t>
      </w:r>
      <w:proofErr w:type="spellEnd"/>
      <w:r w:rsidRPr="00580C0D">
        <w:t xml:space="preserve"> globalkonvensjon for godkjenning av </w:t>
      </w:r>
      <w:proofErr w:type="spellStart"/>
      <w:r w:rsidRPr="00580C0D">
        <w:t>høgare</w:t>
      </w:r>
      <w:proofErr w:type="spellEnd"/>
      <w:r w:rsidRPr="00580C0D">
        <w:t xml:space="preserve"> utdanning. </w:t>
      </w:r>
      <w:proofErr w:type="spellStart"/>
      <w:r w:rsidRPr="00580C0D">
        <w:t>UNESCOs</w:t>
      </w:r>
      <w:proofErr w:type="spellEnd"/>
      <w:r w:rsidRPr="00580C0D">
        <w:t xml:space="preserve"> globalkonvensjon slår i </w:t>
      </w:r>
      <w:proofErr w:type="spellStart"/>
      <w:r w:rsidRPr="00580C0D">
        <w:t>hovudsak</w:t>
      </w:r>
      <w:proofErr w:type="spellEnd"/>
      <w:r w:rsidRPr="00580C0D">
        <w:t xml:space="preserve"> fast </w:t>
      </w:r>
      <w:proofErr w:type="spellStart"/>
      <w:r w:rsidRPr="00580C0D">
        <w:t>dei</w:t>
      </w:r>
      <w:proofErr w:type="spellEnd"/>
      <w:r w:rsidRPr="00580C0D">
        <w:t xml:space="preserve"> same prinsippa og </w:t>
      </w:r>
      <w:proofErr w:type="spellStart"/>
      <w:r w:rsidRPr="00580C0D">
        <w:t>reglane</w:t>
      </w:r>
      <w:proofErr w:type="spellEnd"/>
      <w:r w:rsidRPr="00580C0D">
        <w:t xml:space="preserve"> som blei introduserte med Lisboakonvensjonen, men </w:t>
      </w:r>
      <w:proofErr w:type="spellStart"/>
      <w:r w:rsidRPr="00580C0D">
        <w:t>inneheld</w:t>
      </w:r>
      <w:proofErr w:type="spellEnd"/>
      <w:r w:rsidRPr="00580C0D">
        <w:t xml:space="preserve"> likevel </w:t>
      </w:r>
      <w:proofErr w:type="spellStart"/>
      <w:r w:rsidRPr="00580C0D">
        <w:t>utdjupingar</w:t>
      </w:r>
      <w:proofErr w:type="spellEnd"/>
      <w:r w:rsidRPr="00580C0D">
        <w:t xml:space="preserve">, </w:t>
      </w:r>
      <w:proofErr w:type="spellStart"/>
      <w:r w:rsidRPr="00580C0D">
        <w:t>presiseringar</w:t>
      </w:r>
      <w:proofErr w:type="spellEnd"/>
      <w:r w:rsidRPr="00580C0D">
        <w:t xml:space="preserve"> og </w:t>
      </w:r>
      <w:proofErr w:type="spellStart"/>
      <w:r w:rsidRPr="00580C0D">
        <w:t>vidareutvikling</w:t>
      </w:r>
      <w:proofErr w:type="spellEnd"/>
      <w:r w:rsidRPr="00580C0D">
        <w:t xml:space="preserve"> av </w:t>
      </w:r>
      <w:proofErr w:type="spellStart"/>
      <w:r w:rsidRPr="00580C0D">
        <w:t>einskilde</w:t>
      </w:r>
      <w:proofErr w:type="spellEnd"/>
      <w:r w:rsidRPr="00580C0D">
        <w:t xml:space="preserve"> </w:t>
      </w:r>
      <w:proofErr w:type="spellStart"/>
      <w:r w:rsidRPr="00580C0D">
        <w:t>definisjonar</w:t>
      </w:r>
      <w:proofErr w:type="spellEnd"/>
      <w:r w:rsidRPr="00580C0D">
        <w:t xml:space="preserve">, prinsipp og </w:t>
      </w:r>
      <w:proofErr w:type="spellStart"/>
      <w:r w:rsidRPr="00580C0D">
        <w:t>reglar</w:t>
      </w:r>
      <w:proofErr w:type="spellEnd"/>
      <w:r w:rsidRPr="00580C0D">
        <w:t xml:space="preserve">. </w:t>
      </w:r>
    </w:p>
    <w:p w14:paraId="066F0895" w14:textId="77777777" w:rsidR="00F7113A" w:rsidRPr="00580C0D" w:rsidRDefault="00142E5B" w:rsidP="00580C0D">
      <w:proofErr w:type="spellStart"/>
      <w:r w:rsidRPr="00580C0D">
        <w:t>Talet</w:t>
      </w:r>
      <w:proofErr w:type="spellEnd"/>
      <w:r w:rsidRPr="00580C0D">
        <w:t xml:space="preserve"> på søknader om godkjenning av </w:t>
      </w:r>
      <w:proofErr w:type="spellStart"/>
      <w:r w:rsidRPr="00580C0D">
        <w:t>utanlandsk</w:t>
      </w:r>
      <w:proofErr w:type="spellEnd"/>
      <w:r w:rsidRPr="00580C0D">
        <w:t xml:space="preserve"> utdanning har </w:t>
      </w:r>
      <w:proofErr w:type="spellStart"/>
      <w:r w:rsidRPr="00580C0D">
        <w:t>auka</w:t>
      </w:r>
      <w:proofErr w:type="spellEnd"/>
      <w:r w:rsidRPr="00580C0D">
        <w:t xml:space="preserve"> med om lag 10 pst. i 2022, og </w:t>
      </w:r>
      <w:proofErr w:type="spellStart"/>
      <w:r w:rsidRPr="00580C0D">
        <w:t>ytterlegare</w:t>
      </w:r>
      <w:proofErr w:type="spellEnd"/>
      <w:r w:rsidRPr="00580C0D">
        <w:t xml:space="preserve"> med 20 pst. så langt i 2023. </w:t>
      </w:r>
      <w:proofErr w:type="spellStart"/>
      <w:r w:rsidRPr="00580C0D">
        <w:t>Ein</w:t>
      </w:r>
      <w:proofErr w:type="spellEnd"/>
      <w:r w:rsidRPr="00580C0D">
        <w:t xml:space="preserve"> </w:t>
      </w:r>
      <w:proofErr w:type="spellStart"/>
      <w:r w:rsidRPr="00580C0D">
        <w:t>vesentleg</w:t>
      </w:r>
      <w:proofErr w:type="spellEnd"/>
      <w:r w:rsidRPr="00580C0D">
        <w:t xml:space="preserve"> del av </w:t>
      </w:r>
      <w:proofErr w:type="spellStart"/>
      <w:r w:rsidRPr="00580C0D">
        <w:t>auken</w:t>
      </w:r>
      <w:proofErr w:type="spellEnd"/>
      <w:r w:rsidRPr="00580C0D">
        <w:t xml:space="preserve"> kjem av søknader </w:t>
      </w:r>
      <w:proofErr w:type="spellStart"/>
      <w:r w:rsidRPr="00580C0D">
        <w:t>frå</w:t>
      </w:r>
      <w:proofErr w:type="spellEnd"/>
      <w:r w:rsidRPr="00580C0D">
        <w:t xml:space="preserve"> Ukraina. </w:t>
      </w:r>
      <w:proofErr w:type="spellStart"/>
      <w:r w:rsidRPr="00580C0D">
        <w:t>Godkjenningsordningane</w:t>
      </w:r>
      <w:proofErr w:type="spellEnd"/>
      <w:r w:rsidRPr="00580C0D">
        <w:t xml:space="preserve"> blei også overførte </w:t>
      </w:r>
      <w:proofErr w:type="spellStart"/>
      <w:r w:rsidRPr="00580C0D">
        <w:t>frå</w:t>
      </w:r>
      <w:proofErr w:type="spellEnd"/>
      <w:r w:rsidRPr="00580C0D">
        <w:t xml:space="preserve"> NOKUT til HK-</w:t>
      </w:r>
      <w:proofErr w:type="spellStart"/>
      <w:r w:rsidRPr="00580C0D">
        <w:t>dir</w:t>
      </w:r>
      <w:proofErr w:type="spellEnd"/>
      <w:r w:rsidRPr="00580C0D">
        <w:t xml:space="preserve"> med restanse. I statsbudsjettet for 2024 foreslår departementet å tilføre HK-</w:t>
      </w:r>
      <w:proofErr w:type="spellStart"/>
      <w:r w:rsidRPr="00580C0D">
        <w:t>dir</w:t>
      </w:r>
      <w:proofErr w:type="spellEnd"/>
      <w:r w:rsidRPr="00580C0D">
        <w:t xml:space="preserve"> 2 mill. kroner for å </w:t>
      </w:r>
      <w:proofErr w:type="spellStart"/>
      <w:r w:rsidRPr="00580C0D">
        <w:t>tilsetje</w:t>
      </w:r>
      <w:proofErr w:type="spellEnd"/>
      <w:r w:rsidRPr="00580C0D">
        <w:t xml:space="preserve"> </w:t>
      </w:r>
      <w:proofErr w:type="spellStart"/>
      <w:r w:rsidRPr="00580C0D">
        <w:t>fleire</w:t>
      </w:r>
      <w:proofErr w:type="spellEnd"/>
      <w:r w:rsidRPr="00580C0D">
        <w:t xml:space="preserve"> </w:t>
      </w:r>
      <w:proofErr w:type="spellStart"/>
      <w:r w:rsidRPr="00580C0D">
        <w:t>saksbehandlarar</w:t>
      </w:r>
      <w:proofErr w:type="spellEnd"/>
      <w:r w:rsidRPr="00580C0D">
        <w:t xml:space="preserve"> mellombels som kan handtere den </w:t>
      </w:r>
      <w:proofErr w:type="spellStart"/>
      <w:r w:rsidRPr="00580C0D">
        <w:t>auka</w:t>
      </w:r>
      <w:proofErr w:type="spellEnd"/>
      <w:r w:rsidRPr="00580C0D">
        <w:t xml:space="preserve"> </w:t>
      </w:r>
      <w:proofErr w:type="spellStart"/>
      <w:r w:rsidRPr="00580C0D">
        <w:t>saksmengda</w:t>
      </w:r>
      <w:proofErr w:type="spellEnd"/>
      <w:r w:rsidRPr="00580C0D">
        <w:t xml:space="preserve"> og opparbeidde </w:t>
      </w:r>
      <w:proofErr w:type="spellStart"/>
      <w:r w:rsidRPr="00580C0D">
        <w:t>restansar</w:t>
      </w:r>
      <w:proofErr w:type="spellEnd"/>
      <w:r w:rsidRPr="00580C0D">
        <w:t xml:space="preserve"> på godkjenning av </w:t>
      </w:r>
      <w:proofErr w:type="spellStart"/>
      <w:r w:rsidRPr="00580C0D">
        <w:t>utanlandsk</w:t>
      </w:r>
      <w:proofErr w:type="spellEnd"/>
      <w:r w:rsidRPr="00580C0D">
        <w:t xml:space="preserve"> utdanning, jf. kap. 256.</w:t>
      </w:r>
    </w:p>
    <w:p w14:paraId="6CA8EB1B" w14:textId="77777777" w:rsidR="00F7113A" w:rsidRPr="00580C0D" w:rsidRDefault="00142E5B" w:rsidP="00580C0D">
      <w:r w:rsidRPr="00580C0D">
        <w:t>HK-</w:t>
      </w:r>
      <w:proofErr w:type="spellStart"/>
      <w:r w:rsidRPr="00580C0D">
        <w:t>dir</w:t>
      </w:r>
      <w:proofErr w:type="spellEnd"/>
      <w:r w:rsidRPr="00580C0D">
        <w:t xml:space="preserve"> arbeider </w:t>
      </w:r>
      <w:proofErr w:type="spellStart"/>
      <w:r w:rsidRPr="00580C0D">
        <w:t>kontinuerleg</w:t>
      </w:r>
      <w:proofErr w:type="spellEnd"/>
      <w:r w:rsidRPr="00580C0D">
        <w:t xml:space="preserve"> med å effektivisere </w:t>
      </w:r>
      <w:proofErr w:type="spellStart"/>
      <w:r w:rsidRPr="00580C0D">
        <w:t>ordningane</w:t>
      </w:r>
      <w:proofErr w:type="spellEnd"/>
      <w:r w:rsidRPr="00580C0D">
        <w:t xml:space="preserve">, mellom anna med å få </w:t>
      </w:r>
      <w:proofErr w:type="spellStart"/>
      <w:r w:rsidRPr="00580C0D">
        <w:t>godkjenningsordningane</w:t>
      </w:r>
      <w:proofErr w:type="spellEnd"/>
      <w:r w:rsidRPr="00580C0D">
        <w:t xml:space="preserve"> for </w:t>
      </w:r>
      <w:proofErr w:type="spellStart"/>
      <w:r w:rsidRPr="00580C0D">
        <w:t>dei</w:t>
      </w:r>
      <w:proofErr w:type="spellEnd"/>
      <w:r w:rsidRPr="00580C0D">
        <w:t xml:space="preserve"> regulerte yrka i </w:t>
      </w:r>
      <w:proofErr w:type="spellStart"/>
      <w:proofErr w:type="gramStart"/>
      <w:r w:rsidRPr="00580C0D">
        <w:t>skule</w:t>
      </w:r>
      <w:proofErr w:type="spellEnd"/>
      <w:proofErr w:type="gramEnd"/>
      <w:r w:rsidRPr="00580C0D">
        <w:t xml:space="preserve"> og barnehage inn i det digitale saksbehandlingssystemet og med å forenkle og </w:t>
      </w:r>
      <w:proofErr w:type="spellStart"/>
      <w:r w:rsidRPr="00580C0D">
        <w:t>forbetre</w:t>
      </w:r>
      <w:proofErr w:type="spellEnd"/>
      <w:r w:rsidRPr="00580C0D">
        <w:t xml:space="preserve"> </w:t>
      </w:r>
      <w:proofErr w:type="spellStart"/>
      <w:r w:rsidRPr="00580C0D">
        <w:t>prosessane</w:t>
      </w:r>
      <w:proofErr w:type="spellEnd"/>
      <w:r w:rsidRPr="00580C0D">
        <w:t xml:space="preserve"> for utlikningstiltak. HK-</w:t>
      </w:r>
      <w:proofErr w:type="spellStart"/>
      <w:r w:rsidRPr="00580C0D">
        <w:t>dir</w:t>
      </w:r>
      <w:proofErr w:type="spellEnd"/>
      <w:r w:rsidRPr="00580C0D">
        <w:t xml:space="preserve"> </w:t>
      </w:r>
      <w:proofErr w:type="spellStart"/>
      <w:r w:rsidRPr="00580C0D">
        <w:t>forventar</w:t>
      </w:r>
      <w:proofErr w:type="spellEnd"/>
      <w:r w:rsidRPr="00580C0D">
        <w:t xml:space="preserve"> å sjå resultat av dette arbeidet i 2024 og i åra som kjem. Direktoratet arbeider òg </w:t>
      </w:r>
      <w:proofErr w:type="spellStart"/>
      <w:r w:rsidRPr="00580C0D">
        <w:t>kontinuerleg</w:t>
      </w:r>
      <w:proofErr w:type="spellEnd"/>
      <w:r w:rsidRPr="00580C0D">
        <w:t xml:space="preserve"> med å </w:t>
      </w:r>
      <w:proofErr w:type="spellStart"/>
      <w:r w:rsidRPr="00580C0D">
        <w:t>vidareutvikle</w:t>
      </w:r>
      <w:proofErr w:type="spellEnd"/>
      <w:r w:rsidRPr="00580C0D">
        <w:t xml:space="preserve"> informasjonen i </w:t>
      </w:r>
      <w:proofErr w:type="spellStart"/>
      <w:r w:rsidRPr="00580C0D">
        <w:t>søkarportalen</w:t>
      </w:r>
      <w:proofErr w:type="spellEnd"/>
      <w:r w:rsidRPr="00580C0D">
        <w:t xml:space="preserve">, på nettsidene og i eigne vedtak for å nå </w:t>
      </w:r>
      <w:proofErr w:type="gramStart"/>
      <w:r w:rsidRPr="00580C0D">
        <w:t>potensielle</w:t>
      </w:r>
      <w:proofErr w:type="gramEnd"/>
      <w:r w:rsidRPr="00580C0D">
        <w:t xml:space="preserve"> </w:t>
      </w:r>
      <w:proofErr w:type="spellStart"/>
      <w:r w:rsidRPr="00580C0D">
        <w:t>brukarar</w:t>
      </w:r>
      <w:proofErr w:type="spellEnd"/>
      <w:r w:rsidRPr="00580C0D">
        <w:t xml:space="preserve"> av </w:t>
      </w:r>
      <w:proofErr w:type="spellStart"/>
      <w:r w:rsidRPr="00580C0D">
        <w:t>godkjenningsordningane</w:t>
      </w:r>
      <w:proofErr w:type="spellEnd"/>
      <w:r w:rsidRPr="00580C0D">
        <w:t>.</w:t>
      </w:r>
    </w:p>
    <w:p w14:paraId="275066BE" w14:textId="77777777" w:rsidR="00F7113A" w:rsidRPr="00580C0D" w:rsidRDefault="00142E5B" w:rsidP="00580C0D">
      <w:proofErr w:type="spellStart"/>
      <w:r w:rsidRPr="00580C0D">
        <w:t>Vidareutviklinga</w:t>
      </w:r>
      <w:proofErr w:type="spellEnd"/>
      <w:r w:rsidRPr="00580C0D">
        <w:t xml:space="preserve"> av </w:t>
      </w:r>
      <w:proofErr w:type="spellStart"/>
      <w:r w:rsidRPr="00580C0D">
        <w:t>godkjenningsordningane</w:t>
      </w:r>
      <w:proofErr w:type="spellEnd"/>
      <w:r w:rsidRPr="00580C0D">
        <w:t xml:space="preserve"> blir </w:t>
      </w:r>
      <w:proofErr w:type="spellStart"/>
      <w:r w:rsidRPr="00580C0D">
        <w:t>følgd</w:t>
      </w:r>
      <w:proofErr w:type="spellEnd"/>
      <w:r w:rsidRPr="00580C0D">
        <w:t xml:space="preserve"> opp i den ordinære etatsstyringa og resultatrapporteringa, sjå kap. 271, post 01.</w:t>
      </w:r>
    </w:p>
    <w:p w14:paraId="52824B48" w14:textId="77777777" w:rsidR="00F7113A" w:rsidRPr="00580C0D" w:rsidRDefault="00142E5B" w:rsidP="00580C0D">
      <w:r w:rsidRPr="00580C0D">
        <w:t xml:space="preserve">Departementet meiner at vedtaket med dette er </w:t>
      </w:r>
      <w:proofErr w:type="spellStart"/>
      <w:r w:rsidRPr="00580C0D">
        <w:t>følgt</w:t>
      </w:r>
      <w:proofErr w:type="spellEnd"/>
      <w:r w:rsidRPr="00580C0D">
        <w:t xml:space="preserve"> opp.</w:t>
      </w:r>
    </w:p>
    <w:p w14:paraId="6B8EF533" w14:textId="77777777" w:rsidR="00F7113A" w:rsidRPr="00580C0D" w:rsidRDefault="00142E5B" w:rsidP="00580C0D">
      <w:pPr>
        <w:pStyle w:val="avsnitt-tittel"/>
      </w:pPr>
      <w:r w:rsidRPr="00580C0D">
        <w:t xml:space="preserve">Opptrappingsplan for </w:t>
      </w:r>
      <w:proofErr w:type="spellStart"/>
      <w:r w:rsidRPr="00580C0D">
        <w:t>studieplassar</w:t>
      </w:r>
      <w:proofErr w:type="spellEnd"/>
      <w:r w:rsidRPr="00580C0D">
        <w:t xml:space="preserve"> </w:t>
      </w:r>
      <w:proofErr w:type="spellStart"/>
      <w:r w:rsidRPr="00580C0D">
        <w:t>innanfor</w:t>
      </w:r>
      <w:proofErr w:type="spellEnd"/>
      <w:r w:rsidRPr="00580C0D">
        <w:t xml:space="preserve"> medisin, helsefag, sjukepleie og psykologi</w:t>
      </w:r>
    </w:p>
    <w:p w14:paraId="6661A2E1" w14:textId="77777777" w:rsidR="00F7113A" w:rsidRPr="00580C0D" w:rsidRDefault="00142E5B" w:rsidP="00580C0D">
      <w:pPr>
        <w:pStyle w:val="avsnitt-undertittel"/>
      </w:pPr>
      <w:r w:rsidRPr="00580C0D">
        <w:t>Vedtak nr. 941, 20. mai 2021</w:t>
      </w:r>
    </w:p>
    <w:p w14:paraId="4AB28D98" w14:textId="77777777" w:rsidR="00F7113A" w:rsidRPr="00580C0D" w:rsidRDefault="00142E5B" w:rsidP="00580C0D">
      <w:pPr>
        <w:pStyle w:val="blokksit"/>
        <w:rPr>
          <w:rStyle w:val="kursiv"/>
        </w:rPr>
      </w:pPr>
      <w:r w:rsidRPr="00580C0D">
        <w:rPr>
          <w:rStyle w:val="kursiv"/>
        </w:rPr>
        <w:t>Stortinget ber regjeringen utarbeide en opptrappingsplan for studieplasser innenfor medisin, helsefag og psykologi. Planen skal både inneholde konkrete tiltak for opprettelse av tilstrekkelig med studieplasser ved utdanningsinstitusjonene, og tiltak som sikrer studentene praksisplass i helsesektoren. Planen bør inneholde tiltak som gjør det attraktivt for helsearbeidere å være i sektoren. Stortinget ber regjeringen i forbindelse med statsbudsjettet for 2022 komme tilbake til Stortinget med innledende tiltak for å sikre flere studieplasser innen medisin, helsefag og sykepleie.</w:t>
      </w:r>
    </w:p>
    <w:p w14:paraId="3EEEE3B9" w14:textId="77777777" w:rsidR="00F7113A" w:rsidRPr="00580C0D" w:rsidRDefault="00142E5B" w:rsidP="00580C0D">
      <w:r w:rsidRPr="00580C0D">
        <w:t xml:space="preserve">Oppmodingsvedtaket blei gjort i samband med behandlinga </w:t>
      </w:r>
      <w:proofErr w:type="spellStart"/>
      <w:r w:rsidRPr="00580C0D">
        <w:t>Dok</w:t>
      </w:r>
      <w:proofErr w:type="spellEnd"/>
      <w:r w:rsidRPr="00580C0D">
        <w:t xml:space="preserve">. 8:281 S (2020–2021) </w:t>
      </w:r>
      <w:r w:rsidRPr="00580C0D">
        <w:rPr>
          <w:rStyle w:val="kursiv"/>
        </w:rPr>
        <w:t xml:space="preserve">Representantforslag om opptrappingsplan for </w:t>
      </w:r>
      <w:proofErr w:type="spellStart"/>
      <w:r w:rsidRPr="00580C0D">
        <w:rPr>
          <w:rStyle w:val="kursiv"/>
        </w:rPr>
        <w:t>helseutdanningane</w:t>
      </w:r>
      <w:proofErr w:type="spellEnd"/>
      <w:r w:rsidRPr="00580C0D">
        <w:rPr>
          <w:rStyle w:val="kursiv"/>
        </w:rPr>
        <w:t xml:space="preserve"> fra stortingsrepresentantene Åshild Bruun-Gundersen, Bengt Rune </w:t>
      </w:r>
      <w:proofErr w:type="spellStart"/>
      <w:r w:rsidRPr="00580C0D">
        <w:rPr>
          <w:rStyle w:val="kursiv"/>
        </w:rPr>
        <w:t>Strifeldt</w:t>
      </w:r>
      <w:proofErr w:type="spellEnd"/>
      <w:r w:rsidRPr="00580C0D">
        <w:rPr>
          <w:rStyle w:val="kursiv"/>
        </w:rPr>
        <w:t xml:space="preserve">, Morten Stordalen, Hanne Dyveke </w:t>
      </w:r>
      <w:proofErr w:type="spellStart"/>
      <w:r w:rsidRPr="00580C0D">
        <w:rPr>
          <w:rStyle w:val="kursiv"/>
        </w:rPr>
        <w:t>Støttar</w:t>
      </w:r>
      <w:proofErr w:type="spellEnd"/>
      <w:r w:rsidRPr="00580C0D">
        <w:rPr>
          <w:rStyle w:val="kursiv"/>
        </w:rPr>
        <w:t xml:space="preserve">, Silje Hjemdal, </w:t>
      </w:r>
      <w:proofErr w:type="spellStart"/>
      <w:r w:rsidRPr="00580C0D">
        <w:rPr>
          <w:rStyle w:val="kursiv"/>
        </w:rPr>
        <w:t>Himanshu</w:t>
      </w:r>
      <w:proofErr w:type="spellEnd"/>
      <w:r w:rsidRPr="00580C0D">
        <w:rPr>
          <w:rStyle w:val="kursiv"/>
        </w:rPr>
        <w:t xml:space="preserve"> </w:t>
      </w:r>
      <w:proofErr w:type="spellStart"/>
      <w:r w:rsidRPr="00580C0D">
        <w:rPr>
          <w:rStyle w:val="kursiv"/>
        </w:rPr>
        <w:t>Gulati</w:t>
      </w:r>
      <w:proofErr w:type="spellEnd"/>
      <w:r w:rsidRPr="00580C0D">
        <w:rPr>
          <w:rStyle w:val="kursiv"/>
        </w:rPr>
        <w:t xml:space="preserve"> og Roy Steffensen</w:t>
      </w:r>
      <w:r w:rsidRPr="00580C0D">
        <w:t xml:space="preserve">, jf. </w:t>
      </w:r>
      <w:proofErr w:type="spellStart"/>
      <w:r w:rsidRPr="00580C0D">
        <w:t>Innst</w:t>
      </w:r>
      <w:proofErr w:type="spellEnd"/>
      <w:r w:rsidRPr="00580C0D">
        <w:t>. 419 S (2020–2021).</w:t>
      </w:r>
    </w:p>
    <w:p w14:paraId="6DA31270" w14:textId="77777777" w:rsidR="00F7113A" w:rsidRPr="00580C0D" w:rsidRDefault="00142E5B" w:rsidP="00580C0D">
      <w:r w:rsidRPr="00580C0D">
        <w:t xml:space="preserve">Regjeringa vil føre </w:t>
      </w:r>
      <w:proofErr w:type="spellStart"/>
      <w:r w:rsidRPr="00580C0D">
        <w:t>ein</w:t>
      </w:r>
      <w:proofErr w:type="spellEnd"/>
      <w:r w:rsidRPr="00580C0D">
        <w:t xml:space="preserve"> ambisiøs og offensiv kunnskapspolitikk og bygge sterke </w:t>
      </w:r>
      <w:proofErr w:type="spellStart"/>
      <w:r w:rsidRPr="00580C0D">
        <w:t>profesjonsutdanningar</w:t>
      </w:r>
      <w:proofErr w:type="spellEnd"/>
      <w:r w:rsidRPr="00580C0D">
        <w:t xml:space="preserve"> av </w:t>
      </w:r>
      <w:proofErr w:type="spellStart"/>
      <w:r w:rsidRPr="00580C0D">
        <w:t>høg</w:t>
      </w:r>
      <w:proofErr w:type="spellEnd"/>
      <w:r w:rsidRPr="00580C0D">
        <w:t xml:space="preserve"> kvalitet i heile landet. Derfor har regjeringa varsla i Hurdalsplattforma at ho vil trappe opp </w:t>
      </w:r>
      <w:proofErr w:type="spellStart"/>
      <w:r w:rsidRPr="00580C0D">
        <w:t>talet</w:t>
      </w:r>
      <w:proofErr w:type="spellEnd"/>
      <w:r w:rsidRPr="00580C0D">
        <w:t xml:space="preserve"> på nye </w:t>
      </w:r>
      <w:proofErr w:type="spellStart"/>
      <w:r w:rsidRPr="00580C0D">
        <w:t>studieplassar</w:t>
      </w:r>
      <w:proofErr w:type="spellEnd"/>
      <w:r w:rsidRPr="00580C0D">
        <w:t xml:space="preserve">, med </w:t>
      </w:r>
      <w:proofErr w:type="spellStart"/>
      <w:r w:rsidRPr="00580C0D">
        <w:t>opptrappingsplanar</w:t>
      </w:r>
      <w:proofErr w:type="spellEnd"/>
      <w:r w:rsidRPr="00580C0D">
        <w:t xml:space="preserve"> for område med </w:t>
      </w:r>
      <w:proofErr w:type="spellStart"/>
      <w:r w:rsidRPr="00580C0D">
        <w:t>særleg</w:t>
      </w:r>
      <w:proofErr w:type="spellEnd"/>
      <w:r w:rsidRPr="00580C0D">
        <w:t xml:space="preserve"> stort kompetansebehov, som </w:t>
      </w:r>
      <w:proofErr w:type="spellStart"/>
      <w:r w:rsidRPr="00580C0D">
        <w:t>læraryrket</w:t>
      </w:r>
      <w:proofErr w:type="spellEnd"/>
      <w:r w:rsidRPr="00580C0D">
        <w:t xml:space="preserve">, sjukepleie, realfag, IKT og medisin. I 2022 </w:t>
      </w:r>
      <w:proofErr w:type="spellStart"/>
      <w:r w:rsidRPr="00580C0D">
        <w:t>fekk</w:t>
      </w:r>
      <w:proofErr w:type="spellEnd"/>
      <w:r w:rsidRPr="00580C0D">
        <w:t xml:space="preserve"> Universitetet i Tromsø – </w:t>
      </w:r>
      <w:proofErr w:type="spellStart"/>
      <w:r w:rsidRPr="00580C0D">
        <w:t>Noregs</w:t>
      </w:r>
      <w:proofErr w:type="spellEnd"/>
      <w:r w:rsidRPr="00580C0D">
        <w:t xml:space="preserve"> arktiske universitet (UiT) </w:t>
      </w:r>
      <w:proofErr w:type="spellStart"/>
      <w:r w:rsidRPr="00580C0D">
        <w:t>midlar</w:t>
      </w:r>
      <w:proofErr w:type="spellEnd"/>
      <w:r w:rsidRPr="00580C0D">
        <w:t xml:space="preserve"> til 15 </w:t>
      </w:r>
      <w:proofErr w:type="spellStart"/>
      <w:r w:rsidRPr="00580C0D">
        <w:t>fleire</w:t>
      </w:r>
      <w:proofErr w:type="spellEnd"/>
      <w:r w:rsidRPr="00580C0D">
        <w:t xml:space="preserve"> </w:t>
      </w:r>
      <w:proofErr w:type="spellStart"/>
      <w:r w:rsidRPr="00580C0D">
        <w:t>studieplassar</w:t>
      </w:r>
      <w:proofErr w:type="spellEnd"/>
      <w:r w:rsidRPr="00580C0D">
        <w:t xml:space="preserve"> i medisin, jf. </w:t>
      </w:r>
      <w:proofErr w:type="spellStart"/>
      <w:r w:rsidRPr="00580C0D">
        <w:t>Innst</w:t>
      </w:r>
      <w:proofErr w:type="spellEnd"/>
      <w:r w:rsidRPr="00580C0D">
        <w:t xml:space="preserve">. 2 S (2021–2022) og </w:t>
      </w:r>
      <w:proofErr w:type="spellStart"/>
      <w:r w:rsidRPr="00580C0D">
        <w:t>Prop</w:t>
      </w:r>
      <w:proofErr w:type="spellEnd"/>
      <w:r w:rsidRPr="00580C0D">
        <w:t xml:space="preserve">. 1 S (2021–2022). I statsbudsjettet for 2023 blei det løyvd </w:t>
      </w:r>
      <w:proofErr w:type="spellStart"/>
      <w:r w:rsidRPr="00580C0D">
        <w:t>midlar</w:t>
      </w:r>
      <w:proofErr w:type="spellEnd"/>
      <w:r w:rsidRPr="00580C0D">
        <w:t xml:space="preserve"> til </w:t>
      </w:r>
      <w:proofErr w:type="spellStart"/>
      <w:r w:rsidRPr="00580C0D">
        <w:t>ytterlegare</w:t>
      </w:r>
      <w:proofErr w:type="spellEnd"/>
      <w:r w:rsidRPr="00580C0D">
        <w:t xml:space="preserve"> 30 nye </w:t>
      </w:r>
      <w:proofErr w:type="spellStart"/>
      <w:r w:rsidRPr="00580C0D">
        <w:t>studieplassar</w:t>
      </w:r>
      <w:proofErr w:type="spellEnd"/>
      <w:r w:rsidRPr="00580C0D">
        <w:t xml:space="preserve"> i medisin ved UiT, jf. </w:t>
      </w:r>
      <w:proofErr w:type="spellStart"/>
      <w:r w:rsidRPr="00580C0D">
        <w:t>Innst</w:t>
      </w:r>
      <w:proofErr w:type="spellEnd"/>
      <w:r w:rsidRPr="00580C0D">
        <w:t xml:space="preserve">. 12 S (2022–2023). Kunnskapsdepartementet tildelte </w:t>
      </w:r>
      <w:proofErr w:type="spellStart"/>
      <w:r w:rsidRPr="00580C0D">
        <w:t>midlar</w:t>
      </w:r>
      <w:proofErr w:type="spellEnd"/>
      <w:r w:rsidRPr="00580C0D">
        <w:t xml:space="preserve"> til 300 </w:t>
      </w:r>
      <w:proofErr w:type="spellStart"/>
      <w:r w:rsidRPr="00580C0D">
        <w:t>fleire</w:t>
      </w:r>
      <w:proofErr w:type="spellEnd"/>
      <w:r w:rsidRPr="00580C0D">
        <w:t xml:space="preserve"> </w:t>
      </w:r>
      <w:proofErr w:type="spellStart"/>
      <w:r w:rsidRPr="00580C0D">
        <w:t>studieplassar</w:t>
      </w:r>
      <w:proofErr w:type="spellEnd"/>
      <w:r w:rsidRPr="00580C0D">
        <w:t xml:space="preserve"> i </w:t>
      </w:r>
      <w:proofErr w:type="spellStart"/>
      <w:r w:rsidRPr="00580C0D">
        <w:t>sjukepleiarutdanningane</w:t>
      </w:r>
      <w:proofErr w:type="spellEnd"/>
      <w:r w:rsidRPr="00580C0D">
        <w:t xml:space="preserve">, og elleve </w:t>
      </w:r>
      <w:proofErr w:type="spellStart"/>
      <w:r w:rsidRPr="00580C0D">
        <w:t>statlege</w:t>
      </w:r>
      <w:proofErr w:type="spellEnd"/>
      <w:r w:rsidRPr="00580C0D">
        <w:t xml:space="preserve"> universitet og </w:t>
      </w:r>
      <w:proofErr w:type="spellStart"/>
      <w:r w:rsidRPr="00580C0D">
        <w:t>høgskular</w:t>
      </w:r>
      <w:proofErr w:type="spellEnd"/>
      <w:r w:rsidRPr="00580C0D">
        <w:t xml:space="preserve"> blei i tillegg </w:t>
      </w:r>
      <w:proofErr w:type="spellStart"/>
      <w:r w:rsidRPr="00580C0D">
        <w:t>bedne</w:t>
      </w:r>
      <w:proofErr w:type="spellEnd"/>
      <w:r w:rsidRPr="00580C0D">
        <w:t xml:space="preserve"> om å omprioritere for å opprette </w:t>
      </w:r>
      <w:proofErr w:type="spellStart"/>
      <w:r w:rsidRPr="00580C0D">
        <w:t>ytterlegare</w:t>
      </w:r>
      <w:proofErr w:type="spellEnd"/>
      <w:r w:rsidRPr="00580C0D">
        <w:t xml:space="preserve"> til </w:t>
      </w:r>
      <w:proofErr w:type="spellStart"/>
      <w:r w:rsidRPr="00580C0D">
        <w:t>saman</w:t>
      </w:r>
      <w:proofErr w:type="spellEnd"/>
      <w:r w:rsidRPr="00580C0D">
        <w:t xml:space="preserve"> 200 </w:t>
      </w:r>
      <w:proofErr w:type="spellStart"/>
      <w:r w:rsidRPr="00580C0D">
        <w:t>fleire</w:t>
      </w:r>
      <w:proofErr w:type="spellEnd"/>
      <w:r w:rsidRPr="00580C0D">
        <w:t xml:space="preserve"> </w:t>
      </w:r>
      <w:proofErr w:type="spellStart"/>
      <w:r w:rsidRPr="00580C0D">
        <w:t>plassar</w:t>
      </w:r>
      <w:proofErr w:type="spellEnd"/>
      <w:r w:rsidRPr="00580C0D">
        <w:t xml:space="preserve"> </w:t>
      </w:r>
      <w:proofErr w:type="spellStart"/>
      <w:r w:rsidRPr="00580C0D">
        <w:t>innanfor</w:t>
      </w:r>
      <w:proofErr w:type="spellEnd"/>
      <w:r w:rsidRPr="00580C0D">
        <w:t xml:space="preserve"> uendra rammeløyving, jf. </w:t>
      </w:r>
      <w:proofErr w:type="spellStart"/>
      <w:r w:rsidRPr="00580C0D">
        <w:t>Innst</w:t>
      </w:r>
      <w:proofErr w:type="spellEnd"/>
      <w:r w:rsidRPr="00580C0D">
        <w:t xml:space="preserve">. 119 S (2021–2022) og </w:t>
      </w:r>
      <w:proofErr w:type="spellStart"/>
      <w:r w:rsidRPr="00580C0D">
        <w:t>Prop</w:t>
      </w:r>
      <w:proofErr w:type="spellEnd"/>
      <w:r w:rsidRPr="00580C0D">
        <w:t xml:space="preserve">. 51 S (2021–2022). Regjeringa foreslår </w:t>
      </w:r>
      <w:proofErr w:type="spellStart"/>
      <w:r w:rsidRPr="00580C0D">
        <w:t>ytterlegare</w:t>
      </w:r>
      <w:proofErr w:type="spellEnd"/>
      <w:r w:rsidRPr="00580C0D">
        <w:t xml:space="preserve"> 60 nye </w:t>
      </w:r>
      <w:proofErr w:type="spellStart"/>
      <w:r w:rsidRPr="00580C0D">
        <w:t>studieplassar</w:t>
      </w:r>
      <w:proofErr w:type="spellEnd"/>
      <w:r w:rsidRPr="00580C0D">
        <w:t xml:space="preserve"> i medisin </w:t>
      </w:r>
      <w:proofErr w:type="spellStart"/>
      <w:r w:rsidRPr="00580C0D">
        <w:t>frå</w:t>
      </w:r>
      <w:proofErr w:type="spellEnd"/>
      <w:r w:rsidRPr="00580C0D">
        <w:t xml:space="preserve"> 2024. Regjeringa foreslår </w:t>
      </w:r>
      <w:proofErr w:type="spellStart"/>
      <w:r w:rsidRPr="00580C0D">
        <w:t>vidare</w:t>
      </w:r>
      <w:proofErr w:type="spellEnd"/>
      <w:r w:rsidRPr="00580C0D">
        <w:t xml:space="preserve"> 20 </w:t>
      </w:r>
      <w:proofErr w:type="spellStart"/>
      <w:r w:rsidRPr="00580C0D">
        <w:t>studieplassar</w:t>
      </w:r>
      <w:proofErr w:type="spellEnd"/>
      <w:r w:rsidRPr="00580C0D">
        <w:t xml:space="preserve"> til etablering av fysioterapiutdanning og 20 </w:t>
      </w:r>
      <w:proofErr w:type="spellStart"/>
      <w:r w:rsidRPr="00580C0D">
        <w:t>studieplassar</w:t>
      </w:r>
      <w:proofErr w:type="spellEnd"/>
      <w:r w:rsidRPr="00580C0D">
        <w:t xml:space="preserve"> i vernepleie ved Høgskolen i Innlandet.</w:t>
      </w:r>
    </w:p>
    <w:p w14:paraId="2407318C" w14:textId="77777777" w:rsidR="00F7113A" w:rsidRPr="00580C0D" w:rsidRDefault="00142E5B" w:rsidP="00580C0D">
      <w:proofErr w:type="spellStart"/>
      <w:r w:rsidRPr="00580C0D">
        <w:t>Vidare</w:t>
      </w:r>
      <w:proofErr w:type="spellEnd"/>
      <w:r w:rsidRPr="00580C0D">
        <w:t xml:space="preserve"> oppfølging av dette oppmodingsvedtaket er under arbeid i samarbeid med relevante departement. Departementet vil </w:t>
      </w:r>
      <w:proofErr w:type="spellStart"/>
      <w:r w:rsidRPr="00580C0D">
        <w:t>kome</w:t>
      </w:r>
      <w:proofErr w:type="spellEnd"/>
      <w:r w:rsidRPr="00580C0D">
        <w:t xml:space="preserve"> tilbake til Stortinget med ei stortingsmelding om </w:t>
      </w:r>
      <w:proofErr w:type="spellStart"/>
      <w:r w:rsidRPr="00580C0D">
        <w:t>profesjonsutdanningane</w:t>
      </w:r>
      <w:proofErr w:type="spellEnd"/>
      <w:r w:rsidRPr="00580C0D">
        <w:t>.</w:t>
      </w:r>
    </w:p>
    <w:p w14:paraId="4304A033" w14:textId="77777777" w:rsidR="00F7113A" w:rsidRPr="00580C0D" w:rsidRDefault="00142E5B" w:rsidP="00580C0D">
      <w:pPr>
        <w:pStyle w:val="Overskrift2"/>
      </w:pPr>
      <w:r w:rsidRPr="00580C0D">
        <w:t>Stortingssesjon 2019–2020</w:t>
      </w:r>
    </w:p>
    <w:p w14:paraId="2382A44A" w14:textId="77777777" w:rsidR="00F7113A" w:rsidRPr="00580C0D" w:rsidRDefault="00142E5B" w:rsidP="00580C0D">
      <w:pPr>
        <w:pStyle w:val="Undertittel"/>
      </w:pPr>
      <w:r w:rsidRPr="00580C0D">
        <w:t>Oppmodingsvedtak under kunnskapsministeren</w:t>
      </w:r>
    </w:p>
    <w:p w14:paraId="65E5639A" w14:textId="77777777" w:rsidR="00F7113A" w:rsidRPr="00580C0D" w:rsidRDefault="00142E5B" w:rsidP="00580C0D">
      <w:pPr>
        <w:pStyle w:val="avsnitt-tittel"/>
      </w:pPr>
      <w:proofErr w:type="spellStart"/>
      <w:r w:rsidRPr="00580C0D">
        <w:t>Vaksne</w:t>
      </w:r>
      <w:proofErr w:type="spellEnd"/>
      <w:r w:rsidRPr="00580C0D">
        <w:t xml:space="preserve"> </w:t>
      </w:r>
      <w:proofErr w:type="spellStart"/>
      <w:r w:rsidRPr="00580C0D">
        <w:t>utan</w:t>
      </w:r>
      <w:proofErr w:type="spellEnd"/>
      <w:r w:rsidRPr="00580C0D">
        <w:t xml:space="preserve"> rett til </w:t>
      </w:r>
      <w:proofErr w:type="spellStart"/>
      <w:r w:rsidRPr="00580C0D">
        <w:t>vidaregåande</w:t>
      </w:r>
      <w:proofErr w:type="spellEnd"/>
      <w:r w:rsidRPr="00580C0D">
        <w:t xml:space="preserve"> opplæring</w:t>
      </w:r>
    </w:p>
    <w:p w14:paraId="2C2AF80B" w14:textId="77777777" w:rsidR="00F7113A" w:rsidRPr="00580C0D" w:rsidRDefault="00142E5B" w:rsidP="00580C0D">
      <w:pPr>
        <w:pStyle w:val="avsnitt-undertittel"/>
      </w:pPr>
      <w:r w:rsidRPr="00580C0D">
        <w:t>Vedtak nr. 701, 15. juni 2020</w:t>
      </w:r>
    </w:p>
    <w:p w14:paraId="077A8375" w14:textId="77777777" w:rsidR="00F7113A" w:rsidRPr="00580C0D" w:rsidRDefault="00142E5B" w:rsidP="00580C0D">
      <w:pPr>
        <w:pStyle w:val="blokksit"/>
        <w:rPr>
          <w:rStyle w:val="kursiv"/>
        </w:rPr>
      </w:pPr>
      <w:r w:rsidRPr="00580C0D">
        <w:rPr>
          <w:rStyle w:val="kursiv"/>
        </w:rPr>
        <w:t>Stortinget ber regjeringen komme tilbake til Stortinget med forslag om å utvide retten til realkompetansevurdering til også å gjelde voksne uten rett til videregående opplæring.</w:t>
      </w:r>
    </w:p>
    <w:p w14:paraId="0211E198"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14 (2019–2020) </w:t>
      </w:r>
      <w:r w:rsidRPr="00580C0D">
        <w:rPr>
          <w:rStyle w:val="kursiv"/>
        </w:rPr>
        <w:t>Kompetansereformen – Lære hele livet</w:t>
      </w:r>
      <w:r w:rsidRPr="00580C0D">
        <w:t xml:space="preserve">, jf. </w:t>
      </w:r>
      <w:proofErr w:type="spellStart"/>
      <w:r w:rsidRPr="00580C0D">
        <w:t>Innst</w:t>
      </w:r>
      <w:proofErr w:type="spellEnd"/>
      <w:r w:rsidRPr="00580C0D">
        <w:t>. 370 S (2019–2020).</w:t>
      </w:r>
    </w:p>
    <w:p w14:paraId="03083FA4"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w:t>
      </w:r>
      <w:proofErr w:type="spellStart"/>
      <w:r w:rsidRPr="00580C0D">
        <w:t>Prop</w:t>
      </w:r>
      <w:proofErr w:type="spellEnd"/>
      <w:r w:rsidRPr="00580C0D">
        <w:t xml:space="preserve">. 57 L (2022–2023), som blei lagd fram for Stortinget 24. mars 2023 og behandla 5. juni 2023. I </w:t>
      </w:r>
      <w:proofErr w:type="spellStart"/>
      <w:r w:rsidRPr="00580C0D">
        <w:t>Prop</w:t>
      </w:r>
      <w:proofErr w:type="spellEnd"/>
      <w:r w:rsidRPr="00580C0D">
        <w:t xml:space="preserve">. 57 L (2022–2023) foreslo departementet at retten til </w:t>
      </w:r>
      <w:proofErr w:type="spellStart"/>
      <w:r w:rsidRPr="00580C0D">
        <w:t>vidaregåande</w:t>
      </w:r>
      <w:proofErr w:type="spellEnd"/>
      <w:r w:rsidRPr="00580C0D">
        <w:t xml:space="preserve"> opplæring blir utvida, og at retten til realkompetansevurdering blir utvida </w:t>
      </w:r>
      <w:proofErr w:type="spellStart"/>
      <w:r w:rsidRPr="00580C0D">
        <w:t>tilsvarande</w:t>
      </w:r>
      <w:proofErr w:type="spellEnd"/>
      <w:r w:rsidRPr="00580C0D">
        <w:t xml:space="preserve">. Departementet foreslo </w:t>
      </w:r>
      <w:proofErr w:type="spellStart"/>
      <w:r w:rsidRPr="00580C0D">
        <w:t>vidare</w:t>
      </w:r>
      <w:proofErr w:type="spellEnd"/>
      <w:r w:rsidRPr="00580C0D">
        <w:t xml:space="preserve"> at rett til realkompetansevurdering for </w:t>
      </w:r>
      <w:proofErr w:type="spellStart"/>
      <w:r w:rsidRPr="00580C0D">
        <w:t>dei</w:t>
      </w:r>
      <w:proofErr w:type="spellEnd"/>
      <w:r w:rsidRPr="00580C0D">
        <w:t xml:space="preserve"> som har tilvising </w:t>
      </w:r>
      <w:proofErr w:type="spellStart"/>
      <w:r w:rsidRPr="00580C0D">
        <w:t>frå</w:t>
      </w:r>
      <w:proofErr w:type="spellEnd"/>
      <w:r w:rsidRPr="00580C0D">
        <w:t xml:space="preserve"> kommunen eller Arbeids- og velferdsetaten, også skal omfatte </w:t>
      </w:r>
      <w:proofErr w:type="spellStart"/>
      <w:r w:rsidRPr="00580C0D">
        <w:t>dei</w:t>
      </w:r>
      <w:proofErr w:type="spellEnd"/>
      <w:r w:rsidRPr="00580C0D">
        <w:t xml:space="preserve"> som </w:t>
      </w:r>
      <w:proofErr w:type="spellStart"/>
      <w:r w:rsidRPr="00580C0D">
        <w:t>ikkje</w:t>
      </w:r>
      <w:proofErr w:type="spellEnd"/>
      <w:r w:rsidRPr="00580C0D">
        <w:t xml:space="preserve"> har rett til </w:t>
      </w:r>
      <w:proofErr w:type="spellStart"/>
      <w:r w:rsidRPr="00580C0D">
        <w:t>vidaregåande</w:t>
      </w:r>
      <w:proofErr w:type="spellEnd"/>
      <w:r w:rsidRPr="00580C0D">
        <w:t xml:space="preserve"> opplæring fordi </w:t>
      </w:r>
      <w:proofErr w:type="spellStart"/>
      <w:r w:rsidRPr="00580C0D">
        <w:t>dei</w:t>
      </w:r>
      <w:proofErr w:type="spellEnd"/>
      <w:r w:rsidRPr="00580C0D">
        <w:t xml:space="preserve"> </w:t>
      </w:r>
      <w:proofErr w:type="spellStart"/>
      <w:r w:rsidRPr="00580C0D">
        <w:t>ikkje</w:t>
      </w:r>
      <w:proofErr w:type="spellEnd"/>
      <w:r w:rsidRPr="00580C0D">
        <w:t xml:space="preserve"> har fullført </w:t>
      </w:r>
      <w:proofErr w:type="spellStart"/>
      <w:r w:rsidRPr="00580C0D">
        <w:t>grunnskulen</w:t>
      </w:r>
      <w:proofErr w:type="spellEnd"/>
      <w:r w:rsidRPr="00580C0D">
        <w:t xml:space="preserve"> eller </w:t>
      </w:r>
      <w:proofErr w:type="spellStart"/>
      <w:r w:rsidRPr="00580C0D">
        <w:t>førebuande</w:t>
      </w:r>
      <w:proofErr w:type="spellEnd"/>
      <w:r w:rsidRPr="00580C0D">
        <w:t xml:space="preserve"> opplæring for </w:t>
      </w:r>
      <w:proofErr w:type="spellStart"/>
      <w:r w:rsidRPr="00580C0D">
        <w:t>vaksne</w:t>
      </w:r>
      <w:proofErr w:type="spellEnd"/>
      <w:r w:rsidRPr="00580C0D">
        <w:t xml:space="preserve">. Departementet meiner at </w:t>
      </w:r>
      <w:proofErr w:type="spellStart"/>
      <w:r w:rsidRPr="00580C0D">
        <w:t>dei</w:t>
      </w:r>
      <w:proofErr w:type="spellEnd"/>
      <w:r w:rsidRPr="00580C0D">
        <w:t xml:space="preserve"> foreslåtte </w:t>
      </w:r>
      <w:proofErr w:type="spellStart"/>
      <w:r w:rsidRPr="00580C0D">
        <w:t>utvidingane</w:t>
      </w:r>
      <w:proofErr w:type="spellEnd"/>
      <w:r w:rsidRPr="00580C0D">
        <w:t xml:space="preserve"> vil vareta alle som har </w:t>
      </w:r>
      <w:proofErr w:type="spellStart"/>
      <w:r w:rsidRPr="00580C0D">
        <w:t>eit</w:t>
      </w:r>
      <w:proofErr w:type="spellEnd"/>
      <w:r w:rsidRPr="00580C0D">
        <w:t xml:space="preserve"> reelt behov for realkompetansevurdering. Departementet viser til vurderinga i </w:t>
      </w:r>
      <w:proofErr w:type="spellStart"/>
      <w:r w:rsidRPr="00580C0D">
        <w:t>Prop</w:t>
      </w:r>
      <w:proofErr w:type="spellEnd"/>
      <w:r w:rsidRPr="00580C0D">
        <w:t>. 57 L (2022–2023), punkt 43.12.4.2.</w:t>
      </w:r>
    </w:p>
    <w:p w14:paraId="6E7E2BA1"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795CA109" w14:textId="77777777" w:rsidR="00F7113A" w:rsidRPr="00580C0D" w:rsidRDefault="00142E5B" w:rsidP="00580C0D">
      <w:pPr>
        <w:pStyle w:val="Undertittel"/>
      </w:pPr>
      <w:r w:rsidRPr="00580C0D">
        <w:t xml:space="preserve">Oppmodingsvedtak under forskings- og </w:t>
      </w:r>
      <w:proofErr w:type="spellStart"/>
      <w:r w:rsidRPr="00580C0D">
        <w:t>høgare</w:t>
      </w:r>
      <w:proofErr w:type="spellEnd"/>
      <w:r w:rsidRPr="00580C0D">
        <w:t xml:space="preserve"> utdanningsministeren</w:t>
      </w:r>
    </w:p>
    <w:p w14:paraId="719AE202" w14:textId="77777777" w:rsidR="00F7113A" w:rsidRPr="00580C0D" w:rsidRDefault="00142E5B" w:rsidP="00580C0D">
      <w:pPr>
        <w:pStyle w:val="avsnitt-tittel"/>
      </w:pPr>
      <w:r w:rsidRPr="00580C0D">
        <w:t>Rett til kompetanseheving i arbeidslivet</w:t>
      </w:r>
    </w:p>
    <w:p w14:paraId="5DDD5DC9" w14:textId="77777777" w:rsidR="00F7113A" w:rsidRPr="00580C0D" w:rsidRDefault="00142E5B" w:rsidP="00580C0D">
      <w:pPr>
        <w:pStyle w:val="avsnitt-undertittel"/>
      </w:pPr>
      <w:r w:rsidRPr="00580C0D">
        <w:t>Vedtak nr. 698, 15. juni 2020</w:t>
      </w:r>
    </w:p>
    <w:p w14:paraId="1063D9FD" w14:textId="77777777" w:rsidR="00F7113A" w:rsidRPr="00580C0D" w:rsidRDefault="00142E5B" w:rsidP="00580C0D">
      <w:pPr>
        <w:pStyle w:val="blokksit"/>
        <w:rPr>
          <w:rStyle w:val="kursiv"/>
        </w:rPr>
      </w:pPr>
      <w:r w:rsidRPr="00580C0D">
        <w:rPr>
          <w:rStyle w:val="kursiv"/>
        </w:rPr>
        <w:t>Stortinget ber regjeringen nedsette et partssammensatt utvalg for å utrede hvordan arbeidstakere kan opparbeide seg en rett til kompetanseheving gjennom arbeidslivet, og sikre at tillitsvalgte tas med i drøftinger om hvilken kompetanseutvikling virksomheten trenger.</w:t>
      </w:r>
    </w:p>
    <w:p w14:paraId="61AE7CF3"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14 (2019–2020) </w:t>
      </w:r>
      <w:r w:rsidRPr="00580C0D">
        <w:rPr>
          <w:rStyle w:val="kursiv"/>
        </w:rPr>
        <w:t>Kompetansereformen – Lære hele livet</w:t>
      </w:r>
      <w:r w:rsidRPr="00580C0D">
        <w:t xml:space="preserve">, jf. </w:t>
      </w:r>
      <w:proofErr w:type="spellStart"/>
      <w:r w:rsidRPr="00580C0D">
        <w:t>Innst</w:t>
      </w:r>
      <w:proofErr w:type="spellEnd"/>
      <w:r w:rsidRPr="00580C0D">
        <w:t>. 370 S (2019–2020).</w:t>
      </w:r>
    </w:p>
    <w:p w14:paraId="7DFC5F66" w14:textId="77777777" w:rsidR="00F7113A" w:rsidRPr="00580C0D" w:rsidRDefault="00142E5B" w:rsidP="00580C0D">
      <w:r w:rsidRPr="00580C0D">
        <w:t xml:space="preserve">Regjeringa har sett ned </w:t>
      </w:r>
      <w:proofErr w:type="spellStart"/>
      <w:r w:rsidRPr="00580C0D">
        <w:t>eit</w:t>
      </w:r>
      <w:proofErr w:type="spellEnd"/>
      <w:r w:rsidRPr="00580C0D">
        <w:t xml:space="preserve"> </w:t>
      </w:r>
      <w:proofErr w:type="spellStart"/>
      <w:r w:rsidRPr="00580C0D">
        <w:t>utval</w:t>
      </w:r>
      <w:proofErr w:type="spellEnd"/>
      <w:r w:rsidRPr="00580C0D">
        <w:t xml:space="preserve"> som skal greie ut </w:t>
      </w:r>
      <w:proofErr w:type="gramStart"/>
      <w:r w:rsidRPr="00580C0D">
        <w:t>ei kompetansereform</w:t>
      </w:r>
      <w:proofErr w:type="gramEnd"/>
      <w:r w:rsidRPr="00580C0D">
        <w:t xml:space="preserve"> for arbeidslivet, i tråd med Hurdalsplattforma. </w:t>
      </w:r>
      <w:proofErr w:type="spellStart"/>
      <w:r w:rsidRPr="00580C0D">
        <w:t>Utvalet</w:t>
      </w:r>
      <w:proofErr w:type="spellEnd"/>
      <w:r w:rsidRPr="00580C0D">
        <w:t xml:space="preserve"> består av </w:t>
      </w:r>
      <w:proofErr w:type="spellStart"/>
      <w:r w:rsidRPr="00580C0D">
        <w:t>hovudsamanslutningane</w:t>
      </w:r>
      <w:proofErr w:type="spellEnd"/>
      <w:r w:rsidRPr="00580C0D">
        <w:t xml:space="preserve"> i arbeidslivet og skal levere </w:t>
      </w:r>
      <w:proofErr w:type="spellStart"/>
      <w:r w:rsidRPr="00580C0D">
        <w:t>ein</w:t>
      </w:r>
      <w:proofErr w:type="spellEnd"/>
      <w:r w:rsidRPr="00580C0D">
        <w:t xml:space="preserve"> rapport </w:t>
      </w:r>
      <w:proofErr w:type="spellStart"/>
      <w:r w:rsidRPr="00580C0D">
        <w:t>hausten</w:t>
      </w:r>
      <w:proofErr w:type="spellEnd"/>
      <w:r w:rsidRPr="00580C0D">
        <w:t xml:space="preserve"> 2024. </w:t>
      </w:r>
      <w:proofErr w:type="spellStart"/>
      <w:r w:rsidRPr="00580C0D">
        <w:t>Utvalet</w:t>
      </w:r>
      <w:proofErr w:type="spellEnd"/>
      <w:r w:rsidRPr="00580C0D">
        <w:t xml:space="preserve"> skal mellom anna greie ut ulike </w:t>
      </w:r>
      <w:proofErr w:type="spellStart"/>
      <w:r w:rsidRPr="00580C0D">
        <w:t>modellar</w:t>
      </w:r>
      <w:proofErr w:type="spellEnd"/>
      <w:r w:rsidRPr="00580C0D">
        <w:t xml:space="preserve"> for å stimulere til etter- og </w:t>
      </w:r>
      <w:proofErr w:type="spellStart"/>
      <w:r w:rsidRPr="00580C0D">
        <w:t>vidareutdanning</w:t>
      </w:r>
      <w:proofErr w:type="spellEnd"/>
      <w:r w:rsidRPr="00580C0D">
        <w:t>.</w:t>
      </w:r>
    </w:p>
    <w:p w14:paraId="55E4C630"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4493FC46" w14:textId="77777777" w:rsidR="00F7113A" w:rsidRPr="00580C0D" w:rsidRDefault="00142E5B" w:rsidP="00580C0D">
      <w:pPr>
        <w:pStyle w:val="avsnitt-tittel"/>
      </w:pPr>
      <w:r w:rsidRPr="00580C0D">
        <w:t xml:space="preserve">Finansieringssystem for universitet og </w:t>
      </w:r>
      <w:proofErr w:type="spellStart"/>
      <w:r w:rsidRPr="00580C0D">
        <w:t>høgskular</w:t>
      </w:r>
      <w:proofErr w:type="spellEnd"/>
    </w:p>
    <w:p w14:paraId="7C41E54A" w14:textId="77777777" w:rsidR="00F7113A" w:rsidRPr="00580C0D" w:rsidRDefault="00142E5B" w:rsidP="00580C0D">
      <w:pPr>
        <w:pStyle w:val="avsnitt-undertittel"/>
      </w:pPr>
      <w:r w:rsidRPr="00580C0D">
        <w:t>Vedtak nr. 699, 15. juni 2020</w:t>
      </w:r>
    </w:p>
    <w:p w14:paraId="07063C40" w14:textId="77777777" w:rsidR="00F7113A" w:rsidRPr="00580C0D" w:rsidRDefault="00142E5B" w:rsidP="00580C0D">
      <w:pPr>
        <w:pStyle w:val="blokksit"/>
        <w:rPr>
          <w:rStyle w:val="kursiv"/>
        </w:rPr>
      </w:pPr>
      <w:r w:rsidRPr="00580C0D">
        <w:rPr>
          <w:rStyle w:val="kursiv"/>
        </w:rPr>
        <w:t>Stortinget ber regjeringen senest i forbindelse med stortingsmeldingen om styringspolitikken for statlige universiteter og høyskoler om å legge frem forslag til nytt finansieringssystem for universiteter og høyskoler. Forslaget må utarbeides i tett samarbeid med utdanningssektoren og arbeidslivet. Incentiver/faktorer i forslaget til nytt finansieringssystem skal være</w:t>
      </w:r>
    </w:p>
    <w:p w14:paraId="15421A2D" w14:textId="77777777" w:rsidR="00F7113A" w:rsidRPr="00580C0D" w:rsidRDefault="00142E5B" w:rsidP="00580C0D">
      <w:pPr>
        <w:pStyle w:val="Liste2"/>
        <w:rPr>
          <w:rStyle w:val="kursiv"/>
        </w:rPr>
      </w:pPr>
      <w:r w:rsidRPr="00580C0D">
        <w:rPr>
          <w:rStyle w:val="kursiv"/>
        </w:rPr>
        <w:t>Relevant arbeid etter endt studium og arbeidslivsrelevans i studiet.</w:t>
      </w:r>
    </w:p>
    <w:p w14:paraId="23F2E94C" w14:textId="77777777" w:rsidR="00F7113A" w:rsidRPr="00580C0D" w:rsidRDefault="00142E5B" w:rsidP="00580C0D">
      <w:pPr>
        <w:pStyle w:val="Liste2"/>
        <w:rPr>
          <w:rStyle w:val="kursiv"/>
        </w:rPr>
      </w:pPr>
      <w:r w:rsidRPr="00580C0D">
        <w:rPr>
          <w:rStyle w:val="kursiv"/>
        </w:rPr>
        <w:t>Ulike opplegg for etter- og videreutdanning.</w:t>
      </w:r>
    </w:p>
    <w:p w14:paraId="38ECBDE2" w14:textId="77777777" w:rsidR="00F7113A" w:rsidRPr="00580C0D" w:rsidRDefault="00142E5B" w:rsidP="00580C0D">
      <w:pPr>
        <w:pStyle w:val="Liste2"/>
        <w:rPr>
          <w:rStyle w:val="kursiv"/>
        </w:rPr>
      </w:pPr>
      <w:r w:rsidRPr="00580C0D">
        <w:rPr>
          <w:rStyle w:val="kursiv"/>
        </w:rPr>
        <w:t>Opprettelse av mindre og fleksible emner og moduler som arbeidslivet etterspør, og som kan tas i kombinasjon med jobb.</w:t>
      </w:r>
    </w:p>
    <w:p w14:paraId="6D3D668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14 (2019–2020) </w:t>
      </w:r>
      <w:r w:rsidRPr="00580C0D">
        <w:rPr>
          <w:rStyle w:val="kursiv"/>
        </w:rPr>
        <w:t>Kompetansereformen – Lære hele livet</w:t>
      </w:r>
      <w:r w:rsidRPr="00580C0D">
        <w:t xml:space="preserve">, jf. </w:t>
      </w:r>
      <w:proofErr w:type="spellStart"/>
      <w:r w:rsidRPr="00580C0D">
        <w:t>Innst</w:t>
      </w:r>
      <w:proofErr w:type="spellEnd"/>
      <w:r w:rsidRPr="00580C0D">
        <w:t>. 370 S (2019–2020).</w:t>
      </w:r>
    </w:p>
    <w:p w14:paraId="67946585" w14:textId="77777777" w:rsidR="00F7113A" w:rsidRPr="00580C0D" w:rsidRDefault="00142E5B" w:rsidP="00580C0D">
      <w:r w:rsidRPr="00580C0D">
        <w:t xml:space="preserve">Kunnskapsdepartementet tok 17. mars 2022 imot rapporten </w:t>
      </w:r>
      <w:proofErr w:type="spellStart"/>
      <w:r w:rsidRPr="00580C0D">
        <w:t>frå</w:t>
      </w:r>
      <w:proofErr w:type="spellEnd"/>
      <w:r w:rsidRPr="00580C0D">
        <w:t xml:space="preserve"> </w:t>
      </w:r>
      <w:proofErr w:type="spellStart"/>
      <w:r w:rsidRPr="00580C0D">
        <w:t>utvalet</w:t>
      </w:r>
      <w:proofErr w:type="spellEnd"/>
      <w:r w:rsidRPr="00580C0D">
        <w:t xml:space="preserve"> leia av Siri Hatlen som var </w:t>
      </w:r>
      <w:proofErr w:type="spellStart"/>
      <w:r w:rsidRPr="00580C0D">
        <w:t>nemnt</w:t>
      </w:r>
      <w:proofErr w:type="spellEnd"/>
      <w:r w:rsidRPr="00580C0D">
        <w:t xml:space="preserve"> opp for å gå gjennom finansieringa av universiteta og </w:t>
      </w:r>
      <w:proofErr w:type="spellStart"/>
      <w:r w:rsidRPr="00580C0D">
        <w:t>høgskulane</w:t>
      </w:r>
      <w:proofErr w:type="spellEnd"/>
      <w:r w:rsidRPr="00580C0D">
        <w:t xml:space="preserve">. Rapporten var på </w:t>
      </w:r>
      <w:proofErr w:type="spellStart"/>
      <w:r w:rsidRPr="00580C0D">
        <w:t>høyring</w:t>
      </w:r>
      <w:proofErr w:type="spellEnd"/>
      <w:r w:rsidRPr="00580C0D">
        <w:t xml:space="preserve"> fram til 10. juni 2022. </w:t>
      </w:r>
      <w:proofErr w:type="spellStart"/>
      <w:r w:rsidRPr="00580C0D">
        <w:t>Utvalet</w:t>
      </w:r>
      <w:proofErr w:type="spellEnd"/>
      <w:r w:rsidRPr="00580C0D">
        <w:t xml:space="preserve"> var </w:t>
      </w:r>
      <w:proofErr w:type="spellStart"/>
      <w:r w:rsidRPr="00580C0D">
        <w:t>særleg</w:t>
      </w:r>
      <w:proofErr w:type="spellEnd"/>
      <w:r w:rsidRPr="00580C0D">
        <w:t xml:space="preserve"> bede om å følge opp oppmodingsvedtaka </w:t>
      </w:r>
      <w:proofErr w:type="spellStart"/>
      <w:r w:rsidRPr="00580C0D">
        <w:t>frå</w:t>
      </w:r>
      <w:proofErr w:type="spellEnd"/>
      <w:r w:rsidRPr="00580C0D">
        <w:t xml:space="preserve"> Stortinget </w:t>
      </w:r>
      <w:proofErr w:type="spellStart"/>
      <w:r w:rsidRPr="00580C0D">
        <w:t>frå</w:t>
      </w:r>
      <w:proofErr w:type="spellEnd"/>
      <w:r w:rsidRPr="00580C0D">
        <w:t xml:space="preserve"> 2020 som dreidde seg om finansieringa av sektoren.</w:t>
      </w:r>
    </w:p>
    <w:p w14:paraId="43079CF9" w14:textId="77777777" w:rsidR="00F7113A" w:rsidRPr="00580C0D" w:rsidRDefault="00142E5B" w:rsidP="00580C0D">
      <w:proofErr w:type="spellStart"/>
      <w:r w:rsidRPr="00580C0D">
        <w:t>Tilrådingane</w:t>
      </w:r>
      <w:proofErr w:type="spellEnd"/>
      <w:r w:rsidRPr="00580C0D">
        <w:t xml:space="preserve"> og synspunkta </w:t>
      </w:r>
      <w:proofErr w:type="spellStart"/>
      <w:r w:rsidRPr="00580C0D">
        <w:t>frå</w:t>
      </w:r>
      <w:proofErr w:type="spellEnd"/>
      <w:r w:rsidRPr="00580C0D">
        <w:t xml:space="preserve"> den </w:t>
      </w:r>
      <w:proofErr w:type="spellStart"/>
      <w:r w:rsidRPr="00580C0D">
        <w:t>offentlege</w:t>
      </w:r>
      <w:proofErr w:type="spellEnd"/>
      <w:r w:rsidRPr="00580C0D">
        <w:t xml:space="preserve"> </w:t>
      </w:r>
      <w:proofErr w:type="spellStart"/>
      <w:r w:rsidRPr="00580C0D">
        <w:t>høyringa</w:t>
      </w:r>
      <w:proofErr w:type="spellEnd"/>
      <w:r w:rsidRPr="00580C0D">
        <w:t xml:space="preserve"> blei presenterte i </w:t>
      </w:r>
      <w:proofErr w:type="spellStart"/>
      <w:r w:rsidRPr="00580C0D">
        <w:t>Prop</w:t>
      </w:r>
      <w:proofErr w:type="spellEnd"/>
      <w:r w:rsidRPr="00580C0D">
        <w:t xml:space="preserve">. 1 S (2022–2023) for Kunnskapsdepartementet. Departementet bad i tillegg i november 2022 om </w:t>
      </w:r>
      <w:proofErr w:type="spellStart"/>
      <w:r w:rsidRPr="00580C0D">
        <w:t>innspel</w:t>
      </w:r>
      <w:proofErr w:type="spellEnd"/>
      <w:r w:rsidRPr="00580C0D">
        <w:t xml:space="preserve"> </w:t>
      </w:r>
      <w:proofErr w:type="spellStart"/>
      <w:r w:rsidRPr="00580C0D">
        <w:t>frå</w:t>
      </w:r>
      <w:proofErr w:type="spellEnd"/>
      <w:r w:rsidRPr="00580C0D">
        <w:t xml:space="preserve"> universiteta og </w:t>
      </w:r>
      <w:proofErr w:type="spellStart"/>
      <w:r w:rsidRPr="00580C0D">
        <w:t>høgskulane</w:t>
      </w:r>
      <w:proofErr w:type="spellEnd"/>
      <w:r w:rsidRPr="00580C0D">
        <w:t xml:space="preserve"> til modell for finansiering av nye </w:t>
      </w:r>
      <w:proofErr w:type="spellStart"/>
      <w:r w:rsidRPr="00580C0D">
        <w:t>studieplassar</w:t>
      </w:r>
      <w:proofErr w:type="spellEnd"/>
      <w:r w:rsidRPr="00580C0D">
        <w:t xml:space="preserve"> og til </w:t>
      </w:r>
      <w:proofErr w:type="spellStart"/>
      <w:r w:rsidRPr="00580C0D">
        <w:t>finansieringskategoriane</w:t>
      </w:r>
      <w:proofErr w:type="spellEnd"/>
      <w:r w:rsidRPr="00580C0D">
        <w:t xml:space="preserve">. Regjeringa la fram forslag til </w:t>
      </w:r>
      <w:proofErr w:type="spellStart"/>
      <w:r w:rsidRPr="00580C0D">
        <w:t>endringar</w:t>
      </w:r>
      <w:proofErr w:type="spellEnd"/>
      <w:r w:rsidRPr="00580C0D">
        <w:t xml:space="preserve"> i finansieringssystemet i utsynsmeldinga, jf. </w:t>
      </w:r>
      <w:proofErr w:type="spellStart"/>
      <w:r w:rsidRPr="00580C0D">
        <w:t>Innst</w:t>
      </w:r>
      <w:proofErr w:type="spellEnd"/>
      <w:r w:rsidRPr="00580C0D">
        <w:t xml:space="preserve">. 472 S (2022–2023) og Meld. St. 14 (2022–2023). Dei nye </w:t>
      </w:r>
      <w:proofErr w:type="spellStart"/>
      <w:r w:rsidRPr="00580C0D">
        <w:t>satsane</w:t>
      </w:r>
      <w:proofErr w:type="spellEnd"/>
      <w:r w:rsidRPr="00580C0D">
        <w:t xml:space="preserve"> er presenterte i </w:t>
      </w:r>
      <w:proofErr w:type="spellStart"/>
      <w:r w:rsidRPr="00580C0D">
        <w:t>Prop</w:t>
      </w:r>
      <w:proofErr w:type="spellEnd"/>
      <w:r w:rsidRPr="00580C0D">
        <w:t>. 1 S (2023–2024), kapittel 12.</w:t>
      </w:r>
    </w:p>
    <w:p w14:paraId="161DC763" w14:textId="77777777" w:rsidR="00F7113A" w:rsidRPr="00580C0D" w:rsidRDefault="00142E5B" w:rsidP="00580C0D">
      <w:r w:rsidRPr="00580C0D">
        <w:t xml:space="preserve">Det nye finansieringssystemet skal gi </w:t>
      </w:r>
      <w:proofErr w:type="spellStart"/>
      <w:r w:rsidRPr="00580C0D">
        <w:t>institusjonane</w:t>
      </w:r>
      <w:proofErr w:type="spellEnd"/>
      <w:r w:rsidRPr="00580C0D">
        <w:t xml:space="preserve"> </w:t>
      </w:r>
      <w:proofErr w:type="spellStart"/>
      <w:r w:rsidRPr="00580C0D">
        <w:t>meir</w:t>
      </w:r>
      <w:proofErr w:type="spellEnd"/>
      <w:r w:rsidRPr="00580C0D">
        <w:t xml:space="preserve"> tillit, handlingsrom og ansvar for å prioritere og dimensjonere </w:t>
      </w:r>
      <w:proofErr w:type="spellStart"/>
      <w:r w:rsidRPr="00580C0D">
        <w:t>innanfor</w:t>
      </w:r>
      <w:proofErr w:type="spellEnd"/>
      <w:r w:rsidRPr="00580C0D">
        <w:t xml:space="preserve"> rammeløyvinga for å nå sektormåla og </w:t>
      </w:r>
      <w:proofErr w:type="spellStart"/>
      <w:r w:rsidRPr="00580C0D">
        <w:t>verksemdsmåla</w:t>
      </w:r>
      <w:proofErr w:type="spellEnd"/>
      <w:r w:rsidRPr="00580C0D">
        <w:t xml:space="preserve">. </w:t>
      </w:r>
      <w:proofErr w:type="spellStart"/>
      <w:r w:rsidRPr="00580C0D">
        <w:t>Frå</w:t>
      </w:r>
      <w:proofErr w:type="spellEnd"/>
      <w:r w:rsidRPr="00580C0D">
        <w:t xml:space="preserve"> og med 2025 vil det </w:t>
      </w:r>
      <w:proofErr w:type="spellStart"/>
      <w:r w:rsidRPr="00580C0D">
        <w:t>berre</w:t>
      </w:r>
      <w:proofErr w:type="spellEnd"/>
      <w:r w:rsidRPr="00580C0D">
        <w:t xml:space="preserve"> </w:t>
      </w:r>
      <w:proofErr w:type="spellStart"/>
      <w:r w:rsidRPr="00580C0D">
        <w:t>vere</w:t>
      </w:r>
      <w:proofErr w:type="spellEnd"/>
      <w:r w:rsidRPr="00580C0D">
        <w:t xml:space="preserve"> gjennomførte studiepoeng, </w:t>
      </w:r>
      <w:proofErr w:type="spellStart"/>
      <w:r w:rsidRPr="00580C0D">
        <w:t>ein</w:t>
      </w:r>
      <w:proofErr w:type="spellEnd"/>
      <w:r w:rsidRPr="00580C0D">
        <w:t xml:space="preserve"> ny indikator for fullføring av studieprogram og doktorgradsindikatoren, som får regelstyrt </w:t>
      </w:r>
      <w:proofErr w:type="spellStart"/>
      <w:r w:rsidRPr="00580C0D">
        <w:t>utteljing</w:t>
      </w:r>
      <w:proofErr w:type="spellEnd"/>
      <w:r w:rsidRPr="00580C0D">
        <w:t xml:space="preserve">. Det </w:t>
      </w:r>
      <w:proofErr w:type="spellStart"/>
      <w:r w:rsidRPr="00580C0D">
        <w:t>tydeleggjer</w:t>
      </w:r>
      <w:proofErr w:type="spellEnd"/>
      <w:r w:rsidRPr="00580C0D">
        <w:t xml:space="preserve"> òg at det </w:t>
      </w:r>
      <w:proofErr w:type="spellStart"/>
      <w:r w:rsidRPr="00580C0D">
        <w:t>ikkje</w:t>
      </w:r>
      <w:proofErr w:type="spellEnd"/>
      <w:r w:rsidRPr="00580C0D">
        <w:t xml:space="preserve"> er det resultatbaserte finansieringssystemet som er </w:t>
      </w:r>
      <w:proofErr w:type="spellStart"/>
      <w:r w:rsidRPr="00580C0D">
        <w:t>hovudverktøyet</w:t>
      </w:r>
      <w:proofErr w:type="spellEnd"/>
      <w:r w:rsidRPr="00580C0D">
        <w:t xml:space="preserve"> som regjering og storting har for å signalisere mål og </w:t>
      </w:r>
      <w:proofErr w:type="spellStart"/>
      <w:r w:rsidRPr="00580C0D">
        <w:t>prioriteringar</w:t>
      </w:r>
      <w:proofErr w:type="spellEnd"/>
      <w:r w:rsidRPr="00580C0D">
        <w:t xml:space="preserve"> for forsking og </w:t>
      </w:r>
      <w:proofErr w:type="spellStart"/>
      <w:r w:rsidRPr="00580C0D">
        <w:t>høgare</w:t>
      </w:r>
      <w:proofErr w:type="spellEnd"/>
      <w:r w:rsidRPr="00580C0D">
        <w:t xml:space="preserve"> utdanning. Det </w:t>
      </w:r>
      <w:proofErr w:type="spellStart"/>
      <w:r w:rsidRPr="00580C0D">
        <w:t>gjeld</w:t>
      </w:r>
      <w:proofErr w:type="spellEnd"/>
      <w:r w:rsidRPr="00580C0D">
        <w:t xml:space="preserve"> òg for </w:t>
      </w:r>
      <w:proofErr w:type="spellStart"/>
      <w:r w:rsidRPr="00580C0D">
        <w:t>arbeidsrelevans</w:t>
      </w:r>
      <w:proofErr w:type="spellEnd"/>
      <w:r w:rsidRPr="00580C0D">
        <w:t xml:space="preserve"> i </w:t>
      </w:r>
      <w:proofErr w:type="spellStart"/>
      <w:r w:rsidRPr="00580C0D">
        <w:t>studietilbod</w:t>
      </w:r>
      <w:proofErr w:type="spellEnd"/>
      <w:r w:rsidRPr="00580C0D">
        <w:t xml:space="preserve">, etter- og </w:t>
      </w:r>
      <w:proofErr w:type="spellStart"/>
      <w:r w:rsidRPr="00580C0D">
        <w:t>vidareutdanning</w:t>
      </w:r>
      <w:proofErr w:type="spellEnd"/>
      <w:r w:rsidRPr="00580C0D">
        <w:t xml:space="preserve"> og </w:t>
      </w:r>
      <w:proofErr w:type="spellStart"/>
      <w:r w:rsidRPr="00580C0D">
        <w:t>tilbod</w:t>
      </w:r>
      <w:proofErr w:type="spellEnd"/>
      <w:r w:rsidRPr="00580C0D">
        <w:t xml:space="preserve"> som arbeidslivet har behov for.</w:t>
      </w:r>
    </w:p>
    <w:p w14:paraId="0F76ED05"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606F9A4D" w14:textId="77777777" w:rsidR="00F7113A" w:rsidRPr="00580C0D" w:rsidRDefault="00142E5B" w:rsidP="00580C0D">
      <w:pPr>
        <w:pStyle w:val="avsnitt-tittel"/>
      </w:pPr>
      <w:proofErr w:type="spellStart"/>
      <w:r w:rsidRPr="00580C0D">
        <w:t>Studieplassar</w:t>
      </w:r>
      <w:proofErr w:type="spellEnd"/>
      <w:r w:rsidRPr="00580C0D">
        <w:t xml:space="preserve"> i </w:t>
      </w:r>
      <w:proofErr w:type="spellStart"/>
      <w:r w:rsidRPr="00580C0D">
        <w:t>høgare</w:t>
      </w:r>
      <w:proofErr w:type="spellEnd"/>
      <w:r w:rsidRPr="00580C0D">
        <w:t xml:space="preserve"> </w:t>
      </w:r>
      <w:proofErr w:type="spellStart"/>
      <w:r w:rsidRPr="00580C0D">
        <w:t>yrkesfagleg</w:t>
      </w:r>
      <w:proofErr w:type="spellEnd"/>
      <w:r w:rsidRPr="00580C0D">
        <w:t xml:space="preserve"> utdanning</w:t>
      </w:r>
    </w:p>
    <w:p w14:paraId="347F72BC" w14:textId="77777777" w:rsidR="00F7113A" w:rsidRPr="00580C0D" w:rsidRDefault="00142E5B" w:rsidP="00580C0D">
      <w:pPr>
        <w:pStyle w:val="avsnitt-undertittel"/>
      </w:pPr>
      <w:r w:rsidRPr="00580C0D">
        <w:t>Vedtak nr. 700, 15. juni 2020</w:t>
      </w:r>
    </w:p>
    <w:p w14:paraId="18616C51" w14:textId="77777777" w:rsidR="00F7113A" w:rsidRPr="00580C0D" w:rsidRDefault="00142E5B" w:rsidP="00580C0D">
      <w:pPr>
        <w:pStyle w:val="blokksit"/>
        <w:rPr>
          <w:rStyle w:val="kursiv"/>
        </w:rPr>
      </w:pPr>
      <w:r w:rsidRPr="00580C0D">
        <w:rPr>
          <w:rStyle w:val="kursiv"/>
        </w:rPr>
        <w:t xml:space="preserve">Stortinget ber regjeringen opprette inntil 1 000 nye studieplasser innen høyere yrkesfaglig utdanning fra høsten 2020, i tillegg til at de 1 000 studieplassene som regjeringen varslet i </w:t>
      </w:r>
      <w:proofErr w:type="spellStart"/>
      <w:r w:rsidRPr="00580C0D">
        <w:rPr>
          <w:rStyle w:val="kursiv"/>
        </w:rPr>
        <w:t>Prop</w:t>
      </w:r>
      <w:proofErr w:type="spellEnd"/>
      <w:r w:rsidRPr="00580C0D">
        <w:rPr>
          <w:rStyle w:val="kursiv"/>
        </w:rPr>
        <w:t>. 117 S (2019–2020), skal bli permanente, og at det videre utarbeides en forpliktende opptrappingsplan med 1 000 nye studieplasser årlig over fem år.</w:t>
      </w:r>
    </w:p>
    <w:p w14:paraId="6C8526FB"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14 (2019–2020) </w:t>
      </w:r>
      <w:r w:rsidRPr="00580C0D">
        <w:rPr>
          <w:rStyle w:val="kursiv"/>
        </w:rPr>
        <w:t>Kompetansereformen – Lære hele livet</w:t>
      </w:r>
      <w:r w:rsidRPr="00580C0D">
        <w:t xml:space="preserve">, jf. </w:t>
      </w:r>
      <w:proofErr w:type="spellStart"/>
      <w:r w:rsidRPr="00580C0D">
        <w:t>Innst</w:t>
      </w:r>
      <w:proofErr w:type="spellEnd"/>
      <w:r w:rsidRPr="00580C0D">
        <w:t>. 370 S (2019–2020).</w:t>
      </w:r>
    </w:p>
    <w:p w14:paraId="4B3556EE" w14:textId="77777777" w:rsidR="00F7113A" w:rsidRPr="00580C0D" w:rsidRDefault="00142E5B" w:rsidP="00580C0D">
      <w:r w:rsidRPr="00580C0D">
        <w:t xml:space="preserve">Stortinget har i 2020, 2021 og 2023 løyvd </w:t>
      </w:r>
      <w:proofErr w:type="spellStart"/>
      <w:r w:rsidRPr="00580C0D">
        <w:t>midlar</w:t>
      </w:r>
      <w:proofErr w:type="spellEnd"/>
      <w:r w:rsidRPr="00580C0D">
        <w:t xml:space="preserve"> til totalt 2 600 nye </w:t>
      </w:r>
      <w:proofErr w:type="spellStart"/>
      <w:r w:rsidRPr="00580C0D">
        <w:t>studieplassar</w:t>
      </w:r>
      <w:proofErr w:type="spellEnd"/>
      <w:r w:rsidRPr="00580C0D">
        <w:t xml:space="preserve"> i </w:t>
      </w:r>
      <w:proofErr w:type="spellStart"/>
      <w:r w:rsidRPr="00580C0D">
        <w:t>høgare</w:t>
      </w:r>
      <w:proofErr w:type="spellEnd"/>
      <w:r w:rsidRPr="00580C0D">
        <w:t xml:space="preserve"> </w:t>
      </w:r>
      <w:proofErr w:type="spellStart"/>
      <w:r w:rsidRPr="00580C0D">
        <w:t>yrkesfagleg</w:t>
      </w:r>
      <w:proofErr w:type="spellEnd"/>
      <w:r w:rsidRPr="00580C0D">
        <w:t xml:space="preserve"> utdanning. Dette er den største kapasitetsveksten i </w:t>
      </w:r>
      <w:proofErr w:type="spellStart"/>
      <w:r w:rsidRPr="00580C0D">
        <w:t>høgare</w:t>
      </w:r>
      <w:proofErr w:type="spellEnd"/>
      <w:r w:rsidRPr="00580C0D">
        <w:t xml:space="preserve"> </w:t>
      </w:r>
      <w:proofErr w:type="spellStart"/>
      <w:r w:rsidRPr="00580C0D">
        <w:t>yrkesfagleg</w:t>
      </w:r>
      <w:proofErr w:type="spellEnd"/>
      <w:r w:rsidRPr="00580C0D">
        <w:t xml:space="preserve"> utdanning </w:t>
      </w:r>
      <w:proofErr w:type="spellStart"/>
      <w:r w:rsidRPr="00580C0D">
        <w:t>nokon</w:t>
      </w:r>
      <w:proofErr w:type="spellEnd"/>
      <w:r w:rsidRPr="00580C0D">
        <w:t xml:space="preserve"> gong. Regjeringa vil at </w:t>
      </w:r>
      <w:proofErr w:type="spellStart"/>
      <w:r w:rsidRPr="00580C0D">
        <w:t>fleire</w:t>
      </w:r>
      <w:proofErr w:type="spellEnd"/>
      <w:r w:rsidRPr="00580C0D">
        <w:t xml:space="preserve"> skal ta </w:t>
      </w:r>
      <w:proofErr w:type="spellStart"/>
      <w:r w:rsidRPr="00580C0D">
        <w:t>høgare</w:t>
      </w:r>
      <w:proofErr w:type="spellEnd"/>
      <w:r w:rsidRPr="00580C0D">
        <w:t xml:space="preserve"> </w:t>
      </w:r>
      <w:proofErr w:type="spellStart"/>
      <w:r w:rsidRPr="00580C0D">
        <w:t>yrkesfagleg</w:t>
      </w:r>
      <w:proofErr w:type="spellEnd"/>
      <w:r w:rsidRPr="00580C0D">
        <w:t xml:space="preserve"> utdanning, og foreslår derfor </w:t>
      </w:r>
      <w:proofErr w:type="spellStart"/>
      <w:r w:rsidRPr="00580C0D">
        <w:t>midlar</w:t>
      </w:r>
      <w:proofErr w:type="spellEnd"/>
      <w:r w:rsidRPr="00580C0D">
        <w:t xml:space="preserve"> til 500 nye </w:t>
      </w:r>
      <w:proofErr w:type="spellStart"/>
      <w:r w:rsidRPr="00580C0D">
        <w:t>studieplassar</w:t>
      </w:r>
      <w:proofErr w:type="spellEnd"/>
      <w:r w:rsidRPr="00580C0D">
        <w:t xml:space="preserve"> til </w:t>
      </w:r>
      <w:proofErr w:type="spellStart"/>
      <w:r w:rsidRPr="00580C0D">
        <w:t>fagskulane</w:t>
      </w:r>
      <w:proofErr w:type="spellEnd"/>
      <w:r w:rsidRPr="00580C0D">
        <w:t xml:space="preserve"> i 2024.</w:t>
      </w:r>
    </w:p>
    <w:p w14:paraId="5854CA17" w14:textId="77777777" w:rsidR="00F7113A" w:rsidRPr="00580C0D" w:rsidRDefault="00142E5B" w:rsidP="00580C0D">
      <w:proofErr w:type="spellStart"/>
      <w:r w:rsidRPr="00580C0D">
        <w:t>Midlar</w:t>
      </w:r>
      <w:proofErr w:type="spellEnd"/>
      <w:r w:rsidRPr="00580C0D">
        <w:t xml:space="preserve"> til nye </w:t>
      </w:r>
      <w:proofErr w:type="spellStart"/>
      <w:r w:rsidRPr="00580C0D">
        <w:t>studieplassar</w:t>
      </w:r>
      <w:proofErr w:type="spellEnd"/>
      <w:r w:rsidRPr="00580C0D">
        <w:t xml:space="preserve"> til </w:t>
      </w:r>
      <w:proofErr w:type="spellStart"/>
      <w:r w:rsidRPr="00580C0D">
        <w:t>fagskulane</w:t>
      </w:r>
      <w:proofErr w:type="spellEnd"/>
      <w:r w:rsidRPr="00580C0D">
        <w:t xml:space="preserve"> skal </w:t>
      </w:r>
      <w:proofErr w:type="spellStart"/>
      <w:r w:rsidRPr="00580C0D">
        <w:t>fordelast</w:t>
      </w:r>
      <w:proofErr w:type="spellEnd"/>
      <w:r w:rsidRPr="00580C0D">
        <w:t xml:space="preserve"> på bakgrunn av lokale, regionale og nasjonale kompetansebehov og kapasiteten i </w:t>
      </w:r>
      <w:proofErr w:type="spellStart"/>
      <w:r w:rsidRPr="00580C0D">
        <w:t>fagskulane</w:t>
      </w:r>
      <w:proofErr w:type="spellEnd"/>
      <w:r w:rsidRPr="00580C0D">
        <w:t xml:space="preserve">. </w:t>
      </w:r>
      <w:proofErr w:type="spellStart"/>
      <w:r w:rsidRPr="00580C0D">
        <w:t>Fylkeskommunane</w:t>
      </w:r>
      <w:proofErr w:type="spellEnd"/>
      <w:r w:rsidRPr="00580C0D">
        <w:t xml:space="preserve"> søker Direktoratet for </w:t>
      </w:r>
      <w:proofErr w:type="spellStart"/>
      <w:r w:rsidRPr="00580C0D">
        <w:t>høgare</w:t>
      </w:r>
      <w:proofErr w:type="spellEnd"/>
      <w:r w:rsidRPr="00580C0D">
        <w:t xml:space="preserve"> utdanning og kompetanse (HK-</w:t>
      </w:r>
      <w:proofErr w:type="spellStart"/>
      <w:r w:rsidRPr="00580C0D">
        <w:t>dir</w:t>
      </w:r>
      <w:proofErr w:type="spellEnd"/>
      <w:r w:rsidRPr="00580C0D">
        <w:t xml:space="preserve">) om </w:t>
      </w:r>
      <w:proofErr w:type="spellStart"/>
      <w:r w:rsidRPr="00580C0D">
        <w:t>midlar</w:t>
      </w:r>
      <w:proofErr w:type="spellEnd"/>
      <w:r w:rsidRPr="00580C0D">
        <w:t xml:space="preserve"> til nye </w:t>
      </w:r>
      <w:proofErr w:type="spellStart"/>
      <w:r w:rsidRPr="00580C0D">
        <w:t>studieplassar</w:t>
      </w:r>
      <w:proofErr w:type="spellEnd"/>
      <w:r w:rsidRPr="00580C0D">
        <w:t xml:space="preserve"> etter </w:t>
      </w:r>
      <w:proofErr w:type="spellStart"/>
      <w:r w:rsidRPr="00580C0D">
        <w:t>ein</w:t>
      </w:r>
      <w:proofErr w:type="spellEnd"/>
      <w:r w:rsidRPr="00580C0D">
        <w:t xml:space="preserve"> gjennomgang av kompetansebehov og kapasitet i </w:t>
      </w:r>
      <w:proofErr w:type="spellStart"/>
      <w:r w:rsidRPr="00580C0D">
        <w:t>fagskulane</w:t>
      </w:r>
      <w:proofErr w:type="spellEnd"/>
      <w:r w:rsidRPr="00580C0D">
        <w:t xml:space="preserve"> i eige fylke. Systemet bygger opp under </w:t>
      </w:r>
      <w:proofErr w:type="spellStart"/>
      <w:r w:rsidRPr="00580C0D">
        <w:t>fylkeskommunane</w:t>
      </w:r>
      <w:proofErr w:type="spellEnd"/>
      <w:r w:rsidRPr="00580C0D">
        <w:t xml:space="preserve"> som </w:t>
      </w:r>
      <w:proofErr w:type="spellStart"/>
      <w:r w:rsidRPr="00580C0D">
        <w:t>kompetansepolitisk</w:t>
      </w:r>
      <w:proofErr w:type="spellEnd"/>
      <w:r w:rsidRPr="00580C0D">
        <w:t xml:space="preserve"> aktør og at </w:t>
      </w:r>
      <w:proofErr w:type="spellStart"/>
      <w:r w:rsidRPr="00580C0D">
        <w:t>fagskulane</w:t>
      </w:r>
      <w:proofErr w:type="spellEnd"/>
      <w:r w:rsidRPr="00580C0D">
        <w:t xml:space="preserve"> skal tilby </w:t>
      </w:r>
      <w:proofErr w:type="spellStart"/>
      <w:r w:rsidRPr="00580C0D">
        <w:t>utdanningar</w:t>
      </w:r>
      <w:proofErr w:type="spellEnd"/>
      <w:r w:rsidRPr="00580C0D">
        <w:t xml:space="preserve"> som arbeidslivet etterspør. Fordelinga av </w:t>
      </w:r>
      <w:proofErr w:type="spellStart"/>
      <w:r w:rsidRPr="00580C0D">
        <w:t>studieplassar</w:t>
      </w:r>
      <w:proofErr w:type="spellEnd"/>
      <w:r w:rsidRPr="00580C0D">
        <w:t xml:space="preserve"> skal skje i </w:t>
      </w:r>
      <w:proofErr w:type="spellStart"/>
      <w:r w:rsidRPr="00580C0D">
        <w:t>eit</w:t>
      </w:r>
      <w:proofErr w:type="spellEnd"/>
      <w:r w:rsidRPr="00580C0D">
        <w:t xml:space="preserve"> </w:t>
      </w:r>
      <w:proofErr w:type="spellStart"/>
      <w:r w:rsidRPr="00580C0D">
        <w:t>samspel</w:t>
      </w:r>
      <w:proofErr w:type="spellEnd"/>
      <w:r w:rsidRPr="00580C0D">
        <w:t xml:space="preserve"> mellom arbeidsliv, </w:t>
      </w:r>
      <w:proofErr w:type="spellStart"/>
      <w:r w:rsidRPr="00580C0D">
        <w:t>fagskular</w:t>
      </w:r>
      <w:proofErr w:type="spellEnd"/>
      <w:r w:rsidRPr="00580C0D">
        <w:t xml:space="preserve"> og styresmakter for å sikre at nye </w:t>
      </w:r>
      <w:proofErr w:type="spellStart"/>
      <w:r w:rsidRPr="00580C0D">
        <w:t>studieplassar</w:t>
      </w:r>
      <w:proofErr w:type="spellEnd"/>
      <w:r w:rsidRPr="00580C0D">
        <w:t xml:space="preserve"> treffer kompetansebehova i arbeidslivet best </w:t>
      </w:r>
      <w:proofErr w:type="spellStart"/>
      <w:r w:rsidRPr="00580C0D">
        <w:t>mogleg</w:t>
      </w:r>
      <w:proofErr w:type="spellEnd"/>
      <w:r w:rsidRPr="00580C0D">
        <w:t xml:space="preserve">. Nasjonale styresmakter kan legge </w:t>
      </w:r>
      <w:proofErr w:type="spellStart"/>
      <w:r w:rsidRPr="00580C0D">
        <w:t>føringar</w:t>
      </w:r>
      <w:proofErr w:type="spellEnd"/>
      <w:r w:rsidRPr="00580C0D">
        <w:t xml:space="preserve"> for fordelinga av </w:t>
      </w:r>
      <w:proofErr w:type="spellStart"/>
      <w:r w:rsidRPr="00580C0D">
        <w:t>studieplassar</w:t>
      </w:r>
      <w:proofErr w:type="spellEnd"/>
      <w:r w:rsidRPr="00580C0D">
        <w:t xml:space="preserve"> for å sikre at det blir </w:t>
      </w:r>
      <w:proofErr w:type="spellStart"/>
      <w:r w:rsidRPr="00580C0D">
        <w:t>teke</w:t>
      </w:r>
      <w:proofErr w:type="spellEnd"/>
      <w:r w:rsidRPr="00580C0D">
        <w:t xml:space="preserve"> omsyn til nasjonale behov.</w:t>
      </w:r>
    </w:p>
    <w:p w14:paraId="47D9C832"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Stortinget med </w:t>
      </w:r>
      <w:proofErr w:type="spellStart"/>
      <w:r w:rsidRPr="00580C0D">
        <w:t>vidare</w:t>
      </w:r>
      <w:proofErr w:type="spellEnd"/>
      <w:r w:rsidRPr="00580C0D">
        <w:t xml:space="preserve"> oppfølging av oppmodingsvedtaket i </w:t>
      </w:r>
      <w:proofErr w:type="spellStart"/>
      <w:r w:rsidRPr="00580C0D">
        <w:t>dei</w:t>
      </w:r>
      <w:proofErr w:type="spellEnd"/>
      <w:r w:rsidRPr="00580C0D">
        <w:t xml:space="preserve"> </w:t>
      </w:r>
      <w:proofErr w:type="spellStart"/>
      <w:r w:rsidRPr="00580C0D">
        <w:t>årlege</w:t>
      </w:r>
      <w:proofErr w:type="spellEnd"/>
      <w:r w:rsidRPr="00580C0D">
        <w:t xml:space="preserve"> statsbudsjetta.</w:t>
      </w:r>
    </w:p>
    <w:p w14:paraId="08E1F8F7" w14:textId="77777777" w:rsidR="00F7113A" w:rsidRPr="00580C0D" w:rsidRDefault="00142E5B" w:rsidP="00580C0D">
      <w:pPr>
        <w:pStyle w:val="Overskrift2"/>
      </w:pPr>
      <w:r w:rsidRPr="00580C0D">
        <w:t>Stortingssesjon 2018–2019</w:t>
      </w:r>
    </w:p>
    <w:p w14:paraId="6018C431" w14:textId="77777777" w:rsidR="00F7113A" w:rsidRPr="00580C0D" w:rsidRDefault="00142E5B" w:rsidP="00580C0D">
      <w:pPr>
        <w:pStyle w:val="Undertittel"/>
      </w:pPr>
      <w:r w:rsidRPr="00580C0D">
        <w:t>Oppmodingsvedtak under kunnskapsministeren</w:t>
      </w:r>
    </w:p>
    <w:p w14:paraId="312B68F0" w14:textId="77777777" w:rsidR="00F7113A" w:rsidRPr="00580C0D" w:rsidRDefault="00142E5B" w:rsidP="00580C0D">
      <w:pPr>
        <w:pStyle w:val="avsnitt-tittel"/>
      </w:pPr>
      <w:r w:rsidRPr="00580C0D">
        <w:t xml:space="preserve">Finansieringssystemet og ideelle </w:t>
      </w:r>
      <w:proofErr w:type="spellStart"/>
      <w:r w:rsidRPr="00580C0D">
        <w:t>barnehagar</w:t>
      </w:r>
      <w:proofErr w:type="spellEnd"/>
    </w:p>
    <w:p w14:paraId="6965908F" w14:textId="77777777" w:rsidR="00F7113A" w:rsidRPr="00580C0D" w:rsidRDefault="00142E5B" w:rsidP="00580C0D">
      <w:pPr>
        <w:pStyle w:val="avsnitt-undertittel"/>
      </w:pPr>
      <w:r w:rsidRPr="00580C0D">
        <w:t>Vedtak nr. 51, 22. november 2018</w:t>
      </w:r>
    </w:p>
    <w:p w14:paraId="7867A1D3" w14:textId="77777777" w:rsidR="00F7113A" w:rsidRPr="00580C0D" w:rsidRDefault="00142E5B" w:rsidP="00580C0D">
      <w:pPr>
        <w:pStyle w:val="blokksit"/>
        <w:rPr>
          <w:rStyle w:val="kursiv"/>
        </w:rPr>
      </w:pPr>
      <w:r w:rsidRPr="00580C0D">
        <w:rPr>
          <w:rStyle w:val="kursiv"/>
        </w:rPr>
        <w:t>Stortinget ber regjeringen gjennomgå finansieringssystemet for private og kommunale barnehager med sikte på å ivareta de små og ideelle barnehagene og en mangfoldig barnehagesektor.</w:t>
      </w:r>
    </w:p>
    <w:p w14:paraId="3AB820BA"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Dokument 8:231 S (2017–2018) </w:t>
      </w:r>
      <w:r w:rsidRPr="00580C0D">
        <w:rPr>
          <w:rStyle w:val="kursiv"/>
        </w:rPr>
        <w:t xml:space="preserve">Representantforslag fra stortingsrepresentantene Audun Lysbakken og Bjørnar Moxnes om en mangfoldig barnehagestruktur der pengene går til barnas beste, </w:t>
      </w:r>
      <w:r w:rsidRPr="00580C0D">
        <w:t xml:space="preserve">jf. </w:t>
      </w:r>
      <w:proofErr w:type="spellStart"/>
      <w:r w:rsidRPr="00580C0D">
        <w:t>Innst</w:t>
      </w:r>
      <w:proofErr w:type="spellEnd"/>
      <w:r w:rsidRPr="00580C0D">
        <w:t>. 51 S (2018–2019).</w:t>
      </w:r>
    </w:p>
    <w:p w14:paraId="44CC49D3" w14:textId="77777777" w:rsidR="00F7113A" w:rsidRPr="00580C0D" w:rsidRDefault="00142E5B" w:rsidP="00580C0D">
      <w:r w:rsidRPr="00580C0D">
        <w:t xml:space="preserve">Departementet vil i løpet av </w:t>
      </w:r>
      <w:proofErr w:type="spellStart"/>
      <w:r w:rsidRPr="00580C0D">
        <w:t>hausten</w:t>
      </w:r>
      <w:proofErr w:type="spellEnd"/>
      <w:r w:rsidRPr="00580C0D">
        <w:t xml:space="preserve"> 2023 sende på </w:t>
      </w:r>
      <w:proofErr w:type="spellStart"/>
      <w:r w:rsidRPr="00580C0D">
        <w:t>offentleg</w:t>
      </w:r>
      <w:proofErr w:type="spellEnd"/>
      <w:r w:rsidRPr="00580C0D">
        <w:t xml:space="preserve"> </w:t>
      </w:r>
      <w:proofErr w:type="spellStart"/>
      <w:r w:rsidRPr="00580C0D">
        <w:t>høyring</w:t>
      </w:r>
      <w:proofErr w:type="spellEnd"/>
      <w:r w:rsidRPr="00580C0D">
        <w:t xml:space="preserve"> ei rekke forslag om </w:t>
      </w:r>
      <w:proofErr w:type="spellStart"/>
      <w:r w:rsidRPr="00580C0D">
        <w:t>endringar</w:t>
      </w:r>
      <w:proofErr w:type="spellEnd"/>
      <w:r w:rsidRPr="00580C0D">
        <w:t xml:space="preserve"> i barnehagelova om styring og finansiering av barnehagesektoren. For </w:t>
      </w:r>
      <w:proofErr w:type="spellStart"/>
      <w:r w:rsidRPr="00580C0D">
        <w:t>meir</w:t>
      </w:r>
      <w:proofErr w:type="spellEnd"/>
      <w:r w:rsidRPr="00580C0D">
        <w:t xml:space="preserve"> </w:t>
      </w:r>
      <w:proofErr w:type="spellStart"/>
      <w:r w:rsidRPr="00580C0D">
        <w:t>utførleg</w:t>
      </w:r>
      <w:proofErr w:type="spellEnd"/>
      <w:r w:rsidRPr="00580C0D">
        <w:t xml:space="preserve"> tekst om arbeidet med regelverket for private </w:t>
      </w:r>
      <w:proofErr w:type="spellStart"/>
      <w:r w:rsidRPr="00580C0D">
        <w:t>barnehagar</w:t>
      </w:r>
      <w:proofErr w:type="spellEnd"/>
      <w:r w:rsidRPr="00580C0D">
        <w:t xml:space="preserve">, sjå del II, programkategori 07.30 </w:t>
      </w:r>
      <w:proofErr w:type="spellStart"/>
      <w:r w:rsidRPr="00580C0D">
        <w:t>Barnehagar</w:t>
      </w:r>
      <w:proofErr w:type="spellEnd"/>
      <w:r w:rsidRPr="00580C0D">
        <w:t>.</w:t>
      </w:r>
    </w:p>
    <w:p w14:paraId="6C38FDB7"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616A3C0E" w14:textId="77777777" w:rsidR="00F7113A" w:rsidRPr="00580C0D" w:rsidRDefault="00142E5B" w:rsidP="00580C0D">
      <w:pPr>
        <w:pStyle w:val="avsnitt-tittel"/>
      </w:pPr>
      <w:r w:rsidRPr="00580C0D">
        <w:t xml:space="preserve">Fritak </w:t>
      </w:r>
      <w:proofErr w:type="spellStart"/>
      <w:r w:rsidRPr="00580C0D">
        <w:t>frå</w:t>
      </w:r>
      <w:proofErr w:type="spellEnd"/>
      <w:r w:rsidRPr="00580C0D">
        <w:t xml:space="preserve"> </w:t>
      </w:r>
      <w:proofErr w:type="spellStart"/>
      <w:r w:rsidRPr="00580C0D">
        <w:t>skulefag</w:t>
      </w:r>
      <w:proofErr w:type="spellEnd"/>
    </w:p>
    <w:p w14:paraId="438ED88D" w14:textId="77777777" w:rsidR="00F7113A" w:rsidRPr="00580C0D" w:rsidRDefault="00142E5B" w:rsidP="00580C0D">
      <w:pPr>
        <w:pStyle w:val="avsnitt-undertittel"/>
      </w:pPr>
      <w:r w:rsidRPr="00580C0D">
        <w:t>Vedtak nr. 197, 12. desember 2018</w:t>
      </w:r>
    </w:p>
    <w:p w14:paraId="5A166F8A" w14:textId="77777777" w:rsidR="00F7113A" w:rsidRPr="00580C0D" w:rsidRDefault="00142E5B" w:rsidP="00580C0D">
      <w:pPr>
        <w:pStyle w:val="blokksit"/>
        <w:rPr>
          <w:rStyle w:val="kursiv"/>
        </w:rPr>
      </w:pPr>
      <w:r w:rsidRPr="00580C0D">
        <w:rPr>
          <w:rStyle w:val="kursiv"/>
        </w:rPr>
        <w:t>Stortinget ber regjeringen sørge for at fritak for skolefag ikke blir gitt dersom dette ikke er i overensstemmelse med elev og foresattes ønsker, at fritaket må være faglig begrunnet, og at konsekvensene av et fritak er gjort godt kjent for eleven og foresatte.</w:t>
      </w:r>
    </w:p>
    <w:p w14:paraId="29C1E490"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1 S (2018–2019), jf. </w:t>
      </w:r>
      <w:proofErr w:type="spellStart"/>
      <w:r w:rsidRPr="00580C0D">
        <w:t>Innst</w:t>
      </w:r>
      <w:proofErr w:type="spellEnd"/>
      <w:r w:rsidRPr="00580C0D">
        <w:t>. 12 S (2018–2019).</w:t>
      </w:r>
    </w:p>
    <w:p w14:paraId="0E6A4394"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w:t>
      </w:r>
      <w:proofErr w:type="spellStart"/>
      <w:r w:rsidRPr="00580C0D">
        <w:t>Prop</w:t>
      </w:r>
      <w:proofErr w:type="spellEnd"/>
      <w:r w:rsidRPr="00580C0D">
        <w:t xml:space="preserve">. 57 L (2022–2023), som blei lagd fram for Stortinget 24. mars 2023 og behandla 5. juni 2023. I </w:t>
      </w:r>
      <w:proofErr w:type="spellStart"/>
      <w:r w:rsidRPr="00580C0D">
        <w:t>Prop</w:t>
      </w:r>
      <w:proofErr w:type="spellEnd"/>
      <w:r w:rsidRPr="00580C0D">
        <w:t xml:space="preserve">. 57 L (2022–2023) foreslo departementet at </w:t>
      </w:r>
      <w:proofErr w:type="spellStart"/>
      <w:r w:rsidRPr="00580C0D">
        <w:t>opplæringslova</w:t>
      </w:r>
      <w:proofErr w:type="spellEnd"/>
      <w:r w:rsidRPr="00580C0D">
        <w:t xml:space="preserve"> framleis bør </w:t>
      </w:r>
      <w:proofErr w:type="spellStart"/>
      <w:r w:rsidRPr="00580C0D">
        <w:t>opne</w:t>
      </w:r>
      <w:proofErr w:type="spellEnd"/>
      <w:r w:rsidRPr="00580C0D">
        <w:t xml:space="preserve"> for fritak </w:t>
      </w:r>
      <w:proofErr w:type="spellStart"/>
      <w:r w:rsidRPr="00580C0D">
        <w:t>frå</w:t>
      </w:r>
      <w:proofErr w:type="spellEnd"/>
      <w:r w:rsidRPr="00580C0D">
        <w:t xml:space="preserve"> opplæringsplikta, og å </w:t>
      </w:r>
      <w:proofErr w:type="spellStart"/>
      <w:r w:rsidRPr="00580C0D">
        <w:t>vidareføre</w:t>
      </w:r>
      <w:proofErr w:type="spellEnd"/>
      <w:r w:rsidRPr="00580C0D">
        <w:t xml:space="preserve"> terskelen og vilkåra for når kommunen kan gi fritak.</w:t>
      </w:r>
    </w:p>
    <w:p w14:paraId="1DAF4163" w14:textId="77777777" w:rsidR="00F7113A" w:rsidRPr="00580C0D" w:rsidRDefault="00142E5B" w:rsidP="00580C0D">
      <w:r w:rsidRPr="00580C0D">
        <w:t xml:space="preserve">Departementet foreslo </w:t>
      </w:r>
      <w:proofErr w:type="spellStart"/>
      <w:r w:rsidRPr="00580C0D">
        <w:t>vidare</w:t>
      </w:r>
      <w:proofErr w:type="spellEnd"/>
      <w:r w:rsidRPr="00580C0D">
        <w:t xml:space="preserve"> </w:t>
      </w:r>
      <w:proofErr w:type="spellStart"/>
      <w:r w:rsidRPr="00580C0D">
        <w:t>ein</w:t>
      </w:r>
      <w:proofErr w:type="spellEnd"/>
      <w:r w:rsidRPr="00580C0D">
        <w:t xml:space="preserve"> eigen paragraf i </w:t>
      </w:r>
      <w:proofErr w:type="spellStart"/>
      <w:r w:rsidRPr="00580C0D">
        <w:t>opplæringslova</w:t>
      </w:r>
      <w:proofErr w:type="spellEnd"/>
      <w:r w:rsidRPr="00580C0D">
        <w:t xml:space="preserve"> om at det beste for eleven skal </w:t>
      </w:r>
      <w:proofErr w:type="spellStart"/>
      <w:r w:rsidRPr="00580C0D">
        <w:t>vere</w:t>
      </w:r>
      <w:proofErr w:type="spellEnd"/>
      <w:r w:rsidRPr="00580C0D">
        <w:t xml:space="preserve"> </w:t>
      </w:r>
      <w:proofErr w:type="spellStart"/>
      <w:r w:rsidRPr="00580C0D">
        <w:t>eit</w:t>
      </w:r>
      <w:proofErr w:type="spellEnd"/>
      <w:r w:rsidRPr="00580C0D">
        <w:t xml:space="preserve"> </w:t>
      </w:r>
      <w:proofErr w:type="spellStart"/>
      <w:r w:rsidRPr="00580C0D">
        <w:t>grunnleggande</w:t>
      </w:r>
      <w:proofErr w:type="spellEnd"/>
      <w:r w:rsidRPr="00580C0D">
        <w:t xml:space="preserve"> omsyn ved alle </w:t>
      </w:r>
      <w:proofErr w:type="spellStart"/>
      <w:r w:rsidRPr="00580C0D">
        <w:t>handlingar</w:t>
      </w:r>
      <w:proofErr w:type="spellEnd"/>
      <w:r w:rsidRPr="00580C0D">
        <w:t xml:space="preserve"> og avgjerder. Omsynet til eleven </w:t>
      </w:r>
      <w:proofErr w:type="spellStart"/>
      <w:r w:rsidRPr="00580C0D">
        <w:t>sjølv</w:t>
      </w:r>
      <w:proofErr w:type="spellEnd"/>
      <w:r w:rsidRPr="00580C0D">
        <w:t xml:space="preserve"> vil </w:t>
      </w:r>
      <w:proofErr w:type="spellStart"/>
      <w:r w:rsidRPr="00580C0D">
        <w:t>vere</w:t>
      </w:r>
      <w:proofErr w:type="spellEnd"/>
      <w:r w:rsidRPr="00580C0D">
        <w:t xml:space="preserve"> </w:t>
      </w:r>
      <w:proofErr w:type="spellStart"/>
      <w:r w:rsidRPr="00580C0D">
        <w:t>ein</w:t>
      </w:r>
      <w:proofErr w:type="spellEnd"/>
      <w:r w:rsidRPr="00580C0D">
        <w:t xml:space="preserve"> </w:t>
      </w:r>
      <w:proofErr w:type="spellStart"/>
      <w:r w:rsidRPr="00580C0D">
        <w:t>avgjerande</w:t>
      </w:r>
      <w:proofErr w:type="spellEnd"/>
      <w:r w:rsidRPr="00580C0D">
        <w:t xml:space="preserve"> </w:t>
      </w:r>
      <w:proofErr w:type="spellStart"/>
      <w:r w:rsidRPr="00580C0D">
        <w:t>føresetnad</w:t>
      </w:r>
      <w:proofErr w:type="spellEnd"/>
      <w:r w:rsidRPr="00580C0D">
        <w:t xml:space="preserve"> når </w:t>
      </w:r>
      <w:proofErr w:type="spellStart"/>
      <w:r w:rsidRPr="00580C0D">
        <w:t>eit</w:t>
      </w:r>
      <w:proofErr w:type="spellEnd"/>
      <w:r w:rsidRPr="00580C0D">
        <w:t xml:space="preserve"> fritak skal </w:t>
      </w:r>
      <w:proofErr w:type="spellStart"/>
      <w:r w:rsidRPr="00580C0D">
        <w:t>vurderast</w:t>
      </w:r>
      <w:proofErr w:type="spellEnd"/>
      <w:r w:rsidRPr="00580C0D">
        <w:t xml:space="preserve">. Departementet foreslo også å lovfeste retten eleven har til å bli </w:t>
      </w:r>
      <w:proofErr w:type="spellStart"/>
      <w:r w:rsidRPr="00580C0D">
        <w:t>høyrd</w:t>
      </w:r>
      <w:proofErr w:type="spellEnd"/>
      <w:r w:rsidRPr="00580C0D">
        <w:t xml:space="preserve">, og å </w:t>
      </w:r>
      <w:proofErr w:type="spellStart"/>
      <w:r w:rsidRPr="00580C0D">
        <w:t>vidareføre</w:t>
      </w:r>
      <w:proofErr w:type="spellEnd"/>
      <w:r w:rsidRPr="00580C0D">
        <w:t xml:space="preserve"> regelen om at </w:t>
      </w:r>
      <w:proofErr w:type="spellStart"/>
      <w:r w:rsidRPr="00580C0D">
        <w:t>skulen</w:t>
      </w:r>
      <w:proofErr w:type="spellEnd"/>
      <w:r w:rsidRPr="00580C0D">
        <w:t xml:space="preserve"> skal samarbeide med </w:t>
      </w:r>
      <w:proofErr w:type="spellStart"/>
      <w:r w:rsidRPr="00580C0D">
        <w:t>foreldra</w:t>
      </w:r>
      <w:proofErr w:type="spellEnd"/>
      <w:r w:rsidRPr="00580C0D">
        <w:t xml:space="preserve">. Departementet meiner at </w:t>
      </w:r>
      <w:proofErr w:type="spellStart"/>
      <w:r w:rsidRPr="00580C0D">
        <w:t>reglane</w:t>
      </w:r>
      <w:proofErr w:type="spellEnd"/>
      <w:r w:rsidRPr="00580C0D">
        <w:t xml:space="preserve"> om fritak, </w:t>
      </w:r>
      <w:proofErr w:type="spellStart"/>
      <w:r w:rsidRPr="00580C0D">
        <w:t>saman</w:t>
      </w:r>
      <w:proofErr w:type="spellEnd"/>
      <w:r w:rsidRPr="00580C0D">
        <w:t xml:space="preserve"> med </w:t>
      </w:r>
      <w:proofErr w:type="spellStart"/>
      <w:r w:rsidRPr="00580C0D">
        <w:t>reglane</w:t>
      </w:r>
      <w:proofErr w:type="spellEnd"/>
      <w:r w:rsidRPr="00580C0D">
        <w:t xml:space="preserve"> om elevens beste og elevens rett til å bli </w:t>
      </w:r>
      <w:proofErr w:type="spellStart"/>
      <w:r w:rsidRPr="00580C0D">
        <w:t>høyrd</w:t>
      </w:r>
      <w:proofErr w:type="spellEnd"/>
      <w:r w:rsidRPr="00580C0D">
        <w:t xml:space="preserve">, oppfyller Stortingets vedtak. Departementet viser til vurderinga i </w:t>
      </w:r>
      <w:proofErr w:type="spellStart"/>
      <w:r w:rsidRPr="00580C0D">
        <w:t>Prop</w:t>
      </w:r>
      <w:proofErr w:type="spellEnd"/>
      <w:r w:rsidRPr="00580C0D">
        <w:t>. 57 L (2022–2023) punkt 9.5.4.</w:t>
      </w:r>
    </w:p>
    <w:p w14:paraId="676C246A" w14:textId="77777777" w:rsidR="00F7113A" w:rsidRPr="00580C0D" w:rsidRDefault="00142E5B" w:rsidP="00580C0D">
      <w:r w:rsidRPr="00580C0D">
        <w:t xml:space="preserve">Departementet meiner at vedtaket med dette er </w:t>
      </w:r>
      <w:proofErr w:type="spellStart"/>
      <w:r w:rsidRPr="00580C0D">
        <w:t>følgt</w:t>
      </w:r>
      <w:proofErr w:type="spellEnd"/>
      <w:r w:rsidRPr="00580C0D">
        <w:t xml:space="preserve"> opp.</w:t>
      </w:r>
    </w:p>
    <w:p w14:paraId="3ABDF237" w14:textId="77777777" w:rsidR="00F7113A" w:rsidRPr="00580C0D" w:rsidRDefault="00142E5B" w:rsidP="00580C0D">
      <w:pPr>
        <w:pStyle w:val="Overskrift2"/>
      </w:pPr>
      <w:r w:rsidRPr="00580C0D">
        <w:t>Stortingssesjon 2017–2018</w:t>
      </w:r>
    </w:p>
    <w:p w14:paraId="2401FD8D" w14:textId="77777777" w:rsidR="00F7113A" w:rsidRPr="00580C0D" w:rsidRDefault="00142E5B" w:rsidP="00580C0D">
      <w:pPr>
        <w:pStyle w:val="Undertittel"/>
      </w:pPr>
      <w:r w:rsidRPr="00580C0D">
        <w:t>Oppmodingsvedtak under kunnskapsministeren</w:t>
      </w:r>
    </w:p>
    <w:p w14:paraId="7B68CE54" w14:textId="77777777" w:rsidR="00F7113A" w:rsidRPr="00580C0D" w:rsidRDefault="00142E5B" w:rsidP="00580C0D">
      <w:pPr>
        <w:pStyle w:val="avsnitt-tittel"/>
      </w:pPr>
      <w:r w:rsidRPr="00580C0D">
        <w:t xml:space="preserve">Vilkår for private </w:t>
      </w:r>
      <w:proofErr w:type="spellStart"/>
      <w:r w:rsidRPr="00580C0D">
        <w:t>barnehagar</w:t>
      </w:r>
      <w:proofErr w:type="spellEnd"/>
    </w:p>
    <w:p w14:paraId="7EC070FC" w14:textId="77777777" w:rsidR="00F7113A" w:rsidRPr="00580C0D" w:rsidRDefault="00142E5B" w:rsidP="00580C0D">
      <w:pPr>
        <w:pStyle w:val="avsnitt-undertittel"/>
      </w:pPr>
      <w:r w:rsidRPr="00580C0D">
        <w:t>Vedtak nr. 461, 13. februar 2018</w:t>
      </w:r>
    </w:p>
    <w:p w14:paraId="37BB7925" w14:textId="77777777" w:rsidR="00F7113A" w:rsidRPr="00580C0D" w:rsidRDefault="00142E5B" w:rsidP="00580C0D">
      <w:pPr>
        <w:pStyle w:val="blokksit"/>
        <w:rPr>
          <w:rStyle w:val="kursiv"/>
        </w:rPr>
      </w:pPr>
      <w:r w:rsidRPr="00580C0D">
        <w:rPr>
          <w:rStyle w:val="kursiv"/>
        </w:rPr>
        <w:t>Stortinget ber regjeringen vurdere hvordan det kan sikres at private barnehager har lønns-, arbeids- og pensjonsvilkår minst på linje med ansatte i offentlige barnehager, og komme tilbake til Stortinget på egnet måte.</w:t>
      </w:r>
    </w:p>
    <w:p w14:paraId="2E235530"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Dokument 8:18 S (2017–2018) </w:t>
      </w:r>
      <w:r w:rsidRPr="00580C0D">
        <w:rPr>
          <w:rStyle w:val="kursiv"/>
        </w:rPr>
        <w:t xml:space="preserve">Representantforslag fra stortingsrepresentantene Audun Lysbakken, Mona Lill Fagerås og Solfrid </w:t>
      </w:r>
      <w:proofErr w:type="spellStart"/>
      <w:r w:rsidRPr="00580C0D">
        <w:rPr>
          <w:rStyle w:val="kursiv"/>
        </w:rPr>
        <w:t>Lerbrekk</w:t>
      </w:r>
      <w:proofErr w:type="spellEnd"/>
      <w:r w:rsidRPr="00580C0D">
        <w:rPr>
          <w:rStyle w:val="kursiv"/>
        </w:rPr>
        <w:t xml:space="preserve"> om profittfri barnehage, </w:t>
      </w:r>
      <w:r w:rsidRPr="00580C0D">
        <w:t xml:space="preserve">jf. </w:t>
      </w:r>
      <w:proofErr w:type="spellStart"/>
      <w:r w:rsidRPr="00580C0D">
        <w:t>Innst</w:t>
      </w:r>
      <w:proofErr w:type="spellEnd"/>
      <w:r w:rsidRPr="00580C0D">
        <w:t>. 114 S (2017–2018).</w:t>
      </w:r>
    </w:p>
    <w:p w14:paraId="1C87D6A0" w14:textId="77777777" w:rsidR="00F7113A" w:rsidRPr="00580C0D" w:rsidRDefault="00142E5B" w:rsidP="00580C0D">
      <w:r w:rsidRPr="00580C0D">
        <w:t xml:space="preserve">Departementet vil i løpet av </w:t>
      </w:r>
      <w:proofErr w:type="spellStart"/>
      <w:r w:rsidRPr="00580C0D">
        <w:t>hausten</w:t>
      </w:r>
      <w:proofErr w:type="spellEnd"/>
      <w:r w:rsidRPr="00580C0D">
        <w:t xml:space="preserve"> 2023 sende på </w:t>
      </w:r>
      <w:proofErr w:type="spellStart"/>
      <w:r w:rsidRPr="00580C0D">
        <w:t>offentleg</w:t>
      </w:r>
      <w:proofErr w:type="spellEnd"/>
      <w:r w:rsidRPr="00580C0D">
        <w:t xml:space="preserve"> </w:t>
      </w:r>
      <w:proofErr w:type="spellStart"/>
      <w:r w:rsidRPr="00580C0D">
        <w:t>høyring</w:t>
      </w:r>
      <w:proofErr w:type="spellEnd"/>
      <w:r w:rsidRPr="00580C0D">
        <w:t xml:space="preserve"> ei rekke forslag om </w:t>
      </w:r>
      <w:proofErr w:type="spellStart"/>
      <w:r w:rsidRPr="00580C0D">
        <w:t>endringar</w:t>
      </w:r>
      <w:proofErr w:type="spellEnd"/>
      <w:r w:rsidRPr="00580C0D">
        <w:t xml:space="preserve"> i barnehagelova om styring og finansiering av barnehagesektoren. For </w:t>
      </w:r>
      <w:proofErr w:type="spellStart"/>
      <w:r w:rsidRPr="00580C0D">
        <w:t>meir</w:t>
      </w:r>
      <w:proofErr w:type="spellEnd"/>
      <w:r w:rsidRPr="00580C0D">
        <w:t xml:space="preserve"> </w:t>
      </w:r>
      <w:proofErr w:type="spellStart"/>
      <w:r w:rsidRPr="00580C0D">
        <w:t>utførleg</w:t>
      </w:r>
      <w:proofErr w:type="spellEnd"/>
      <w:r w:rsidRPr="00580C0D">
        <w:t xml:space="preserve"> tekst om arbeidet med regelverket for private </w:t>
      </w:r>
      <w:proofErr w:type="spellStart"/>
      <w:r w:rsidRPr="00580C0D">
        <w:t>barnehagar</w:t>
      </w:r>
      <w:proofErr w:type="spellEnd"/>
      <w:r w:rsidRPr="00580C0D">
        <w:t xml:space="preserve">, sjå del II, programkategori 07.30 </w:t>
      </w:r>
      <w:proofErr w:type="spellStart"/>
      <w:r w:rsidRPr="00580C0D">
        <w:t>Barnehagar</w:t>
      </w:r>
      <w:proofErr w:type="spellEnd"/>
      <w:r w:rsidRPr="00580C0D">
        <w:t>.</w:t>
      </w:r>
    </w:p>
    <w:p w14:paraId="224176D8"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4478F138" w14:textId="77777777" w:rsidR="00F7113A" w:rsidRPr="00580C0D" w:rsidRDefault="00142E5B" w:rsidP="00580C0D">
      <w:pPr>
        <w:pStyle w:val="avsnitt-tittel"/>
      </w:pPr>
      <w:r w:rsidRPr="00580C0D">
        <w:t xml:space="preserve">Finansieringssystemet for private </w:t>
      </w:r>
      <w:proofErr w:type="spellStart"/>
      <w:r w:rsidRPr="00580C0D">
        <w:t>barnehagar</w:t>
      </w:r>
      <w:proofErr w:type="spellEnd"/>
    </w:p>
    <w:p w14:paraId="6ECAC663" w14:textId="77777777" w:rsidR="00F7113A" w:rsidRPr="00580C0D" w:rsidRDefault="00142E5B" w:rsidP="00580C0D">
      <w:pPr>
        <w:pStyle w:val="avsnitt-undertittel"/>
      </w:pPr>
      <w:r w:rsidRPr="00580C0D">
        <w:t>Vedtak nr. 802, 31. mai 2018</w:t>
      </w:r>
    </w:p>
    <w:p w14:paraId="7429A405" w14:textId="77777777" w:rsidR="00F7113A" w:rsidRPr="00580C0D" w:rsidRDefault="00142E5B" w:rsidP="00580C0D">
      <w:pPr>
        <w:pStyle w:val="blokksit"/>
        <w:rPr>
          <w:rStyle w:val="kursiv"/>
        </w:rPr>
      </w:pPr>
      <w:r w:rsidRPr="00580C0D">
        <w:rPr>
          <w:rStyle w:val="kursiv"/>
        </w:rP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14:paraId="7C864EEC"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w:t>
      </w:r>
      <w:proofErr w:type="spellStart"/>
      <w:r w:rsidRPr="00580C0D">
        <w:t>Prop</w:t>
      </w:r>
      <w:proofErr w:type="spellEnd"/>
      <w:r w:rsidRPr="00580C0D">
        <w:t xml:space="preserve">. 67 L (2017–2018) </w:t>
      </w:r>
      <w:r w:rsidRPr="00580C0D">
        <w:rPr>
          <w:rStyle w:val="kursiv"/>
        </w:rPr>
        <w:t>Endringer i barnehageloven mv. (minimumsnorm for grunnbemanning, plikt til å samarbeide om barnas overgang fra barnehage til skole og SFO mv.)</w:t>
      </w:r>
      <w:r w:rsidRPr="00580C0D">
        <w:t xml:space="preserve">, jf. </w:t>
      </w:r>
      <w:proofErr w:type="spellStart"/>
      <w:r w:rsidRPr="00580C0D">
        <w:t>Innst</w:t>
      </w:r>
      <w:proofErr w:type="spellEnd"/>
      <w:r w:rsidRPr="00580C0D">
        <w:t>. 319 L (2017–2018).</w:t>
      </w:r>
    </w:p>
    <w:p w14:paraId="478E9E5B" w14:textId="77777777" w:rsidR="00F7113A" w:rsidRPr="00580C0D" w:rsidRDefault="00142E5B" w:rsidP="00580C0D">
      <w:r w:rsidRPr="00580C0D">
        <w:t xml:space="preserve">Departementet vil i løpet av </w:t>
      </w:r>
      <w:proofErr w:type="spellStart"/>
      <w:r w:rsidRPr="00580C0D">
        <w:t>hausten</w:t>
      </w:r>
      <w:proofErr w:type="spellEnd"/>
      <w:r w:rsidRPr="00580C0D">
        <w:t xml:space="preserve"> 2023 sende på </w:t>
      </w:r>
      <w:proofErr w:type="spellStart"/>
      <w:r w:rsidRPr="00580C0D">
        <w:t>offentleg</w:t>
      </w:r>
      <w:proofErr w:type="spellEnd"/>
      <w:r w:rsidRPr="00580C0D">
        <w:t xml:space="preserve"> </w:t>
      </w:r>
      <w:proofErr w:type="spellStart"/>
      <w:r w:rsidRPr="00580C0D">
        <w:t>høyring</w:t>
      </w:r>
      <w:proofErr w:type="spellEnd"/>
      <w:r w:rsidRPr="00580C0D">
        <w:t xml:space="preserve"> ei rekke forslag om </w:t>
      </w:r>
      <w:proofErr w:type="spellStart"/>
      <w:r w:rsidRPr="00580C0D">
        <w:t>endringar</w:t>
      </w:r>
      <w:proofErr w:type="spellEnd"/>
      <w:r w:rsidRPr="00580C0D">
        <w:t xml:space="preserve"> i barnehagelova om styring og finansiering av barnehagesektoren. For </w:t>
      </w:r>
      <w:proofErr w:type="spellStart"/>
      <w:r w:rsidRPr="00580C0D">
        <w:t>meir</w:t>
      </w:r>
      <w:proofErr w:type="spellEnd"/>
      <w:r w:rsidRPr="00580C0D">
        <w:t xml:space="preserve"> </w:t>
      </w:r>
      <w:proofErr w:type="spellStart"/>
      <w:r w:rsidRPr="00580C0D">
        <w:t>utførleg</w:t>
      </w:r>
      <w:proofErr w:type="spellEnd"/>
      <w:r w:rsidRPr="00580C0D">
        <w:t xml:space="preserve"> tekst om arbeidet med regelverket for private </w:t>
      </w:r>
      <w:proofErr w:type="spellStart"/>
      <w:r w:rsidRPr="00580C0D">
        <w:t>barnehagar</w:t>
      </w:r>
      <w:proofErr w:type="spellEnd"/>
      <w:r w:rsidRPr="00580C0D">
        <w:t xml:space="preserve">, sjå del II, programkategori 07.30 </w:t>
      </w:r>
      <w:proofErr w:type="spellStart"/>
      <w:r w:rsidRPr="00580C0D">
        <w:t>Barnehagar</w:t>
      </w:r>
      <w:proofErr w:type="spellEnd"/>
      <w:r w:rsidRPr="00580C0D">
        <w:t>.</w:t>
      </w:r>
    </w:p>
    <w:p w14:paraId="455DF52E"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4093C3AC" w14:textId="77777777" w:rsidR="00F7113A" w:rsidRPr="00580C0D" w:rsidRDefault="00142E5B" w:rsidP="00580C0D">
      <w:pPr>
        <w:pStyle w:val="Undertittel"/>
      </w:pPr>
      <w:r w:rsidRPr="00580C0D">
        <w:t xml:space="preserve">Oppmodingsvedtak under forskings- og </w:t>
      </w:r>
      <w:proofErr w:type="spellStart"/>
      <w:r w:rsidRPr="00580C0D">
        <w:t>høgare</w:t>
      </w:r>
      <w:proofErr w:type="spellEnd"/>
      <w:r w:rsidRPr="00580C0D">
        <w:t xml:space="preserve"> utdanningsministeren</w:t>
      </w:r>
    </w:p>
    <w:p w14:paraId="7FC66EC7" w14:textId="77777777" w:rsidR="00F7113A" w:rsidRPr="00580C0D" w:rsidRDefault="00142E5B" w:rsidP="00580C0D">
      <w:pPr>
        <w:pStyle w:val="avsnitt-tittel"/>
      </w:pPr>
      <w:proofErr w:type="spellStart"/>
      <w:r w:rsidRPr="00580C0D">
        <w:t>Høgare</w:t>
      </w:r>
      <w:proofErr w:type="spellEnd"/>
      <w:r w:rsidRPr="00580C0D">
        <w:t xml:space="preserve"> utdanning</w:t>
      </w:r>
    </w:p>
    <w:p w14:paraId="7A94CB90" w14:textId="77777777" w:rsidR="00F7113A" w:rsidRPr="00580C0D" w:rsidRDefault="00142E5B" w:rsidP="00580C0D">
      <w:pPr>
        <w:pStyle w:val="avsnitt-undertittel"/>
      </w:pPr>
      <w:r w:rsidRPr="00580C0D">
        <w:t>Vedtak nr. 887, 11. juni 2018</w:t>
      </w:r>
    </w:p>
    <w:p w14:paraId="39525C82" w14:textId="77777777" w:rsidR="00F7113A" w:rsidRPr="00580C0D" w:rsidRDefault="00142E5B" w:rsidP="00580C0D">
      <w:pPr>
        <w:pStyle w:val="blokksit"/>
        <w:rPr>
          <w:rStyle w:val="kursiv"/>
        </w:rPr>
      </w:pPr>
      <w:r w:rsidRPr="00580C0D">
        <w:rPr>
          <w:rStyle w:val="kursiv"/>
        </w:rPr>
        <w:t xml:space="preserve">Stortinget ber regjeringen foreta en gjennomgang av dagens regelverk for rangering av søkere til høyere utdanning, inkludert utdanning som i dag </w:t>
      </w:r>
      <w:proofErr w:type="spellStart"/>
      <w:r w:rsidRPr="00580C0D">
        <w:rPr>
          <w:rStyle w:val="kursiv"/>
        </w:rPr>
        <w:t>ikkje</w:t>
      </w:r>
      <w:proofErr w:type="spellEnd"/>
      <w:r w:rsidRPr="00580C0D">
        <w:rPr>
          <w:rStyle w:val="kursiv"/>
        </w:rPr>
        <w:t xml:space="preserve"> gir poeng, og komme tilbake til Stortinget på egnet måte.</w:t>
      </w:r>
    </w:p>
    <w:p w14:paraId="27B3B12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Dokument 8:196 S (2017–2018) </w:t>
      </w:r>
      <w:r w:rsidRPr="00580C0D">
        <w:rPr>
          <w:rStyle w:val="kursiv"/>
        </w:rPr>
        <w:t xml:space="preserve">Representantforslag fra stortingsrepresentantene Hans Fredrik Grøvan, Olaug V. Bollestad, Knut Arild Hareide og Steinar Reiten om å gi bibelskoleelever to tilleggspoeng, </w:t>
      </w:r>
      <w:r w:rsidRPr="00580C0D">
        <w:t xml:space="preserve">jf. </w:t>
      </w:r>
      <w:proofErr w:type="spellStart"/>
      <w:r w:rsidRPr="00580C0D">
        <w:t>Innst</w:t>
      </w:r>
      <w:proofErr w:type="spellEnd"/>
      <w:r w:rsidRPr="00580C0D">
        <w:t>. 387 S (2017–2018).</w:t>
      </w:r>
    </w:p>
    <w:p w14:paraId="33A11644" w14:textId="77777777" w:rsidR="00F7113A" w:rsidRPr="00580C0D" w:rsidRDefault="00142E5B" w:rsidP="00580C0D">
      <w:r w:rsidRPr="00580C0D">
        <w:t xml:space="preserve">Kunnskapsdepartementet har starta arbeidet med </w:t>
      </w:r>
      <w:proofErr w:type="spellStart"/>
      <w:r w:rsidRPr="00580C0D">
        <w:t>ein</w:t>
      </w:r>
      <w:proofErr w:type="spellEnd"/>
      <w:r w:rsidRPr="00580C0D">
        <w:t xml:space="preserve"> </w:t>
      </w:r>
      <w:proofErr w:type="spellStart"/>
      <w:r w:rsidRPr="00580C0D">
        <w:t>heilskapleg</w:t>
      </w:r>
      <w:proofErr w:type="spellEnd"/>
      <w:r w:rsidRPr="00580C0D">
        <w:t xml:space="preserve"> gjennomgang av regelverket for rangering, inkludert alle </w:t>
      </w:r>
      <w:proofErr w:type="spellStart"/>
      <w:r w:rsidRPr="00580C0D">
        <w:t>kvotar</w:t>
      </w:r>
      <w:proofErr w:type="spellEnd"/>
      <w:r w:rsidRPr="00580C0D">
        <w:t xml:space="preserve"> og tilleggspoeng i systemet for opptak. Våren 2021 sette regjeringa ned </w:t>
      </w:r>
      <w:proofErr w:type="spellStart"/>
      <w:r w:rsidRPr="00580C0D">
        <w:t>eit</w:t>
      </w:r>
      <w:proofErr w:type="spellEnd"/>
      <w:r w:rsidRPr="00580C0D">
        <w:t xml:space="preserve"> </w:t>
      </w:r>
      <w:proofErr w:type="spellStart"/>
      <w:r w:rsidRPr="00580C0D">
        <w:t>offentleg</w:t>
      </w:r>
      <w:proofErr w:type="spellEnd"/>
      <w:r w:rsidRPr="00580C0D">
        <w:t xml:space="preserve"> </w:t>
      </w:r>
      <w:proofErr w:type="spellStart"/>
      <w:r w:rsidRPr="00580C0D">
        <w:t>utval</w:t>
      </w:r>
      <w:proofErr w:type="spellEnd"/>
      <w:r w:rsidRPr="00580C0D">
        <w:t xml:space="preserve"> (</w:t>
      </w:r>
      <w:proofErr w:type="spellStart"/>
      <w:r w:rsidRPr="00580C0D">
        <w:t>opptaksutvalet</w:t>
      </w:r>
      <w:proofErr w:type="spellEnd"/>
      <w:r w:rsidRPr="00580C0D">
        <w:t xml:space="preserve">) som har vurdert heile systemet for opptak til </w:t>
      </w:r>
      <w:proofErr w:type="spellStart"/>
      <w:r w:rsidRPr="00580C0D">
        <w:t>høgare</w:t>
      </w:r>
      <w:proofErr w:type="spellEnd"/>
      <w:r w:rsidRPr="00580C0D">
        <w:t xml:space="preserve"> utdanning. </w:t>
      </w:r>
      <w:proofErr w:type="spellStart"/>
      <w:r w:rsidRPr="00580C0D">
        <w:t>Utvalet</w:t>
      </w:r>
      <w:proofErr w:type="spellEnd"/>
      <w:r w:rsidRPr="00580C0D">
        <w:t xml:space="preserve"> leverte rapporten sin i desember 2022. Kunnskapsdepartementet vurderer </w:t>
      </w:r>
      <w:proofErr w:type="spellStart"/>
      <w:r w:rsidRPr="00580C0D">
        <w:t>no</w:t>
      </w:r>
      <w:proofErr w:type="spellEnd"/>
      <w:r w:rsidRPr="00580C0D">
        <w:t xml:space="preserve"> forslaga til ny modell. Regjeringa vil </w:t>
      </w:r>
      <w:proofErr w:type="spellStart"/>
      <w:r w:rsidRPr="00580C0D">
        <w:t>kome</w:t>
      </w:r>
      <w:proofErr w:type="spellEnd"/>
      <w:r w:rsidRPr="00580C0D">
        <w:t xml:space="preserve"> tilbake til Stortinget med forslag til nytt opptakssystem våren 2024. </w:t>
      </w:r>
    </w:p>
    <w:p w14:paraId="45DFFF67" w14:textId="77777777" w:rsidR="00F7113A" w:rsidRPr="00580C0D" w:rsidRDefault="00142E5B" w:rsidP="00580C0D">
      <w:pPr>
        <w:pStyle w:val="Overskrift2"/>
      </w:pPr>
      <w:r w:rsidRPr="00580C0D">
        <w:t>Stortingssesjon 2016–2017</w:t>
      </w:r>
    </w:p>
    <w:p w14:paraId="3D55DDF2" w14:textId="77777777" w:rsidR="00F7113A" w:rsidRPr="00580C0D" w:rsidRDefault="00142E5B" w:rsidP="00580C0D">
      <w:pPr>
        <w:pStyle w:val="Undertittel"/>
      </w:pPr>
      <w:r w:rsidRPr="00580C0D">
        <w:t>Oppmodingsvedtak under kunnskapsministeren</w:t>
      </w:r>
    </w:p>
    <w:p w14:paraId="22306A5A" w14:textId="77777777" w:rsidR="00F7113A" w:rsidRPr="00580C0D" w:rsidRDefault="00142E5B" w:rsidP="00580C0D">
      <w:pPr>
        <w:pStyle w:val="avsnitt-tittel"/>
      </w:pPr>
      <w:proofErr w:type="spellStart"/>
      <w:r w:rsidRPr="00580C0D">
        <w:t>Hovudmål</w:t>
      </w:r>
      <w:proofErr w:type="spellEnd"/>
      <w:r w:rsidRPr="00580C0D">
        <w:t xml:space="preserve"> og målformgrupper på </w:t>
      </w:r>
      <w:proofErr w:type="spellStart"/>
      <w:r w:rsidRPr="00580C0D">
        <w:t>ungdomsskulen</w:t>
      </w:r>
      <w:proofErr w:type="spellEnd"/>
    </w:p>
    <w:p w14:paraId="366CC594" w14:textId="77777777" w:rsidR="00F7113A" w:rsidRPr="00580C0D" w:rsidRDefault="00142E5B" w:rsidP="00580C0D">
      <w:pPr>
        <w:pStyle w:val="avsnitt-undertittel"/>
      </w:pPr>
      <w:r w:rsidRPr="00580C0D">
        <w:t>Vedtak nr. 67, 22. november 2016</w:t>
      </w:r>
    </w:p>
    <w:p w14:paraId="05E4922A" w14:textId="77777777" w:rsidR="00F7113A" w:rsidRPr="00580C0D" w:rsidRDefault="00142E5B" w:rsidP="00580C0D">
      <w:pPr>
        <w:pStyle w:val="blokksit"/>
        <w:rPr>
          <w:rStyle w:val="kursiv"/>
        </w:rPr>
      </w:pPr>
      <w:r w:rsidRPr="00580C0D">
        <w:rPr>
          <w:rStyle w:val="kursiv"/>
        </w:rPr>
        <w:t xml:space="preserve">Stortinget ber regjeringen utrede en endring av </w:t>
      </w:r>
      <w:proofErr w:type="spellStart"/>
      <w:r w:rsidRPr="00580C0D">
        <w:rPr>
          <w:rStyle w:val="kursiv"/>
        </w:rPr>
        <w:t>opplæringslova</w:t>
      </w:r>
      <w:proofErr w:type="spellEnd"/>
      <w:r w:rsidRPr="00580C0D">
        <w:rPr>
          <w:rStyle w:val="kursiv"/>
        </w:rPr>
        <w:t xml:space="preserve"> § 2-5 og andre mulige tiltak som kan sikre elever på ungdomsskolen rett til opplæring på hovedmålet og rett til å tilhøre en egen målformgruppe, og komme tilbake til Stortinget på egnet måte.</w:t>
      </w:r>
    </w:p>
    <w:p w14:paraId="2CC80F1B"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Dokument 8:116 S (2015–2016) </w:t>
      </w:r>
      <w:r w:rsidRPr="00580C0D">
        <w:rPr>
          <w:rStyle w:val="kursiv"/>
        </w:rPr>
        <w:t xml:space="preserve">Representantforslag </w:t>
      </w:r>
      <w:proofErr w:type="spellStart"/>
      <w:r w:rsidRPr="00580C0D">
        <w:rPr>
          <w:rStyle w:val="kursiv"/>
        </w:rPr>
        <w:t>frå</w:t>
      </w:r>
      <w:proofErr w:type="spellEnd"/>
      <w:r w:rsidRPr="00580C0D">
        <w:rPr>
          <w:rStyle w:val="kursiv"/>
        </w:rPr>
        <w:t xml:space="preserve"> </w:t>
      </w:r>
      <w:proofErr w:type="spellStart"/>
      <w:r w:rsidRPr="00580C0D">
        <w:rPr>
          <w:rStyle w:val="kursiv"/>
        </w:rPr>
        <w:t>stortingsrepresentantane</w:t>
      </w:r>
      <w:proofErr w:type="spellEnd"/>
      <w:r w:rsidRPr="00580C0D">
        <w:rPr>
          <w:rStyle w:val="kursiv"/>
        </w:rPr>
        <w:t xml:space="preserve"> Kjersti Toppe, Liv Signe Navarsete, Magne Rommetveit, Terje Breivik, Geir Sigbjørn </w:t>
      </w:r>
      <w:proofErr w:type="spellStart"/>
      <w:r w:rsidRPr="00580C0D">
        <w:rPr>
          <w:rStyle w:val="kursiv"/>
        </w:rPr>
        <w:t>Toskedal</w:t>
      </w:r>
      <w:proofErr w:type="spellEnd"/>
      <w:r w:rsidRPr="00580C0D">
        <w:rPr>
          <w:rStyle w:val="kursiv"/>
        </w:rPr>
        <w:t xml:space="preserve"> og Audun Lysbakken om </w:t>
      </w:r>
      <w:proofErr w:type="gramStart"/>
      <w:r w:rsidRPr="00580C0D">
        <w:rPr>
          <w:rStyle w:val="kursiv"/>
        </w:rPr>
        <w:t>å sikra</w:t>
      </w:r>
      <w:proofErr w:type="gramEnd"/>
      <w:r w:rsidRPr="00580C0D">
        <w:rPr>
          <w:rStyle w:val="kursiv"/>
        </w:rPr>
        <w:t xml:space="preserve"> alle </w:t>
      </w:r>
      <w:proofErr w:type="spellStart"/>
      <w:r w:rsidRPr="00580C0D">
        <w:rPr>
          <w:rStyle w:val="kursiv"/>
        </w:rPr>
        <w:t>elevar</w:t>
      </w:r>
      <w:proofErr w:type="spellEnd"/>
      <w:r w:rsidRPr="00580C0D">
        <w:rPr>
          <w:rStyle w:val="kursiv"/>
        </w:rPr>
        <w:t xml:space="preserve"> i </w:t>
      </w:r>
      <w:proofErr w:type="spellStart"/>
      <w:r w:rsidRPr="00580C0D">
        <w:rPr>
          <w:rStyle w:val="kursiv"/>
        </w:rPr>
        <w:t>grunnskulen</w:t>
      </w:r>
      <w:proofErr w:type="spellEnd"/>
      <w:r w:rsidRPr="00580C0D">
        <w:rPr>
          <w:rStyle w:val="kursiv"/>
        </w:rPr>
        <w:t xml:space="preserve"> rett til opplæring på </w:t>
      </w:r>
      <w:proofErr w:type="spellStart"/>
      <w:r w:rsidRPr="00580C0D">
        <w:rPr>
          <w:rStyle w:val="kursiv"/>
        </w:rPr>
        <w:t>hovudmålet</w:t>
      </w:r>
      <w:proofErr w:type="spellEnd"/>
      <w:r w:rsidRPr="00580C0D">
        <w:rPr>
          <w:rStyle w:val="kursiv"/>
        </w:rPr>
        <w:t xml:space="preserve"> sitt</w:t>
      </w:r>
      <w:r w:rsidRPr="00580C0D">
        <w:t xml:space="preserve">, jf. </w:t>
      </w:r>
      <w:proofErr w:type="spellStart"/>
      <w:r w:rsidRPr="00580C0D">
        <w:t>Innst</w:t>
      </w:r>
      <w:proofErr w:type="spellEnd"/>
      <w:r w:rsidRPr="00580C0D">
        <w:t>. 68 S (2016–2017).</w:t>
      </w:r>
    </w:p>
    <w:p w14:paraId="11F83AFB" w14:textId="77777777" w:rsidR="00F7113A" w:rsidRPr="00580C0D" w:rsidRDefault="00142E5B" w:rsidP="00580C0D">
      <w:r w:rsidRPr="00580C0D">
        <w:t xml:space="preserve">Kunnskapsdepartementet fremma våren 2023 forslag om ny opplæringslov, jf. </w:t>
      </w:r>
      <w:proofErr w:type="spellStart"/>
      <w:r w:rsidRPr="00580C0D">
        <w:t>Prop</w:t>
      </w:r>
      <w:proofErr w:type="spellEnd"/>
      <w:r w:rsidRPr="00580C0D">
        <w:t xml:space="preserve">. 57 L (2022–2023) </w:t>
      </w:r>
      <w:r w:rsidRPr="00580C0D">
        <w:rPr>
          <w:rStyle w:val="kursiv"/>
        </w:rPr>
        <w:t xml:space="preserve">Lov om grunnskoleopplæringa og den </w:t>
      </w:r>
      <w:proofErr w:type="spellStart"/>
      <w:r w:rsidRPr="00580C0D">
        <w:rPr>
          <w:rStyle w:val="kursiv"/>
        </w:rPr>
        <w:t>vidaregåande</w:t>
      </w:r>
      <w:proofErr w:type="spellEnd"/>
      <w:r w:rsidRPr="00580C0D">
        <w:rPr>
          <w:rStyle w:val="kursiv"/>
        </w:rPr>
        <w:t xml:space="preserve"> opplæringa (opplæringslova). </w:t>
      </w:r>
      <w:r w:rsidRPr="00580C0D">
        <w:t xml:space="preserve">Etter forslaget har </w:t>
      </w:r>
      <w:proofErr w:type="spellStart"/>
      <w:r w:rsidRPr="00580C0D">
        <w:t>elevar</w:t>
      </w:r>
      <w:proofErr w:type="spellEnd"/>
      <w:r w:rsidRPr="00580C0D">
        <w:t xml:space="preserve"> på ungdomstrinnet rett til opplæring i eiga gruppe på det skriftspråket kommunen </w:t>
      </w:r>
      <w:proofErr w:type="spellStart"/>
      <w:r w:rsidRPr="00580C0D">
        <w:t>ikkje</w:t>
      </w:r>
      <w:proofErr w:type="spellEnd"/>
      <w:r w:rsidRPr="00580C0D">
        <w:t xml:space="preserve"> har </w:t>
      </w:r>
      <w:proofErr w:type="spellStart"/>
      <w:r w:rsidRPr="00580C0D">
        <w:t>vedteke</w:t>
      </w:r>
      <w:proofErr w:type="spellEnd"/>
      <w:r w:rsidRPr="00580C0D">
        <w:t xml:space="preserve">, når minst ti </w:t>
      </w:r>
      <w:proofErr w:type="spellStart"/>
      <w:r w:rsidRPr="00580C0D">
        <w:t>elevar</w:t>
      </w:r>
      <w:proofErr w:type="spellEnd"/>
      <w:r w:rsidRPr="00580C0D">
        <w:t xml:space="preserve"> på </w:t>
      </w:r>
      <w:proofErr w:type="spellStart"/>
      <w:r w:rsidRPr="00580C0D">
        <w:t>eitt</w:t>
      </w:r>
      <w:proofErr w:type="spellEnd"/>
      <w:r w:rsidRPr="00580C0D">
        <w:t xml:space="preserve"> av trinna ønsker slik opplæring. Stortinget vedtok lovforslaget 5. juni 2023. Det blir planlagt for at lova skal tre i kraft </w:t>
      </w:r>
      <w:proofErr w:type="spellStart"/>
      <w:r w:rsidRPr="00580C0D">
        <w:t>frå</w:t>
      </w:r>
      <w:proofErr w:type="spellEnd"/>
      <w:r w:rsidRPr="00580C0D">
        <w:t xml:space="preserve"> 1. august 2024.</w:t>
      </w:r>
    </w:p>
    <w:p w14:paraId="7AFB5D30"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1832E883" w14:textId="77777777" w:rsidR="00F7113A" w:rsidRPr="00580C0D" w:rsidRDefault="00142E5B" w:rsidP="00580C0D">
      <w:pPr>
        <w:pStyle w:val="avsnitt-tittel"/>
      </w:pPr>
      <w:proofErr w:type="spellStart"/>
      <w:r w:rsidRPr="00580C0D">
        <w:t>Lærarar</w:t>
      </w:r>
      <w:proofErr w:type="spellEnd"/>
      <w:r w:rsidRPr="00580C0D">
        <w:t xml:space="preserve"> med fordjuping i spesialpedagogikk</w:t>
      </w:r>
    </w:p>
    <w:p w14:paraId="740E969E" w14:textId="77777777" w:rsidR="00F7113A" w:rsidRPr="00580C0D" w:rsidRDefault="00142E5B" w:rsidP="00580C0D">
      <w:pPr>
        <w:pStyle w:val="avsnitt-undertittel"/>
      </w:pPr>
      <w:r w:rsidRPr="00580C0D">
        <w:t>Vedtak nr. 900, 13. juni 2017</w:t>
      </w:r>
    </w:p>
    <w:p w14:paraId="6EB531F8" w14:textId="77777777" w:rsidR="00F7113A" w:rsidRPr="00580C0D" w:rsidRDefault="00142E5B" w:rsidP="00580C0D">
      <w:pPr>
        <w:pStyle w:val="blokksit"/>
        <w:rPr>
          <w:rStyle w:val="kursiv"/>
        </w:rPr>
      </w:pPr>
      <w:r w:rsidRPr="00580C0D">
        <w:rPr>
          <w:rStyle w:val="kursiv"/>
        </w:rPr>
        <w:t>Stortinget ber regjeringen i samråd med sektoren se til at alle skoler skal ha tilgang på lærere med fordypning innen spesialpedagogikk.</w:t>
      </w:r>
    </w:p>
    <w:p w14:paraId="384AD9A0"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Dokument 8:132 S (2016–2017) </w:t>
      </w:r>
      <w:r w:rsidRPr="00580C0D">
        <w:rPr>
          <w:rStyle w:val="kursiv"/>
        </w:rPr>
        <w:t xml:space="preserve">Representantforslag fra stortingsrepresentantene Audun Lysbakken og Karin Andersen om styrket spesialpedagogisk oppfølging i en inkluderende skole, </w:t>
      </w:r>
      <w:r w:rsidRPr="00580C0D">
        <w:t xml:space="preserve">jf. </w:t>
      </w:r>
      <w:proofErr w:type="spellStart"/>
      <w:r w:rsidRPr="00580C0D">
        <w:t>Innst</w:t>
      </w:r>
      <w:proofErr w:type="spellEnd"/>
      <w:r w:rsidRPr="00580C0D">
        <w:t>. 446 S (2016–2017).</w:t>
      </w:r>
    </w:p>
    <w:p w14:paraId="2A8BA392" w14:textId="77777777" w:rsidR="00F7113A" w:rsidRPr="00580C0D" w:rsidRDefault="00142E5B" w:rsidP="00580C0D">
      <w:r w:rsidRPr="00580C0D">
        <w:t xml:space="preserve">Oppmodingsvedtak nr. 900 er </w:t>
      </w:r>
      <w:proofErr w:type="spellStart"/>
      <w:r w:rsidRPr="00580C0D">
        <w:t>omtala</w:t>
      </w:r>
      <w:proofErr w:type="spellEnd"/>
      <w:r w:rsidRPr="00580C0D">
        <w:t xml:space="preserve"> i Meld. St. 6 (2019–2020) </w:t>
      </w:r>
      <w:r w:rsidRPr="00580C0D">
        <w:rPr>
          <w:rStyle w:val="kursiv"/>
        </w:rPr>
        <w:t xml:space="preserve">Tett på – tidlig innsats og inkluderende fellesskap i barnehage, skole og SFO, </w:t>
      </w:r>
      <w:r w:rsidRPr="00580C0D">
        <w:t xml:space="preserve">som blei lagd fram i november 2019. Der blei det varsla at departementet ville vurdere korleis alle </w:t>
      </w:r>
      <w:proofErr w:type="spellStart"/>
      <w:r w:rsidRPr="00580C0D">
        <w:t>barnehagar</w:t>
      </w:r>
      <w:proofErr w:type="spellEnd"/>
      <w:r w:rsidRPr="00580C0D">
        <w:t xml:space="preserve"> og </w:t>
      </w:r>
      <w:proofErr w:type="spellStart"/>
      <w:r w:rsidRPr="00580C0D">
        <w:t>skular</w:t>
      </w:r>
      <w:proofErr w:type="spellEnd"/>
      <w:r w:rsidRPr="00580C0D">
        <w:t xml:space="preserve"> kan få </w:t>
      </w:r>
      <w:proofErr w:type="spellStart"/>
      <w:r w:rsidRPr="00580C0D">
        <w:t>tilstrekkeleg</w:t>
      </w:r>
      <w:proofErr w:type="spellEnd"/>
      <w:r w:rsidRPr="00580C0D">
        <w:t xml:space="preserve"> tilgang til spesialpedagogisk kompetanse. Utdanningsdirektoratet </w:t>
      </w:r>
      <w:proofErr w:type="spellStart"/>
      <w:r w:rsidRPr="00580C0D">
        <w:t>fekk</w:t>
      </w:r>
      <w:proofErr w:type="spellEnd"/>
      <w:r w:rsidRPr="00580C0D">
        <w:t xml:space="preserve"> i oppdrag å greie ut dette </w:t>
      </w:r>
      <w:proofErr w:type="spellStart"/>
      <w:r w:rsidRPr="00580C0D">
        <w:t>nærare</w:t>
      </w:r>
      <w:proofErr w:type="spellEnd"/>
      <w:r w:rsidRPr="00580C0D">
        <w:t xml:space="preserve"> og har levert </w:t>
      </w:r>
      <w:proofErr w:type="spellStart"/>
      <w:r w:rsidRPr="00580C0D">
        <w:t>eit</w:t>
      </w:r>
      <w:proofErr w:type="spellEnd"/>
      <w:r w:rsidRPr="00580C0D">
        <w:t xml:space="preserve"> svar på oppdraget. Denne utgreiinga var del av kunnskapsgrunnlaget for </w:t>
      </w:r>
      <w:proofErr w:type="spellStart"/>
      <w:r w:rsidRPr="00580C0D">
        <w:t>moglege</w:t>
      </w:r>
      <w:proofErr w:type="spellEnd"/>
      <w:r w:rsidRPr="00580C0D">
        <w:t xml:space="preserve"> </w:t>
      </w:r>
      <w:proofErr w:type="spellStart"/>
      <w:r w:rsidRPr="00580C0D">
        <w:t>regelverksendringar</w:t>
      </w:r>
      <w:proofErr w:type="spellEnd"/>
      <w:r w:rsidRPr="00580C0D">
        <w:t xml:space="preserve"> som vart behandla </w:t>
      </w:r>
      <w:proofErr w:type="spellStart"/>
      <w:r w:rsidRPr="00580C0D">
        <w:t>saman</w:t>
      </w:r>
      <w:proofErr w:type="spellEnd"/>
      <w:r w:rsidRPr="00580C0D">
        <w:t xml:space="preserve"> med forslaga </w:t>
      </w:r>
      <w:proofErr w:type="spellStart"/>
      <w:r w:rsidRPr="00580C0D">
        <w:t>frå</w:t>
      </w:r>
      <w:proofErr w:type="spellEnd"/>
      <w:r w:rsidRPr="00580C0D">
        <w:t xml:space="preserve"> </w:t>
      </w:r>
      <w:proofErr w:type="spellStart"/>
      <w:r w:rsidRPr="00580C0D">
        <w:t>opplæringslovutvalet</w:t>
      </w:r>
      <w:proofErr w:type="spellEnd"/>
      <w:r w:rsidRPr="00580C0D">
        <w:t xml:space="preserve"> i oppfølginga av NOU 2019: 23 </w:t>
      </w:r>
      <w:r w:rsidRPr="00580C0D">
        <w:rPr>
          <w:rStyle w:val="kursiv"/>
        </w:rPr>
        <w:t>Ny opplæringslov</w:t>
      </w:r>
      <w:r w:rsidRPr="00580C0D">
        <w:t>.</w:t>
      </w:r>
    </w:p>
    <w:p w14:paraId="4A0EE6B7"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w:t>
      </w:r>
      <w:proofErr w:type="spellStart"/>
      <w:r w:rsidRPr="00580C0D">
        <w:t>Prop</w:t>
      </w:r>
      <w:proofErr w:type="spellEnd"/>
      <w:r w:rsidRPr="00580C0D">
        <w:t xml:space="preserve">. 57 L (2022–2023), som blei lagd fram av departementet 24. mars 2023 og behandla av Stortinget 5. juni 2023. Den nye </w:t>
      </w:r>
      <w:proofErr w:type="spellStart"/>
      <w:r w:rsidRPr="00580C0D">
        <w:t>opplæringslova</w:t>
      </w:r>
      <w:proofErr w:type="spellEnd"/>
      <w:r w:rsidRPr="00580C0D">
        <w:t xml:space="preserve"> </w:t>
      </w:r>
      <w:proofErr w:type="spellStart"/>
      <w:r w:rsidRPr="00580C0D">
        <w:t>inneber</w:t>
      </w:r>
      <w:proofErr w:type="spellEnd"/>
      <w:r w:rsidRPr="00580C0D">
        <w:t xml:space="preserve"> at </w:t>
      </w:r>
      <w:proofErr w:type="spellStart"/>
      <w:r w:rsidRPr="00580C0D">
        <w:t>dei</w:t>
      </w:r>
      <w:proofErr w:type="spellEnd"/>
      <w:r w:rsidRPr="00580C0D">
        <w:t xml:space="preserve"> som skal gi individuelt tilrettelagd opplæring (spesialundervisning), skal oppfylle krava for å bli tilsett i </w:t>
      </w:r>
      <w:proofErr w:type="spellStart"/>
      <w:r w:rsidRPr="00580C0D">
        <w:t>lærarstilling</w:t>
      </w:r>
      <w:proofErr w:type="spellEnd"/>
      <w:r w:rsidRPr="00580C0D">
        <w:t xml:space="preserve"> og krava til relevant kompetanse i undervisningsfaget. Det skal likevel kunne </w:t>
      </w:r>
      <w:proofErr w:type="spellStart"/>
      <w:r w:rsidRPr="00580C0D">
        <w:t>gjerast</w:t>
      </w:r>
      <w:proofErr w:type="spellEnd"/>
      <w:r w:rsidRPr="00580C0D">
        <w:t xml:space="preserve"> unntak </w:t>
      </w:r>
      <w:proofErr w:type="spellStart"/>
      <w:r w:rsidRPr="00580C0D">
        <w:t>frå</w:t>
      </w:r>
      <w:proofErr w:type="spellEnd"/>
      <w:r w:rsidRPr="00580C0D">
        <w:t xml:space="preserve"> kompetansekrava for </w:t>
      </w:r>
      <w:proofErr w:type="spellStart"/>
      <w:r w:rsidRPr="00580C0D">
        <w:t>dei</w:t>
      </w:r>
      <w:proofErr w:type="spellEnd"/>
      <w:r w:rsidRPr="00580C0D">
        <w:t xml:space="preserve"> som gir individuelt tilrettelagd opplæring. For det første </w:t>
      </w:r>
      <w:proofErr w:type="spellStart"/>
      <w:r w:rsidRPr="00580C0D">
        <w:t>vidarefører</w:t>
      </w:r>
      <w:proofErr w:type="spellEnd"/>
      <w:r w:rsidRPr="00580C0D">
        <w:t xml:space="preserve"> den nye lova dagens høve til å </w:t>
      </w:r>
      <w:proofErr w:type="spellStart"/>
      <w:r w:rsidRPr="00580C0D">
        <w:t>gjere</w:t>
      </w:r>
      <w:proofErr w:type="spellEnd"/>
      <w:r w:rsidRPr="00580C0D">
        <w:t xml:space="preserve"> unntak </w:t>
      </w:r>
      <w:proofErr w:type="spellStart"/>
      <w:r w:rsidRPr="00580C0D">
        <w:t>frå</w:t>
      </w:r>
      <w:proofErr w:type="spellEnd"/>
      <w:r w:rsidRPr="00580C0D">
        <w:t xml:space="preserve"> kravet om at </w:t>
      </w:r>
      <w:proofErr w:type="spellStart"/>
      <w:r w:rsidRPr="00580C0D">
        <w:t>lærarane</w:t>
      </w:r>
      <w:proofErr w:type="spellEnd"/>
      <w:r w:rsidRPr="00580C0D">
        <w:t xml:space="preserve"> må ha relevant kompetanse i faga </w:t>
      </w:r>
      <w:proofErr w:type="spellStart"/>
      <w:r w:rsidRPr="00580C0D">
        <w:t>dei</w:t>
      </w:r>
      <w:proofErr w:type="spellEnd"/>
      <w:r w:rsidRPr="00580C0D">
        <w:t xml:space="preserve"> skal undervise i, dersom ei konkret vurdering av eleven og den individuelt tilrettelagde opplæringa som skal </w:t>
      </w:r>
      <w:proofErr w:type="spellStart"/>
      <w:r w:rsidRPr="00580C0D">
        <w:t>givast</w:t>
      </w:r>
      <w:proofErr w:type="spellEnd"/>
      <w:r w:rsidRPr="00580C0D">
        <w:t xml:space="preserve">, </w:t>
      </w:r>
      <w:proofErr w:type="spellStart"/>
      <w:r w:rsidRPr="00580C0D">
        <w:t>tilseier</w:t>
      </w:r>
      <w:proofErr w:type="spellEnd"/>
      <w:r w:rsidRPr="00580C0D">
        <w:t xml:space="preserve"> det. For det andre blir det innført </w:t>
      </w:r>
      <w:proofErr w:type="spellStart"/>
      <w:r w:rsidRPr="00580C0D">
        <w:t>eit</w:t>
      </w:r>
      <w:proofErr w:type="spellEnd"/>
      <w:r w:rsidRPr="00580C0D">
        <w:t xml:space="preserve"> nytt unntaksalternativ som </w:t>
      </w:r>
      <w:proofErr w:type="spellStart"/>
      <w:r w:rsidRPr="00580C0D">
        <w:t>inneber</w:t>
      </w:r>
      <w:proofErr w:type="spellEnd"/>
      <w:r w:rsidRPr="00580C0D">
        <w:t xml:space="preserve"> at det kan </w:t>
      </w:r>
      <w:proofErr w:type="spellStart"/>
      <w:r w:rsidRPr="00580C0D">
        <w:t>gjerast</w:t>
      </w:r>
      <w:proofErr w:type="spellEnd"/>
      <w:r w:rsidRPr="00580C0D">
        <w:t xml:space="preserve"> unntak </w:t>
      </w:r>
      <w:proofErr w:type="spellStart"/>
      <w:r w:rsidRPr="00580C0D">
        <w:t>frå</w:t>
      </w:r>
      <w:proofErr w:type="spellEnd"/>
      <w:r w:rsidRPr="00580C0D">
        <w:t xml:space="preserve"> både kompetansekrav for å kunne bli tilsett i </w:t>
      </w:r>
      <w:proofErr w:type="spellStart"/>
      <w:r w:rsidRPr="00580C0D">
        <w:t>lærarstilling</w:t>
      </w:r>
      <w:proofErr w:type="spellEnd"/>
      <w:r w:rsidRPr="00580C0D">
        <w:t xml:space="preserve"> og krav om at </w:t>
      </w:r>
      <w:proofErr w:type="spellStart"/>
      <w:r w:rsidRPr="00580C0D">
        <w:t>lærarane</w:t>
      </w:r>
      <w:proofErr w:type="spellEnd"/>
      <w:r w:rsidRPr="00580C0D">
        <w:t xml:space="preserve"> må ha relevant kompetanse i faga </w:t>
      </w:r>
      <w:proofErr w:type="spellStart"/>
      <w:r w:rsidRPr="00580C0D">
        <w:t>dei</w:t>
      </w:r>
      <w:proofErr w:type="spellEnd"/>
      <w:r w:rsidRPr="00580C0D">
        <w:t xml:space="preserve"> skal undervise i, dersom det vil gi eleven betre opplæring, og personen som skal undervise, har ei universitets- eller </w:t>
      </w:r>
      <w:proofErr w:type="spellStart"/>
      <w:r w:rsidRPr="00580C0D">
        <w:t>høgskuleutdanning</w:t>
      </w:r>
      <w:proofErr w:type="spellEnd"/>
      <w:r w:rsidRPr="00580C0D">
        <w:t xml:space="preserve"> som </w:t>
      </w:r>
      <w:proofErr w:type="spellStart"/>
      <w:r w:rsidRPr="00580C0D">
        <w:t>gjer</w:t>
      </w:r>
      <w:proofErr w:type="spellEnd"/>
      <w:r w:rsidRPr="00580C0D">
        <w:t xml:space="preserve"> hen </w:t>
      </w:r>
      <w:proofErr w:type="spellStart"/>
      <w:r w:rsidRPr="00580C0D">
        <w:t>særleg</w:t>
      </w:r>
      <w:proofErr w:type="spellEnd"/>
      <w:r w:rsidRPr="00580C0D">
        <w:t xml:space="preserve"> eigna til å vareta behovet til eleven. Unntaket </w:t>
      </w:r>
      <w:proofErr w:type="spellStart"/>
      <w:r w:rsidRPr="00580C0D">
        <w:t>opnar</w:t>
      </w:r>
      <w:proofErr w:type="spellEnd"/>
      <w:r w:rsidRPr="00580C0D">
        <w:t xml:space="preserve"> for at til dømes </w:t>
      </w:r>
      <w:proofErr w:type="spellStart"/>
      <w:r w:rsidRPr="00580C0D">
        <w:t>ein</w:t>
      </w:r>
      <w:proofErr w:type="spellEnd"/>
      <w:r w:rsidRPr="00580C0D">
        <w:t xml:space="preserve"> barnevernspedagog eller spesialpedagog som har relevant kompetanse, men som </w:t>
      </w:r>
      <w:proofErr w:type="spellStart"/>
      <w:r w:rsidRPr="00580C0D">
        <w:t>ikkje</w:t>
      </w:r>
      <w:proofErr w:type="spellEnd"/>
      <w:r w:rsidRPr="00580C0D">
        <w:t xml:space="preserve"> har </w:t>
      </w:r>
      <w:proofErr w:type="spellStart"/>
      <w:r w:rsidRPr="00580C0D">
        <w:t>lærarutdanning</w:t>
      </w:r>
      <w:proofErr w:type="spellEnd"/>
      <w:r w:rsidRPr="00580C0D">
        <w:t>, kan gi individuelt tilrettelagd opplæring.</w:t>
      </w:r>
    </w:p>
    <w:p w14:paraId="38B5C9AE" w14:textId="77777777" w:rsidR="00F7113A" w:rsidRPr="00580C0D" w:rsidRDefault="00142E5B" w:rsidP="00580C0D">
      <w:r w:rsidRPr="00580C0D">
        <w:t xml:space="preserve">I </w:t>
      </w:r>
      <w:proofErr w:type="spellStart"/>
      <w:r w:rsidRPr="00580C0D">
        <w:t>Prop</w:t>
      </w:r>
      <w:proofErr w:type="spellEnd"/>
      <w:r w:rsidRPr="00580C0D">
        <w:t xml:space="preserve">. 57 L (2022–2023), som er </w:t>
      </w:r>
      <w:proofErr w:type="spellStart"/>
      <w:r w:rsidRPr="00580C0D">
        <w:t>vedteken</w:t>
      </w:r>
      <w:proofErr w:type="spellEnd"/>
      <w:r w:rsidRPr="00580C0D">
        <w:t xml:space="preserve"> av Stortinget, er det i punkt 50.1 og 50.5.12 lagt til grunn at oppmodingsvedtaket er </w:t>
      </w:r>
      <w:proofErr w:type="spellStart"/>
      <w:r w:rsidRPr="00580C0D">
        <w:t>følgt</w:t>
      </w:r>
      <w:proofErr w:type="spellEnd"/>
      <w:r w:rsidRPr="00580C0D">
        <w:t xml:space="preserve"> opp.</w:t>
      </w:r>
    </w:p>
    <w:p w14:paraId="3106F1D4" w14:textId="77777777" w:rsidR="00F7113A" w:rsidRPr="00580C0D" w:rsidRDefault="00142E5B" w:rsidP="00580C0D">
      <w:r w:rsidRPr="00580C0D">
        <w:t xml:space="preserve">Departementet viser til at det er sett i gang </w:t>
      </w:r>
      <w:proofErr w:type="spellStart"/>
      <w:r w:rsidRPr="00580C0D">
        <w:t>eit</w:t>
      </w:r>
      <w:proofErr w:type="spellEnd"/>
      <w:r w:rsidRPr="00580C0D">
        <w:t xml:space="preserve"> varig kompetanseløft i spesialpedagogikk og </w:t>
      </w:r>
      <w:proofErr w:type="spellStart"/>
      <w:r w:rsidRPr="00580C0D">
        <w:t>inkluderande</w:t>
      </w:r>
      <w:proofErr w:type="spellEnd"/>
      <w:r w:rsidRPr="00580C0D">
        <w:t xml:space="preserve"> praksis som skal bidra til at </w:t>
      </w:r>
      <w:proofErr w:type="spellStart"/>
      <w:r w:rsidRPr="00580C0D">
        <w:t>kommunane</w:t>
      </w:r>
      <w:proofErr w:type="spellEnd"/>
      <w:r w:rsidRPr="00580C0D">
        <w:t xml:space="preserve"> og </w:t>
      </w:r>
      <w:proofErr w:type="spellStart"/>
      <w:r w:rsidRPr="00580C0D">
        <w:t>fylkeskommunane</w:t>
      </w:r>
      <w:proofErr w:type="spellEnd"/>
      <w:r w:rsidRPr="00580C0D">
        <w:t xml:space="preserve"> har </w:t>
      </w:r>
      <w:proofErr w:type="spellStart"/>
      <w:r w:rsidRPr="00580C0D">
        <w:t>tilstrekkeleg</w:t>
      </w:r>
      <w:proofErr w:type="spellEnd"/>
      <w:r w:rsidRPr="00580C0D">
        <w:t xml:space="preserve"> kompetanse til å </w:t>
      </w:r>
      <w:proofErr w:type="spellStart"/>
      <w:r w:rsidRPr="00580C0D">
        <w:t>førebygge</w:t>
      </w:r>
      <w:proofErr w:type="spellEnd"/>
      <w:r w:rsidRPr="00580C0D">
        <w:t xml:space="preserve">, fange opp og følge opp alle barn og </w:t>
      </w:r>
      <w:proofErr w:type="spellStart"/>
      <w:r w:rsidRPr="00580C0D">
        <w:t>elevar</w:t>
      </w:r>
      <w:proofErr w:type="spellEnd"/>
      <w:r w:rsidRPr="00580C0D">
        <w:t xml:space="preserve"> – inkludert </w:t>
      </w:r>
      <w:proofErr w:type="spellStart"/>
      <w:r w:rsidRPr="00580C0D">
        <w:t>elevar</w:t>
      </w:r>
      <w:proofErr w:type="spellEnd"/>
      <w:r w:rsidRPr="00580C0D">
        <w:t xml:space="preserve"> med behov for </w:t>
      </w:r>
      <w:proofErr w:type="spellStart"/>
      <w:r w:rsidRPr="00580C0D">
        <w:t>særskild</w:t>
      </w:r>
      <w:proofErr w:type="spellEnd"/>
      <w:r w:rsidRPr="00580C0D">
        <w:t xml:space="preserve"> tilrettelegging – slik at </w:t>
      </w:r>
      <w:proofErr w:type="spellStart"/>
      <w:r w:rsidRPr="00580C0D">
        <w:t>dei</w:t>
      </w:r>
      <w:proofErr w:type="spellEnd"/>
      <w:r w:rsidRPr="00580C0D">
        <w:t xml:space="preserve"> får </w:t>
      </w:r>
      <w:proofErr w:type="spellStart"/>
      <w:r w:rsidRPr="00580C0D">
        <w:t>eit</w:t>
      </w:r>
      <w:proofErr w:type="spellEnd"/>
      <w:r w:rsidRPr="00580C0D">
        <w:t xml:space="preserve"> </w:t>
      </w:r>
      <w:proofErr w:type="spellStart"/>
      <w:r w:rsidRPr="00580C0D">
        <w:t>inkluderande</w:t>
      </w:r>
      <w:proofErr w:type="spellEnd"/>
      <w:r w:rsidRPr="00580C0D">
        <w:t xml:space="preserve"> og tilpassa pedagogisk </w:t>
      </w:r>
      <w:proofErr w:type="spellStart"/>
      <w:r w:rsidRPr="00580C0D">
        <w:t>tilbod</w:t>
      </w:r>
      <w:proofErr w:type="spellEnd"/>
      <w:r w:rsidRPr="00580C0D">
        <w:t xml:space="preserve"> i barnehage og </w:t>
      </w:r>
      <w:proofErr w:type="spellStart"/>
      <w:r w:rsidRPr="00580C0D">
        <w:t>skule</w:t>
      </w:r>
      <w:proofErr w:type="spellEnd"/>
      <w:r w:rsidRPr="00580C0D">
        <w:t xml:space="preserve">. I tillegg har regjeringa sørgd for </w:t>
      </w:r>
      <w:proofErr w:type="spellStart"/>
      <w:r w:rsidRPr="00580C0D">
        <w:t>ein</w:t>
      </w:r>
      <w:proofErr w:type="spellEnd"/>
      <w:r w:rsidRPr="00580C0D">
        <w:t xml:space="preserve"> stor </w:t>
      </w:r>
      <w:proofErr w:type="spellStart"/>
      <w:r w:rsidRPr="00580C0D">
        <w:t>auke</w:t>
      </w:r>
      <w:proofErr w:type="spellEnd"/>
      <w:r w:rsidRPr="00580C0D">
        <w:t xml:space="preserve"> i </w:t>
      </w:r>
      <w:proofErr w:type="spellStart"/>
      <w:r w:rsidRPr="00580C0D">
        <w:t>vidareutdanningsplassar</w:t>
      </w:r>
      <w:proofErr w:type="spellEnd"/>
      <w:r w:rsidRPr="00580C0D">
        <w:t xml:space="preserve"> i spesialpedagogikk for </w:t>
      </w:r>
      <w:proofErr w:type="spellStart"/>
      <w:r w:rsidRPr="00580C0D">
        <w:t>lærarar</w:t>
      </w:r>
      <w:proofErr w:type="spellEnd"/>
      <w:r w:rsidRPr="00580C0D">
        <w:t xml:space="preserve"> i barnehage og </w:t>
      </w:r>
      <w:proofErr w:type="spellStart"/>
      <w:r w:rsidRPr="00580C0D">
        <w:t>skule</w:t>
      </w:r>
      <w:proofErr w:type="spellEnd"/>
      <w:r w:rsidRPr="00580C0D">
        <w:t xml:space="preserve"> </w:t>
      </w:r>
      <w:proofErr w:type="spellStart"/>
      <w:r w:rsidRPr="00580C0D">
        <w:t>dei</w:t>
      </w:r>
      <w:proofErr w:type="spellEnd"/>
      <w:r w:rsidRPr="00580C0D">
        <w:t xml:space="preserve"> siste åra. I år har til dømes 1500 </w:t>
      </w:r>
      <w:proofErr w:type="spellStart"/>
      <w:r w:rsidRPr="00580C0D">
        <w:t>lærarar</w:t>
      </w:r>
      <w:proofErr w:type="spellEnd"/>
      <w:r w:rsidRPr="00580C0D">
        <w:t xml:space="preserve"> fått </w:t>
      </w:r>
      <w:proofErr w:type="spellStart"/>
      <w:r w:rsidRPr="00580C0D">
        <w:t>tilbod</w:t>
      </w:r>
      <w:proofErr w:type="spellEnd"/>
      <w:r w:rsidRPr="00580C0D">
        <w:t xml:space="preserve"> om </w:t>
      </w:r>
      <w:proofErr w:type="spellStart"/>
      <w:r w:rsidRPr="00580C0D">
        <w:t>vidareutdanning</w:t>
      </w:r>
      <w:proofErr w:type="spellEnd"/>
      <w:r w:rsidRPr="00580C0D">
        <w:t xml:space="preserve"> i spesialpedagogikk, som er omkring 500 </w:t>
      </w:r>
      <w:proofErr w:type="spellStart"/>
      <w:r w:rsidRPr="00580C0D">
        <w:t>fleire</w:t>
      </w:r>
      <w:proofErr w:type="spellEnd"/>
      <w:r w:rsidRPr="00580C0D">
        <w:t xml:space="preserve"> enn i fjor. </w:t>
      </w:r>
      <w:proofErr w:type="spellStart"/>
      <w:r w:rsidRPr="00580C0D">
        <w:t>Vidare</w:t>
      </w:r>
      <w:proofErr w:type="spellEnd"/>
      <w:r w:rsidRPr="00580C0D">
        <w:t xml:space="preserve"> skal </w:t>
      </w:r>
      <w:proofErr w:type="spellStart"/>
      <w:r w:rsidRPr="00580C0D">
        <w:t>endringane</w:t>
      </w:r>
      <w:proofErr w:type="spellEnd"/>
      <w:r w:rsidRPr="00580C0D">
        <w:t xml:space="preserve"> i </w:t>
      </w:r>
      <w:proofErr w:type="spellStart"/>
      <w:r w:rsidRPr="00580C0D">
        <w:t>Statped</w:t>
      </w:r>
      <w:proofErr w:type="spellEnd"/>
      <w:r w:rsidRPr="00580C0D">
        <w:t xml:space="preserve"> bidra til </w:t>
      </w:r>
      <w:proofErr w:type="spellStart"/>
      <w:r w:rsidRPr="00580C0D">
        <w:t>meir</w:t>
      </w:r>
      <w:proofErr w:type="spellEnd"/>
      <w:r w:rsidRPr="00580C0D">
        <w:t xml:space="preserve"> likeverdige </w:t>
      </w:r>
      <w:proofErr w:type="spellStart"/>
      <w:r w:rsidRPr="00580C0D">
        <w:t>tenester</w:t>
      </w:r>
      <w:proofErr w:type="spellEnd"/>
      <w:r w:rsidRPr="00580C0D">
        <w:t xml:space="preserve"> </w:t>
      </w:r>
      <w:proofErr w:type="spellStart"/>
      <w:r w:rsidRPr="00580C0D">
        <w:t>frå</w:t>
      </w:r>
      <w:proofErr w:type="spellEnd"/>
      <w:r w:rsidRPr="00580C0D">
        <w:t xml:space="preserve"> </w:t>
      </w:r>
      <w:proofErr w:type="spellStart"/>
      <w:r w:rsidRPr="00580C0D">
        <w:t>Statped</w:t>
      </w:r>
      <w:proofErr w:type="spellEnd"/>
      <w:r w:rsidRPr="00580C0D">
        <w:t xml:space="preserve"> over heile landet for barn og </w:t>
      </w:r>
      <w:proofErr w:type="spellStart"/>
      <w:r w:rsidRPr="00580C0D">
        <w:t>elevar</w:t>
      </w:r>
      <w:proofErr w:type="spellEnd"/>
      <w:r w:rsidRPr="00580C0D">
        <w:t xml:space="preserve"> med varige, </w:t>
      </w:r>
      <w:proofErr w:type="spellStart"/>
      <w:r w:rsidRPr="00580C0D">
        <w:t>omfattande</w:t>
      </w:r>
      <w:proofErr w:type="spellEnd"/>
      <w:r w:rsidRPr="00580C0D">
        <w:t xml:space="preserve"> eller </w:t>
      </w:r>
      <w:proofErr w:type="spellStart"/>
      <w:r w:rsidRPr="00580C0D">
        <w:t>særleg</w:t>
      </w:r>
      <w:proofErr w:type="spellEnd"/>
      <w:r w:rsidRPr="00580C0D">
        <w:t xml:space="preserve"> komplekse behov.</w:t>
      </w:r>
    </w:p>
    <w:p w14:paraId="72780EC8" w14:textId="77777777" w:rsidR="00F7113A" w:rsidRPr="00580C0D" w:rsidRDefault="00142E5B" w:rsidP="00580C0D">
      <w:r w:rsidRPr="00580C0D">
        <w:t xml:space="preserve">Samla sett meiner departementet at </w:t>
      </w:r>
      <w:proofErr w:type="spellStart"/>
      <w:r w:rsidRPr="00580C0D">
        <w:t>desse</w:t>
      </w:r>
      <w:proofErr w:type="spellEnd"/>
      <w:r w:rsidRPr="00580C0D">
        <w:t xml:space="preserve"> tiltaka vil sikre alle </w:t>
      </w:r>
      <w:proofErr w:type="spellStart"/>
      <w:r w:rsidRPr="00580C0D">
        <w:t>skular</w:t>
      </w:r>
      <w:proofErr w:type="spellEnd"/>
      <w:r w:rsidRPr="00580C0D">
        <w:t xml:space="preserve"> tilgang på </w:t>
      </w:r>
      <w:proofErr w:type="spellStart"/>
      <w:r w:rsidRPr="00580C0D">
        <w:t>lærarar</w:t>
      </w:r>
      <w:proofErr w:type="spellEnd"/>
      <w:r w:rsidRPr="00580C0D">
        <w:t xml:space="preserve"> med fordjuping i spesialpedagogikk.</w:t>
      </w:r>
    </w:p>
    <w:p w14:paraId="02DBF46A"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4B3C2D65" w14:textId="77777777" w:rsidR="00F7113A" w:rsidRPr="00580C0D" w:rsidRDefault="00142E5B" w:rsidP="00580C0D">
      <w:pPr>
        <w:pStyle w:val="avsnitt-tittel"/>
      </w:pPr>
      <w:r w:rsidRPr="00580C0D">
        <w:t xml:space="preserve">Rett til spesialundervisning av </w:t>
      </w:r>
      <w:proofErr w:type="spellStart"/>
      <w:r w:rsidRPr="00580C0D">
        <w:t>fagpersonar</w:t>
      </w:r>
      <w:proofErr w:type="spellEnd"/>
    </w:p>
    <w:p w14:paraId="5EA65FF2" w14:textId="77777777" w:rsidR="00F7113A" w:rsidRPr="00580C0D" w:rsidRDefault="00142E5B" w:rsidP="00580C0D">
      <w:pPr>
        <w:pStyle w:val="avsnitt-undertittel"/>
      </w:pPr>
      <w:r w:rsidRPr="00580C0D">
        <w:t>Vedtak nr. 901, 13. juni 2017</w:t>
      </w:r>
    </w:p>
    <w:p w14:paraId="2FBBB91B" w14:textId="77777777" w:rsidR="00F7113A" w:rsidRPr="00580C0D" w:rsidRDefault="00142E5B" w:rsidP="00580C0D">
      <w:pPr>
        <w:pStyle w:val="blokksit"/>
        <w:rPr>
          <w:rStyle w:val="kursiv"/>
        </w:rPr>
      </w:pPr>
      <w:r w:rsidRPr="00580C0D">
        <w:rPr>
          <w:rStyle w:val="kursiv"/>
        </w:rPr>
        <w:t>Stortinget ber regjeringen sikre at alle elever med behov for spesialundervisning får rett til opplæring av fagpersoner med godkjent relevant utdanning.</w:t>
      </w:r>
    </w:p>
    <w:p w14:paraId="4FB913C1"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Dokument 8:132 S (2016–2017) </w:t>
      </w:r>
      <w:r w:rsidRPr="00580C0D">
        <w:rPr>
          <w:rStyle w:val="kursiv"/>
        </w:rPr>
        <w:t>Representantforslag fra stortingsrepresentantene Audun Lysbakken og Karin Andersen om styrket spesialpedagogisk oppfølging i en inkluderende skole,</w:t>
      </w:r>
      <w:r w:rsidRPr="00580C0D">
        <w:t xml:space="preserve"> jf. </w:t>
      </w:r>
      <w:proofErr w:type="spellStart"/>
      <w:r w:rsidRPr="00580C0D">
        <w:t>Innst</w:t>
      </w:r>
      <w:proofErr w:type="spellEnd"/>
      <w:r w:rsidRPr="00580C0D">
        <w:t>. 446 S (2016–2017).</w:t>
      </w:r>
    </w:p>
    <w:p w14:paraId="0A37AFE1" w14:textId="77777777" w:rsidR="00F7113A" w:rsidRPr="00580C0D" w:rsidRDefault="00142E5B" w:rsidP="00580C0D">
      <w:r w:rsidRPr="00580C0D">
        <w:t xml:space="preserve">Departementet viser til svaret i omtalen av oppmodingsvedtak nr. 900, 13. juni 2017, og at forslaget er behandla i arbeidet med ny opplæringslov. I </w:t>
      </w:r>
      <w:proofErr w:type="spellStart"/>
      <w:r w:rsidRPr="00580C0D">
        <w:t>Prop</w:t>
      </w:r>
      <w:proofErr w:type="spellEnd"/>
      <w:r w:rsidRPr="00580C0D">
        <w:t xml:space="preserve">. 57 L (2022–2023), som er </w:t>
      </w:r>
      <w:proofErr w:type="spellStart"/>
      <w:r w:rsidRPr="00580C0D">
        <w:t>vedteken</w:t>
      </w:r>
      <w:proofErr w:type="spellEnd"/>
      <w:r w:rsidRPr="00580C0D">
        <w:t xml:space="preserve"> av Stortinget, er det i punkt 50.1 og 50.5.12 lagt til grunn at oppmodingsvedtaket er </w:t>
      </w:r>
      <w:proofErr w:type="spellStart"/>
      <w:r w:rsidRPr="00580C0D">
        <w:t>følgt</w:t>
      </w:r>
      <w:proofErr w:type="spellEnd"/>
      <w:r w:rsidRPr="00580C0D">
        <w:t xml:space="preserve"> opp.</w:t>
      </w:r>
    </w:p>
    <w:p w14:paraId="1562F946"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11019E31" w14:textId="77777777" w:rsidR="00F7113A" w:rsidRPr="00580C0D" w:rsidRDefault="00142E5B" w:rsidP="00580C0D">
      <w:pPr>
        <w:pStyle w:val="avsnitt-tittel"/>
      </w:pPr>
      <w:r w:rsidRPr="00580C0D">
        <w:t xml:space="preserve">Spesialundervisning og </w:t>
      </w:r>
      <w:proofErr w:type="spellStart"/>
      <w:r w:rsidRPr="00580C0D">
        <w:t>lærarkompetanse</w:t>
      </w:r>
      <w:proofErr w:type="spellEnd"/>
    </w:p>
    <w:p w14:paraId="061E7447" w14:textId="77777777" w:rsidR="00F7113A" w:rsidRPr="00580C0D" w:rsidRDefault="00142E5B" w:rsidP="00580C0D">
      <w:pPr>
        <w:pStyle w:val="avsnitt-undertittel"/>
      </w:pPr>
      <w:r w:rsidRPr="00580C0D">
        <w:t>Vedtak nr. 903, 13. juni 2017</w:t>
      </w:r>
    </w:p>
    <w:p w14:paraId="595F7D4A" w14:textId="77777777" w:rsidR="00F7113A" w:rsidRPr="00580C0D" w:rsidRDefault="00142E5B" w:rsidP="00580C0D">
      <w:pPr>
        <w:pStyle w:val="blokksit"/>
        <w:rPr>
          <w:rStyle w:val="kursiv"/>
        </w:rPr>
      </w:pPr>
      <w:r w:rsidRPr="00580C0D">
        <w:rPr>
          <w:rStyle w:val="kursiv"/>
        </w:rPr>
        <w:t>Stortinget ber regjeringen legge frem en plan for at alle elever med behov for spesialundervisning får opplæring av fagpersoner med pedagogisk eller spesialpedagogisk kompetanse.</w:t>
      </w:r>
    </w:p>
    <w:p w14:paraId="3F56743F"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Dokument 8:132 S (2016–2017) </w:t>
      </w:r>
      <w:r w:rsidRPr="00580C0D">
        <w:rPr>
          <w:rStyle w:val="kursiv"/>
        </w:rPr>
        <w:t>Representantforslag fra stortingsrepresentantene Audun Lysbakken og Karin Andersen om styrket spesialpedagogisk oppfølging i en inkluderende skole,</w:t>
      </w:r>
      <w:r w:rsidRPr="00580C0D">
        <w:t xml:space="preserve"> jf. </w:t>
      </w:r>
      <w:proofErr w:type="spellStart"/>
      <w:r w:rsidRPr="00580C0D">
        <w:t>Innst</w:t>
      </w:r>
      <w:proofErr w:type="spellEnd"/>
      <w:r w:rsidRPr="00580C0D">
        <w:t>. 446 S (2016–2017).</w:t>
      </w:r>
    </w:p>
    <w:p w14:paraId="72B67218" w14:textId="77777777" w:rsidR="00F7113A" w:rsidRPr="00580C0D" w:rsidRDefault="00142E5B" w:rsidP="00580C0D">
      <w:r w:rsidRPr="00580C0D">
        <w:t xml:space="preserve">Departementet viser til svaret i omtalen av oppmodingsvedtak nr. 900, 13. juni 2017, og at forslaget er behandla i arbeidet med ny opplæringslov. </w:t>
      </w:r>
      <w:proofErr w:type="spellStart"/>
      <w:r w:rsidRPr="00580C0D">
        <w:t>Sjølv</w:t>
      </w:r>
      <w:proofErr w:type="spellEnd"/>
      <w:r w:rsidRPr="00580C0D">
        <w:t xml:space="preserve"> om det </w:t>
      </w:r>
      <w:proofErr w:type="spellStart"/>
      <w:r w:rsidRPr="00580C0D">
        <w:t>ikkje</w:t>
      </w:r>
      <w:proofErr w:type="spellEnd"/>
      <w:r w:rsidRPr="00580C0D">
        <w:t xml:space="preserve"> er lagt fram </w:t>
      </w:r>
      <w:proofErr w:type="spellStart"/>
      <w:r w:rsidRPr="00580C0D">
        <w:t>ein</w:t>
      </w:r>
      <w:proofErr w:type="spellEnd"/>
      <w:r w:rsidRPr="00580C0D">
        <w:t xml:space="preserve"> </w:t>
      </w:r>
      <w:proofErr w:type="spellStart"/>
      <w:r w:rsidRPr="00580C0D">
        <w:t>særskild</w:t>
      </w:r>
      <w:proofErr w:type="spellEnd"/>
      <w:r w:rsidRPr="00580C0D">
        <w:t xml:space="preserve"> plan, så </w:t>
      </w:r>
      <w:proofErr w:type="spellStart"/>
      <w:r w:rsidRPr="00580C0D">
        <w:t>gjer</w:t>
      </w:r>
      <w:proofErr w:type="spellEnd"/>
      <w:r w:rsidRPr="00580C0D">
        <w:t xml:space="preserve"> presiseringa i ny opplæringslov og tiltak for å sikre spesialpedagogisk kompetanse at det er lagt til rette for at </w:t>
      </w:r>
      <w:proofErr w:type="spellStart"/>
      <w:r w:rsidRPr="00580C0D">
        <w:t>dei</w:t>
      </w:r>
      <w:proofErr w:type="spellEnd"/>
      <w:r w:rsidRPr="00580C0D">
        <w:t xml:space="preserve"> som får individuelt tilrettelagd opplæring, skal få dette av </w:t>
      </w:r>
      <w:proofErr w:type="spellStart"/>
      <w:r w:rsidRPr="00580C0D">
        <w:t>fagpersonar</w:t>
      </w:r>
      <w:proofErr w:type="spellEnd"/>
      <w:r w:rsidRPr="00580C0D">
        <w:t xml:space="preserve"> med relevant kompetanse. I </w:t>
      </w:r>
      <w:proofErr w:type="spellStart"/>
      <w:r w:rsidRPr="00580C0D">
        <w:t>Prop</w:t>
      </w:r>
      <w:proofErr w:type="spellEnd"/>
      <w:r w:rsidRPr="00580C0D">
        <w:t xml:space="preserve">. 57 L (2022–2023), som er </w:t>
      </w:r>
      <w:proofErr w:type="spellStart"/>
      <w:r w:rsidRPr="00580C0D">
        <w:t>vedteken</w:t>
      </w:r>
      <w:proofErr w:type="spellEnd"/>
      <w:r w:rsidRPr="00580C0D">
        <w:t xml:space="preserve"> av Stortinget, er det i punkt 50.1 og 50.5.12 lagt til grunn at oppmodingsvedtaket er </w:t>
      </w:r>
      <w:proofErr w:type="spellStart"/>
      <w:r w:rsidRPr="00580C0D">
        <w:t>følgt</w:t>
      </w:r>
      <w:proofErr w:type="spellEnd"/>
      <w:r w:rsidRPr="00580C0D">
        <w:t xml:space="preserve"> opp.</w:t>
      </w:r>
    </w:p>
    <w:p w14:paraId="5C44016C"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37F76C12" w14:textId="77777777" w:rsidR="00F7113A" w:rsidRPr="00580C0D" w:rsidRDefault="00142E5B" w:rsidP="00580C0D">
      <w:pPr>
        <w:pStyle w:val="Undertittel"/>
      </w:pPr>
      <w:r w:rsidRPr="00580C0D">
        <w:t xml:space="preserve">Oppmodingsvedtak under forskings- og </w:t>
      </w:r>
      <w:proofErr w:type="spellStart"/>
      <w:r w:rsidRPr="00580C0D">
        <w:t>høgare</w:t>
      </w:r>
      <w:proofErr w:type="spellEnd"/>
      <w:r w:rsidRPr="00580C0D">
        <w:t xml:space="preserve"> utdanningsministeren</w:t>
      </w:r>
    </w:p>
    <w:p w14:paraId="29F9AE3B" w14:textId="77777777" w:rsidR="00F7113A" w:rsidRPr="00580C0D" w:rsidRDefault="00142E5B" w:rsidP="00580C0D">
      <w:pPr>
        <w:pStyle w:val="avsnitt-tittel"/>
      </w:pPr>
      <w:r w:rsidRPr="00580C0D">
        <w:t xml:space="preserve">Medlemskap i studentsamskipnad for </w:t>
      </w:r>
      <w:proofErr w:type="spellStart"/>
      <w:r w:rsidRPr="00580C0D">
        <w:t>fagskular</w:t>
      </w:r>
      <w:proofErr w:type="spellEnd"/>
    </w:p>
    <w:p w14:paraId="6A9DD00B" w14:textId="77777777" w:rsidR="00F7113A" w:rsidRPr="00580C0D" w:rsidRDefault="00142E5B" w:rsidP="00580C0D">
      <w:pPr>
        <w:pStyle w:val="avsnitt-undertittel"/>
      </w:pPr>
      <w:r w:rsidRPr="00580C0D">
        <w:t>Vedtak nr. 642, 2. mai 2017</w:t>
      </w:r>
    </w:p>
    <w:p w14:paraId="43432231" w14:textId="77777777" w:rsidR="00F7113A" w:rsidRPr="00580C0D" w:rsidRDefault="00142E5B" w:rsidP="00580C0D">
      <w:pPr>
        <w:pStyle w:val="blokksit"/>
        <w:rPr>
          <w:rStyle w:val="kursiv"/>
        </w:rPr>
      </w:pPr>
      <w:r w:rsidRPr="00580C0D">
        <w:rPr>
          <w:rStyle w:val="kursiv"/>
        </w:rPr>
        <w:t>Stortinget ber regjeringen i forbindelse med evalueringen av de kvalitetshevende tiltakene vurdere om fagskoler etter bestemte kriterier bør ha plikt til medlemskap i studentsamskipnad.</w:t>
      </w:r>
    </w:p>
    <w:p w14:paraId="018396BC"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9 (2016–2017) </w:t>
      </w:r>
      <w:r w:rsidRPr="00580C0D">
        <w:rPr>
          <w:rStyle w:val="kursiv"/>
        </w:rPr>
        <w:t>Fagfolk for fremtiden – Fagskoleutdanning</w:t>
      </w:r>
      <w:r w:rsidRPr="00580C0D">
        <w:t xml:space="preserve">, jf. </w:t>
      </w:r>
      <w:proofErr w:type="spellStart"/>
      <w:r w:rsidRPr="00580C0D">
        <w:t>Innst</w:t>
      </w:r>
      <w:proofErr w:type="spellEnd"/>
      <w:r w:rsidRPr="00580C0D">
        <w:t>. 254 S (2016–2017).</w:t>
      </w:r>
    </w:p>
    <w:p w14:paraId="303A511C" w14:textId="77777777" w:rsidR="00F7113A" w:rsidRPr="00580C0D" w:rsidRDefault="00142E5B" w:rsidP="00580C0D">
      <w:r w:rsidRPr="00580C0D">
        <w:t xml:space="preserve">Kunnskapsdepartementet vil følge opp vedtaket i samband med oppfølging av evalueringa av innføring og verknad av tiltaka i fagskulemeldinga. </w:t>
      </w:r>
      <w:proofErr w:type="spellStart"/>
      <w:r w:rsidRPr="00580C0D">
        <w:t>Ein</w:t>
      </w:r>
      <w:proofErr w:type="spellEnd"/>
      <w:r w:rsidRPr="00580C0D">
        <w:t xml:space="preserve"> midtvegsrapport er levert til departementet i 2021. Rapporten gir i </w:t>
      </w:r>
      <w:proofErr w:type="spellStart"/>
      <w:r w:rsidRPr="00580C0D">
        <w:t>hovudsak</w:t>
      </w:r>
      <w:proofErr w:type="spellEnd"/>
      <w:r w:rsidRPr="00580C0D">
        <w:t xml:space="preserve"> </w:t>
      </w:r>
      <w:proofErr w:type="spellStart"/>
      <w:r w:rsidRPr="00580C0D">
        <w:t>ein</w:t>
      </w:r>
      <w:proofErr w:type="spellEnd"/>
      <w:r w:rsidRPr="00580C0D">
        <w:t xml:space="preserve"> status for innføringa av tiltaka. </w:t>
      </w:r>
      <w:proofErr w:type="spellStart"/>
      <w:r w:rsidRPr="00580C0D">
        <w:t>Ein</w:t>
      </w:r>
      <w:proofErr w:type="spellEnd"/>
      <w:r w:rsidRPr="00580C0D">
        <w:t xml:space="preserve"> rapport om evaluering av finansieringssystemet for </w:t>
      </w:r>
      <w:proofErr w:type="spellStart"/>
      <w:r w:rsidRPr="00580C0D">
        <w:t>fagskular</w:t>
      </w:r>
      <w:proofErr w:type="spellEnd"/>
      <w:r w:rsidRPr="00580C0D">
        <w:t xml:space="preserve"> er levert departementet i 2022. </w:t>
      </w:r>
      <w:proofErr w:type="spellStart"/>
      <w:r w:rsidRPr="00580C0D">
        <w:t>Ein</w:t>
      </w:r>
      <w:proofErr w:type="spellEnd"/>
      <w:r w:rsidRPr="00580C0D">
        <w:t xml:space="preserve"> </w:t>
      </w:r>
      <w:proofErr w:type="spellStart"/>
      <w:r w:rsidRPr="00580C0D">
        <w:t>endeleg</w:t>
      </w:r>
      <w:proofErr w:type="spellEnd"/>
      <w:r w:rsidRPr="00580C0D">
        <w:t xml:space="preserve"> rapport er levert departementet i 2023 og </w:t>
      </w:r>
      <w:proofErr w:type="spellStart"/>
      <w:r w:rsidRPr="00580C0D">
        <w:t>tek</w:t>
      </w:r>
      <w:proofErr w:type="spellEnd"/>
      <w:r w:rsidRPr="00580C0D">
        <w:t xml:space="preserve"> omsyn til evalueringa av finansieringssystemet for </w:t>
      </w:r>
      <w:proofErr w:type="spellStart"/>
      <w:r w:rsidRPr="00580C0D">
        <w:t>fagskulane</w:t>
      </w:r>
      <w:proofErr w:type="spellEnd"/>
      <w:r w:rsidRPr="00580C0D">
        <w:t xml:space="preserve"> og funna i midtvegsevalueringa.</w:t>
      </w:r>
    </w:p>
    <w:p w14:paraId="48467C75"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i samband med meldinga om </w:t>
      </w:r>
      <w:proofErr w:type="spellStart"/>
      <w:r w:rsidRPr="00580C0D">
        <w:t>høgare</w:t>
      </w:r>
      <w:proofErr w:type="spellEnd"/>
      <w:r w:rsidRPr="00580C0D">
        <w:t xml:space="preserve"> </w:t>
      </w:r>
      <w:proofErr w:type="spellStart"/>
      <w:r w:rsidRPr="00580C0D">
        <w:t>yrkesfagleg</w:t>
      </w:r>
      <w:proofErr w:type="spellEnd"/>
      <w:r w:rsidRPr="00580C0D">
        <w:t xml:space="preserve"> utdanning.</w:t>
      </w:r>
    </w:p>
    <w:p w14:paraId="53217F50" w14:textId="77777777" w:rsidR="00F7113A" w:rsidRPr="00580C0D" w:rsidRDefault="00142E5B" w:rsidP="00580C0D">
      <w:pPr>
        <w:pStyle w:val="avsnitt-tittel"/>
      </w:pPr>
      <w:r w:rsidRPr="00580C0D">
        <w:t>Evaluering av fagskulereforma</w:t>
      </w:r>
    </w:p>
    <w:p w14:paraId="471E0A50" w14:textId="77777777" w:rsidR="00F7113A" w:rsidRPr="00580C0D" w:rsidRDefault="00142E5B" w:rsidP="00580C0D">
      <w:pPr>
        <w:pStyle w:val="avsnitt-undertittel"/>
      </w:pPr>
      <w:r w:rsidRPr="00580C0D">
        <w:t>Vedtak nr. 643, 2. mai 2017</w:t>
      </w:r>
    </w:p>
    <w:p w14:paraId="667E6844" w14:textId="77777777" w:rsidR="00F7113A" w:rsidRPr="00580C0D" w:rsidRDefault="00142E5B" w:rsidP="00580C0D">
      <w:pPr>
        <w:pStyle w:val="blokksit"/>
        <w:rPr>
          <w:rStyle w:val="kursiv"/>
        </w:rPr>
      </w:pPr>
      <w:r w:rsidRPr="00580C0D">
        <w:rPr>
          <w:rStyle w:val="kursiv"/>
        </w:rPr>
        <w:t>Stortinget ber regjeringen foreta en midtveisevaluering av fagskolereformen etter 3 år og en full evaluering etter 5 år.</w:t>
      </w:r>
    </w:p>
    <w:p w14:paraId="1A72E44E"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9 (2016–2017) </w:t>
      </w:r>
      <w:r w:rsidRPr="00580C0D">
        <w:rPr>
          <w:rStyle w:val="kursiv"/>
        </w:rPr>
        <w:t>Fagfolk for fremtiden – Fagskoleutdanning</w:t>
      </w:r>
      <w:r w:rsidRPr="00580C0D">
        <w:t xml:space="preserve">, jf. </w:t>
      </w:r>
      <w:proofErr w:type="spellStart"/>
      <w:r w:rsidRPr="00580C0D">
        <w:t>Innst</w:t>
      </w:r>
      <w:proofErr w:type="spellEnd"/>
      <w:r w:rsidRPr="00580C0D">
        <w:t>. 254 S (2016–2017).</w:t>
      </w:r>
    </w:p>
    <w:p w14:paraId="44AD3185" w14:textId="77777777" w:rsidR="00F7113A" w:rsidRPr="00580C0D" w:rsidRDefault="00142E5B" w:rsidP="00580C0D">
      <w:r w:rsidRPr="00580C0D">
        <w:t xml:space="preserve">I 2020 sette Kunnskapsdepartementet i gang ei evaluering av innføringa og verknadene av tiltaka i fagskulemeldinga. Evalueringa </w:t>
      </w:r>
      <w:proofErr w:type="spellStart"/>
      <w:r w:rsidRPr="00580C0D">
        <w:t>inneheld</w:t>
      </w:r>
      <w:proofErr w:type="spellEnd"/>
      <w:r w:rsidRPr="00580C0D">
        <w:t xml:space="preserve"> tre </w:t>
      </w:r>
      <w:proofErr w:type="spellStart"/>
      <w:r w:rsidRPr="00580C0D">
        <w:t>rapportar</w:t>
      </w:r>
      <w:proofErr w:type="spellEnd"/>
      <w:r w:rsidRPr="00580C0D">
        <w:t xml:space="preserve">, som er leverte til departementet i </w:t>
      </w:r>
      <w:proofErr w:type="spellStart"/>
      <w:r w:rsidRPr="00580C0D">
        <w:t>høvesvis</w:t>
      </w:r>
      <w:proofErr w:type="spellEnd"/>
      <w:r w:rsidRPr="00580C0D">
        <w:t xml:space="preserve"> 2021, 2022 og 2023. Midtvegsrapporten </w:t>
      </w:r>
      <w:proofErr w:type="spellStart"/>
      <w:r w:rsidRPr="00580C0D">
        <w:t>frå</w:t>
      </w:r>
      <w:proofErr w:type="spellEnd"/>
      <w:r w:rsidRPr="00580C0D">
        <w:t xml:space="preserve"> 2021 gir i </w:t>
      </w:r>
      <w:proofErr w:type="spellStart"/>
      <w:r w:rsidRPr="00580C0D">
        <w:t>hovudsak</w:t>
      </w:r>
      <w:proofErr w:type="spellEnd"/>
      <w:r w:rsidRPr="00580C0D">
        <w:t xml:space="preserve"> </w:t>
      </w:r>
      <w:proofErr w:type="spellStart"/>
      <w:r w:rsidRPr="00580C0D">
        <w:t>ein</w:t>
      </w:r>
      <w:proofErr w:type="spellEnd"/>
      <w:r w:rsidRPr="00580C0D">
        <w:t xml:space="preserve"> status for innføring av tiltaka. Rapporten </w:t>
      </w:r>
      <w:proofErr w:type="spellStart"/>
      <w:r w:rsidRPr="00580C0D">
        <w:t>frå</w:t>
      </w:r>
      <w:proofErr w:type="spellEnd"/>
      <w:r w:rsidRPr="00580C0D">
        <w:t xml:space="preserve"> 2022 gjeld finansieringssystemet for </w:t>
      </w:r>
      <w:proofErr w:type="spellStart"/>
      <w:r w:rsidRPr="00580C0D">
        <w:t>fagskular</w:t>
      </w:r>
      <w:proofErr w:type="spellEnd"/>
      <w:r w:rsidRPr="00580C0D">
        <w:t xml:space="preserve">. Sluttrapporten </w:t>
      </w:r>
      <w:proofErr w:type="spellStart"/>
      <w:r w:rsidRPr="00580C0D">
        <w:t>frå</w:t>
      </w:r>
      <w:proofErr w:type="spellEnd"/>
      <w:r w:rsidRPr="00580C0D">
        <w:t xml:space="preserve"> evalueringa </w:t>
      </w:r>
      <w:proofErr w:type="spellStart"/>
      <w:r w:rsidRPr="00580C0D">
        <w:t>frå</w:t>
      </w:r>
      <w:proofErr w:type="spellEnd"/>
      <w:r w:rsidRPr="00580C0D">
        <w:t xml:space="preserve"> 2023 tek omsyn til evalueringa av finansieringssystemet for </w:t>
      </w:r>
      <w:proofErr w:type="spellStart"/>
      <w:r w:rsidRPr="00580C0D">
        <w:t>fagskulane</w:t>
      </w:r>
      <w:proofErr w:type="spellEnd"/>
      <w:r w:rsidRPr="00580C0D">
        <w:t xml:space="preserve"> og funna i midtvegsevalueringa. Departementet vil følge opp </w:t>
      </w:r>
      <w:proofErr w:type="spellStart"/>
      <w:r w:rsidRPr="00580C0D">
        <w:t>rapportane</w:t>
      </w:r>
      <w:proofErr w:type="spellEnd"/>
      <w:r w:rsidRPr="00580C0D">
        <w:t xml:space="preserve"> i arbeidet med meldinga til Stortinget om </w:t>
      </w:r>
      <w:proofErr w:type="spellStart"/>
      <w:r w:rsidRPr="00580C0D">
        <w:t>høgare</w:t>
      </w:r>
      <w:proofErr w:type="spellEnd"/>
      <w:r w:rsidRPr="00580C0D">
        <w:t xml:space="preserve"> </w:t>
      </w:r>
      <w:proofErr w:type="spellStart"/>
      <w:r w:rsidRPr="00580C0D">
        <w:t>yrkesfagleg</w:t>
      </w:r>
      <w:proofErr w:type="spellEnd"/>
      <w:r w:rsidRPr="00580C0D">
        <w:t xml:space="preserve"> utdanning.</w:t>
      </w:r>
    </w:p>
    <w:p w14:paraId="43518319"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vedtaket med dette er </w:t>
      </w:r>
      <w:proofErr w:type="spellStart"/>
      <w:r w:rsidRPr="00580C0D">
        <w:t>følgt</w:t>
      </w:r>
      <w:proofErr w:type="spellEnd"/>
      <w:r w:rsidRPr="00580C0D">
        <w:t xml:space="preserve"> opp.</w:t>
      </w:r>
    </w:p>
    <w:p w14:paraId="291F305F" w14:textId="77777777" w:rsidR="00F7113A" w:rsidRPr="00580C0D" w:rsidRDefault="00142E5B" w:rsidP="00580C0D">
      <w:pPr>
        <w:pStyle w:val="Overskrift2"/>
      </w:pPr>
      <w:r w:rsidRPr="00580C0D">
        <w:t>Stortingssesjon 2015–2016</w:t>
      </w:r>
    </w:p>
    <w:p w14:paraId="2C8F81A2" w14:textId="77777777" w:rsidR="00F7113A" w:rsidRPr="00580C0D" w:rsidRDefault="00142E5B" w:rsidP="00580C0D">
      <w:pPr>
        <w:pStyle w:val="Undertittel"/>
      </w:pPr>
      <w:r w:rsidRPr="00580C0D">
        <w:t>Oppmodingsvedtak under kunnskapsministeren</w:t>
      </w:r>
    </w:p>
    <w:p w14:paraId="186CE484" w14:textId="77777777" w:rsidR="00F7113A" w:rsidRPr="00580C0D" w:rsidRDefault="00142E5B" w:rsidP="00580C0D">
      <w:pPr>
        <w:pStyle w:val="avsnitt-tittel"/>
      </w:pPr>
      <w:r w:rsidRPr="00580C0D">
        <w:t>Krav om norsk og samisk språk i barnehagesektoren</w:t>
      </w:r>
    </w:p>
    <w:p w14:paraId="24876C6E" w14:textId="77777777" w:rsidR="00F7113A" w:rsidRPr="00580C0D" w:rsidRDefault="00142E5B" w:rsidP="00580C0D">
      <w:pPr>
        <w:pStyle w:val="avsnitt-undertittel"/>
      </w:pPr>
      <w:r w:rsidRPr="00580C0D">
        <w:t>Vedtak nr. 796, 7. juni 2016</w:t>
      </w:r>
    </w:p>
    <w:p w14:paraId="7A576E95" w14:textId="77777777" w:rsidR="00F7113A" w:rsidRPr="00580C0D" w:rsidRDefault="00142E5B" w:rsidP="00580C0D">
      <w:pPr>
        <w:pStyle w:val="blokksit"/>
        <w:rPr>
          <w:rStyle w:val="kursiv"/>
        </w:rPr>
      </w:pPr>
      <w:r w:rsidRPr="00580C0D">
        <w:rPr>
          <w:rStyle w:val="kursiv"/>
        </w:rPr>
        <w:t>Stortinget ber regjeringen utarbeide forslag til endringer i barnehageloven som sikrer at ansatte i offentlige og private barnehager behersker norsk språk, og at ansatte i samiske barnehager behersker samisk språk.</w:t>
      </w:r>
    </w:p>
    <w:p w14:paraId="073A33EE" w14:textId="77777777" w:rsidR="00F7113A" w:rsidRPr="00580C0D" w:rsidRDefault="00142E5B" w:rsidP="00580C0D">
      <w:r w:rsidRPr="00580C0D">
        <w:t xml:space="preserve">Oppmodingsvedtaket blei gjort i samband med </w:t>
      </w:r>
      <w:proofErr w:type="spellStart"/>
      <w:r w:rsidRPr="00580C0D">
        <w:t>behandlinga</w:t>
      </w:r>
      <w:proofErr w:type="spellEnd"/>
      <w:r w:rsidRPr="00580C0D">
        <w:t xml:space="preserve"> av Meld. St. 19 (2015–2016) </w:t>
      </w:r>
      <w:r w:rsidRPr="00580C0D">
        <w:rPr>
          <w:rStyle w:val="kursiv"/>
        </w:rPr>
        <w:t>Tid for lek og læring. Bedre innhold i barnehagen</w:t>
      </w:r>
      <w:r w:rsidRPr="00580C0D">
        <w:t xml:space="preserve">, jf. </w:t>
      </w:r>
      <w:proofErr w:type="spellStart"/>
      <w:r w:rsidRPr="00580C0D">
        <w:t>Innst</w:t>
      </w:r>
      <w:proofErr w:type="spellEnd"/>
      <w:r w:rsidRPr="00580C0D">
        <w:t>. 348 S (2015–2016).</w:t>
      </w:r>
    </w:p>
    <w:p w14:paraId="5EE6F738" w14:textId="77777777" w:rsidR="00F7113A" w:rsidRPr="00580C0D" w:rsidRDefault="00142E5B" w:rsidP="00580C0D">
      <w:r w:rsidRPr="00580C0D">
        <w:t xml:space="preserve">Departementet viser til omtale i </w:t>
      </w:r>
      <w:proofErr w:type="spellStart"/>
      <w:r w:rsidRPr="00580C0D">
        <w:t>Prop</w:t>
      </w:r>
      <w:proofErr w:type="spellEnd"/>
      <w:r w:rsidRPr="00580C0D">
        <w:t xml:space="preserve">. 1 S (2018–2019) om den delen av vedtaket som gjeld norsk språk, og at denne delen er </w:t>
      </w:r>
      <w:proofErr w:type="spellStart"/>
      <w:r w:rsidRPr="00580C0D">
        <w:t>følgd</w:t>
      </w:r>
      <w:proofErr w:type="spellEnd"/>
      <w:r w:rsidRPr="00580C0D">
        <w:t xml:space="preserve"> opp gjennom ei lovendring som tok til å gjelde 1. august 2018, jf. barnehagelova § 27.</w:t>
      </w:r>
    </w:p>
    <w:p w14:paraId="5DA6FD4D" w14:textId="77777777" w:rsidR="00F7113A" w:rsidRPr="00580C0D" w:rsidRDefault="00142E5B" w:rsidP="00580C0D">
      <w:r w:rsidRPr="00580C0D">
        <w:t xml:space="preserve">Når det </w:t>
      </w:r>
      <w:proofErr w:type="spellStart"/>
      <w:r w:rsidRPr="00580C0D">
        <w:t>gjeld</w:t>
      </w:r>
      <w:proofErr w:type="spellEnd"/>
      <w:r w:rsidRPr="00580C0D">
        <w:t xml:space="preserve"> den delen av vedtaket som gjeld samisk språk, heng dette </w:t>
      </w:r>
      <w:proofErr w:type="spellStart"/>
      <w:r w:rsidRPr="00580C0D">
        <w:t>saman</w:t>
      </w:r>
      <w:proofErr w:type="spellEnd"/>
      <w:r w:rsidRPr="00580C0D">
        <w:t xml:space="preserve"> med oppfølginga av NOU 2016: 18 </w:t>
      </w:r>
      <w:r w:rsidRPr="00580C0D">
        <w:rPr>
          <w:rStyle w:val="kursiv"/>
        </w:rPr>
        <w:t xml:space="preserve">Hjertespråket. Forslag til lovverk, tiltak og </w:t>
      </w:r>
      <w:proofErr w:type="spellStart"/>
      <w:r w:rsidRPr="00580C0D">
        <w:rPr>
          <w:rStyle w:val="kursiv"/>
        </w:rPr>
        <w:t>ordningar</w:t>
      </w:r>
      <w:proofErr w:type="spellEnd"/>
      <w:r w:rsidRPr="00580C0D">
        <w:rPr>
          <w:rStyle w:val="kursiv"/>
        </w:rPr>
        <w:t xml:space="preserve"> for samiske språk</w:t>
      </w:r>
      <w:r w:rsidRPr="00580C0D">
        <w:t xml:space="preserve">. Som </w:t>
      </w:r>
      <w:proofErr w:type="spellStart"/>
      <w:r w:rsidRPr="00580C0D">
        <w:t>ein</w:t>
      </w:r>
      <w:proofErr w:type="spellEnd"/>
      <w:r w:rsidRPr="00580C0D">
        <w:t xml:space="preserve"> del av oppfølginga av NOU-en har Kommunal- og </w:t>
      </w:r>
      <w:proofErr w:type="spellStart"/>
      <w:r w:rsidRPr="00580C0D">
        <w:t>distriktsdepartementet</w:t>
      </w:r>
      <w:proofErr w:type="spellEnd"/>
      <w:r w:rsidRPr="00580C0D">
        <w:t xml:space="preserve"> våren 2023 </w:t>
      </w:r>
      <w:proofErr w:type="spellStart"/>
      <w:r w:rsidRPr="00580C0D">
        <w:t>fremja</w:t>
      </w:r>
      <w:proofErr w:type="spellEnd"/>
      <w:r w:rsidRPr="00580C0D">
        <w:t xml:space="preserve"> forslag om </w:t>
      </w:r>
      <w:proofErr w:type="spellStart"/>
      <w:r w:rsidRPr="00580C0D">
        <w:t>endringar</w:t>
      </w:r>
      <w:proofErr w:type="spellEnd"/>
      <w:r w:rsidRPr="00580C0D">
        <w:t xml:space="preserve"> i </w:t>
      </w:r>
      <w:proofErr w:type="spellStart"/>
      <w:r w:rsidRPr="00580C0D">
        <w:t>språkreglane</w:t>
      </w:r>
      <w:proofErr w:type="spellEnd"/>
      <w:r w:rsidRPr="00580C0D">
        <w:t xml:space="preserve"> i samelova, jf. </w:t>
      </w:r>
      <w:proofErr w:type="spellStart"/>
      <w:r w:rsidRPr="00580C0D">
        <w:t>Prop</w:t>
      </w:r>
      <w:proofErr w:type="spellEnd"/>
      <w:r w:rsidRPr="00580C0D">
        <w:t xml:space="preserve">. 58 L (2022–2023). Sametinget blei konsultert om forslaget. </w:t>
      </w:r>
      <w:proofErr w:type="spellStart"/>
      <w:r w:rsidRPr="00580C0D">
        <w:t>Lovendringane</w:t>
      </w:r>
      <w:proofErr w:type="spellEnd"/>
      <w:r w:rsidRPr="00580C0D">
        <w:t xml:space="preserve"> blei </w:t>
      </w:r>
      <w:proofErr w:type="spellStart"/>
      <w:r w:rsidRPr="00580C0D">
        <w:t>vedtekne</w:t>
      </w:r>
      <w:proofErr w:type="spellEnd"/>
      <w:r w:rsidRPr="00580C0D">
        <w:t xml:space="preserve"> av Stortinget 30. mai 2023, jf. </w:t>
      </w:r>
      <w:proofErr w:type="spellStart"/>
      <w:r w:rsidRPr="00580C0D">
        <w:t>Innst</w:t>
      </w:r>
      <w:proofErr w:type="spellEnd"/>
      <w:r w:rsidRPr="00580C0D">
        <w:t>. 441 L (2022–2023).</w:t>
      </w:r>
    </w:p>
    <w:p w14:paraId="6A506AA2" w14:textId="77777777" w:rsidR="00F7113A" w:rsidRPr="00580C0D" w:rsidRDefault="00142E5B" w:rsidP="00580C0D">
      <w:r w:rsidRPr="00580C0D">
        <w:t xml:space="preserve">Regjeringa la våren 2023 fram Meld. St. 13 (2022–2023) </w:t>
      </w:r>
      <w:r w:rsidRPr="00580C0D">
        <w:rPr>
          <w:rStyle w:val="kursiv"/>
        </w:rPr>
        <w:t>Samisk språk, kultur og samfunnsliv – Kompetanse og rekruttering i barnehage, grunnopplæring og høyere utdanning</w:t>
      </w:r>
      <w:r w:rsidRPr="00580C0D">
        <w:t xml:space="preserve">. Stortinget har behandla meldinga, jf. </w:t>
      </w:r>
      <w:proofErr w:type="spellStart"/>
      <w:r w:rsidRPr="00580C0D">
        <w:t>Innst</w:t>
      </w:r>
      <w:proofErr w:type="spellEnd"/>
      <w:r w:rsidRPr="00580C0D">
        <w:t xml:space="preserve">. 473 S (2022–2023). Meldinga har </w:t>
      </w:r>
      <w:proofErr w:type="spellStart"/>
      <w:r w:rsidRPr="00580C0D">
        <w:t>følgande</w:t>
      </w:r>
      <w:proofErr w:type="spellEnd"/>
      <w:r w:rsidRPr="00580C0D">
        <w:t xml:space="preserve"> omtale som er relevant for oppmodingsvedtaket:</w:t>
      </w:r>
    </w:p>
    <w:p w14:paraId="2A17A5C4" w14:textId="77777777" w:rsidR="00F7113A" w:rsidRPr="00580C0D" w:rsidRDefault="00142E5B" w:rsidP="00580C0D">
      <w:pPr>
        <w:pStyle w:val="blokksit"/>
      </w:pPr>
      <w:r w:rsidRPr="00580C0D">
        <w:t>Barnehageloven sier tydelig at det er kommunen, som barnehagemyndighet, som har ansvar for at samiske barn i og utenfor forvaltningsområdet for samisk språk får et samisk barnehagetilbud. Det er behov for tydeligere informasjon fra barnehagemyndigheten om samiske barnehagetilbud og for bedre markedsføring av eksisterende tilbud. I lys av barnehagens betydning som språkarena og som arena for rekruttering av flere samiske elever i grunnopplæringen, har barnehagemyndigheten et særlig ansvar for å styrke det samiske barnehagetilbudet.</w:t>
      </w:r>
    </w:p>
    <w:p w14:paraId="683F0CAB" w14:textId="77777777" w:rsidR="00F7113A" w:rsidRPr="00580C0D" w:rsidRDefault="00142E5B" w:rsidP="00580C0D">
      <w:pPr>
        <w:pStyle w:val="blokksit"/>
      </w:pPr>
      <w:r w:rsidRPr="00580C0D">
        <w:t>Kommunen bør jobbe systematisk med å kartlegge behovet for samiske barnehageplasser og for samiskspråklig pedagogisk kompetanse i barnehagen.</w:t>
      </w:r>
    </w:p>
    <w:p w14:paraId="55D5EC5D" w14:textId="77777777" w:rsidR="00F7113A" w:rsidRPr="00580C0D" w:rsidRDefault="00142E5B" w:rsidP="00580C0D">
      <w:pPr>
        <w:pStyle w:val="blokksit"/>
      </w:pPr>
      <w:r w:rsidRPr="00580C0D">
        <w:t>Regjeringen vil vurdere om det bør gjøres endringer i barnehagelovens regler om samiske barnehagetilbud, og se dette i sammenheng med øvrige virkemidler for å løse utfordringene på det samiske barnehageområdet.</w:t>
      </w:r>
    </w:p>
    <w:p w14:paraId="0AD98960" w14:textId="77777777" w:rsidR="00F7113A" w:rsidRPr="00580C0D" w:rsidRDefault="00142E5B" w:rsidP="00580C0D">
      <w:pPr>
        <w:pStyle w:val="blokksit"/>
      </w:pPr>
      <w:r w:rsidRPr="00580C0D">
        <w:t xml:space="preserve">For å møte den økende etterspørselen etter samiske barnehagetilbud bør kommunen jobbe systematisk med å utvide tilbudet. Der det er vanskelig å etablere et samiskspråklig tilbud på heltid, kan alternativet være deltidstilbud. Kommunen bør også arbeide aktivt for å rekruttere personale med samiskspråklig kompetanse. Prioritering av søkere med samisk språk der øvrige kompetansekrav foreligger, økt lønn, permisjon med lønn for å ta kurs og utdanning i samisk, er eksempler på målrettede tiltak som har hatt en positiv effekt. Et annet tiltak som har hatt god effekt, er å ansette </w:t>
      </w:r>
      <w:proofErr w:type="spellStart"/>
      <w:r w:rsidRPr="00580C0D">
        <w:t>språkarbeidere</w:t>
      </w:r>
      <w:proofErr w:type="spellEnd"/>
      <w:r w:rsidRPr="00580C0D">
        <w:t xml:space="preserve"> som ikke har formell utdanning, og som ikke er en del av den pedagogiske bemanningen. Dette bidrar til å styrke bruken av samisk språk i barnehagen.</w:t>
      </w:r>
    </w:p>
    <w:p w14:paraId="5677D654"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vedtaket overfor Stortinget på </w:t>
      </w:r>
      <w:proofErr w:type="spellStart"/>
      <w:r w:rsidRPr="00580C0D">
        <w:t>ein</w:t>
      </w:r>
      <w:proofErr w:type="spellEnd"/>
      <w:r w:rsidRPr="00580C0D">
        <w:t xml:space="preserve"> eigna måte.</w:t>
      </w:r>
    </w:p>
    <w:p w14:paraId="449981DD" w14:textId="77777777" w:rsidR="00F7113A" w:rsidRPr="00580C0D" w:rsidRDefault="00142E5B" w:rsidP="00580C0D">
      <w:pPr>
        <w:pStyle w:val="Overskrift1"/>
      </w:pPr>
      <w:r w:rsidRPr="00580C0D">
        <w:t>Landbruks- og matdepartementet</w:t>
      </w:r>
    </w:p>
    <w:p w14:paraId="5017D6C6" w14:textId="77777777" w:rsidR="00F7113A" w:rsidRPr="00580C0D" w:rsidRDefault="00142E5B" w:rsidP="00580C0D">
      <w:r w:rsidRPr="00580C0D">
        <w:t xml:space="preserve">Tabell 3.1 viser </w:t>
      </w:r>
      <w:proofErr w:type="gramStart"/>
      <w:r w:rsidRPr="00580C0D">
        <w:t>ei oversikt</w:t>
      </w:r>
      <w:proofErr w:type="gramEnd"/>
      <w:r w:rsidRPr="00580C0D">
        <w:t xml:space="preserve"> over oppfølginga av oppmodings- og utgreiingsvedtak under Landbruks- og matdepartementet.</w:t>
      </w:r>
    </w:p>
    <w:p w14:paraId="3D973B74" w14:textId="3DBD3867" w:rsidR="00F7113A" w:rsidRDefault="00142E5B" w:rsidP="00580C0D">
      <w:r w:rsidRPr="00580C0D">
        <w:t xml:space="preserve">I kolonne 4 i tabellen </w:t>
      </w:r>
      <w:proofErr w:type="spellStart"/>
      <w:r w:rsidRPr="00580C0D">
        <w:t>nedanfor</w:t>
      </w:r>
      <w:proofErr w:type="spellEnd"/>
      <w:r w:rsidRPr="00580C0D">
        <w:t xml:space="preserve"> går det fram om departementet </w:t>
      </w:r>
      <w:proofErr w:type="spellStart"/>
      <w:r w:rsidRPr="00580C0D">
        <w:t>legg</w:t>
      </w:r>
      <w:proofErr w:type="spellEnd"/>
      <w:r w:rsidRPr="00580C0D">
        <w:t xml:space="preserve"> opp til at rapporteringa på oppmodingsvedtaket </w:t>
      </w:r>
      <w:proofErr w:type="spellStart"/>
      <w:r w:rsidRPr="00580C0D">
        <w:t>no</w:t>
      </w:r>
      <w:proofErr w:type="spellEnd"/>
      <w:r w:rsidRPr="00580C0D">
        <w:t xml:space="preserve"> blir avslutta, eller om departementet òg vil rapportere på vedtaket i budsjettproposisjonen for neste år.</w:t>
      </w:r>
    </w:p>
    <w:p w14:paraId="1F2994F9" w14:textId="1944C7DC" w:rsidR="00BD6CF4" w:rsidRPr="00580C0D" w:rsidRDefault="00BD6CF4" w:rsidP="00BD6CF4">
      <w:pPr>
        <w:pStyle w:val="tabell-tittel"/>
      </w:pPr>
      <w:r w:rsidRPr="00580C0D">
        <w:t>Oversikt over oppmodings- og utgreiingsvedtak, ordna etter sesjon og nummer</w:t>
      </w:r>
    </w:p>
    <w:p w14:paraId="6DD09C97" w14:textId="77777777" w:rsidR="00F7113A" w:rsidRPr="00580C0D" w:rsidRDefault="00142E5B" w:rsidP="00580C0D">
      <w:pPr>
        <w:pStyle w:val="Tabellnavn"/>
      </w:pPr>
      <w:r w:rsidRPr="00580C0D">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233"/>
        <w:gridCol w:w="1187"/>
        <w:gridCol w:w="5560"/>
        <w:gridCol w:w="1560"/>
      </w:tblGrid>
      <w:tr w:rsidR="00F7113A" w:rsidRPr="00580C0D" w14:paraId="3CFD54F1" w14:textId="77777777" w:rsidTr="00BD6CF4">
        <w:trPr>
          <w:trHeight w:val="600"/>
        </w:trPr>
        <w:tc>
          <w:tcPr>
            <w:tcW w:w="12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7F4363" w14:textId="77777777" w:rsidR="00F7113A" w:rsidRPr="00580C0D" w:rsidRDefault="00142E5B" w:rsidP="00BD6CF4">
            <w:r w:rsidRPr="00580C0D">
              <w:t>Sesjon</w:t>
            </w:r>
          </w:p>
        </w:tc>
        <w:tc>
          <w:tcPr>
            <w:tcW w:w="11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490F6D" w14:textId="77777777" w:rsidR="00F7113A" w:rsidRPr="00580C0D" w:rsidRDefault="00142E5B" w:rsidP="00BD6CF4">
            <w:pPr>
              <w:jc w:val="center"/>
            </w:pPr>
            <w:r w:rsidRPr="00580C0D">
              <w:t>Vedtak nr.</w:t>
            </w:r>
          </w:p>
        </w:tc>
        <w:tc>
          <w:tcPr>
            <w:tcW w:w="5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E16FA2" w14:textId="77777777" w:rsidR="00F7113A" w:rsidRPr="00580C0D" w:rsidRDefault="00142E5B" w:rsidP="00BD6CF4">
            <w:r w:rsidRPr="00580C0D">
              <w:t>Stikkord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848C0C" w14:textId="77777777" w:rsidR="00F7113A" w:rsidRPr="00580C0D" w:rsidRDefault="00142E5B" w:rsidP="00BD6CF4">
            <w:pPr>
              <w:jc w:val="right"/>
            </w:pPr>
            <w:r w:rsidRPr="00580C0D">
              <w:t>Rapportering blir avslutta (Ja/Nei)</w:t>
            </w:r>
          </w:p>
        </w:tc>
      </w:tr>
      <w:tr w:rsidR="00F7113A" w:rsidRPr="00580C0D" w14:paraId="200F16BC" w14:textId="77777777" w:rsidTr="00BD6CF4">
        <w:trPr>
          <w:trHeight w:val="380"/>
        </w:trPr>
        <w:tc>
          <w:tcPr>
            <w:tcW w:w="1233" w:type="dxa"/>
            <w:tcBorders>
              <w:top w:val="single" w:sz="4" w:space="0" w:color="000000"/>
              <w:left w:val="nil"/>
              <w:bottom w:val="nil"/>
              <w:right w:val="nil"/>
            </w:tcBorders>
            <w:tcMar>
              <w:top w:w="128" w:type="dxa"/>
              <w:left w:w="43" w:type="dxa"/>
              <w:bottom w:w="43" w:type="dxa"/>
              <w:right w:w="43" w:type="dxa"/>
            </w:tcMar>
          </w:tcPr>
          <w:p w14:paraId="5DB07E4F" w14:textId="77777777" w:rsidR="00F7113A" w:rsidRPr="00580C0D" w:rsidRDefault="00142E5B" w:rsidP="00BD6CF4">
            <w:r w:rsidRPr="00580C0D">
              <w:t>2022–2023</w:t>
            </w:r>
          </w:p>
        </w:tc>
        <w:tc>
          <w:tcPr>
            <w:tcW w:w="1187" w:type="dxa"/>
            <w:tcBorders>
              <w:top w:val="single" w:sz="4" w:space="0" w:color="000000"/>
              <w:left w:val="nil"/>
              <w:bottom w:val="nil"/>
              <w:right w:val="nil"/>
            </w:tcBorders>
            <w:tcMar>
              <w:top w:w="128" w:type="dxa"/>
              <w:left w:w="43" w:type="dxa"/>
              <w:bottom w:w="43" w:type="dxa"/>
              <w:right w:w="43" w:type="dxa"/>
            </w:tcMar>
          </w:tcPr>
          <w:p w14:paraId="56EA97F5" w14:textId="77777777" w:rsidR="00F7113A" w:rsidRPr="00580C0D" w:rsidRDefault="00142E5B" w:rsidP="00BD6CF4">
            <w:pPr>
              <w:ind w:right="57"/>
              <w:jc w:val="right"/>
            </w:pPr>
            <w:r w:rsidRPr="00580C0D">
              <w:t>928</w:t>
            </w:r>
          </w:p>
        </w:tc>
        <w:tc>
          <w:tcPr>
            <w:tcW w:w="5560" w:type="dxa"/>
            <w:tcBorders>
              <w:top w:val="single" w:sz="4" w:space="0" w:color="000000"/>
              <w:left w:val="nil"/>
              <w:bottom w:val="nil"/>
              <w:right w:val="nil"/>
            </w:tcBorders>
            <w:tcMar>
              <w:top w:w="128" w:type="dxa"/>
              <w:left w:w="43" w:type="dxa"/>
              <w:bottom w:w="43" w:type="dxa"/>
              <w:right w:w="43" w:type="dxa"/>
            </w:tcMar>
          </w:tcPr>
          <w:p w14:paraId="00D46421" w14:textId="77777777" w:rsidR="00F7113A" w:rsidRPr="00580C0D" w:rsidRDefault="00142E5B" w:rsidP="00BD6CF4">
            <w:r w:rsidRPr="00580C0D">
              <w:t>Oppheve lov om endring av jordlova</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6F11FC75" w14:textId="77777777" w:rsidR="00F7113A" w:rsidRPr="00580C0D" w:rsidRDefault="00142E5B" w:rsidP="00BD6CF4">
            <w:pPr>
              <w:jc w:val="right"/>
            </w:pPr>
            <w:r w:rsidRPr="00580C0D">
              <w:t>Nei</w:t>
            </w:r>
          </w:p>
        </w:tc>
      </w:tr>
      <w:tr w:rsidR="00F7113A" w:rsidRPr="00580C0D" w14:paraId="22A47DCE"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7DE7DD78"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4328471E" w14:textId="77777777" w:rsidR="00F7113A" w:rsidRPr="00580C0D" w:rsidRDefault="00142E5B" w:rsidP="00BD6CF4">
            <w:pPr>
              <w:ind w:right="57"/>
              <w:jc w:val="right"/>
            </w:pPr>
            <w:r w:rsidRPr="00580C0D">
              <w:t>868</w:t>
            </w:r>
          </w:p>
        </w:tc>
        <w:tc>
          <w:tcPr>
            <w:tcW w:w="5560" w:type="dxa"/>
            <w:tcBorders>
              <w:top w:val="nil"/>
              <w:left w:val="nil"/>
              <w:bottom w:val="nil"/>
              <w:right w:val="nil"/>
            </w:tcBorders>
            <w:tcMar>
              <w:top w:w="128" w:type="dxa"/>
              <w:left w:w="43" w:type="dxa"/>
              <w:bottom w:w="43" w:type="dxa"/>
              <w:right w:w="43" w:type="dxa"/>
            </w:tcMar>
          </w:tcPr>
          <w:p w14:paraId="7B3D33EB" w14:textId="77777777" w:rsidR="00F7113A" w:rsidRPr="00580C0D" w:rsidRDefault="00142E5B" w:rsidP="00BD6CF4">
            <w:r w:rsidRPr="00580C0D">
              <w:t xml:space="preserve">Overgang </w:t>
            </w:r>
            <w:proofErr w:type="spellStart"/>
            <w:r w:rsidRPr="00580C0D">
              <w:t>frå</w:t>
            </w:r>
            <w:proofErr w:type="spellEnd"/>
            <w:r w:rsidRPr="00580C0D">
              <w:t xml:space="preserve"> kronetoll til prosenttoll</w:t>
            </w:r>
          </w:p>
        </w:tc>
        <w:tc>
          <w:tcPr>
            <w:tcW w:w="1560" w:type="dxa"/>
            <w:tcBorders>
              <w:top w:val="nil"/>
              <w:left w:val="nil"/>
              <w:bottom w:val="nil"/>
              <w:right w:val="nil"/>
            </w:tcBorders>
            <w:tcMar>
              <w:top w:w="128" w:type="dxa"/>
              <w:left w:w="43" w:type="dxa"/>
              <w:bottom w:w="43" w:type="dxa"/>
              <w:right w:w="43" w:type="dxa"/>
            </w:tcMar>
            <w:vAlign w:val="bottom"/>
          </w:tcPr>
          <w:p w14:paraId="75FDBF65" w14:textId="77777777" w:rsidR="00F7113A" w:rsidRPr="00580C0D" w:rsidRDefault="00142E5B" w:rsidP="00BD6CF4">
            <w:pPr>
              <w:jc w:val="right"/>
            </w:pPr>
            <w:r w:rsidRPr="00580C0D">
              <w:t>Ja</w:t>
            </w:r>
          </w:p>
        </w:tc>
      </w:tr>
      <w:tr w:rsidR="00F7113A" w:rsidRPr="00580C0D" w14:paraId="6422B37B"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1B7B01E8"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5904F25A" w14:textId="77777777" w:rsidR="00F7113A" w:rsidRPr="00580C0D" w:rsidRDefault="00142E5B" w:rsidP="00BD6CF4">
            <w:pPr>
              <w:ind w:right="57"/>
              <w:jc w:val="right"/>
            </w:pPr>
            <w:r w:rsidRPr="00580C0D">
              <w:t>867</w:t>
            </w:r>
          </w:p>
        </w:tc>
        <w:tc>
          <w:tcPr>
            <w:tcW w:w="5560" w:type="dxa"/>
            <w:tcBorders>
              <w:top w:val="nil"/>
              <w:left w:val="nil"/>
              <w:bottom w:val="nil"/>
              <w:right w:val="nil"/>
            </w:tcBorders>
            <w:tcMar>
              <w:top w:w="128" w:type="dxa"/>
              <w:left w:w="43" w:type="dxa"/>
              <w:bottom w:w="43" w:type="dxa"/>
              <w:right w:w="43" w:type="dxa"/>
            </w:tcMar>
          </w:tcPr>
          <w:p w14:paraId="2DD25511" w14:textId="77777777" w:rsidR="00F7113A" w:rsidRPr="00580C0D" w:rsidRDefault="00142E5B" w:rsidP="00BD6CF4">
            <w:r w:rsidRPr="00580C0D">
              <w:t xml:space="preserve">Bruk av kart i </w:t>
            </w:r>
            <w:proofErr w:type="spellStart"/>
            <w:r w:rsidRPr="00580C0D">
              <w:t>tilskottsystemet</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79163601" w14:textId="77777777" w:rsidR="00F7113A" w:rsidRPr="00580C0D" w:rsidRDefault="00142E5B" w:rsidP="00BD6CF4">
            <w:pPr>
              <w:jc w:val="right"/>
            </w:pPr>
            <w:r w:rsidRPr="00580C0D">
              <w:t>Nei</w:t>
            </w:r>
          </w:p>
        </w:tc>
      </w:tr>
      <w:tr w:rsidR="00F7113A" w:rsidRPr="00580C0D" w14:paraId="1101ABF2"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224C5DE9"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66BB8085" w14:textId="77777777" w:rsidR="00F7113A" w:rsidRPr="00580C0D" w:rsidRDefault="00142E5B" w:rsidP="00BD6CF4">
            <w:pPr>
              <w:ind w:right="57"/>
              <w:jc w:val="right"/>
            </w:pPr>
            <w:r w:rsidRPr="00580C0D">
              <w:t>866</w:t>
            </w:r>
          </w:p>
        </w:tc>
        <w:tc>
          <w:tcPr>
            <w:tcW w:w="5560" w:type="dxa"/>
            <w:tcBorders>
              <w:top w:val="nil"/>
              <w:left w:val="nil"/>
              <w:bottom w:val="nil"/>
              <w:right w:val="nil"/>
            </w:tcBorders>
            <w:tcMar>
              <w:top w:w="128" w:type="dxa"/>
              <w:left w:w="43" w:type="dxa"/>
              <w:bottom w:w="43" w:type="dxa"/>
              <w:right w:w="43" w:type="dxa"/>
            </w:tcMar>
          </w:tcPr>
          <w:p w14:paraId="423E5618" w14:textId="77777777" w:rsidR="00F7113A" w:rsidRPr="00580C0D" w:rsidRDefault="00142E5B" w:rsidP="00BD6CF4">
            <w:r w:rsidRPr="00580C0D">
              <w:t xml:space="preserve">Strategi for </w:t>
            </w:r>
            <w:proofErr w:type="spellStart"/>
            <w:r w:rsidRPr="00580C0D">
              <w:t>auka</w:t>
            </w:r>
            <w:proofErr w:type="spellEnd"/>
            <w:r w:rsidRPr="00580C0D">
              <w:t xml:space="preserve"> </w:t>
            </w:r>
            <w:proofErr w:type="spellStart"/>
            <w:r w:rsidRPr="00580C0D">
              <w:t>sjølvforsyning</w:t>
            </w:r>
            <w:proofErr w:type="spellEnd"/>
            <w:r w:rsidRPr="00580C0D">
              <w:t xml:space="preserve"> og trygg matproduksjon</w:t>
            </w:r>
          </w:p>
        </w:tc>
        <w:tc>
          <w:tcPr>
            <w:tcW w:w="1560" w:type="dxa"/>
            <w:tcBorders>
              <w:top w:val="nil"/>
              <w:left w:val="nil"/>
              <w:bottom w:val="nil"/>
              <w:right w:val="nil"/>
            </w:tcBorders>
            <w:tcMar>
              <w:top w:w="128" w:type="dxa"/>
              <w:left w:w="43" w:type="dxa"/>
              <w:bottom w:w="43" w:type="dxa"/>
              <w:right w:w="43" w:type="dxa"/>
            </w:tcMar>
            <w:vAlign w:val="bottom"/>
          </w:tcPr>
          <w:p w14:paraId="6C79A025" w14:textId="77777777" w:rsidR="00F7113A" w:rsidRPr="00580C0D" w:rsidRDefault="00142E5B" w:rsidP="00BD6CF4">
            <w:pPr>
              <w:jc w:val="right"/>
            </w:pPr>
            <w:r w:rsidRPr="00580C0D">
              <w:t>Nei</w:t>
            </w:r>
          </w:p>
        </w:tc>
      </w:tr>
      <w:tr w:rsidR="00F7113A" w:rsidRPr="00580C0D" w14:paraId="0D57CBA1"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082E2A2D"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6E14A9DB" w14:textId="77777777" w:rsidR="00F7113A" w:rsidRPr="00580C0D" w:rsidRDefault="00142E5B" w:rsidP="00BD6CF4">
            <w:pPr>
              <w:ind w:right="57"/>
              <w:jc w:val="right"/>
            </w:pPr>
            <w:r w:rsidRPr="00580C0D">
              <w:t>702</w:t>
            </w:r>
          </w:p>
        </w:tc>
        <w:tc>
          <w:tcPr>
            <w:tcW w:w="5560" w:type="dxa"/>
            <w:tcBorders>
              <w:top w:val="nil"/>
              <w:left w:val="nil"/>
              <w:bottom w:val="nil"/>
              <w:right w:val="nil"/>
            </w:tcBorders>
            <w:tcMar>
              <w:top w:w="128" w:type="dxa"/>
              <w:left w:w="43" w:type="dxa"/>
              <w:bottom w:w="43" w:type="dxa"/>
              <w:right w:w="43" w:type="dxa"/>
            </w:tcMar>
          </w:tcPr>
          <w:p w14:paraId="29C52887" w14:textId="77777777" w:rsidR="00F7113A" w:rsidRPr="00580C0D" w:rsidRDefault="00142E5B" w:rsidP="00BD6CF4">
            <w:proofErr w:type="spellStart"/>
            <w:r w:rsidRPr="00580C0D">
              <w:t>Strengare</w:t>
            </w:r>
            <w:proofErr w:type="spellEnd"/>
            <w:r w:rsidRPr="00580C0D">
              <w:t xml:space="preserve"> straff for </w:t>
            </w:r>
            <w:proofErr w:type="spellStart"/>
            <w:r w:rsidRPr="00580C0D">
              <w:t>alvorleg</w:t>
            </w:r>
            <w:proofErr w:type="spellEnd"/>
            <w:r w:rsidRPr="00580C0D">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0BB08129" w14:textId="77777777" w:rsidR="00F7113A" w:rsidRPr="00580C0D" w:rsidRDefault="00142E5B" w:rsidP="00BD6CF4">
            <w:pPr>
              <w:jc w:val="right"/>
            </w:pPr>
            <w:r w:rsidRPr="00580C0D">
              <w:t>Nei</w:t>
            </w:r>
          </w:p>
        </w:tc>
      </w:tr>
      <w:tr w:rsidR="00F7113A" w:rsidRPr="00580C0D" w14:paraId="618314F2"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7C2B88C5"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2D2AF0FE" w14:textId="77777777" w:rsidR="00F7113A" w:rsidRPr="00580C0D" w:rsidRDefault="00142E5B" w:rsidP="00BD6CF4">
            <w:pPr>
              <w:ind w:right="57"/>
              <w:jc w:val="right"/>
            </w:pPr>
            <w:r w:rsidRPr="00580C0D">
              <w:t>701</w:t>
            </w:r>
          </w:p>
        </w:tc>
        <w:tc>
          <w:tcPr>
            <w:tcW w:w="5560" w:type="dxa"/>
            <w:tcBorders>
              <w:top w:val="nil"/>
              <w:left w:val="nil"/>
              <w:bottom w:val="nil"/>
              <w:right w:val="nil"/>
            </w:tcBorders>
            <w:tcMar>
              <w:top w:w="128" w:type="dxa"/>
              <w:left w:w="43" w:type="dxa"/>
              <w:bottom w:w="43" w:type="dxa"/>
              <w:right w:w="43" w:type="dxa"/>
            </w:tcMar>
          </w:tcPr>
          <w:p w14:paraId="636C0AD3" w14:textId="77777777" w:rsidR="00F7113A" w:rsidRPr="00580C0D" w:rsidRDefault="00142E5B" w:rsidP="00BD6CF4">
            <w:proofErr w:type="spellStart"/>
            <w:r w:rsidRPr="00580C0D">
              <w:t>Strengare</w:t>
            </w:r>
            <w:proofErr w:type="spellEnd"/>
            <w:r w:rsidRPr="00580C0D">
              <w:t xml:space="preserve"> straff for </w:t>
            </w:r>
            <w:proofErr w:type="spellStart"/>
            <w:r w:rsidRPr="00580C0D">
              <w:t>alvorleg</w:t>
            </w:r>
            <w:proofErr w:type="spellEnd"/>
            <w:r w:rsidRPr="00580C0D">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42E83697" w14:textId="77777777" w:rsidR="00F7113A" w:rsidRPr="00580C0D" w:rsidRDefault="00142E5B" w:rsidP="00BD6CF4">
            <w:pPr>
              <w:jc w:val="right"/>
            </w:pPr>
            <w:r w:rsidRPr="00580C0D">
              <w:t>Nei</w:t>
            </w:r>
          </w:p>
        </w:tc>
      </w:tr>
      <w:tr w:rsidR="00F7113A" w:rsidRPr="00580C0D" w14:paraId="2F25E25D"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7CC77CCC"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0C0BAC1A" w14:textId="77777777" w:rsidR="00F7113A" w:rsidRPr="00580C0D" w:rsidRDefault="00142E5B" w:rsidP="00BD6CF4">
            <w:pPr>
              <w:ind w:right="57"/>
              <w:jc w:val="right"/>
            </w:pPr>
            <w:r w:rsidRPr="00580C0D">
              <w:t>700</w:t>
            </w:r>
          </w:p>
        </w:tc>
        <w:tc>
          <w:tcPr>
            <w:tcW w:w="5560" w:type="dxa"/>
            <w:tcBorders>
              <w:top w:val="nil"/>
              <w:left w:val="nil"/>
              <w:bottom w:val="nil"/>
              <w:right w:val="nil"/>
            </w:tcBorders>
            <w:tcMar>
              <w:top w:w="128" w:type="dxa"/>
              <w:left w:w="43" w:type="dxa"/>
              <w:bottom w:w="43" w:type="dxa"/>
              <w:right w:w="43" w:type="dxa"/>
            </w:tcMar>
          </w:tcPr>
          <w:p w14:paraId="36D61D04" w14:textId="77777777" w:rsidR="00F7113A" w:rsidRPr="00580C0D" w:rsidRDefault="00142E5B" w:rsidP="00BD6CF4">
            <w:proofErr w:type="spellStart"/>
            <w:r w:rsidRPr="00580C0D">
              <w:t>Strengare</w:t>
            </w:r>
            <w:proofErr w:type="spellEnd"/>
            <w:r w:rsidRPr="00580C0D">
              <w:t xml:space="preserve"> straff for </w:t>
            </w:r>
            <w:proofErr w:type="spellStart"/>
            <w:r w:rsidRPr="00580C0D">
              <w:t>alvorleg</w:t>
            </w:r>
            <w:proofErr w:type="spellEnd"/>
            <w:r w:rsidRPr="00580C0D">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4F23E570" w14:textId="77777777" w:rsidR="00F7113A" w:rsidRPr="00580C0D" w:rsidRDefault="00142E5B" w:rsidP="00BD6CF4">
            <w:pPr>
              <w:jc w:val="right"/>
            </w:pPr>
            <w:r w:rsidRPr="00580C0D">
              <w:t>Nei</w:t>
            </w:r>
          </w:p>
        </w:tc>
      </w:tr>
      <w:tr w:rsidR="00F7113A" w:rsidRPr="00580C0D" w14:paraId="5691AC76" w14:textId="77777777" w:rsidTr="00BD6CF4">
        <w:trPr>
          <w:trHeight w:val="640"/>
        </w:trPr>
        <w:tc>
          <w:tcPr>
            <w:tcW w:w="1233" w:type="dxa"/>
            <w:tcBorders>
              <w:top w:val="nil"/>
              <w:left w:val="nil"/>
              <w:bottom w:val="nil"/>
              <w:right w:val="nil"/>
            </w:tcBorders>
            <w:tcMar>
              <w:top w:w="128" w:type="dxa"/>
              <w:left w:w="43" w:type="dxa"/>
              <w:bottom w:w="43" w:type="dxa"/>
              <w:right w:w="43" w:type="dxa"/>
            </w:tcMar>
          </w:tcPr>
          <w:p w14:paraId="5B69DA1B"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06E1333A" w14:textId="77777777" w:rsidR="00F7113A" w:rsidRPr="00580C0D" w:rsidRDefault="00142E5B" w:rsidP="00BD6CF4">
            <w:pPr>
              <w:ind w:right="57"/>
              <w:jc w:val="right"/>
            </w:pPr>
            <w:r w:rsidRPr="00580C0D">
              <w:t>545</w:t>
            </w:r>
          </w:p>
        </w:tc>
        <w:tc>
          <w:tcPr>
            <w:tcW w:w="5560" w:type="dxa"/>
            <w:tcBorders>
              <w:top w:val="nil"/>
              <w:left w:val="nil"/>
              <w:bottom w:val="nil"/>
              <w:right w:val="nil"/>
            </w:tcBorders>
            <w:tcMar>
              <w:top w:w="128" w:type="dxa"/>
              <w:left w:w="43" w:type="dxa"/>
              <w:bottom w:w="43" w:type="dxa"/>
              <w:right w:w="43" w:type="dxa"/>
            </w:tcMar>
          </w:tcPr>
          <w:p w14:paraId="0876DD63" w14:textId="77777777" w:rsidR="00F7113A" w:rsidRPr="00580C0D" w:rsidRDefault="00142E5B" w:rsidP="00BD6CF4">
            <w:r w:rsidRPr="00580C0D">
              <w:t xml:space="preserve">Donasjon av overskottsmat til </w:t>
            </w:r>
            <w:proofErr w:type="spellStart"/>
            <w:r w:rsidRPr="00580C0D">
              <w:t>velgjerande</w:t>
            </w:r>
            <w:proofErr w:type="spellEnd"/>
            <w:r w:rsidRPr="00580C0D">
              <w:t xml:space="preserve"> formål </w:t>
            </w:r>
            <w:proofErr w:type="spellStart"/>
            <w:r w:rsidRPr="00580C0D">
              <w:t>frå</w:t>
            </w:r>
            <w:proofErr w:type="spellEnd"/>
            <w:r w:rsidRPr="00580C0D">
              <w:t xml:space="preserve"> </w:t>
            </w:r>
            <w:r w:rsidRPr="00580C0D">
              <w:br/>
              <w:t xml:space="preserve">cruiseskip og </w:t>
            </w:r>
            <w:proofErr w:type="spellStart"/>
            <w:r w:rsidRPr="00580C0D">
              <w:t>skipshandlarar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5317E3F9" w14:textId="77777777" w:rsidR="00F7113A" w:rsidRPr="00580C0D" w:rsidRDefault="00142E5B" w:rsidP="00BD6CF4">
            <w:pPr>
              <w:jc w:val="right"/>
            </w:pPr>
            <w:r w:rsidRPr="00580C0D">
              <w:t>Nei</w:t>
            </w:r>
          </w:p>
        </w:tc>
      </w:tr>
      <w:tr w:rsidR="00F7113A" w:rsidRPr="00580C0D" w14:paraId="05CF096D" w14:textId="77777777" w:rsidTr="00BD6CF4">
        <w:trPr>
          <w:trHeight w:val="640"/>
        </w:trPr>
        <w:tc>
          <w:tcPr>
            <w:tcW w:w="1233" w:type="dxa"/>
            <w:tcBorders>
              <w:top w:val="nil"/>
              <w:left w:val="nil"/>
              <w:bottom w:val="nil"/>
              <w:right w:val="nil"/>
            </w:tcBorders>
            <w:tcMar>
              <w:top w:w="128" w:type="dxa"/>
              <w:left w:w="43" w:type="dxa"/>
              <w:bottom w:w="43" w:type="dxa"/>
              <w:right w:w="43" w:type="dxa"/>
            </w:tcMar>
          </w:tcPr>
          <w:p w14:paraId="2D91FF03"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54F0EF41" w14:textId="77777777" w:rsidR="00F7113A" w:rsidRPr="00580C0D" w:rsidRDefault="00142E5B" w:rsidP="00BD6CF4">
            <w:pPr>
              <w:ind w:right="57"/>
              <w:jc w:val="right"/>
            </w:pPr>
            <w:r w:rsidRPr="00580C0D">
              <w:t>519</w:t>
            </w:r>
          </w:p>
        </w:tc>
        <w:tc>
          <w:tcPr>
            <w:tcW w:w="5560" w:type="dxa"/>
            <w:tcBorders>
              <w:top w:val="nil"/>
              <w:left w:val="nil"/>
              <w:bottom w:val="nil"/>
              <w:right w:val="nil"/>
            </w:tcBorders>
            <w:tcMar>
              <w:top w:w="128" w:type="dxa"/>
              <w:left w:w="43" w:type="dxa"/>
              <w:bottom w:w="43" w:type="dxa"/>
              <w:right w:w="43" w:type="dxa"/>
            </w:tcMar>
          </w:tcPr>
          <w:p w14:paraId="3A17704C" w14:textId="5F597975" w:rsidR="00F7113A" w:rsidRPr="00580C0D" w:rsidRDefault="00142E5B" w:rsidP="00BD6CF4">
            <w:r w:rsidRPr="00580C0D">
              <w:t xml:space="preserve">Innsamling, registrering og kontroll av viktige </w:t>
            </w:r>
            <w:proofErr w:type="spellStart"/>
            <w:r w:rsidRPr="00580C0D">
              <w:t>natur</w:t>
            </w:r>
            <w:r w:rsidR="00251BE9">
              <w:softHyphen/>
            </w:r>
            <w:r w:rsidRPr="00580C0D">
              <w:t>verdiar</w:t>
            </w:r>
            <w:proofErr w:type="spellEnd"/>
            <w:r w:rsidRPr="00580C0D">
              <w:t xml:space="preserve"> i norsk skog</w:t>
            </w:r>
          </w:p>
        </w:tc>
        <w:tc>
          <w:tcPr>
            <w:tcW w:w="1560" w:type="dxa"/>
            <w:tcBorders>
              <w:top w:val="nil"/>
              <w:left w:val="nil"/>
              <w:bottom w:val="nil"/>
              <w:right w:val="nil"/>
            </w:tcBorders>
            <w:tcMar>
              <w:top w:w="128" w:type="dxa"/>
              <w:left w:w="43" w:type="dxa"/>
              <w:bottom w:w="43" w:type="dxa"/>
              <w:right w:w="43" w:type="dxa"/>
            </w:tcMar>
            <w:vAlign w:val="bottom"/>
          </w:tcPr>
          <w:p w14:paraId="303BEBBA" w14:textId="77777777" w:rsidR="00F7113A" w:rsidRPr="00580C0D" w:rsidRDefault="00142E5B" w:rsidP="00BD6CF4">
            <w:pPr>
              <w:jc w:val="right"/>
            </w:pPr>
            <w:r w:rsidRPr="00580C0D">
              <w:t>Nei</w:t>
            </w:r>
          </w:p>
        </w:tc>
      </w:tr>
      <w:tr w:rsidR="00F7113A" w:rsidRPr="00580C0D" w14:paraId="72C2CED0"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72A95FAE" w14:textId="77777777" w:rsidR="00F7113A" w:rsidRPr="00580C0D" w:rsidRDefault="00142E5B" w:rsidP="00BD6CF4">
            <w:r w:rsidRPr="00580C0D">
              <w:t>2022–2023</w:t>
            </w:r>
          </w:p>
        </w:tc>
        <w:tc>
          <w:tcPr>
            <w:tcW w:w="1187" w:type="dxa"/>
            <w:tcBorders>
              <w:top w:val="nil"/>
              <w:left w:val="nil"/>
              <w:bottom w:val="nil"/>
              <w:right w:val="nil"/>
            </w:tcBorders>
            <w:tcMar>
              <w:top w:w="128" w:type="dxa"/>
              <w:left w:w="43" w:type="dxa"/>
              <w:bottom w:w="43" w:type="dxa"/>
              <w:right w:w="43" w:type="dxa"/>
            </w:tcMar>
          </w:tcPr>
          <w:p w14:paraId="66C8822E" w14:textId="77777777" w:rsidR="00F7113A" w:rsidRPr="00580C0D" w:rsidRDefault="00142E5B" w:rsidP="00BD6CF4">
            <w:pPr>
              <w:ind w:right="57"/>
              <w:jc w:val="right"/>
            </w:pPr>
            <w:r w:rsidRPr="00580C0D">
              <w:t>348</w:t>
            </w:r>
          </w:p>
        </w:tc>
        <w:tc>
          <w:tcPr>
            <w:tcW w:w="5560" w:type="dxa"/>
            <w:tcBorders>
              <w:top w:val="nil"/>
              <w:left w:val="nil"/>
              <w:bottom w:val="nil"/>
              <w:right w:val="nil"/>
            </w:tcBorders>
            <w:tcMar>
              <w:top w:w="128" w:type="dxa"/>
              <w:left w:w="43" w:type="dxa"/>
              <w:bottom w:w="43" w:type="dxa"/>
              <w:right w:w="43" w:type="dxa"/>
            </w:tcMar>
          </w:tcPr>
          <w:p w14:paraId="3537152C" w14:textId="77777777" w:rsidR="00F7113A" w:rsidRPr="00580C0D" w:rsidRDefault="00142E5B" w:rsidP="00BD6CF4">
            <w:r w:rsidRPr="00580C0D">
              <w:t>Maksimalgrensa for rett til straumstøtte</w:t>
            </w:r>
          </w:p>
        </w:tc>
        <w:tc>
          <w:tcPr>
            <w:tcW w:w="1560" w:type="dxa"/>
            <w:tcBorders>
              <w:top w:val="nil"/>
              <w:left w:val="nil"/>
              <w:bottom w:val="nil"/>
              <w:right w:val="nil"/>
            </w:tcBorders>
            <w:tcMar>
              <w:top w:w="128" w:type="dxa"/>
              <w:left w:w="43" w:type="dxa"/>
              <w:bottom w:w="43" w:type="dxa"/>
              <w:right w:w="43" w:type="dxa"/>
            </w:tcMar>
            <w:vAlign w:val="bottom"/>
          </w:tcPr>
          <w:p w14:paraId="1D34197F" w14:textId="77777777" w:rsidR="00F7113A" w:rsidRPr="00580C0D" w:rsidRDefault="00142E5B" w:rsidP="00BD6CF4">
            <w:pPr>
              <w:jc w:val="right"/>
            </w:pPr>
            <w:r w:rsidRPr="00580C0D">
              <w:t>Ja</w:t>
            </w:r>
          </w:p>
        </w:tc>
      </w:tr>
      <w:tr w:rsidR="00F7113A" w:rsidRPr="00580C0D" w14:paraId="11A2BD02"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3684EBD0"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245753EB" w14:textId="77777777" w:rsidR="00F7113A" w:rsidRPr="00580C0D" w:rsidRDefault="00142E5B" w:rsidP="00BD6CF4">
            <w:pPr>
              <w:ind w:right="57"/>
              <w:jc w:val="right"/>
            </w:pPr>
            <w:r w:rsidRPr="00580C0D">
              <w:t>836</w:t>
            </w:r>
          </w:p>
        </w:tc>
        <w:tc>
          <w:tcPr>
            <w:tcW w:w="5560" w:type="dxa"/>
            <w:tcBorders>
              <w:top w:val="nil"/>
              <w:left w:val="nil"/>
              <w:bottom w:val="nil"/>
              <w:right w:val="nil"/>
            </w:tcBorders>
            <w:tcMar>
              <w:top w:w="128" w:type="dxa"/>
              <w:left w:w="43" w:type="dxa"/>
              <w:bottom w:w="43" w:type="dxa"/>
              <w:right w:w="43" w:type="dxa"/>
            </w:tcMar>
          </w:tcPr>
          <w:p w14:paraId="453B318B" w14:textId="77777777" w:rsidR="00F7113A" w:rsidRPr="00580C0D" w:rsidRDefault="00142E5B" w:rsidP="00BD6CF4">
            <w:r w:rsidRPr="00580C0D">
              <w:t xml:space="preserve">Overgang </w:t>
            </w:r>
            <w:proofErr w:type="spellStart"/>
            <w:r w:rsidRPr="00580C0D">
              <w:t>frå</w:t>
            </w:r>
            <w:proofErr w:type="spellEnd"/>
            <w:r w:rsidRPr="00580C0D">
              <w:t xml:space="preserve"> kronetoll til prosenttoll</w:t>
            </w:r>
          </w:p>
        </w:tc>
        <w:tc>
          <w:tcPr>
            <w:tcW w:w="1560" w:type="dxa"/>
            <w:tcBorders>
              <w:top w:val="nil"/>
              <w:left w:val="nil"/>
              <w:bottom w:val="nil"/>
              <w:right w:val="nil"/>
            </w:tcBorders>
            <w:tcMar>
              <w:top w:w="128" w:type="dxa"/>
              <w:left w:w="43" w:type="dxa"/>
              <w:bottom w:w="43" w:type="dxa"/>
              <w:right w:w="43" w:type="dxa"/>
            </w:tcMar>
            <w:vAlign w:val="bottom"/>
          </w:tcPr>
          <w:p w14:paraId="0AE86CCD" w14:textId="77777777" w:rsidR="00F7113A" w:rsidRPr="00580C0D" w:rsidRDefault="00142E5B" w:rsidP="00BD6CF4">
            <w:pPr>
              <w:jc w:val="right"/>
            </w:pPr>
            <w:r w:rsidRPr="00580C0D">
              <w:t>Ja</w:t>
            </w:r>
          </w:p>
        </w:tc>
      </w:tr>
      <w:tr w:rsidR="00F7113A" w:rsidRPr="00580C0D" w14:paraId="76B155AD"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2B39A29C"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5D200CF1" w14:textId="77777777" w:rsidR="00F7113A" w:rsidRPr="00580C0D" w:rsidRDefault="00142E5B" w:rsidP="00BD6CF4">
            <w:pPr>
              <w:ind w:right="57"/>
              <w:jc w:val="right"/>
            </w:pPr>
            <w:r w:rsidRPr="00580C0D">
              <w:t>799</w:t>
            </w:r>
          </w:p>
        </w:tc>
        <w:tc>
          <w:tcPr>
            <w:tcW w:w="5560" w:type="dxa"/>
            <w:tcBorders>
              <w:top w:val="nil"/>
              <w:left w:val="nil"/>
              <w:bottom w:val="nil"/>
              <w:right w:val="nil"/>
            </w:tcBorders>
            <w:tcMar>
              <w:top w:w="128" w:type="dxa"/>
              <w:left w:w="43" w:type="dxa"/>
              <w:bottom w:w="43" w:type="dxa"/>
              <w:right w:w="43" w:type="dxa"/>
            </w:tcMar>
          </w:tcPr>
          <w:p w14:paraId="319D6453" w14:textId="77777777" w:rsidR="00F7113A" w:rsidRPr="00580C0D" w:rsidRDefault="00142E5B" w:rsidP="00BD6CF4">
            <w:r w:rsidRPr="00580C0D">
              <w:t>Oppdatering av jordvernstrategien</w:t>
            </w:r>
          </w:p>
        </w:tc>
        <w:tc>
          <w:tcPr>
            <w:tcW w:w="1560" w:type="dxa"/>
            <w:tcBorders>
              <w:top w:val="nil"/>
              <w:left w:val="nil"/>
              <w:bottom w:val="nil"/>
              <w:right w:val="nil"/>
            </w:tcBorders>
            <w:tcMar>
              <w:top w:w="128" w:type="dxa"/>
              <w:left w:w="43" w:type="dxa"/>
              <w:bottom w:w="43" w:type="dxa"/>
              <w:right w:w="43" w:type="dxa"/>
            </w:tcMar>
            <w:vAlign w:val="bottom"/>
          </w:tcPr>
          <w:p w14:paraId="7E1E97C5" w14:textId="77777777" w:rsidR="00F7113A" w:rsidRPr="00580C0D" w:rsidRDefault="00142E5B" w:rsidP="00BD6CF4">
            <w:pPr>
              <w:jc w:val="right"/>
            </w:pPr>
            <w:r w:rsidRPr="00580C0D">
              <w:t>Ja</w:t>
            </w:r>
          </w:p>
        </w:tc>
      </w:tr>
      <w:tr w:rsidR="00F7113A" w:rsidRPr="00580C0D" w14:paraId="7C57B0CC"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0C30CA75"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46D3A0AD" w14:textId="77777777" w:rsidR="00F7113A" w:rsidRPr="00580C0D" w:rsidRDefault="00142E5B" w:rsidP="00BD6CF4">
            <w:pPr>
              <w:ind w:right="57"/>
              <w:jc w:val="right"/>
            </w:pPr>
            <w:r w:rsidRPr="00580C0D">
              <w:t>754</w:t>
            </w:r>
          </w:p>
        </w:tc>
        <w:tc>
          <w:tcPr>
            <w:tcW w:w="5560" w:type="dxa"/>
            <w:tcBorders>
              <w:top w:val="nil"/>
              <w:left w:val="nil"/>
              <w:bottom w:val="nil"/>
              <w:right w:val="nil"/>
            </w:tcBorders>
            <w:tcMar>
              <w:top w:w="128" w:type="dxa"/>
              <w:left w:w="43" w:type="dxa"/>
              <w:bottom w:w="43" w:type="dxa"/>
              <w:right w:w="43" w:type="dxa"/>
            </w:tcMar>
          </w:tcPr>
          <w:p w14:paraId="3FC7F333" w14:textId="77777777" w:rsidR="00F7113A" w:rsidRPr="00580C0D" w:rsidRDefault="00142E5B" w:rsidP="00BD6CF4">
            <w:proofErr w:type="spellStart"/>
            <w:r w:rsidRPr="00580C0D">
              <w:t>Bransjeavtalar</w:t>
            </w:r>
            <w:proofErr w:type="spellEnd"/>
            <w:r w:rsidRPr="00580C0D">
              <w:t xml:space="preserve"> for biogassproduksjon</w:t>
            </w:r>
          </w:p>
        </w:tc>
        <w:tc>
          <w:tcPr>
            <w:tcW w:w="1560" w:type="dxa"/>
            <w:tcBorders>
              <w:top w:val="nil"/>
              <w:left w:val="nil"/>
              <w:bottom w:val="nil"/>
              <w:right w:val="nil"/>
            </w:tcBorders>
            <w:tcMar>
              <w:top w:w="128" w:type="dxa"/>
              <w:left w:w="43" w:type="dxa"/>
              <w:bottom w:w="43" w:type="dxa"/>
              <w:right w:w="43" w:type="dxa"/>
            </w:tcMar>
            <w:vAlign w:val="bottom"/>
          </w:tcPr>
          <w:p w14:paraId="74C9CA02" w14:textId="77777777" w:rsidR="00F7113A" w:rsidRPr="00580C0D" w:rsidRDefault="00142E5B" w:rsidP="00BD6CF4">
            <w:pPr>
              <w:jc w:val="right"/>
            </w:pPr>
            <w:r w:rsidRPr="00580C0D">
              <w:t>Nei</w:t>
            </w:r>
          </w:p>
        </w:tc>
      </w:tr>
      <w:tr w:rsidR="00F7113A" w:rsidRPr="00580C0D" w14:paraId="480C8847" w14:textId="77777777" w:rsidTr="00BD6CF4">
        <w:trPr>
          <w:trHeight w:val="640"/>
        </w:trPr>
        <w:tc>
          <w:tcPr>
            <w:tcW w:w="1233" w:type="dxa"/>
            <w:tcBorders>
              <w:top w:val="nil"/>
              <w:left w:val="nil"/>
              <w:bottom w:val="nil"/>
              <w:right w:val="nil"/>
            </w:tcBorders>
            <w:tcMar>
              <w:top w:w="128" w:type="dxa"/>
              <w:left w:w="43" w:type="dxa"/>
              <w:bottom w:w="43" w:type="dxa"/>
              <w:right w:w="43" w:type="dxa"/>
            </w:tcMar>
          </w:tcPr>
          <w:p w14:paraId="4B268EE6"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2144F316" w14:textId="77777777" w:rsidR="00F7113A" w:rsidRPr="00580C0D" w:rsidRDefault="00142E5B" w:rsidP="00BD6CF4">
            <w:pPr>
              <w:ind w:right="57"/>
              <w:jc w:val="right"/>
            </w:pPr>
            <w:r w:rsidRPr="00580C0D">
              <w:t>381</w:t>
            </w:r>
          </w:p>
        </w:tc>
        <w:tc>
          <w:tcPr>
            <w:tcW w:w="5560" w:type="dxa"/>
            <w:tcBorders>
              <w:top w:val="nil"/>
              <w:left w:val="nil"/>
              <w:bottom w:val="nil"/>
              <w:right w:val="nil"/>
            </w:tcBorders>
            <w:tcMar>
              <w:top w:w="128" w:type="dxa"/>
              <w:left w:w="43" w:type="dxa"/>
              <w:bottom w:w="43" w:type="dxa"/>
              <w:right w:w="43" w:type="dxa"/>
            </w:tcMar>
          </w:tcPr>
          <w:p w14:paraId="6D2E4B30" w14:textId="77777777" w:rsidR="00F7113A" w:rsidRPr="00580C0D" w:rsidRDefault="00142E5B" w:rsidP="00BD6CF4">
            <w:r w:rsidRPr="00580C0D">
              <w:t xml:space="preserve">Melding til Stortinget om dyrevelferd som </w:t>
            </w:r>
            <w:proofErr w:type="spellStart"/>
            <w:r w:rsidRPr="00580C0D">
              <w:t>byggjer</w:t>
            </w:r>
            <w:proofErr w:type="spellEnd"/>
            <w:r w:rsidRPr="00580C0D">
              <w:t xml:space="preserve"> på </w:t>
            </w:r>
            <w:r w:rsidRPr="00580C0D">
              <w:br/>
              <w:t>oppdatert kunnskap</w:t>
            </w:r>
          </w:p>
        </w:tc>
        <w:tc>
          <w:tcPr>
            <w:tcW w:w="1560" w:type="dxa"/>
            <w:tcBorders>
              <w:top w:val="nil"/>
              <w:left w:val="nil"/>
              <w:bottom w:val="nil"/>
              <w:right w:val="nil"/>
            </w:tcBorders>
            <w:tcMar>
              <w:top w:w="128" w:type="dxa"/>
              <w:left w:w="43" w:type="dxa"/>
              <w:bottom w:w="43" w:type="dxa"/>
              <w:right w:w="43" w:type="dxa"/>
            </w:tcMar>
            <w:vAlign w:val="bottom"/>
          </w:tcPr>
          <w:p w14:paraId="2407531F" w14:textId="77777777" w:rsidR="00F7113A" w:rsidRPr="00580C0D" w:rsidRDefault="00142E5B" w:rsidP="00BD6CF4">
            <w:pPr>
              <w:jc w:val="right"/>
            </w:pPr>
            <w:r w:rsidRPr="00580C0D">
              <w:t>Nei</w:t>
            </w:r>
          </w:p>
        </w:tc>
      </w:tr>
      <w:tr w:rsidR="00F7113A" w:rsidRPr="00580C0D" w14:paraId="4BBCCE50"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23D4F897"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3C5188CE" w14:textId="77777777" w:rsidR="00F7113A" w:rsidRPr="00580C0D" w:rsidRDefault="00142E5B" w:rsidP="00BD6CF4">
            <w:pPr>
              <w:ind w:right="57"/>
              <w:jc w:val="right"/>
            </w:pPr>
            <w:r w:rsidRPr="00580C0D">
              <w:t>382</w:t>
            </w:r>
          </w:p>
        </w:tc>
        <w:tc>
          <w:tcPr>
            <w:tcW w:w="5560" w:type="dxa"/>
            <w:tcBorders>
              <w:top w:val="nil"/>
              <w:left w:val="nil"/>
              <w:bottom w:val="nil"/>
              <w:right w:val="nil"/>
            </w:tcBorders>
            <w:tcMar>
              <w:top w:w="128" w:type="dxa"/>
              <w:left w:w="43" w:type="dxa"/>
              <w:bottom w:w="43" w:type="dxa"/>
              <w:right w:w="43" w:type="dxa"/>
            </w:tcMar>
          </w:tcPr>
          <w:p w14:paraId="1EFA1969" w14:textId="77777777" w:rsidR="00F7113A" w:rsidRPr="00580C0D" w:rsidRDefault="00142E5B" w:rsidP="00BD6CF4">
            <w:r w:rsidRPr="00580C0D">
              <w:t>Dyrevelferda i svinenæringa</w:t>
            </w:r>
          </w:p>
        </w:tc>
        <w:tc>
          <w:tcPr>
            <w:tcW w:w="1560" w:type="dxa"/>
            <w:tcBorders>
              <w:top w:val="nil"/>
              <w:left w:val="nil"/>
              <w:bottom w:val="nil"/>
              <w:right w:val="nil"/>
            </w:tcBorders>
            <w:tcMar>
              <w:top w:w="128" w:type="dxa"/>
              <w:left w:w="43" w:type="dxa"/>
              <w:bottom w:w="43" w:type="dxa"/>
              <w:right w:w="43" w:type="dxa"/>
            </w:tcMar>
            <w:vAlign w:val="bottom"/>
          </w:tcPr>
          <w:p w14:paraId="7BAD8B10" w14:textId="77777777" w:rsidR="00F7113A" w:rsidRPr="00580C0D" w:rsidRDefault="00142E5B" w:rsidP="00BD6CF4">
            <w:pPr>
              <w:jc w:val="right"/>
            </w:pPr>
            <w:r w:rsidRPr="00580C0D">
              <w:t>Nei</w:t>
            </w:r>
          </w:p>
        </w:tc>
      </w:tr>
      <w:tr w:rsidR="00F7113A" w:rsidRPr="00580C0D" w14:paraId="2F19B90F"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2543A350"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2EDCFC25" w14:textId="77777777" w:rsidR="00F7113A" w:rsidRPr="00580C0D" w:rsidRDefault="00142E5B" w:rsidP="00BD6CF4">
            <w:pPr>
              <w:ind w:right="57"/>
              <w:jc w:val="right"/>
            </w:pPr>
            <w:r w:rsidRPr="00580C0D">
              <w:t>383</w:t>
            </w:r>
          </w:p>
        </w:tc>
        <w:tc>
          <w:tcPr>
            <w:tcW w:w="5560" w:type="dxa"/>
            <w:tcBorders>
              <w:top w:val="nil"/>
              <w:left w:val="nil"/>
              <w:bottom w:val="nil"/>
              <w:right w:val="nil"/>
            </w:tcBorders>
            <w:tcMar>
              <w:top w:w="128" w:type="dxa"/>
              <w:left w:w="43" w:type="dxa"/>
              <w:bottom w:w="43" w:type="dxa"/>
              <w:right w:w="43" w:type="dxa"/>
            </w:tcMar>
          </w:tcPr>
          <w:p w14:paraId="6EC1E73D" w14:textId="77777777" w:rsidR="00F7113A" w:rsidRPr="00580C0D" w:rsidRDefault="00142E5B" w:rsidP="00BD6CF4">
            <w:r w:rsidRPr="00580C0D">
              <w:t>Konkrete tiltak i melding til Stortinget om dyrevelferd</w:t>
            </w:r>
          </w:p>
        </w:tc>
        <w:tc>
          <w:tcPr>
            <w:tcW w:w="1560" w:type="dxa"/>
            <w:tcBorders>
              <w:top w:val="nil"/>
              <w:left w:val="nil"/>
              <w:bottom w:val="nil"/>
              <w:right w:val="nil"/>
            </w:tcBorders>
            <w:tcMar>
              <w:top w:w="128" w:type="dxa"/>
              <w:left w:w="43" w:type="dxa"/>
              <w:bottom w:w="43" w:type="dxa"/>
              <w:right w:w="43" w:type="dxa"/>
            </w:tcMar>
            <w:vAlign w:val="bottom"/>
          </w:tcPr>
          <w:p w14:paraId="1FD0FA29" w14:textId="77777777" w:rsidR="00F7113A" w:rsidRPr="00580C0D" w:rsidRDefault="00142E5B" w:rsidP="00BD6CF4">
            <w:pPr>
              <w:jc w:val="right"/>
            </w:pPr>
            <w:r w:rsidRPr="00580C0D">
              <w:t>Nei</w:t>
            </w:r>
          </w:p>
        </w:tc>
      </w:tr>
      <w:tr w:rsidR="00F7113A" w:rsidRPr="00580C0D" w14:paraId="2B19AC9E"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08DD36D7"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298D8709" w14:textId="77777777" w:rsidR="00F7113A" w:rsidRPr="00580C0D" w:rsidRDefault="00142E5B" w:rsidP="00BD6CF4">
            <w:pPr>
              <w:ind w:right="57"/>
              <w:jc w:val="right"/>
            </w:pPr>
            <w:r w:rsidRPr="00580C0D">
              <w:t>384</w:t>
            </w:r>
          </w:p>
        </w:tc>
        <w:tc>
          <w:tcPr>
            <w:tcW w:w="5560" w:type="dxa"/>
            <w:tcBorders>
              <w:top w:val="nil"/>
              <w:left w:val="nil"/>
              <w:bottom w:val="nil"/>
              <w:right w:val="nil"/>
            </w:tcBorders>
            <w:tcMar>
              <w:top w:w="128" w:type="dxa"/>
              <w:left w:w="43" w:type="dxa"/>
              <w:bottom w:w="43" w:type="dxa"/>
              <w:right w:w="43" w:type="dxa"/>
            </w:tcMar>
          </w:tcPr>
          <w:p w14:paraId="35822F33" w14:textId="77777777" w:rsidR="00F7113A" w:rsidRPr="00580C0D" w:rsidRDefault="00142E5B" w:rsidP="00BD6CF4">
            <w:r w:rsidRPr="00580C0D">
              <w:t>Alternativ til CO</w:t>
            </w:r>
            <w:r w:rsidRPr="00580C0D">
              <w:rPr>
                <w:rStyle w:val="skrift-senket"/>
              </w:rPr>
              <w:t>2</w:t>
            </w:r>
            <w:r w:rsidRPr="00580C0D">
              <w:t>-bedøving av dyr</w:t>
            </w:r>
          </w:p>
        </w:tc>
        <w:tc>
          <w:tcPr>
            <w:tcW w:w="1560" w:type="dxa"/>
            <w:tcBorders>
              <w:top w:val="nil"/>
              <w:left w:val="nil"/>
              <w:bottom w:val="nil"/>
              <w:right w:val="nil"/>
            </w:tcBorders>
            <w:tcMar>
              <w:top w:w="128" w:type="dxa"/>
              <w:left w:w="43" w:type="dxa"/>
              <w:bottom w:w="43" w:type="dxa"/>
              <w:right w:w="43" w:type="dxa"/>
            </w:tcMar>
            <w:vAlign w:val="bottom"/>
          </w:tcPr>
          <w:p w14:paraId="5E598394" w14:textId="77777777" w:rsidR="00F7113A" w:rsidRPr="00580C0D" w:rsidRDefault="00142E5B" w:rsidP="00BD6CF4">
            <w:pPr>
              <w:jc w:val="right"/>
            </w:pPr>
            <w:r w:rsidRPr="00580C0D">
              <w:t>Nei</w:t>
            </w:r>
          </w:p>
        </w:tc>
      </w:tr>
      <w:tr w:rsidR="00F7113A" w:rsidRPr="00580C0D" w14:paraId="1F9A8982"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12FFF9CD" w14:textId="77777777" w:rsidR="00F7113A" w:rsidRPr="00580C0D" w:rsidRDefault="00142E5B" w:rsidP="00BD6CF4">
            <w:r w:rsidRPr="00580C0D">
              <w:t>2021–2022</w:t>
            </w:r>
          </w:p>
        </w:tc>
        <w:tc>
          <w:tcPr>
            <w:tcW w:w="1187" w:type="dxa"/>
            <w:tcBorders>
              <w:top w:val="nil"/>
              <w:left w:val="nil"/>
              <w:bottom w:val="nil"/>
              <w:right w:val="nil"/>
            </w:tcBorders>
            <w:tcMar>
              <w:top w:w="128" w:type="dxa"/>
              <w:left w:w="43" w:type="dxa"/>
              <w:bottom w:w="43" w:type="dxa"/>
              <w:right w:w="43" w:type="dxa"/>
            </w:tcMar>
          </w:tcPr>
          <w:p w14:paraId="011EDD22" w14:textId="77777777" w:rsidR="00F7113A" w:rsidRPr="00580C0D" w:rsidRDefault="00142E5B" w:rsidP="00BD6CF4">
            <w:pPr>
              <w:ind w:right="57"/>
              <w:jc w:val="right"/>
            </w:pPr>
            <w:r w:rsidRPr="00580C0D">
              <w:t>35 – nr. 29</w:t>
            </w:r>
          </w:p>
        </w:tc>
        <w:tc>
          <w:tcPr>
            <w:tcW w:w="5560" w:type="dxa"/>
            <w:tcBorders>
              <w:top w:val="nil"/>
              <w:left w:val="nil"/>
              <w:bottom w:val="nil"/>
              <w:right w:val="nil"/>
            </w:tcBorders>
            <w:tcMar>
              <w:top w:w="128" w:type="dxa"/>
              <w:left w:w="43" w:type="dxa"/>
              <w:bottom w:w="43" w:type="dxa"/>
              <w:right w:w="43" w:type="dxa"/>
            </w:tcMar>
          </w:tcPr>
          <w:p w14:paraId="1816028C" w14:textId="77777777" w:rsidR="00F7113A" w:rsidRPr="00580C0D" w:rsidRDefault="00142E5B" w:rsidP="00BD6CF4">
            <w:r w:rsidRPr="00580C0D">
              <w:t xml:space="preserve">Inntektsgap </w:t>
            </w:r>
          </w:p>
        </w:tc>
        <w:tc>
          <w:tcPr>
            <w:tcW w:w="1560" w:type="dxa"/>
            <w:tcBorders>
              <w:top w:val="nil"/>
              <w:left w:val="nil"/>
              <w:bottom w:val="nil"/>
              <w:right w:val="nil"/>
            </w:tcBorders>
            <w:tcMar>
              <w:top w:w="128" w:type="dxa"/>
              <w:left w:w="43" w:type="dxa"/>
              <w:bottom w:w="43" w:type="dxa"/>
              <w:right w:w="43" w:type="dxa"/>
            </w:tcMar>
            <w:vAlign w:val="bottom"/>
          </w:tcPr>
          <w:p w14:paraId="1F6C7A3F" w14:textId="77777777" w:rsidR="00F7113A" w:rsidRPr="00580C0D" w:rsidRDefault="00142E5B" w:rsidP="00BD6CF4">
            <w:pPr>
              <w:jc w:val="right"/>
            </w:pPr>
            <w:r w:rsidRPr="00580C0D">
              <w:t>Nei</w:t>
            </w:r>
          </w:p>
        </w:tc>
      </w:tr>
      <w:tr w:rsidR="00F7113A" w:rsidRPr="00580C0D" w14:paraId="608C2BC3" w14:textId="77777777" w:rsidTr="00BD6CF4">
        <w:trPr>
          <w:trHeight w:val="380"/>
        </w:trPr>
        <w:tc>
          <w:tcPr>
            <w:tcW w:w="1233" w:type="dxa"/>
            <w:tcBorders>
              <w:top w:val="nil"/>
              <w:left w:val="nil"/>
              <w:bottom w:val="nil"/>
              <w:right w:val="nil"/>
            </w:tcBorders>
            <w:tcMar>
              <w:top w:w="128" w:type="dxa"/>
              <w:left w:w="43" w:type="dxa"/>
              <w:bottom w:w="43" w:type="dxa"/>
              <w:right w:w="43" w:type="dxa"/>
            </w:tcMar>
          </w:tcPr>
          <w:p w14:paraId="069A0E6B" w14:textId="77777777" w:rsidR="00F7113A" w:rsidRPr="00580C0D" w:rsidRDefault="00142E5B" w:rsidP="00BD6CF4">
            <w:r w:rsidRPr="00580C0D">
              <w:t>2020–2021</w:t>
            </w:r>
          </w:p>
        </w:tc>
        <w:tc>
          <w:tcPr>
            <w:tcW w:w="1187" w:type="dxa"/>
            <w:tcBorders>
              <w:top w:val="nil"/>
              <w:left w:val="nil"/>
              <w:bottom w:val="nil"/>
              <w:right w:val="nil"/>
            </w:tcBorders>
            <w:tcMar>
              <w:top w:w="128" w:type="dxa"/>
              <w:left w:w="43" w:type="dxa"/>
              <w:bottom w:w="43" w:type="dxa"/>
              <w:right w:w="43" w:type="dxa"/>
            </w:tcMar>
          </w:tcPr>
          <w:p w14:paraId="5F27D3F5" w14:textId="77777777" w:rsidR="00F7113A" w:rsidRPr="00580C0D" w:rsidRDefault="00142E5B" w:rsidP="00BD6CF4">
            <w:pPr>
              <w:ind w:right="57"/>
              <w:jc w:val="right"/>
            </w:pPr>
            <w:r w:rsidRPr="00580C0D">
              <w:t>1134</w:t>
            </w:r>
          </w:p>
        </w:tc>
        <w:tc>
          <w:tcPr>
            <w:tcW w:w="5560" w:type="dxa"/>
            <w:tcBorders>
              <w:top w:val="nil"/>
              <w:left w:val="nil"/>
              <w:bottom w:val="nil"/>
              <w:right w:val="nil"/>
            </w:tcBorders>
            <w:tcMar>
              <w:top w:w="128" w:type="dxa"/>
              <w:left w:w="43" w:type="dxa"/>
              <w:bottom w:w="43" w:type="dxa"/>
              <w:right w:w="43" w:type="dxa"/>
            </w:tcMar>
          </w:tcPr>
          <w:p w14:paraId="15FB3F3A" w14:textId="77777777" w:rsidR="00F7113A" w:rsidRPr="00580C0D" w:rsidRDefault="00142E5B" w:rsidP="00BD6CF4">
            <w:r w:rsidRPr="00580C0D">
              <w:t>Viltlova – utgreiing av omgrepet «kunstig lys»</w:t>
            </w:r>
          </w:p>
        </w:tc>
        <w:tc>
          <w:tcPr>
            <w:tcW w:w="1560" w:type="dxa"/>
            <w:tcBorders>
              <w:top w:val="nil"/>
              <w:left w:val="nil"/>
              <w:bottom w:val="nil"/>
              <w:right w:val="nil"/>
            </w:tcBorders>
            <w:tcMar>
              <w:top w:w="128" w:type="dxa"/>
              <w:left w:w="43" w:type="dxa"/>
              <w:bottom w:w="43" w:type="dxa"/>
              <w:right w:w="43" w:type="dxa"/>
            </w:tcMar>
            <w:vAlign w:val="bottom"/>
          </w:tcPr>
          <w:p w14:paraId="62B54E5D" w14:textId="77777777" w:rsidR="00F7113A" w:rsidRPr="00580C0D" w:rsidRDefault="00142E5B" w:rsidP="00BD6CF4">
            <w:pPr>
              <w:jc w:val="right"/>
            </w:pPr>
            <w:r w:rsidRPr="00580C0D">
              <w:t>Nei</w:t>
            </w:r>
          </w:p>
        </w:tc>
      </w:tr>
      <w:tr w:rsidR="00F7113A" w:rsidRPr="00580C0D" w14:paraId="040B7CDE" w14:textId="77777777" w:rsidTr="00BD6CF4">
        <w:trPr>
          <w:trHeight w:val="380"/>
        </w:trPr>
        <w:tc>
          <w:tcPr>
            <w:tcW w:w="1233" w:type="dxa"/>
            <w:tcBorders>
              <w:top w:val="nil"/>
              <w:left w:val="nil"/>
              <w:bottom w:val="single" w:sz="4" w:space="0" w:color="000000"/>
              <w:right w:val="nil"/>
            </w:tcBorders>
            <w:tcMar>
              <w:top w:w="128" w:type="dxa"/>
              <w:left w:w="43" w:type="dxa"/>
              <w:bottom w:w="43" w:type="dxa"/>
              <w:right w:w="43" w:type="dxa"/>
            </w:tcMar>
          </w:tcPr>
          <w:p w14:paraId="7C77B9D8" w14:textId="77777777" w:rsidR="00F7113A" w:rsidRPr="00580C0D" w:rsidRDefault="00142E5B" w:rsidP="00BD6CF4">
            <w:r w:rsidRPr="00580C0D">
              <w:t>2016–2017</w:t>
            </w:r>
          </w:p>
        </w:tc>
        <w:tc>
          <w:tcPr>
            <w:tcW w:w="1187" w:type="dxa"/>
            <w:tcBorders>
              <w:top w:val="nil"/>
              <w:left w:val="nil"/>
              <w:bottom w:val="single" w:sz="4" w:space="0" w:color="000000"/>
              <w:right w:val="nil"/>
            </w:tcBorders>
            <w:tcMar>
              <w:top w:w="128" w:type="dxa"/>
              <w:left w:w="43" w:type="dxa"/>
              <w:bottom w:w="43" w:type="dxa"/>
              <w:right w:w="43" w:type="dxa"/>
            </w:tcMar>
          </w:tcPr>
          <w:p w14:paraId="182183CA" w14:textId="77777777" w:rsidR="00F7113A" w:rsidRPr="00580C0D" w:rsidRDefault="00142E5B" w:rsidP="00BD6CF4">
            <w:pPr>
              <w:ind w:right="57"/>
              <w:jc w:val="right"/>
            </w:pPr>
            <w:r w:rsidRPr="00580C0D">
              <w:t>878</w:t>
            </w:r>
          </w:p>
        </w:tc>
        <w:tc>
          <w:tcPr>
            <w:tcW w:w="5560" w:type="dxa"/>
            <w:tcBorders>
              <w:top w:val="nil"/>
              <w:left w:val="nil"/>
              <w:bottom w:val="single" w:sz="4" w:space="0" w:color="000000"/>
              <w:right w:val="nil"/>
            </w:tcBorders>
            <w:tcMar>
              <w:top w:w="128" w:type="dxa"/>
              <w:left w:w="43" w:type="dxa"/>
              <w:bottom w:w="43" w:type="dxa"/>
              <w:right w:w="43" w:type="dxa"/>
            </w:tcMar>
          </w:tcPr>
          <w:p w14:paraId="58C99AA6" w14:textId="77777777" w:rsidR="00F7113A" w:rsidRPr="00580C0D" w:rsidRDefault="00142E5B" w:rsidP="00BD6CF4">
            <w:proofErr w:type="spellStart"/>
            <w:r w:rsidRPr="00580C0D">
              <w:t>Konsekvensar</w:t>
            </w:r>
            <w:proofErr w:type="spellEnd"/>
            <w:r w:rsidRPr="00580C0D">
              <w:t xml:space="preserve"> av liberalisering av konsesjonsplikta</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493EA9F8" w14:textId="77777777" w:rsidR="00F7113A" w:rsidRPr="00580C0D" w:rsidRDefault="00142E5B" w:rsidP="00BD6CF4">
            <w:pPr>
              <w:jc w:val="right"/>
            </w:pPr>
            <w:r w:rsidRPr="00580C0D">
              <w:t>Ja</w:t>
            </w:r>
          </w:p>
        </w:tc>
      </w:tr>
    </w:tbl>
    <w:p w14:paraId="79BD6A70" w14:textId="77777777" w:rsidR="00F7113A" w:rsidRPr="00580C0D" w:rsidRDefault="00142E5B" w:rsidP="001A1B0B">
      <w:pPr>
        <w:pStyle w:val="Overskrift2"/>
        <w:numPr>
          <w:ilvl w:val="1"/>
          <w:numId w:val="33"/>
        </w:numPr>
      </w:pPr>
      <w:r w:rsidRPr="00580C0D">
        <w:t>Stortingssesjon 2022–2023</w:t>
      </w:r>
    </w:p>
    <w:p w14:paraId="72A95634" w14:textId="77777777" w:rsidR="00F7113A" w:rsidRPr="00580C0D" w:rsidRDefault="00142E5B" w:rsidP="00580C0D">
      <w:pPr>
        <w:pStyle w:val="avsnitt-tittel"/>
      </w:pPr>
      <w:r w:rsidRPr="00580C0D">
        <w:t>Oppheve lov om endring av jordlova</w:t>
      </w:r>
    </w:p>
    <w:p w14:paraId="655CEB1F" w14:textId="77777777" w:rsidR="00F7113A" w:rsidRPr="00580C0D" w:rsidRDefault="00142E5B" w:rsidP="00580C0D">
      <w:pPr>
        <w:pStyle w:val="avsnitt-undertittel"/>
      </w:pPr>
      <w:r w:rsidRPr="00580C0D">
        <w:t>Vedtak nr. 928, 16. juni 2023:</w:t>
      </w:r>
    </w:p>
    <w:p w14:paraId="38B4E332" w14:textId="77777777" w:rsidR="00F7113A" w:rsidRPr="00580C0D" w:rsidRDefault="00142E5B" w:rsidP="00580C0D">
      <w:pPr>
        <w:pStyle w:val="blokksit"/>
        <w:rPr>
          <w:rStyle w:val="kursiv"/>
        </w:rPr>
      </w:pPr>
      <w:r w:rsidRPr="00580C0D">
        <w:rPr>
          <w:rStyle w:val="kursiv"/>
        </w:rPr>
        <w:t>Stortinget ber regjeringen legge frem forslag om å oppheve lov om endring av jordlova (oppheve forbudet mot nydyrking av myr)</w:t>
      </w:r>
    </w:p>
    <w:p w14:paraId="0E7CD454"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118 S (2022–2023), jf. </w:t>
      </w:r>
      <w:proofErr w:type="spellStart"/>
      <w:r w:rsidRPr="00580C0D">
        <w:t>Innst</w:t>
      </w:r>
      <w:proofErr w:type="spellEnd"/>
      <w:r w:rsidRPr="00580C0D">
        <w:t>. 490 S (2022–2023).</w:t>
      </w:r>
    </w:p>
    <w:p w14:paraId="65EA41DA" w14:textId="77777777" w:rsidR="00F7113A" w:rsidRPr="00580C0D" w:rsidRDefault="00142E5B" w:rsidP="00580C0D">
      <w:r w:rsidRPr="00580C0D">
        <w:t xml:space="preserve">Regjeringa vil </w:t>
      </w:r>
      <w:proofErr w:type="spellStart"/>
      <w:r w:rsidRPr="00580C0D">
        <w:t>følgje</w:t>
      </w:r>
      <w:proofErr w:type="spellEnd"/>
      <w:r w:rsidRPr="00580C0D">
        <w:t xml:space="preserve"> opp vedtaket gjennom </w:t>
      </w:r>
      <w:proofErr w:type="spellStart"/>
      <w:r w:rsidRPr="00580C0D">
        <w:t>ein</w:t>
      </w:r>
      <w:proofErr w:type="spellEnd"/>
      <w:r w:rsidRPr="00580C0D">
        <w:t xml:space="preserve"> ordinær </w:t>
      </w:r>
      <w:proofErr w:type="spellStart"/>
      <w:r w:rsidRPr="00580C0D">
        <w:t>lovprosess</w:t>
      </w:r>
      <w:proofErr w:type="spellEnd"/>
      <w:r w:rsidRPr="00580C0D">
        <w:t xml:space="preserve">. </w:t>
      </w:r>
      <w:proofErr w:type="spellStart"/>
      <w:r w:rsidRPr="00580C0D">
        <w:t>Eit</w:t>
      </w:r>
      <w:proofErr w:type="spellEnd"/>
      <w:r w:rsidRPr="00580C0D">
        <w:t xml:space="preserve"> forslag til endringslov vil bli lagt fram for Stortinget.</w:t>
      </w:r>
    </w:p>
    <w:p w14:paraId="66ED2FE5" w14:textId="77777777" w:rsidR="00F7113A" w:rsidRPr="00580C0D" w:rsidRDefault="00142E5B" w:rsidP="00580C0D">
      <w:pPr>
        <w:pStyle w:val="avsnitt-tittel"/>
      </w:pPr>
      <w:r w:rsidRPr="00580C0D">
        <w:t xml:space="preserve">Overgang </w:t>
      </w:r>
      <w:proofErr w:type="spellStart"/>
      <w:r w:rsidRPr="00580C0D">
        <w:t>frå</w:t>
      </w:r>
      <w:proofErr w:type="spellEnd"/>
      <w:r w:rsidRPr="00580C0D">
        <w:t xml:space="preserve"> kronetoll til prosenttoll</w:t>
      </w:r>
    </w:p>
    <w:p w14:paraId="34534D04" w14:textId="77777777" w:rsidR="00F7113A" w:rsidRPr="00580C0D" w:rsidRDefault="00142E5B" w:rsidP="00580C0D">
      <w:pPr>
        <w:pStyle w:val="avsnitt-undertittel"/>
      </w:pPr>
      <w:r w:rsidRPr="00580C0D">
        <w:t>Vedtak nr. 868, 16 juni 2023:</w:t>
      </w:r>
    </w:p>
    <w:p w14:paraId="7ABE70B6" w14:textId="77777777" w:rsidR="00F7113A" w:rsidRPr="00580C0D" w:rsidRDefault="00142E5B" w:rsidP="00580C0D">
      <w:pPr>
        <w:pStyle w:val="blokksit"/>
        <w:rPr>
          <w:rStyle w:val="kursiv"/>
        </w:rPr>
      </w:pPr>
      <w:r w:rsidRPr="00580C0D">
        <w:rPr>
          <w:rStyle w:val="kursiv"/>
        </w:rPr>
        <w:t>Stortinget ber regjeringen sikre norsk matberedskap og norsk matproduksjon gjennom et velfungerende tollvern, og at regjeringen i statsbudsjettet for 2024 går fra krone- til prosenttoll for enkeltprodukt for å sikre dette.</w:t>
      </w:r>
    </w:p>
    <w:p w14:paraId="76F6E349"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121 S (2022–2023), jf. </w:t>
      </w:r>
      <w:proofErr w:type="spellStart"/>
      <w:r w:rsidRPr="00580C0D">
        <w:t>Innst</w:t>
      </w:r>
      <w:proofErr w:type="spellEnd"/>
      <w:r w:rsidRPr="00580C0D">
        <w:t>. 487 S (2022–2023).</w:t>
      </w:r>
    </w:p>
    <w:p w14:paraId="787A5A62" w14:textId="77777777" w:rsidR="00F7113A" w:rsidRPr="00580C0D" w:rsidRDefault="00142E5B" w:rsidP="00580C0D">
      <w:r w:rsidRPr="00580C0D">
        <w:t xml:space="preserve">Regjeringa </w:t>
      </w:r>
      <w:proofErr w:type="spellStart"/>
      <w:r w:rsidRPr="00580C0D">
        <w:t>gjer</w:t>
      </w:r>
      <w:proofErr w:type="spellEnd"/>
      <w:r w:rsidRPr="00580C0D">
        <w:t xml:space="preserve"> framlegg om overgang </w:t>
      </w:r>
      <w:proofErr w:type="spellStart"/>
      <w:r w:rsidRPr="00580C0D">
        <w:t>frå</w:t>
      </w:r>
      <w:proofErr w:type="spellEnd"/>
      <w:r w:rsidRPr="00580C0D">
        <w:t xml:space="preserve"> kronetoll til prosenttoll for heil issalat, kålrot, knollselleri og </w:t>
      </w:r>
      <w:proofErr w:type="spellStart"/>
      <w:r w:rsidRPr="00580C0D">
        <w:t>raudbetar</w:t>
      </w:r>
      <w:proofErr w:type="spellEnd"/>
      <w:r w:rsidRPr="00580C0D">
        <w:t xml:space="preserve"> i samband med framlegging av statsbudsjettet for 2024. Departementet </w:t>
      </w:r>
      <w:proofErr w:type="spellStart"/>
      <w:r w:rsidRPr="00580C0D">
        <w:t>legg</w:t>
      </w:r>
      <w:proofErr w:type="spellEnd"/>
      <w:r w:rsidRPr="00580C0D">
        <w:t xml:space="preserve"> til grunn at vedtak nr. 868, 16. juni 2023 med dette er </w:t>
      </w:r>
      <w:proofErr w:type="spellStart"/>
      <w:r w:rsidRPr="00580C0D">
        <w:t>følgt</w:t>
      </w:r>
      <w:proofErr w:type="spellEnd"/>
      <w:r w:rsidRPr="00580C0D">
        <w:t xml:space="preserve"> opp.</w:t>
      </w:r>
    </w:p>
    <w:p w14:paraId="08EA4CFA" w14:textId="77777777" w:rsidR="00F7113A" w:rsidRPr="00580C0D" w:rsidRDefault="00142E5B" w:rsidP="00580C0D">
      <w:pPr>
        <w:pStyle w:val="avsnitt-tittel"/>
      </w:pPr>
      <w:r w:rsidRPr="00580C0D">
        <w:t>Bruk av kart i tilskottssystemet</w:t>
      </w:r>
    </w:p>
    <w:p w14:paraId="1F97D18A" w14:textId="77777777" w:rsidR="00F7113A" w:rsidRPr="00580C0D" w:rsidRDefault="00142E5B" w:rsidP="00580C0D">
      <w:pPr>
        <w:pStyle w:val="avsnitt-undertittel"/>
      </w:pPr>
      <w:r w:rsidRPr="00580C0D">
        <w:t>Vedtak nr. 867, 16. juni 2023:</w:t>
      </w:r>
    </w:p>
    <w:p w14:paraId="1E4E4FE2" w14:textId="77777777" w:rsidR="00F7113A" w:rsidRPr="00580C0D" w:rsidRDefault="00142E5B" w:rsidP="00580C0D">
      <w:pPr>
        <w:pStyle w:val="blokksit"/>
        <w:rPr>
          <w:rStyle w:val="kursiv"/>
        </w:rPr>
      </w:pPr>
      <w:r w:rsidRPr="00580C0D">
        <w:rPr>
          <w:rStyle w:val="kursiv"/>
        </w:rPr>
        <w:t xml:space="preserve">Stortinget ber regjeringen, i dialog med faglagene, utrede hvordan bruk av </w:t>
      </w:r>
      <w:proofErr w:type="spellStart"/>
      <w:r w:rsidRPr="00580C0D">
        <w:rPr>
          <w:rStyle w:val="kursiv"/>
        </w:rPr>
        <w:t>datakart</w:t>
      </w:r>
      <w:proofErr w:type="spellEnd"/>
      <w:r w:rsidRPr="00580C0D">
        <w:rPr>
          <w:rStyle w:val="kursiv"/>
        </w:rPr>
        <w:t xml:space="preserve"> kan sikre høyere presisjon i tildeling av tilskuddsmidler og </w:t>
      </w:r>
      <w:proofErr w:type="spellStart"/>
      <w:r w:rsidRPr="00580C0D">
        <w:rPr>
          <w:rStyle w:val="kursiv"/>
        </w:rPr>
        <w:t>målrette</w:t>
      </w:r>
      <w:proofErr w:type="spellEnd"/>
      <w:r w:rsidRPr="00580C0D">
        <w:rPr>
          <w:rStyle w:val="kursiv"/>
        </w:rPr>
        <w:t xml:space="preserve"> arealtilskudd mot arealer som ligger brakk, som for eksempel et teigbasert tilskudd. Utredningen skal være klar før de ordinære jordbruksforhandlingene i 2024.</w:t>
      </w:r>
    </w:p>
    <w:p w14:paraId="3D5B6625"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121 S (2022–2023), jf. </w:t>
      </w:r>
      <w:proofErr w:type="spellStart"/>
      <w:r w:rsidRPr="00580C0D">
        <w:t>Innst</w:t>
      </w:r>
      <w:proofErr w:type="spellEnd"/>
      <w:r w:rsidRPr="00580C0D">
        <w:t xml:space="preserve">. 487 S (2022–2023). Både bruk av kart og målretting av tilskott mot </w:t>
      </w:r>
      <w:proofErr w:type="spellStart"/>
      <w:r w:rsidRPr="00580C0D">
        <w:t>særskilde</w:t>
      </w:r>
      <w:proofErr w:type="spellEnd"/>
      <w:r w:rsidRPr="00580C0D">
        <w:t xml:space="preserve"> </w:t>
      </w:r>
      <w:proofErr w:type="spellStart"/>
      <w:r w:rsidRPr="00580C0D">
        <w:t>teigar</w:t>
      </w:r>
      <w:proofErr w:type="spellEnd"/>
      <w:r w:rsidRPr="00580C0D">
        <w:t xml:space="preserve"> har </w:t>
      </w:r>
      <w:proofErr w:type="spellStart"/>
      <w:r w:rsidRPr="00580C0D">
        <w:t>vore</w:t>
      </w:r>
      <w:proofErr w:type="spellEnd"/>
      <w:r w:rsidRPr="00580C0D">
        <w:t xml:space="preserve"> </w:t>
      </w:r>
      <w:proofErr w:type="spellStart"/>
      <w:r w:rsidRPr="00580C0D">
        <w:t>utgreidd</w:t>
      </w:r>
      <w:proofErr w:type="spellEnd"/>
      <w:r w:rsidRPr="00580C0D">
        <w:t xml:space="preserve"> </w:t>
      </w:r>
      <w:proofErr w:type="spellStart"/>
      <w:r w:rsidRPr="00580C0D">
        <w:t>tidlegare</w:t>
      </w:r>
      <w:proofErr w:type="spellEnd"/>
      <w:r w:rsidRPr="00580C0D">
        <w:t xml:space="preserve">, og Landbruksdirektoratet skal greie ut denne problemstillinga fram mot </w:t>
      </w:r>
      <w:proofErr w:type="spellStart"/>
      <w:r w:rsidRPr="00580C0D">
        <w:t>jordbruksforhandlingane</w:t>
      </w:r>
      <w:proofErr w:type="spellEnd"/>
      <w:r w:rsidRPr="00580C0D">
        <w:t xml:space="preserve"> 2024.</w:t>
      </w:r>
    </w:p>
    <w:p w14:paraId="766A797F" w14:textId="77777777" w:rsidR="00F7113A" w:rsidRPr="00580C0D" w:rsidRDefault="00142E5B" w:rsidP="00580C0D">
      <w:pPr>
        <w:pStyle w:val="avsnitt-tittel"/>
      </w:pPr>
      <w:r w:rsidRPr="00580C0D">
        <w:t xml:space="preserve">Strategi for </w:t>
      </w:r>
      <w:proofErr w:type="spellStart"/>
      <w:r w:rsidRPr="00580C0D">
        <w:t>auka</w:t>
      </w:r>
      <w:proofErr w:type="spellEnd"/>
      <w:r w:rsidRPr="00580C0D">
        <w:t xml:space="preserve"> </w:t>
      </w:r>
      <w:proofErr w:type="spellStart"/>
      <w:r w:rsidRPr="00580C0D">
        <w:t>sjølvforsyning</w:t>
      </w:r>
      <w:proofErr w:type="spellEnd"/>
      <w:r w:rsidRPr="00580C0D">
        <w:t xml:space="preserve"> og trygg matproduksjon</w:t>
      </w:r>
    </w:p>
    <w:p w14:paraId="6DC3F817" w14:textId="77777777" w:rsidR="00F7113A" w:rsidRPr="00580C0D" w:rsidRDefault="00142E5B" w:rsidP="00580C0D">
      <w:pPr>
        <w:pStyle w:val="avsnitt-undertittel"/>
      </w:pPr>
      <w:r w:rsidRPr="00580C0D">
        <w:t>Vedtak nr. 866, 16. juni 2023:</w:t>
      </w:r>
    </w:p>
    <w:p w14:paraId="12118D68" w14:textId="77777777" w:rsidR="00F7113A" w:rsidRPr="00580C0D" w:rsidRDefault="00142E5B" w:rsidP="00580C0D">
      <w:pPr>
        <w:pStyle w:val="blokksit"/>
        <w:rPr>
          <w:rStyle w:val="kursiv"/>
        </w:rPr>
      </w:pPr>
      <w:r w:rsidRPr="00580C0D">
        <w:rPr>
          <w:rStyle w:val="kursiv"/>
        </w:rPr>
        <w:t>Stortinget ber regjeringen, i dialog med faglagene, legge fram en strategi for økt selvforsyning og trygg matproduksjon basert på norske ressurser, og komme tilbake til Stortinget senest i forbindelse med statsbudsjettet.</w:t>
      </w:r>
    </w:p>
    <w:p w14:paraId="466A9CC8"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121 S (2022–2023), jf. </w:t>
      </w:r>
      <w:proofErr w:type="spellStart"/>
      <w:r w:rsidRPr="00580C0D">
        <w:t>Innst</w:t>
      </w:r>
      <w:proofErr w:type="spellEnd"/>
      <w:r w:rsidRPr="00580C0D">
        <w:t>. 487 S (2022–2023).</w:t>
      </w:r>
    </w:p>
    <w:p w14:paraId="030D81DF" w14:textId="77777777" w:rsidR="00F7113A" w:rsidRPr="00580C0D" w:rsidRDefault="00142E5B" w:rsidP="00580C0D">
      <w:r w:rsidRPr="00580C0D">
        <w:t xml:space="preserve">I regjeringa si politiske plattform </w:t>
      </w:r>
      <w:proofErr w:type="spellStart"/>
      <w:r w:rsidRPr="00580C0D">
        <w:t>heiter</w:t>
      </w:r>
      <w:proofErr w:type="spellEnd"/>
      <w:r w:rsidRPr="00580C0D">
        <w:t xml:space="preserve"> det at </w:t>
      </w:r>
      <w:r w:rsidRPr="00580C0D">
        <w:rPr>
          <w:rStyle w:val="kursiv"/>
        </w:rPr>
        <w:t xml:space="preserve">«Regjeringen vil </w:t>
      </w:r>
      <w:proofErr w:type="spellStart"/>
      <w:r w:rsidRPr="00580C0D">
        <w:rPr>
          <w:rStyle w:val="kursiv"/>
        </w:rPr>
        <w:t>leggje</w:t>
      </w:r>
      <w:proofErr w:type="spellEnd"/>
      <w:r w:rsidRPr="00580C0D">
        <w:rPr>
          <w:rStyle w:val="kursiv"/>
        </w:rPr>
        <w:t xml:space="preserve"> fram og gjennomføre </w:t>
      </w:r>
      <w:proofErr w:type="spellStart"/>
      <w:r w:rsidRPr="00580C0D">
        <w:rPr>
          <w:rStyle w:val="kursiv"/>
        </w:rPr>
        <w:t>ein</w:t>
      </w:r>
      <w:proofErr w:type="spellEnd"/>
      <w:r w:rsidRPr="00580C0D">
        <w:rPr>
          <w:rStyle w:val="kursiv"/>
        </w:rPr>
        <w:t xml:space="preserve"> opptrappingsplan for trygg matproduksjon på norske </w:t>
      </w:r>
      <w:proofErr w:type="spellStart"/>
      <w:r w:rsidRPr="00580C0D">
        <w:rPr>
          <w:rStyle w:val="kursiv"/>
        </w:rPr>
        <w:t>ressursar</w:t>
      </w:r>
      <w:proofErr w:type="spellEnd"/>
      <w:r w:rsidRPr="00580C0D">
        <w:rPr>
          <w:rStyle w:val="kursiv"/>
        </w:rPr>
        <w:t xml:space="preserve"> og </w:t>
      </w:r>
      <w:proofErr w:type="spellStart"/>
      <w:r w:rsidRPr="00580C0D">
        <w:rPr>
          <w:rStyle w:val="kursiv"/>
        </w:rPr>
        <w:t>setje</w:t>
      </w:r>
      <w:proofErr w:type="spellEnd"/>
      <w:r w:rsidRPr="00580C0D">
        <w:rPr>
          <w:rStyle w:val="kursiv"/>
        </w:rPr>
        <w:t xml:space="preserve"> </w:t>
      </w:r>
      <w:proofErr w:type="spellStart"/>
      <w:r w:rsidRPr="00580C0D">
        <w:rPr>
          <w:rStyle w:val="kursiv"/>
        </w:rPr>
        <w:t>eit</w:t>
      </w:r>
      <w:proofErr w:type="spellEnd"/>
      <w:r w:rsidRPr="00580C0D">
        <w:rPr>
          <w:rStyle w:val="kursiv"/>
        </w:rPr>
        <w:t xml:space="preserve"> mål for </w:t>
      </w:r>
      <w:proofErr w:type="spellStart"/>
      <w:r w:rsidRPr="00580C0D">
        <w:rPr>
          <w:rStyle w:val="kursiv"/>
        </w:rPr>
        <w:t>sjølvforsyningsgrad</w:t>
      </w:r>
      <w:proofErr w:type="spellEnd"/>
      <w:r w:rsidRPr="00580C0D">
        <w:rPr>
          <w:rStyle w:val="kursiv"/>
        </w:rPr>
        <w:t xml:space="preserve"> av norske jordbruksmatvarer, korrigert for import av fôrråvarer, på 50 prosent».</w:t>
      </w:r>
    </w:p>
    <w:p w14:paraId="383BF9FD" w14:textId="77777777" w:rsidR="00F7113A" w:rsidRPr="00580C0D" w:rsidRDefault="00142E5B" w:rsidP="00580C0D">
      <w:proofErr w:type="spellStart"/>
      <w:r w:rsidRPr="00580C0D">
        <w:t>Noreg</w:t>
      </w:r>
      <w:proofErr w:type="spellEnd"/>
      <w:r w:rsidRPr="00580C0D">
        <w:t xml:space="preserve"> har i dag høg </w:t>
      </w:r>
      <w:proofErr w:type="spellStart"/>
      <w:r w:rsidRPr="00580C0D">
        <w:t>sjølvforsyning</w:t>
      </w:r>
      <w:proofErr w:type="spellEnd"/>
      <w:r w:rsidRPr="00580C0D">
        <w:t xml:space="preserve"> av husdyrprodukt og relativt låg </w:t>
      </w:r>
      <w:proofErr w:type="spellStart"/>
      <w:r w:rsidRPr="00580C0D">
        <w:t>sjølvforsyning</w:t>
      </w:r>
      <w:proofErr w:type="spellEnd"/>
      <w:r w:rsidRPr="00580C0D">
        <w:t xml:space="preserve"> av energirike </w:t>
      </w:r>
      <w:proofErr w:type="spellStart"/>
      <w:r w:rsidRPr="00580C0D">
        <w:t>plantevekstar</w:t>
      </w:r>
      <w:proofErr w:type="spellEnd"/>
      <w:r w:rsidRPr="00580C0D">
        <w:t xml:space="preserve">. Å </w:t>
      </w:r>
      <w:proofErr w:type="spellStart"/>
      <w:r w:rsidRPr="00580C0D">
        <w:t>auke</w:t>
      </w:r>
      <w:proofErr w:type="spellEnd"/>
      <w:r w:rsidRPr="00580C0D">
        <w:t xml:space="preserve"> </w:t>
      </w:r>
      <w:proofErr w:type="spellStart"/>
      <w:r w:rsidRPr="00580C0D">
        <w:t>sjølvforsyninga</w:t>
      </w:r>
      <w:proofErr w:type="spellEnd"/>
      <w:r w:rsidRPr="00580C0D">
        <w:t xml:space="preserve"> </w:t>
      </w:r>
      <w:proofErr w:type="spellStart"/>
      <w:r w:rsidRPr="00580C0D">
        <w:t>handlar</w:t>
      </w:r>
      <w:proofErr w:type="spellEnd"/>
      <w:r w:rsidRPr="00580C0D">
        <w:t xml:space="preserve"> for norsk landbruk </w:t>
      </w:r>
      <w:proofErr w:type="spellStart"/>
      <w:r w:rsidRPr="00580C0D">
        <w:t>difor</w:t>
      </w:r>
      <w:proofErr w:type="spellEnd"/>
      <w:r w:rsidRPr="00580C0D">
        <w:t xml:space="preserve"> først og fremst om å </w:t>
      </w:r>
      <w:proofErr w:type="spellStart"/>
      <w:r w:rsidRPr="00580C0D">
        <w:t>forbetre</w:t>
      </w:r>
      <w:proofErr w:type="spellEnd"/>
      <w:r w:rsidRPr="00580C0D">
        <w:t xml:space="preserve"> og </w:t>
      </w:r>
      <w:proofErr w:type="spellStart"/>
      <w:r w:rsidRPr="00580C0D">
        <w:t>auke</w:t>
      </w:r>
      <w:proofErr w:type="spellEnd"/>
      <w:r w:rsidRPr="00580C0D">
        <w:t xml:space="preserve"> produksjonen av planteprodukt, både til mat og fôr, og å </w:t>
      </w:r>
      <w:proofErr w:type="spellStart"/>
      <w:r w:rsidRPr="00580C0D">
        <w:t>styrkje</w:t>
      </w:r>
      <w:proofErr w:type="spellEnd"/>
      <w:r w:rsidRPr="00580C0D">
        <w:t xml:space="preserve"> konkurransekrafta mot import. I tillegg viser </w:t>
      </w:r>
      <w:proofErr w:type="spellStart"/>
      <w:r w:rsidRPr="00580C0D">
        <w:t>fleire</w:t>
      </w:r>
      <w:proofErr w:type="spellEnd"/>
      <w:r w:rsidRPr="00580C0D">
        <w:t xml:space="preserve"> </w:t>
      </w:r>
      <w:proofErr w:type="spellStart"/>
      <w:r w:rsidRPr="00580C0D">
        <w:t>rapportar</w:t>
      </w:r>
      <w:proofErr w:type="spellEnd"/>
      <w:r w:rsidRPr="00580C0D">
        <w:t xml:space="preserve"> at </w:t>
      </w:r>
      <w:proofErr w:type="spellStart"/>
      <w:r w:rsidRPr="00580C0D">
        <w:t>ein</w:t>
      </w:r>
      <w:proofErr w:type="spellEnd"/>
      <w:r w:rsidRPr="00580C0D">
        <w:t xml:space="preserve"> kraftig </w:t>
      </w:r>
      <w:proofErr w:type="spellStart"/>
      <w:r w:rsidRPr="00580C0D">
        <w:t>auke</w:t>
      </w:r>
      <w:proofErr w:type="spellEnd"/>
      <w:r w:rsidRPr="00580C0D">
        <w:t xml:space="preserve"> i </w:t>
      </w:r>
      <w:proofErr w:type="spellStart"/>
      <w:r w:rsidRPr="00580C0D">
        <w:t>sjølvforsyningsgraden</w:t>
      </w:r>
      <w:proofErr w:type="spellEnd"/>
      <w:r w:rsidRPr="00580C0D">
        <w:t xml:space="preserve"> er avhengig av </w:t>
      </w:r>
      <w:proofErr w:type="spellStart"/>
      <w:r w:rsidRPr="00580C0D">
        <w:t>endringar</w:t>
      </w:r>
      <w:proofErr w:type="spellEnd"/>
      <w:r w:rsidRPr="00580C0D">
        <w:t xml:space="preserve"> i </w:t>
      </w:r>
      <w:proofErr w:type="spellStart"/>
      <w:r w:rsidRPr="00580C0D">
        <w:t>kosthaldet</w:t>
      </w:r>
      <w:proofErr w:type="spellEnd"/>
      <w:r w:rsidRPr="00580C0D">
        <w:t xml:space="preserve"> i retning </w:t>
      </w:r>
      <w:proofErr w:type="spellStart"/>
      <w:r w:rsidRPr="00580C0D">
        <w:t>plantevekstar</w:t>
      </w:r>
      <w:proofErr w:type="spellEnd"/>
      <w:r w:rsidRPr="00580C0D">
        <w:t xml:space="preserve"> til mat som kan produserast i </w:t>
      </w:r>
      <w:proofErr w:type="spellStart"/>
      <w:r w:rsidRPr="00580C0D">
        <w:t>Noreg</w:t>
      </w:r>
      <w:proofErr w:type="spellEnd"/>
      <w:r w:rsidRPr="00580C0D">
        <w:t>.</w:t>
      </w:r>
    </w:p>
    <w:p w14:paraId="6FF23EAB" w14:textId="77777777" w:rsidR="00F7113A" w:rsidRPr="00580C0D" w:rsidRDefault="00142E5B" w:rsidP="00580C0D">
      <w:r w:rsidRPr="00580C0D">
        <w:t xml:space="preserve">Regjeringa har </w:t>
      </w:r>
      <w:proofErr w:type="spellStart"/>
      <w:r w:rsidRPr="00580C0D">
        <w:t>sidan</w:t>
      </w:r>
      <w:proofErr w:type="spellEnd"/>
      <w:r w:rsidRPr="00580C0D">
        <w:t xml:space="preserve"> den </w:t>
      </w:r>
      <w:proofErr w:type="spellStart"/>
      <w:r w:rsidRPr="00580C0D">
        <w:t>tiltredde</w:t>
      </w:r>
      <w:proofErr w:type="spellEnd"/>
      <w:r w:rsidRPr="00580C0D">
        <w:t xml:space="preserve"> </w:t>
      </w:r>
      <w:proofErr w:type="spellStart"/>
      <w:r w:rsidRPr="00580C0D">
        <w:t>arbeidd</w:t>
      </w:r>
      <w:proofErr w:type="spellEnd"/>
      <w:r w:rsidRPr="00580C0D">
        <w:t xml:space="preserve"> for å </w:t>
      </w:r>
      <w:proofErr w:type="spellStart"/>
      <w:r w:rsidRPr="00580C0D">
        <w:t>auke</w:t>
      </w:r>
      <w:proofErr w:type="spellEnd"/>
      <w:r w:rsidRPr="00580C0D">
        <w:t xml:space="preserve"> </w:t>
      </w:r>
      <w:proofErr w:type="spellStart"/>
      <w:r w:rsidRPr="00580C0D">
        <w:t>sjølvforsyninga</w:t>
      </w:r>
      <w:proofErr w:type="spellEnd"/>
      <w:r w:rsidRPr="00580C0D">
        <w:t xml:space="preserve">, mellom anna gjennom </w:t>
      </w:r>
      <w:proofErr w:type="spellStart"/>
      <w:r w:rsidRPr="00580C0D">
        <w:t>tilleggsforhandlingar</w:t>
      </w:r>
      <w:proofErr w:type="spellEnd"/>
      <w:r w:rsidRPr="00580C0D">
        <w:t xml:space="preserve"> og </w:t>
      </w:r>
      <w:proofErr w:type="spellStart"/>
      <w:r w:rsidRPr="00580C0D">
        <w:t>jordbruksoppgjer</w:t>
      </w:r>
      <w:proofErr w:type="spellEnd"/>
      <w:r w:rsidRPr="00580C0D">
        <w:t xml:space="preserve">, og vil invitere faglaga i løpet av </w:t>
      </w:r>
      <w:proofErr w:type="spellStart"/>
      <w:r w:rsidRPr="00580C0D">
        <w:t>hausten</w:t>
      </w:r>
      <w:proofErr w:type="spellEnd"/>
      <w:r w:rsidRPr="00580C0D">
        <w:t xml:space="preserve"> 2023 til </w:t>
      </w:r>
      <w:proofErr w:type="spellStart"/>
      <w:r w:rsidRPr="00580C0D">
        <w:t>vidare</w:t>
      </w:r>
      <w:proofErr w:type="spellEnd"/>
      <w:r w:rsidRPr="00580C0D">
        <w:t xml:space="preserve"> dialog om </w:t>
      </w:r>
      <w:proofErr w:type="spellStart"/>
      <w:r w:rsidRPr="00580C0D">
        <w:t>ein</w:t>
      </w:r>
      <w:proofErr w:type="spellEnd"/>
      <w:r w:rsidRPr="00580C0D">
        <w:t xml:space="preserve"> strategi for </w:t>
      </w:r>
      <w:proofErr w:type="spellStart"/>
      <w:r w:rsidRPr="00580C0D">
        <w:t>auka</w:t>
      </w:r>
      <w:proofErr w:type="spellEnd"/>
      <w:r w:rsidRPr="00580C0D">
        <w:t xml:space="preserve"> </w:t>
      </w:r>
      <w:proofErr w:type="spellStart"/>
      <w:r w:rsidRPr="00580C0D">
        <w:t>sjølvforsyning</w:t>
      </w:r>
      <w:proofErr w:type="spellEnd"/>
      <w:r w:rsidRPr="00580C0D">
        <w:t xml:space="preserve"> og trygg matproduksjon. Regjeringa vil komme tilbake med konkretisering av strategien slik at den kan </w:t>
      </w:r>
      <w:proofErr w:type="spellStart"/>
      <w:r w:rsidRPr="00580C0D">
        <w:t>handsamast</w:t>
      </w:r>
      <w:proofErr w:type="spellEnd"/>
      <w:r w:rsidRPr="00580C0D">
        <w:t xml:space="preserve"> av Stortinget før </w:t>
      </w:r>
      <w:proofErr w:type="spellStart"/>
      <w:r w:rsidRPr="00580C0D">
        <w:t>jordbruksoppgjeret</w:t>
      </w:r>
      <w:proofErr w:type="spellEnd"/>
      <w:r w:rsidRPr="00580C0D">
        <w:t xml:space="preserve"> 2024.</w:t>
      </w:r>
    </w:p>
    <w:p w14:paraId="3B5B1C35" w14:textId="77777777" w:rsidR="00F7113A" w:rsidRPr="00580C0D" w:rsidRDefault="00142E5B" w:rsidP="00580C0D">
      <w:pPr>
        <w:pStyle w:val="avsnitt-tittel"/>
      </w:pPr>
      <w:proofErr w:type="spellStart"/>
      <w:r w:rsidRPr="00580C0D">
        <w:t>Strengare</w:t>
      </w:r>
      <w:proofErr w:type="spellEnd"/>
      <w:r w:rsidRPr="00580C0D">
        <w:t xml:space="preserve"> straff for </w:t>
      </w:r>
      <w:proofErr w:type="spellStart"/>
      <w:r w:rsidRPr="00580C0D">
        <w:t>alvorleg</w:t>
      </w:r>
      <w:proofErr w:type="spellEnd"/>
      <w:r w:rsidRPr="00580C0D">
        <w:t xml:space="preserve"> dyrekriminalitet</w:t>
      </w:r>
    </w:p>
    <w:p w14:paraId="31560149" w14:textId="77777777" w:rsidR="00F7113A" w:rsidRPr="00580C0D" w:rsidRDefault="00142E5B" w:rsidP="00580C0D">
      <w:pPr>
        <w:pStyle w:val="avsnitt-undertittel"/>
      </w:pPr>
      <w:r w:rsidRPr="00580C0D">
        <w:t>Vedtak nr. 702, 25 mai 2023:</w:t>
      </w:r>
    </w:p>
    <w:p w14:paraId="4B7C13CD" w14:textId="77777777" w:rsidR="00F7113A" w:rsidRPr="00580C0D" w:rsidRDefault="00142E5B" w:rsidP="00580C0D">
      <w:pPr>
        <w:pStyle w:val="blokksit"/>
        <w:rPr>
          <w:rStyle w:val="kursiv"/>
        </w:rPr>
      </w:pPr>
      <w:r w:rsidRPr="00580C0D">
        <w:rPr>
          <w:rStyle w:val="kursiv"/>
        </w:rPr>
        <w:t>«Stortinget ber regjeringen sikre at Mattilsynet i større grad anmelder alvorlige brudd på dyrevelferdsloven.»</w:t>
      </w:r>
    </w:p>
    <w:p w14:paraId="721087D8" w14:textId="77777777" w:rsidR="00F7113A" w:rsidRPr="00580C0D" w:rsidRDefault="00142E5B" w:rsidP="00580C0D">
      <w:r w:rsidRPr="00580C0D">
        <w:t xml:space="preserve">Vedtaket blei fatta ved handsaminga av Dokument 8:219 S (2022–2023), jf. </w:t>
      </w:r>
      <w:proofErr w:type="spellStart"/>
      <w:r w:rsidRPr="00580C0D">
        <w:t>Innst</w:t>
      </w:r>
      <w:proofErr w:type="spellEnd"/>
      <w:r w:rsidRPr="00580C0D">
        <w:t>. 369 S (2022–2023).</w:t>
      </w:r>
    </w:p>
    <w:p w14:paraId="7F386AA4" w14:textId="77777777" w:rsidR="00F7113A" w:rsidRPr="00580C0D" w:rsidRDefault="00142E5B" w:rsidP="00580C0D">
      <w:r w:rsidRPr="00580C0D">
        <w:t xml:space="preserve">Mattilsynet har styrkt arbeidet med dyrevelferdskriminalitet og ferdigstilt </w:t>
      </w:r>
      <w:proofErr w:type="spellStart"/>
      <w:r w:rsidRPr="00580C0D">
        <w:t>retningsliner</w:t>
      </w:r>
      <w:proofErr w:type="spellEnd"/>
      <w:r w:rsidRPr="00580C0D">
        <w:t xml:space="preserve"> for samarbeid mellom politiet og Mattilsynet. Tal på </w:t>
      </w:r>
      <w:proofErr w:type="spellStart"/>
      <w:r w:rsidRPr="00580C0D">
        <w:t>meldingar</w:t>
      </w:r>
      <w:proofErr w:type="spellEnd"/>
      <w:r w:rsidRPr="00580C0D">
        <w:t xml:space="preserve"> til politiet har </w:t>
      </w:r>
      <w:proofErr w:type="spellStart"/>
      <w:r w:rsidRPr="00580C0D">
        <w:t>auka</w:t>
      </w:r>
      <w:proofErr w:type="spellEnd"/>
      <w:r w:rsidRPr="00580C0D">
        <w:t xml:space="preserve"> </w:t>
      </w:r>
      <w:proofErr w:type="spellStart"/>
      <w:r w:rsidRPr="00580C0D">
        <w:t>dei</w:t>
      </w:r>
      <w:proofErr w:type="spellEnd"/>
      <w:r w:rsidRPr="00580C0D">
        <w:t xml:space="preserve"> siste åra, og dette vil bli </w:t>
      </w:r>
      <w:proofErr w:type="spellStart"/>
      <w:r w:rsidRPr="00580C0D">
        <w:t>følgt</w:t>
      </w:r>
      <w:proofErr w:type="spellEnd"/>
      <w:r w:rsidRPr="00580C0D">
        <w:t xml:space="preserve"> opp </w:t>
      </w:r>
      <w:proofErr w:type="spellStart"/>
      <w:r w:rsidRPr="00580C0D">
        <w:t>vidare</w:t>
      </w:r>
      <w:proofErr w:type="spellEnd"/>
      <w:r w:rsidRPr="00580C0D">
        <w:t xml:space="preserve"> framover. Temaet vil òg inngå i arbeidet med dyrevelferdsmeldinga.</w:t>
      </w:r>
    </w:p>
    <w:p w14:paraId="32601B7A" w14:textId="77777777" w:rsidR="00F7113A" w:rsidRPr="00580C0D" w:rsidRDefault="00142E5B" w:rsidP="00580C0D">
      <w:pPr>
        <w:pStyle w:val="avsnitt-tittel"/>
      </w:pPr>
      <w:proofErr w:type="spellStart"/>
      <w:r w:rsidRPr="00580C0D">
        <w:t>Strengare</w:t>
      </w:r>
      <w:proofErr w:type="spellEnd"/>
      <w:r w:rsidRPr="00580C0D">
        <w:t xml:space="preserve"> straff for </w:t>
      </w:r>
      <w:proofErr w:type="spellStart"/>
      <w:r w:rsidRPr="00580C0D">
        <w:t>alvorleg</w:t>
      </w:r>
      <w:proofErr w:type="spellEnd"/>
      <w:r w:rsidRPr="00580C0D">
        <w:t xml:space="preserve"> dyrekriminalitet</w:t>
      </w:r>
    </w:p>
    <w:p w14:paraId="2C0AE193" w14:textId="77777777" w:rsidR="00F7113A" w:rsidRPr="00580C0D" w:rsidRDefault="00142E5B" w:rsidP="00580C0D">
      <w:pPr>
        <w:pStyle w:val="avsnitt-undertittel"/>
      </w:pPr>
      <w:r w:rsidRPr="00580C0D">
        <w:t>Vedtak nr. 701, 25 mai 2023:</w:t>
      </w:r>
    </w:p>
    <w:p w14:paraId="387C9E78" w14:textId="77777777" w:rsidR="00F7113A" w:rsidRPr="00580C0D" w:rsidRDefault="00142E5B" w:rsidP="00580C0D">
      <w:pPr>
        <w:pStyle w:val="blokksit"/>
        <w:rPr>
          <w:rStyle w:val="kursiv"/>
        </w:rPr>
      </w:pPr>
      <w:r w:rsidRPr="00580C0D">
        <w:rPr>
          <w:rStyle w:val="kursiv"/>
        </w:rPr>
        <w:t>«Stortinget ber regjeringen sikre at dyreeiere som ikke etterkommer pålegg fra Mattilsynet etter alvorlige og gjentatte brudd på dyrevelferdsloven, lettere fratas retten til å drive med husdyrhold.»</w:t>
      </w:r>
    </w:p>
    <w:p w14:paraId="1FD821CF" w14:textId="77777777" w:rsidR="00F7113A" w:rsidRPr="00580C0D" w:rsidRDefault="00142E5B" w:rsidP="00580C0D">
      <w:r w:rsidRPr="00580C0D">
        <w:t xml:space="preserve">Vedtaket blei fatta ved handsaminga av Dokument 8:219 S (2022–2023), jf. </w:t>
      </w:r>
      <w:proofErr w:type="spellStart"/>
      <w:r w:rsidRPr="00580C0D">
        <w:t>Innst</w:t>
      </w:r>
      <w:proofErr w:type="spellEnd"/>
      <w:r w:rsidRPr="00580C0D">
        <w:t>. 369 S (2022–2023).</w:t>
      </w:r>
    </w:p>
    <w:p w14:paraId="4195CF3A" w14:textId="77777777" w:rsidR="00F7113A" w:rsidRPr="00580C0D" w:rsidRDefault="00142E5B" w:rsidP="00580C0D">
      <w:r w:rsidRPr="00580C0D">
        <w:t xml:space="preserve">Oppfølging av kronisk </w:t>
      </w:r>
      <w:proofErr w:type="spellStart"/>
      <w:r w:rsidRPr="00580C0D">
        <w:t>dårlege</w:t>
      </w:r>
      <w:proofErr w:type="spellEnd"/>
      <w:r w:rsidRPr="00580C0D">
        <w:t xml:space="preserve"> </w:t>
      </w:r>
      <w:proofErr w:type="spellStart"/>
      <w:r w:rsidRPr="00580C0D">
        <w:t>dyrehald</w:t>
      </w:r>
      <w:proofErr w:type="spellEnd"/>
      <w:r w:rsidRPr="00580C0D">
        <w:t xml:space="preserve"> har </w:t>
      </w:r>
      <w:proofErr w:type="spellStart"/>
      <w:r w:rsidRPr="00580C0D">
        <w:t>vore</w:t>
      </w:r>
      <w:proofErr w:type="spellEnd"/>
      <w:r w:rsidRPr="00580C0D">
        <w:t xml:space="preserve"> </w:t>
      </w:r>
      <w:proofErr w:type="spellStart"/>
      <w:r w:rsidRPr="00580C0D">
        <w:t>eit</w:t>
      </w:r>
      <w:proofErr w:type="spellEnd"/>
      <w:r w:rsidRPr="00580C0D">
        <w:t xml:space="preserve"> prioritert område for Mattilsynet </w:t>
      </w:r>
      <w:proofErr w:type="spellStart"/>
      <w:r w:rsidRPr="00580C0D">
        <w:t>dei</w:t>
      </w:r>
      <w:proofErr w:type="spellEnd"/>
      <w:r w:rsidRPr="00580C0D">
        <w:t xml:space="preserve"> siste åra, og </w:t>
      </w:r>
      <w:proofErr w:type="spellStart"/>
      <w:r w:rsidRPr="00580C0D">
        <w:t>retningsliner</w:t>
      </w:r>
      <w:proofErr w:type="spellEnd"/>
      <w:r w:rsidRPr="00580C0D">
        <w:t xml:space="preserve"> for oppfølging av </w:t>
      </w:r>
      <w:proofErr w:type="spellStart"/>
      <w:r w:rsidRPr="00580C0D">
        <w:t>desse</w:t>
      </w:r>
      <w:proofErr w:type="spellEnd"/>
      <w:r w:rsidRPr="00580C0D">
        <w:t xml:space="preserve"> </w:t>
      </w:r>
      <w:proofErr w:type="spellStart"/>
      <w:r w:rsidRPr="00580C0D">
        <w:t>dyrehalda</w:t>
      </w:r>
      <w:proofErr w:type="spellEnd"/>
      <w:r w:rsidRPr="00580C0D">
        <w:t xml:space="preserve"> er reviderte. Departementet har </w:t>
      </w:r>
      <w:proofErr w:type="spellStart"/>
      <w:r w:rsidRPr="00580C0D">
        <w:t>motteke</w:t>
      </w:r>
      <w:proofErr w:type="spellEnd"/>
      <w:r w:rsidRPr="00580C0D">
        <w:t xml:space="preserve"> </w:t>
      </w:r>
      <w:proofErr w:type="spellStart"/>
      <w:r w:rsidRPr="00580C0D">
        <w:t>fleire</w:t>
      </w:r>
      <w:proofErr w:type="spellEnd"/>
      <w:r w:rsidRPr="00580C0D">
        <w:t xml:space="preserve"> </w:t>
      </w:r>
      <w:proofErr w:type="spellStart"/>
      <w:r w:rsidRPr="00580C0D">
        <w:t>innspel</w:t>
      </w:r>
      <w:proofErr w:type="spellEnd"/>
      <w:r w:rsidRPr="00580C0D">
        <w:t xml:space="preserve"> om tilsynet sin verkemiddelbruk, og temaet vil inngå i arbeidet med dyrevelferdsmeldinga.</w:t>
      </w:r>
    </w:p>
    <w:p w14:paraId="2B3BB36C" w14:textId="77777777" w:rsidR="00F7113A" w:rsidRPr="00580C0D" w:rsidRDefault="00142E5B" w:rsidP="00580C0D">
      <w:pPr>
        <w:pStyle w:val="avsnitt-tittel"/>
      </w:pPr>
      <w:proofErr w:type="spellStart"/>
      <w:r w:rsidRPr="00580C0D">
        <w:t>Strengare</w:t>
      </w:r>
      <w:proofErr w:type="spellEnd"/>
      <w:r w:rsidRPr="00580C0D">
        <w:t xml:space="preserve"> straff for </w:t>
      </w:r>
      <w:proofErr w:type="spellStart"/>
      <w:r w:rsidRPr="00580C0D">
        <w:t>alvorleg</w:t>
      </w:r>
      <w:proofErr w:type="spellEnd"/>
      <w:r w:rsidRPr="00580C0D">
        <w:t xml:space="preserve"> dyrekriminalitet</w:t>
      </w:r>
    </w:p>
    <w:p w14:paraId="2C5EF76C" w14:textId="77777777" w:rsidR="00F7113A" w:rsidRPr="00580C0D" w:rsidRDefault="00142E5B" w:rsidP="00580C0D">
      <w:pPr>
        <w:pStyle w:val="avsnitt-undertittel"/>
      </w:pPr>
      <w:r w:rsidRPr="00580C0D">
        <w:t>Vedtak nr. 700, 25 mai 2023:</w:t>
      </w:r>
    </w:p>
    <w:p w14:paraId="5246C51F" w14:textId="77777777" w:rsidR="00F7113A" w:rsidRPr="00580C0D" w:rsidRDefault="00142E5B" w:rsidP="00580C0D">
      <w:pPr>
        <w:pStyle w:val="blokksit"/>
        <w:rPr>
          <w:rStyle w:val="kursiv"/>
        </w:rPr>
      </w:pPr>
      <w:r w:rsidRPr="00580C0D">
        <w:rPr>
          <w:rStyle w:val="kursiv"/>
        </w:rPr>
        <w:t>«Stortinget ber regjeringen fremme lovforslag om å inkludere dyrevelferdsloven § 37 i opplistingen i straffeprosessloven § 216 b første ledd bokstav b.»</w:t>
      </w:r>
    </w:p>
    <w:p w14:paraId="00051CC5" w14:textId="77777777" w:rsidR="00F7113A" w:rsidRPr="00580C0D" w:rsidRDefault="00142E5B" w:rsidP="00580C0D">
      <w:r w:rsidRPr="00580C0D">
        <w:t xml:space="preserve">Vedtaket blei fatta ved handsaminga av Dokument 8:219 S (2022–2023), jf. </w:t>
      </w:r>
      <w:proofErr w:type="spellStart"/>
      <w:r w:rsidRPr="00580C0D">
        <w:t>Innst</w:t>
      </w:r>
      <w:proofErr w:type="spellEnd"/>
      <w:r w:rsidRPr="00580C0D">
        <w:t>. 369 S (2022–2023).</w:t>
      </w:r>
    </w:p>
    <w:p w14:paraId="5F2D5142" w14:textId="77777777" w:rsidR="00F7113A" w:rsidRPr="00580C0D" w:rsidRDefault="00142E5B" w:rsidP="00580C0D">
      <w:r w:rsidRPr="00580C0D">
        <w:t xml:space="preserve">Regjeringa </w:t>
      </w:r>
      <w:proofErr w:type="spellStart"/>
      <w:r w:rsidRPr="00580C0D">
        <w:t>tek</w:t>
      </w:r>
      <w:proofErr w:type="spellEnd"/>
      <w:r w:rsidRPr="00580C0D">
        <w:t xml:space="preserve"> sikte på å </w:t>
      </w:r>
      <w:proofErr w:type="spellStart"/>
      <w:r w:rsidRPr="00580C0D">
        <w:t>leggje</w:t>
      </w:r>
      <w:proofErr w:type="spellEnd"/>
      <w:r w:rsidRPr="00580C0D">
        <w:t xml:space="preserve"> fram ei stortingsmelding om dyrevelferd i 2024. Dyrevelferdskriminalitet og strafferamma etter dyrevelferdslova vil </w:t>
      </w:r>
      <w:proofErr w:type="spellStart"/>
      <w:r w:rsidRPr="00580C0D">
        <w:t>vere</w:t>
      </w:r>
      <w:proofErr w:type="spellEnd"/>
      <w:r w:rsidRPr="00580C0D">
        <w:t xml:space="preserve"> </w:t>
      </w:r>
      <w:proofErr w:type="spellStart"/>
      <w:r w:rsidRPr="00580C0D">
        <w:t>ein</w:t>
      </w:r>
      <w:proofErr w:type="spellEnd"/>
      <w:r w:rsidRPr="00580C0D">
        <w:t xml:space="preserve"> del av meldinga.</w:t>
      </w:r>
    </w:p>
    <w:p w14:paraId="68934ACF" w14:textId="77777777" w:rsidR="00F7113A" w:rsidRPr="00580C0D" w:rsidRDefault="00142E5B" w:rsidP="00580C0D">
      <w:pPr>
        <w:pStyle w:val="avsnitt-tittel"/>
      </w:pPr>
      <w:r w:rsidRPr="00580C0D">
        <w:t xml:space="preserve">Donasjon av overskottsmat til </w:t>
      </w:r>
      <w:proofErr w:type="spellStart"/>
      <w:r w:rsidRPr="00580C0D">
        <w:t>velgjerande</w:t>
      </w:r>
      <w:proofErr w:type="spellEnd"/>
      <w:r w:rsidRPr="00580C0D">
        <w:t xml:space="preserve"> formål </w:t>
      </w:r>
      <w:proofErr w:type="spellStart"/>
      <w:r w:rsidRPr="00580C0D">
        <w:t>frå</w:t>
      </w:r>
      <w:proofErr w:type="spellEnd"/>
      <w:r w:rsidRPr="00580C0D">
        <w:t xml:space="preserve"> cruiseskip og </w:t>
      </w:r>
      <w:proofErr w:type="spellStart"/>
      <w:r w:rsidRPr="00580C0D">
        <w:t>skipshandlarar</w:t>
      </w:r>
      <w:proofErr w:type="spellEnd"/>
    </w:p>
    <w:p w14:paraId="75A9DC3C" w14:textId="77777777" w:rsidR="00F7113A" w:rsidRPr="00580C0D" w:rsidRDefault="00142E5B" w:rsidP="00580C0D">
      <w:pPr>
        <w:pStyle w:val="avsnitt-undertittel"/>
      </w:pPr>
      <w:r w:rsidRPr="00580C0D">
        <w:t>Vedtak nr. 545 av 23 mars 2023:</w:t>
      </w:r>
    </w:p>
    <w:p w14:paraId="1072DF5D" w14:textId="77777777" w:rsidR="00F7113A" w:rsidRPr="00580C0D" w:rsidRDefault="00142E5B" w:rsidP="00580C0D">
      <w:pPr>
        <w:pStyle w:val="blokksit"/>
        <w:rPr>
          <w:rStyle w:val="kursiv"/>
        </w:rPr>
      </w:pPr>
      <w:r w:rsidRPr="00580C0D">
        <w:rPr>
          <w:rStyle w:val="kursiv"/>
        </w:rPr>
        <w:t>«Stortinget ber regjeringen avklare om handlingsrommet for donasjon av overskuddsmat til veldedige formål fra cruiserederier og skipshandlere mv. reelt begrenses av EU/EØS-regler, og avstemme regelverket i Norge med EU-land, med forbehold om at norske veterinærmyndigheter anser dette som forsvarlig.»</w:t>
      </w:r>
    </w:p>
    <w:p w14:paraId="21EFA61D" w14:textId="77777777" w:rsidR="00F7113A" w:rsidRPr="00580C0D" w:rsidRDefault="00142E5B" w:rsidP="00580C0D">
      <w:r w:rsidRPr="00580C0D">
        <w:t xml:space="preserve">Vedtaket blei fatta ved handsaminga av dokument 8:116 S (2022–2023), jf. </w:t>
      </w:r>
      <w:proofErr w:type="spellStart"/>
      <w:r w:rsidRPr="00580C0D">
        <w:t>Innst</w:t>
      </w:r>
      <w:proofErr w:type="spellEnd"/>
      <w:r w:rsidRPr="00580C0D">
        <w:t>. 220 S (2022–2023).</w:t>
      </w:r>
    </w:p>
    <w:p w14:paraId="01C46A46" w14:textId="77777777" w:rsidR="00F7113A" w:rsidRPr="00580C0D" w:rsidRDefault="00142E5B" w:rsidP="00580C0D">
      <w:r w:rsidRPr="00580C0D">
        <w:t xml:space="preserve">Regjeringa arbeider med å vurdere om det er handlingsrom </w:t>
      </w:r>
      <w:proofErr w:type="spellStart"/>
      <w:r w:rsidRPr="00580C0D">
        <w:t>innanfor</w:t>
      </w:r>
      <w:proofErr w:type="spellEnd"/>
      <w:r w:rsidRPr="00580C0D">
        <w:t xml:space="preserve"> regelverket for donasjon av overskottsmat </w:t>
      </w:r>
      <w:proofErr w:type="spellStart"/>
      <w:r w:rsidRPr="00580C0D">
        <w:t>frå</w:t>
      </w:r>
      <w:proofErr w:type="spellEnd"/>
      <w:r w:rsidRPr="00580C0D">
        <w:t xml:space="preserve"> cruiserederi og </w:t>
      </w:r>
      <w:proofErr w:type="spellStart"/>
      <w:r w:rsidRPr="00580C0D">
        <w:t>skipshandlarar</w:t>
      </w:r>
      <w:proofErr w:type="spellEnd"/>
      <w:r w:rsidRPr="00580C0D">
        <w:t xml:space="preserve">, og om eventuell donasjon kan </w:t>
      </w:r>
      <w:proofErr w:type="spellStart"/>
      <w:r w:rsidRPr="00580C0D">
        <w:t>reknast</w:t>
      </w:r>
      <w:proofErr w:type="spellEnd"/>
      <w:r w:rsidRPr="00580C0D">
        <w:t xml:space="preserve"> som </w:t>
      </w:r>
      <w:proofErr w:type="spellStart"/>
      <w:r w:rsidRPr="00580C0D">
        <w:t>forsvarleg</w:t>
      </w:r>
      <w:proofErr w:type="spellEnd"/>
      <w:r w:rsidRPr="00580C0D">
        <w:t xml:space="preserve"> </w:t>
      </w:r>
      <w:proofErr w:type="spellStart"/>
      <w:r w:rsidRPr="00580C0D">
        <w:t>innanfor</w:t>
      </w:r>
      <w:proofErr w:type="spellEnd"/>
      <w:r w:rsidRPr="00580C0D">
        <w:t xml:space="preserve"> </w:t>
      </w:r>
      <w:proofErr w:type="spellStart"/>
      <w:r w:rsidRPr="00580C0D">
        <w:t>dei</w:t>
      </w:r>
      <w:proofErr w:type="spellEnd"/>
      <w:r w:rsidRPr="00580C0D">
        <w:t xml:space="preserve"> folke- og dyrehelsemessige rammene i regelverket.</w:t>
      </w:r>
    </w:p>
    <w:p w14:paraId="672DBAB2" w14:textId="77777777" w:rsidR="00F7113A" w:rsidRPr="00580C0D" w:rsidRDefault="00142E5B" w:rsidP="00580C0D">
      <w:pPr>
        <w:pStyle w:val="avsnitt-tittel"/>
      </w:pPr>
      <w:r w:rsidRPr="00580C0D">
        <w:t xml:space="preserve">Innsamling, registrering og kontroll av viktige </w:t>
      </w:r>
      <w:proofErr w:type="spellStart"/>
      <w:r w:rsidRPr="00580C0D">
        <w:t>naturverdiar</w:t>
      </w:r>
      <w:proofErr w:type="spellEnd"/>
      <w:r w:rsidRPr="00580C0D">
        <w:t xml:space="preserve"> i norsk skog</w:t>
      </w:r>
    </w:p>
    <w:p w14:paraId="60603281" w14:textId="77777777" w:rsidR="00F7113A" w:rsidRPr="00580C0D" w:rsidRDefault="00142E5B" w:rsidP="00580C0D">
      <w:pPr>
        <w:pStyle w:val="avsnitt-undertittel"/>
      </w:pPr>
      <w:r w:rsidRPr="00580C0D">
        <w:t>Vedtak nr. 519, 14. mars 2023:</w:t>
      </w:r>
    </w:p>
    <w:p w14:paraId="657E68A9" w14:textId="77777777" w:rsidR="00F7113A" w:rsidRPr="00580C0D" w:rsidRDefault="00142E5B" w:rsidP="00580C0D">
      <w:pPr>
        <w:pStyle w:val="blokksit"/>
        <w:rPr>
          <w:rStyle w:val="kursiv"/>
        </w:rPr>
      </w:pPr>
      <w:r w:rsidRPr="00580C0D">
        <w:rPr>
          <w:rStyle w:val="kursiv"/>
        </w:rPr>
        <w:t>«Stortinget ber regjeringen gjennomgå dagens metode for innsamling, registrering og kontroll av viktige naturverdier i norsk skog, og vurdere tiltak for å sikre at intensjonen med miljøregistrering er ivaretatt, og at miljøregistreringen har tilstrekkelig kvalitet.»</w:t>
      </w:r>
    </w:p>
    <w:p w14:paraId="3D820784" w14:textId="77777777" w:rsidR="00F7113A" w:rsidRPr="00580C0D" w:rsidRDefault="00142E5B" w:rsidP="00580C0D">
      <w:r w:rsidRPr="00580C0D">
        <w:t xml:space="preserve">Vedtaket blei fatta ved handsaminga av Dokument 8:40 S (2022–2023), jf. </w:t>
      </w:r>
      <w:proofErr w:type="spellStart"/>
      <w:r w:rsidRPr="00580C0D">
        <w:t>Innst</w:t>
      </w:r>
      <w:proofErr w:type="spellEnd"/>
      <w:r w:rsidRPr="00580C0D">
        <w:t>. 191 S (2022–2023).</w:t>
      </w:r>
    </w:p>
    <w:p w14:paraId="406730EA" w14:textId="77777777" w:rsidR="00F7113A" w:rsidRPr="00580C0D" w:rsidRDefault="00142E5B" w:rsidP="00580C0D">
      <w:r w:rsidRPr="00580C0D">
        <w:t xml:space="preserve">Landbruks- og matdepartementet gav i brev av 9. mai 2023 Landbruksdirektoratet i oppdrag å </w:t>
      </w:r>
      <w:proofErr w:type="spellStart"/>
      <w:r w:rsidRPr="00580C0D">
        <w:t>setje</w:t>
      </w:r>
      <w:proofErr w:type="spellEnd"/>
      <w:r w:rsidRPr="00580C0D">
        <w:t xml:space="preserve"> i gang </w:t>
      </w:r>
      <w:proofErr w:type="spellStart"/>
      <w:r w:rsidRPr="00580C0D">
        <w:t>ein</w:t>
      </w:r>
      <w:proofErr w:type="spellEnd"/>
      <w:r w:rsidRPr="00580C0D">
        <w:t xml:space="preserve"> feltkontroll som </w:t>
      </w:r>
      <w:proofErr w:type="spellStart"/>
      <w:r w:rsidRPr="00580C0D">
        <w:t>eit</w:t>
      </w:r>
      <w:proofErr w:type="spellEnd"/>
      <w:r w:rsidRPr="00580C0D">
        <w:t xml:space="preserve"> ledd i oppfølginga av oppmodingsvedtaket. </w:t>
      </w:r>
      <w:proofErr w:type="spellStart"/>
      <w:r w:rsidRPr="00580C0D">
        <w:t>Vidare</w:t>
      </w:r>
      <w:proofErr w:type="spellEnd"/>
      <w:r w:rsidRPr="00580C0D">
        <w:t xml:space="preserve"> har direktoratet utarbeidd </w:t>
      </w:r>
      <w:proofErr w:type="spellStart"/>
      <w:r w:rsidRPr="00580C0D">
        <w:t>eit</w:t>
      </w:r>
      <w:proofErr w:type="spellEnd"/>
      <w:r w:rsidRPr="00580C0D">
        <w:t xml:space="preserve"> opplegg for å evaluere </w:t>
      </w:r>
      <w:proofErr w:type="spellStart"/>
      <w:r w:rsidRPr="00580C0D">
        <w:t>miljøregistreringane</w:t>
      </w:r>
      <w:proofErr w:type="spellEnd"/>
      <w:r w:rsidRPr="00580C0D">
        <w:t>, og er i ferd med å starte opp feltkontrollen.</w:t>
      </w:r>
    </w:p>
    <w:p w14:paraId="51CC524E" w14:textId="77777777" w:rsidR="00F7113A" w:rsidRPr="00580C0D" w:rsidRDefault="00142E5B" w:rsidP="00580C0D">
      <w:r w:rsidRPr="00580C0D">
        <w:t xml:space="preserve">I tillegg vil Landbruksdirektoratet gå gjennom </w:t>
      </w:r>
      <w:proofErr w:type="spellStart"/>
      <w:r w:rsidRPr="00580C0D">
        <w:t>fleire</w:t>
      </w:r>
      <w:proofErr w:type="spellEnd"/>
      <w:r w:rsidRPr="00580C0D">
        <w:t xml:space="preserve"> andre element knytte til metoden for innsamling, registrering og kontroll. </w:t>
      </w:r>
      <w:proofErr w:type="spellStart"/>
      <w:r w:rsidRPr="00580C0D">
        <w:t>Forskarar</w:t>
      </w:r>
      <w:proofErr w:type="spellEnd"/>
      <w:r w:rsidRPr="00580C0D">
        <w:t xml:space="preserve"> ved Norsk institutt for bioøkonomi (NIBIO) vil gå gjennom kunnskapsgrunnlaget bak registreringsopplegget. Departementet vil komme tilbake til Stortinget når gjennomgangen er utført.</w:t>
      </w:r>
    </w:p>
    <w:p w14:paraId="267E5740" w14:textId="77777777" w:rsidR="00F7113A" w:rsidRPr="00580C0D" w:rsidRDefault="00142E5B" w:rsidP="00580C0D">
      <w:pPr>
        <w:pStyle w:val="avsnitt-tittel"/>
      </w:pPr>
      <w:r w:rsidRPr="00580C0D">
        <w:t>Maksimalgrensa for rett til straumstøtte</w:t>
      </w:r>
    </w:p>
    <w:p w14:paraId="57E5EEB7" w14:textId="77777777" w:rsidR="00F7113A" w:rsidRPr="00580C0D" w:rsidRDefault="00142E5B" w:rsidP="00580C0D">
      <w:pPr>
        <w:pStyle w:val="avsnitt-undertittel"/>
      </w:pPr>
      <w:r w:rsidRPr="00580C0D">
        <w:t>Vedtak nr. 348, 19. desember 2022:</w:t>
      </w:r>
    </w:p>
    <w:p w14:paraId="2B03D2BA" w14:textId="77777777" w:rsidR="00F7113A" w:rsidRPr="00580C0D" w:rsidRDefault="00142E5B" w:rsidP="00580C0D">
      <w:pPr>
        <w:pStyle w:val="blokksit"/>
        <w:rPr>
          <w:rStyle w:val="kursiv"/>
        </w:rPr>
      </w:pPr>
      <w:r w:rsidRPr="00580C0D">
        <w:rPr>
          <w:rStyle w:val="kursiv"/>
        </w:rPr>
        <w:t>«Stortinget ber regjeringen videreføre maksimalgrensen for støtteberettiget forbruk i den midlertidige strømstøtteordningen for primærprodusenter i jordbruket på 60 000 kWt per måned per foretak ut andre kvartal 2023.»</w:t>
      </w:r>
    </w:p>
    <w:p w14:paraId="4CB7E0CB"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 S (2022–2023), jf. </w:t>
      </w:r>
      <w:proofErr w:type="spellStart"/>
      <w:r w:rsidRPr="00580C0D">
        <w:t>Innst</w:t>
      </w:r>
      <w:proofErr w:type="spellEnd"/>
      <w:r w:rsidRPr="00580C0D">
        <w:t>. 8 S (2022–2023).</w:t>
      </w:r>
    </w:p>
    <w:p w14:paraId="4537A091" w14:textId="77777777" w:rsidR="00F7113A" w:rsidRPr="00580C0D" w:rsidRDefault="00142E5B" w:rsidP="00580C0D">
      <w:r w:rsidRPr="00580C0D">
        <w:t xml:space="preserve">Regjeringa </w:t>
      </w:r>
      <w:proofErr w:type="spellStart"/>
      <w:r w:rsidRPr="00580C0D">
        <w:t>auka</w:t>
      </w:r>
      <w:proofErr w:type="spellEnd"/>
      <w:r w:rsidRPr="00580C0D">
        <w:t xml:space="preserve"> </w:t>
      </w:r>
      <w:proofErr w:type="spellStart"/>
      <w:r w:rsidRPr="00580C0D">
        <w:t>frå</w:t>
      </w:r>
      <w:proofErr w:type="spellEnd"/>
      <w:r w:rsidRPr="00580C0D">
        <w:t xml:space="preserve"> og med oktober 2022 maksimalgrensa for forbruk med rett til stønad i den midlertidige straumstønadsordninga for </w:t>
      </w:r>
      <w:proofErr w:type="spellStart"/>
      <w:r w:rsidRPr="00580C0D">
        <w:t>primærprodusentar</w:t>
      </w:r>
      <w:proofErr w:type="spellEnd"/>
      <w:r w:rsidRPr="00580C0D">
        <w:t xml:space="preserve"> i jordbruket </w:t>
      </w:r>
      <w:proofErr w:type="spellStart"/>
      <w:r w:rsidRPr="00580C0D">
        <w:t>frå</w:t>
      </w:r>
      <w:proofErr w:type="spellEnd"/>
      <w:r w:rsidRPr="00580C0D">
        <w:t xml:space="preserve"> 20 000 kWt per </w:t>
      </w:r>
      <w:proofErr w:type="spellStart"/>
      <w:r w:rsidRPr="00580C0D">
        <w:t>føretak</w:t>
      </w:r>
      <w:proofErr w:type="spellEnd"/>
      <w:r w:rsidRPr="00580C0D">
        <w:t xml:space="preserve"> per </w:t>
      </w:r>
      <w:proofErr w:type="spellStart"/>
      <w:r w:rsidRPr="00580C0D">
        <w:t>månad</w:t>
      </w:r>
      <w:proofErr w:type="spellEnd"/>
      <w:r w:rsidRPr="00580C0D">
        <w:t xml:space="preserve">, til 60 000 kWt. Auken gjaldt i første omgang for </w:t>
      </w:r>
      <w:proofErr w:type="spellStart"/>
      <w:r w:rsidRPr="00580C0D">
        <w:t>månadene</w:t>
      </w:r>
      <w:proofErr w:type="spellEnd"/>
      <w:r w:rsidRPr="00580C0D">
        <w:t xml:space="preserve"> oktober, november og desember 2022, men ordninga er </w:t>
      </w:r>
      <w:proofErr w:type="spellStart"/>
      <w:r w:rsidRPr="00580C0D">
        <w:t>no</w:t>
      </w:r>
      <w:proofErr w:type="spellEnd"/>
      <w:r w:rsidRPr="00580C0D">
        <w:t xml:space="preserve"> endra slik at grensa på 60 000 kWt blir ført </w:t>
      </w:r>
      <w:proofErr w:type="spellStart"/>
      <w:r w:rsidRPr="00580C0D">
        <w:t>vidare</w:t>
      </w:r>
      <w:proofErr w:type="spellEnd"/>
      <w:r w:rsidRPr="00580C0D">
        <w:t xml:space="preserve">. Regjeringa har </w:t>
      </w:r>
      <w:proofErr w:type="spellStart"/>
      <w:r w:rsidRPr="00580C0D">
        <w:t>vedteke</w:t>
      </w:r>
      <w:proofErr w:type="spellEnd"/>
      <w:r w:rsidRPr="00580C0D">
        <w:t xml:space="preserve"> å føre </w:t>
      </w:r>
      <w:proofErr w:type="spellStart"/>
      <w:r w:rsidRPr="00580C0D">
        <w:t>vidare</w:t>
      </w:r>
      <w:proofErr w:type="spellEnd"/>
      <w:r w:rsidRPr="00580C0D">
        <w:t xml:space="preserve"> straumstønadsordninga for </w:t>
      </w:r>
      <w:proofErr w:type="spellStart"/>
      <w:r w:rsidRPr="00580C0D">
        <w:t>primærprodusentar</w:t>
      </w:r>
      <w:proofErr w:type="spellEnd"/>
      <w:r w:rsidRPr="00580C0D">
        <w:t xml:space="preserve"> i jordbruket, veksthus og vatningslag ut 2024. Departementet </w:t>
      </w:r>
      <w:proofErr w:type="spellStart"/>
      <w:r w:rsidRPr="00580C0D">
        <w:t>legg</w:t>
      </w:r>
      <w:proofErr w:type="spellEnd"/>
      <w:r w:rsidRPr="00580C0D">
        <w:t xml:space="preserve"> til grunn at vedtak nr. 348, 19. desember 2022, med dette er </w:t>
      </w:r>
      <w:proofErr w:type="spellStart"/>
      <w:r w:rsidRPr="00580C0D">
        <w:t>følgt</w:t>
      </w:r>
      <w:proofErr w:type="spellEnd"/>
      <w:r w:rsidRPr="00580C0D">
        <w:t xml:space="preserve"> opp.</w:t>
      </w:r>
    </w:p>
    <w:p w14:paraId="0217A5D5" w14:textId="77777777" w:rsidR="00F7113A" w:rsidRPr="00580C0D" w:rsidRDefault="00142E5B" w:rsidP="00580C0D">
      <w:pPr>
        <w:pStyle w:val="Overskrift2"/>
      </w:pPr>
      <w:r w:rsidRPr="00580C0D">
        <w:t>Stortingssesjon 2021–2022</w:t>
      </w:r>
    </w:p>
    <w:p w14:paraId="604196F9" w14:textId="77777777" w:rsidR="00F7113A" w:rsidRPr="00580C0D" w:rsidRDefault="00142E5B" w:rsidP="00580C0D">
      <w:pPr>
        <w:pStyle w:val="avsnitt-tittel"/>
      </w:pPr>
      <w:r w:rsidRPr="00580C0D">
        <w:t xml:space="preserve">Overgang </w:t>
      </w:r>
      <w:proofErr w:type="spellStart"/>
      <w:r w:rsidRPr="00580C0D">
        <w:t>frå</w:t>
      </w:r>
      <w:proofErr w:type="spellEnd"/>
      <w:r w:rsidRPr="00580C0D">
        <w:t xml:space="preserve"> kronetoll til prosenttoll</w:t>
      </w:r>
    </w:p>
    <w:p w14:paraId="4F49A9F2" w14:textId="77777777" w:rsidR="00F7113A" w:rsidRPr="00580C0D" w:rsidRDefault="00142E5B" w:rsidP="00580C0D">
      <w:pPr>
        <w:pStyle w:val="avsnitt-undertittel"/>
      </w:pPr>
      <w:r w:rsidRPr="00580C0D">
        <w:t>Vedtak nr. 836, 17. juni 2022:</w:t>
      </w:r>
    </w:p>
    <w:p w14:paraId="58099170" w14:textId="77777777" w:rsidR="00F7113A" w:rsidRPr="00580C0D" w:rsidRDefault="00142E5B" w:rsidP="00580C0D">
      <w:pPr>
        <w:pStyle w:val="blokksit"/>
        <w:rPr>
          <w:rStyle w:val="kursiv"/>
        </w:rPr>
      </w:pPr>
      <w:r w:rsidRPr="00580C0D">
        <w:rPr>
          <w:rStyle w:val="kursiv"/>
        </w:rPr>
        <w:t xml:space="preserve">«Stortinget ber regjeringen i forbindelse med statsbudsjettet for 2023 vurdere overgang fra kronetoll til prosenttoll, blant annet for </w:t>
      </w:r>
      <w:proofErr w:type="spellStart"/>
      <w:r w:rsidRPr="00580C0D">
        <w:rPr>
          <w:rStyle w:val="kursiv"/>
        </w:rPr>
        <w:t>tollinjene</w:t>
      </w:r>
      <w:proofErr w:type="spellEnd"/>
      <w:r w:rsidRPr="00580C0D">
        <w:rPr>
          <w:rStyle w:val="kursiv"/>
        </w:rPr>
        <w:t xml:space="preserve"> storfe, svin, sau, lam og potet.»</w:t>
      </w:r>
    </w:p>
    <w:p w14:paraId="021D5E71"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115 S (2021–2022) </w:t>
      </w:r>
      <w:r w:rsidRPr="00580C0D">
        <w:rPr>
          <w:rStyle w:val="kursiv"/>
        </w:rPr>
        <w:t>Tilleggsbevilgninger og omprioriteringer i statsbudsjettet 2022</w:t>
      </w:r>
      <w:r w:rsidRPr="00580C0D">
        <w:t xml:space="preserve">, jf. </w:t>
      </w:r>
      <w:proofErr w:type="spellStart"/>
      <w:r w:rsidRPr="00580C0D">
        <w:t>Innst</w:t>
      </w:r>
      <w:proofErr w:type="spellEnd"/>
      <w:r w:rsidRPr="00580C0D">
        <w:t>. 450 S (2021–2022).</w:t>
      </w:r>
    </w:p>
    <w:p w14:paraId="3BBCC5FB" w14:textId="77777777" w:rsidR="00F7113A" w:rsidRPr="00580C0D" w:rsidRDefault="00142E5B" w:rsidP="00580C0D">
      <w:r w:rsidRPr="00580C0D">
        <w:t xml:space="preserve">Regjeringa gjorde </w:t>
      </w:r>
      <w:proofErr w:type="spellStart"/>
      <w:r w:rsidRPr="00580C0D">
        <w:t>ikkje</w:t>
      </w:r>
      <w:proofErr w:type="spellEnd"/>
      <w:r w:rsidRPr="00580C0D">
        <w:t xml:space="preserve"> framlegg om omlegging </w:t>
      </w:r>
      <w:proofErr w:type="spellStart"/>
      <w:r w:rsidRPr="00580C0D">
        <w:t>frå</w:t>
      </w:r>
      <w:proofErr w:type="spellEnd"/>
      <w:r w:rsidRPr="00580C0D">
        <w:t xml:space="preserve"> kronetoll til prosenttoll for landbruksvarer i samband med framlegging av statsbudsjettet for 2023. Regjeringa viser til vedtak nr. 868 i innstilling 487 S (2022–2023). Departementet vurderer at vedtak nr. 836, 17 juni 2022 blir </w:t>
      </w:r>
      <w:proofErr w:type="spellStart"/>
      <w:r w:rsidRPr="00580C0D">
        <w:t>følgt</w:t>
      </w:r>
      <w:proofErr w:type="spellEnd"/>
      <w:r w:rsidRPr="00580C0D">
        <w:t xml:space="preserve"> opp </w:t>
      </w:r>
      <w:proofErr w:type="spellStart"/>
      <w:r w:rsidRPr="00580C0D">
        <w:t>vidare</w:t>
      </w:r>
      <w:proofErr w:type="spellEnd"/>
      <w:r w:rsidRPr="00580C0D">
        <w:t xml:space="preserve"> gjennom vedtak nr. 868, 16 juni 2023, og viser til rapporteringa på dette vedtaket.</w:t>
      </w:r>
    </w:p>
    <w:p w14:paraId="5403F91D" w14:textId="77777777" w:rsidR="00F7113A" w:rsidRPr="00580C0D" w:rsidRDefault="00142E5B" w:rsidP="00580C0D">
      <w:pPr>
        <w:pStyle w:val="avsnitt-tittel"/>
      </w:pPr>
      <w:r w:rsidRPr="00580C0D">
        <w:t>Oppdatering av jordvernstrategien</w:t>
      </w:r>
    </w:p>
    <w:p w14:paraId="3778B097" w14:textId="77777777" w:rsidR="00F7113A" w:rsidRPr="00580C0D" w:rsidRDefault="00142E5B" w:rsidP="00580C0D">
      <w:pPr>
        <w:pStyle w:val="avsnitt-undertittel"/>
      </w:pPr>
      <w:r w:rsidRPr="00580C0D">
        <w:t>Vedtak nr. 799, 14. juni 2022:</w:t>
      </w:r>
    </w:p>
    <w:p w14:paraId="2C1B6FA4" w14:textId="77777777" w:rsidR="00F7113A" w:rsidRPr="00580C0D" w:rsidRDefault="00142E5B" w:rsidP="00580C0D">
      <w:pPr>
        <w:pStyle w:val="blokksit"/>
        <w:rPr>
          <w:rStyle w:val="kursiv"/>
        </w:rPr>
      </w:pPr>
      <w:r w:rsidRPr="00580C0D">
        <w:rPr>
          <w:rStyle w:val="kursiv"/>
        </w:rPr>
        <w:t>«Stortinget ber regjeringen legge frem en ny jordvernstrategi våren 2023. Strategien skal inneholde et nytt og skjerpet mål for omdisponering av matjord og nye, konkrete tiltak for å nå målet.»</w:t>
      </w:r>
    </w:p>
    <w:p w14:paraId="3396B7CD" w14:textId="77777777" w:rsidR="00F7113A" w:rsidRPr="00580C0D" w:rsidRDefault="00142E5B" w:rsidP="00580C0D">
      <w:r w:rsidRPr="00580C0D">
        <w:t xml:space="preserve">Vedtaket blei fatta ved handsaminga av Dokument 8:234 S (2021–2022), jf. </w:t>
      </w:r>
      <w:proofErr w:type="spellStart"/>
      <w:r w:rsidRPr="00580C0D">
        <w:t>Innst</w:t>
      </w:r>
      <w:proofErr w:type="spellEnd"/>
      <w:r w:rsidRPr="00580C0D">
        <w:t xml:space="preserve">. 358 S (2021–2022). Ny jordvernstrategi blei lagt fram for Stortinget i </w:t>
      </w:r>
      <w:proofErr w:type="spellStart"/>
      <w:r w:rsidRPr="00580C0D">
        <w:t>Prop</w:t>
      </w:r>
      <w:proofErr w:type="spellEnd"/>
      <w:r w:rsidRPr="00580C0D">
        <w:t xml:space="preserve">. 121 S (2022–2023) </w:t>
      </w:r>
      <w:r w:rsidRPr="00580C0D">
        <w:rPr>
          <w:rStyle w:val="kursiv"/>
        </w:rPr>
        <w:t>Endringer i statsbudsjettet 2023 under Landbruks- og matdepartementet (Jordbruksoppgjøret 2023 m.m.)</w:t>
      </w:r>
      <w:r w:rsidRPr="00580C0D">
        <w:t xml:space="preserve">. Strategien har </w:t>
      </w:r>
      <w:proofErr w:type="spellStart"/>
      <w:r w:rsidRPr="00580C0D">
        <w:t>eit</w:t>
      </w:r>
      <w:proofErr w:type="spellEnd"/>
      <w:r w:rsidRPr="00580C0D">
        <w:t xml:space="preserve"> nytt og skjerpa mål for omdisponering av matjord, som </w:t>
      </w:r>
      <w:proofErr w:type="spellStart"/>
      <w:r w:rsidRPr="00580C0D">
        <w:t>seier</w:t>
      </w:r>
      <w:proofErr w:type="spellEnd"/>
      <w:r w:rsidRPr="00580C0D">
        <w:t xml:space="preserve"> at omdisponeringa av dyrka mark skal </w:t>
      </w:r>
      <w:proofErr w:type="spellStart"/>
      <w:r w:rsidRPr="00580C0D">
        <w:t>vere</w:t>
      </w:r>
      <w:proofErr w:type="spellEnd"/>
      <w:r w:rsidRPr="00580C0D">
        <w:t xml:space="preserve"> maksimalt 2 000 dekar per år. Målet skal </w:t>
      </w:r>
      <w:proofErr w:type="spellStart"/>
      <w:r w:rsidRPr="00580C0D">
        <w:t>vere</w:t>
      </w:r>
      <w:proofErr w:type="spellEnd"/>
      <w:r w:rsidRPr="00580C0D">
        <w:t xml:space="preserve"> nådd </w:t>
      </w:r>
      <w:proofErr w:type="spellStart"/>
      <w:r w:rsidRPr="00580C0D">
        <w:t>innan</w:t>
      </w:r>
      <w:proofErr w:type="spellEnd"/>
      <w:r w:rsidRPr="00580C0D">
        <w:t xml:space="preserve"> 2030. Strategien </w:t>
      </w:r>
      <w:proofErr w:type="spellStart"/>
      <w:r w:rsidRPr="00580C0D">
        <w:t>inneheld</w:t>
      </w:r>
      <w:proofErr w:type="spellEnd"/>
      <w:r w:rsidRPr="00580C0D">
        <w:t xml:space="preserve"> nye, konkrete tiltak for å nå dette målet. Regjeringa vil </w:t>
      </w:r>
      <w:proofErr w:type="spellStart"/>
      <w:r w:rsidRPr="00580C0D">
        <w:t>følgje</w:t>
      </w:r>
      <w:proofErr w:type="spellEnd"/>
      <w:r w:rsidRPr="00580C0D">
        <w:t xml:space="preserve"> opp den nye strategien. Departementet </w:t>
      </w:r>
      <w:proofErr w:type="spellStart"/>
      <w:r w:rsidRPr="00580C0D">
        <w:t>legg</w:t>
      </w:r>
      <w:proofErr w:type="spellEnd"/>
      <w:r w:rsidRPr="00580C0D">
        <w:t xml:space="preserve"> til grunn at vedtak nr. 799, 14. juni 2022 med dette er </w:t>
      </w:r>
      <w:proofErr w:type="spellStart"/>
      <w:r w:rsidRPr="00580C0D">
        <w:t>følgt</w:t>
      </w:r>
      <w:proofErr w:type="spellEnd"/>
      <w:r w:rsidRPr="00580C0D">
        <w:t xml:space="preserve"> opp.</w:t>
      </w:r>
    </w:p>
    <w:p w14:paraId="3816096B" w14:textId="77777777" w:rsidR="00F7113A" w:rsidRPr="00580C0D" w:rsidRDefault="00142E5B" w:rsidP="00580C0D">
      <w:pPr>
        <w:pStyle w:val="avsnitt-tittel"/>
      </w:pPr>
      <w:proofErr w:type="spellStart"/>
      <w:r w:rsidRPr="00580C0D">
        <w:t>Bransjeavtalar</w:t>
      </w:r>
      <w:proofErr w:type="spellEnd"/>
      <w:r w:rsidRPr="00580C0D">
        <w:t xml:space="preserve"> for biogassproduksjon</w:t>
      </w:r>
    </w:p>
    <w:p w14:paraId="40740E76" w14:textId="77777777" w:rsidR="00F7113A" w:rsidRPr="00580C0D" w:rsidRDefault="00142E5B" w:rsidP="00580C0D">
      <w:pPr>
        <w:pStyle w:val="avsnitt-undertittel"/>
      </w:pPr>
      <w:r w:rsidRPr="00580C0D">
        <w:t>Vedtak nr. 754, 10. juni 2022:</w:t>
      </w:r>
    </w:p>
    <w:p w14:paraId="3F5B8E5F" w14:textId="77777777" w:rsidR="00F7113A" w:rsidRPr="00580C0D" w:rsidRDefault="00142E5B" w:rsidP="00580C0D">
      <w:pPr>
        <w:pStyle w:val="blokksit"/>
        <w:rPr>
          <w:rStyle w:val="kursiv"/>
        </w:rPr>
      </w:pPr>
      <w:r w:rsidRPr="00580C0D">
        <w:rPr>
          <w:rStyle w:val="kursiv"/>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sidRPr="00580C0D">
        <w:rPr>
          <w:rStyle w:val="kursiv"/>
        </w:rPr>
        <w:t>bionæringene</w:t>
      </w:r>
      <w:proofErr w:type="spellEnd"/>
      <w:r w:rsidRPr="00580C0D">
        <w:rPr>
          <w:rStyle w:val="kursiv"/>
        </w:rPr>
        <w:t xml:space="preserve"> vil spille en viktig rolle i dette arbeidet.»</w:t>
      </w:r>
    </w:p>
    <w:p w14:paraId="3671B39F" w14:textId="77777777" w:rsidR="00F7113A" w:rsidRPr="00580C0D" w:rsidRDefault="00142E5B" w:rsidP="00580C0D">
      <w:r w:rsidRPr="00580C0D">
        <w:t xml:space="preserve">Vedtaket blei fatta ved handsaminga av Meld. St. 36 (2020–2021) og Meld. St. 11 (2021–2022), jf. </w:t>
      </w:r>
      <w:proofErr w:type="spellStart"/>
      <w:r w:rsidRPr="00580C0D">
        <w:t>Innst</w:t>
      </w:r>
      <w:proofErr w:type="spellEnd"/>
      <w:r w:rsidRPr="00580C0D">
        <w:t xml:space="preserve">. 446 S 2021–2022. Landbruks- og matdepartementet vil </w:t>
      </w:r>
      <w:proofErr w:type="spellStart"/>
      <w:r w:rsidRPr="00580C0D">
        <w:t>følgje</w:t>
      </w:r>
      <w:proofErr w:type="spellEnd"/>
      <w:r w:rsidRPr="00580C0D">
        <w:t xml:space="preserve"> opp saka i samråd med Nærings- og fiskeridepartementet og Klima- og miljødepartementet.</w:t>
      </w:r>
    </w:p>
    <w:p w14:paraId="43049DD3" w14:textId="77777777" w:rsidR="00F7113A" w:rsidRPr="00580C0D" w:rsidRDefault="00142E5B" w:rsidP="00580C0D">
      <w:pPr>
        <w:pStyle w:val="avsnitt-tittel"/>
      </w:pPr>
      <w:r w:rsidRPr="00580C0D">
        <w:t xml:space="preserve">Melding til Stortinget om dyrevelferd som </w:t>
      </w:r>
      <w:proofErr w:type="spellStart"/>
      <w:r w:rsidRPr="00580C0D">
        <w:t>byggjer</w:t>
      </w:r>
      <w:proofErr w:type="spellEnd"/>
      <w:r w:rsidRPr="00580C0D">
        <w:t xml:space="preserve"> på oppdatert kunnskap</w:t>
      </w:r>
    </w:p>
    <w:p w14:paraId="232770EF" w14:textId="77777777" w:rsidR="00F7113A" w:rsidRPr="00580C0D" w:rsidRDefault="00142E5B" w:rsidP="00580C0D">
      <w:pPr>
        <w:pStyle w:val="avsnitt-undertittel"/>
      </w:pPr>
      <w:r w:rsidRPr="00580C0D">
        <w:t>Vedtak nr. 381, 15. februar 2022</w:t>
      </w:r>
    </w:p>
    <w:p w14:paraId="3B244D07" w14:textId="77777777" w:rsidR="00F7113A" w:rsidRPr="00580C0D" w:rsidRDefault="00142E5B" w:rsidP="00580C0D">
      <w:pPr>
        <w:pStyle w:val="blokksit"/>
        <w:rPr>
          <w:rStyle w:val="kursiv"/>
        </w:rPr>
      </w:pPr>
      <w:r w:rsidRPr="00580C0D">
        <w:rPr>
          <w:rStyle w:val="kursiv"/>
        </w:rPr>
        <w:t>«Stortinget ber regjeringen legge fram en dyrevelferdsmelding som bygger på oppdatert kunnskap om dyrevelferd med utgangspunkt i faglige og faktiske forhold. Meldingen bør se faglig og politisk på problemstillinger knyttet til dyrehold, og gi oversikt over det vi gjør bra i dag, og om det er noe som kan gjøre annerledes og bedre i framtida. Det er sammenheng mellom menneskevelferd og dyrevelferd. Meldingen bør omtale dette.»</w:t>
      </w:r>
    </w:p>
    <w:p w14:paraId="7AABD4F7" w14:textId="77777777" w:rsidR="00F7113A" w:rsidRPr="00580C0D" w:rsidRDefault="00142E5B" w:rsidP="00580C0D">
      <w:r w:rsidRPr="00580C0D">
        <w:t xml:space="preserve">Vedtaket blei fatta ved handsaminga av Dokument 8:25 S (2021–2022), jf. </w:t>
      </w:r>
      <w:proofErr w:type="spellStart"/>
      <w:r w:rsidRPr="00580C0D">
        <w:t>Innst</w:t>
      </w:r>
      <w:proofErr w:type="spellEnd"/>
      <w:r w:rsidRPr="00580C0D">
        <w:t>. 130 S (2021–2022).</w:t>
      </w:r>
    </w:p>
    <w:p w14:paraId="2D15F640" w14:textId="77777777" w:rsidR="00F7113A" w:rsidRPr="00580C0D" w:rsidRDefault="00142E5B" w:rsidP="00580C0D">
      <w:r w:rsidRPr="00580C0D">
        <w:t xml:space="preserve">Regjeringa </w:t>
      </w:r>
      <w:proofErr w:type="spellStart"/>
      <w:r w:rsidRPr="00580C0D">
        <w:t>tek</w:t>
      </w:r>
      <w:proofErr w:type="spellEnd"/>
      <w:r w:rsidRPr="00580C0D">
        <w:t xml:space="preserve"> sikte på å </w:t>
      </w:r>
      <w:proofErr w:type="spellStart"/>
      <w:r w:rsidRPr="00580C0D">
        <w:t>leggje</w:t>
      </w:r>
      <w:proofErr w:type="spellEnd"/>
      <w:r w:rsidRPr="00580C0D">
        <w:t xml:space="preserve"> fram ei stortingsmelding om dyrevelferd i 2024.</w:t>
      </w:r>
    </w:p>
    <w:p w14:paraId="3E94CC18" w14:textId="77777777" w:rsidR="00F7113A" w:rsidRPr="00580C0D" w:rsidRDefault="00142E5B" w:rsidP="00580C0D">
      <w:pPr>
        <w:pStyle w:val="avsnitt-tittel"/>
      </w:pPr>
      <w:r w:rsidRPr="00580C0D">
        <w:t>Dyrevelferda i svinenæringa</w:t>
      </w:r>
    </w:p>
    <w:p w14:paraId="6D667C33" w14:textId="77777777" w:rsidR="00F7113A" w:rsidRPr="00580C0D" w:rsidRDefault="00142E5B" w:rsidP="00580C0D">
      <w:pPr>
        <w:pStyle w:val="avsnitt-undertittel"/>
      </w:pPr>
      <w:r w:rsidRPr="00580C0D">
        <w:t>Vedtak nr. 382, 15. februar 2022</w:t>
      </w:r>
    </w:p>
    <w:p w14:paraId="0FB7954F" w14:textId="77777777" w:rsidR="00F7113A" w:rsidRPr="00580C0D" w:rsidRDefault="00142E5B" w:rsidP="00580C0D">
      <w:pPr>
        <w:pStyle w:val="blokksit"/>
        <w:rPr>
          <w:rStyle w:val="kursiv"/>
        </w:rPr>
      </w:pPr>
      <w:r w:rsidRPr="00580C0D">
        <w:rPr>
          <w:rStyle w:val="kursiv"/>
        </w:rPr>
        <w:t>«Stortinget ber regjeringen se på insentiver som vil øke dyrevelferden i svinenæringen, særlig med hensyn til areal, underlag og miljøberikelse, og stille strengere krav til dyrevelferd ved oppgraderinger av driftsbygninger eller nybygg.»</w:t>
      </w:r>
    </w:p>
    <w:p w14:paraId="10E7B704" w14:textId="77777777" w:rsidR="00F7113A" w:rsidRPr="00580C0D" w:rsidRDefault="00142E5B" w:rsidP="00580C0D">
      <w:r w:rsidRPr="00580C0D">
        <w:t xml:space="preserve">Vedtaket blei fatta ved handsaminga av Dokument 8:25 S (2021–2022), jf. </w:t>
      </w:r>
      <w:proofErr w:type="spellStart"/>
      <w:r w:rsidRPr="00580C0D">
        <w:t>Innst</w:t>
      </w:r>
      <w:proofErr w:type="spellEnd"/>
      <w:r w:rsidRPr="00580C0D">
        <w:t>. 130 S (2021–2022).</w:t>
      </w:r>
    </w:p>
    <w:p w14:paraId="2464DA97" w14:textId="77777777" w:rsidR="00F7113A" w:rsidRPr="00580C0D" w:rsidRDefault="00142E5B" w:rsidP="00580C0D">
      <w:r w:rsidRPr="00580C0D">
        <w:t xml:space="preserve">Regjeringa </w:t>
      </w:r>
      <w:proofErr w:type="spellStart"/>
      <w:r w:rsidRPr="00580C0D">
        <w:t>tek</w:t>
      </w:r>
      <w:proofErr w:type="spellEnd"/>
      <w:r w:rsidRPr="00580C0D">
        <w:t xml:space="preserve"> sikte på å </w:t>
      </w:r>
      <w:proofErr w:type="spellStart"/>
      <w:r w:rsidRPr="00580C0D">
        <w:t>leggje</w:t>
      </w:r>
      <w:proofErr w:type="spellEnd"/>
      <w:r w:rsidRPr="00580C0D">
        <w:t xml:space="preserve"> fram ei stortingsmelding om dyrevelferd i 2024. Departementet har </w:t>
      </w:r>
      <w:proofErr w:type="spellStart"/>
      <w:r w:rsidRPr="00580C0D">
        <w:t>motteke</w:t>
      </w:r>
      <w:proofErr w:type="spellEnd"/>
      <w:r w:rsidRPr="00580C0D">
        <w:t xml:space="preserve"> ei </w:t>
      </w:r>
      <w:proofErr w:type="spellStart"/>
      <w:r w:rsidRPr="00580C0D">
        <w:t>rekkje</w:t>
      </w:r>
      <w:proofErr w:type="spellEnd"/>
      <w:r w:rsidRPr="00580C0D">
        <w:t xml:space="preserve"> </w:t>
      </w:r>
      <w:proofErr w:type="spellStart"/>
      <w:r w:rsidRPr="00580C0D">
        <w:t>innspel</w:t>
      </w:r>
      <w:proofErr w:type="spellEnd"/>
      <w:r w:rsidRPr="00580C0D">
        <w:t xml:space="preserve"> på området, og </w:t>
      </w:r>
      <w:proofErr w:type="spellStart"/>
      <w:r w:rsidRPr="00580C0D">
        <w:t>desse</w:t>
      </w:r>
      <w:proofErr w:type="spellEnd"/>
      <w:r w:rsidRPr="00580C0D">
        <w:t xml:space="preserve"> </w:t>
      </w:r>
      <w:proofErr w:type="spellStart"/>
      <w:r w:rsidRPr="00580C0D">
        <w:t>temaa</w:t>
      </w:r>
      <w:proofErr w:type="spellEnd"/>
      <w:r w:rsidRPr="00580C0D">
        <w:t xml:space="preserve"> vil </w:t>
      </w:r>
      <w:proofErr w:type="spellStart"/>
      <w:r w:rsidRPr="00580C0D">
        <w:t>vere</w:t>
      </w:r>
      <w:proofErr w:type="spellEnd"/>
      <w:r w:rsidRPr="00580C0D">
        <w:t xml:space="preserve"> </w:t>
      </w:r>
      <w:proofErr w:type="spellStart"/>
      <w:r w:rsidRPr="00580C0D">
        <w:t>ein</w:t>
      </w:r>
      <w:proofErr w:type="spellEnd"/>
      <w:r w:rsidRPr="00580C0D">
        <w:t xml:space="preserve"> del av arbeidet.</w:t>
      </w:r>
    </w:p>
    <w:p w14:paraId="4C2286EE" w14:textId="77777777" w:rsidR="00F7113A" w:rsidRPr="00580C0D" w:rsidRDefault="00142E5B" w:rsidP="00580C0D">
      <w:pPr>
        <w:pStyle w:val="avsnitt-tittel"/>
      </w:pPr>
      <w:r w:rsidRPr="00580C0D">
        <w:t>Konkrete tiltak i melding til Stortinget om dyrevelferd</w:t>
      </w:r>
    </w:p>
    <w:p w14:paraId="639F3B84" w14:textId="77777777" w:rsidR="00F7113A" w:rsidRPr="00580C0D" w:rsidRDefault="00142E5B" w:rsidP="00580C0D">
      <w:pPr>
        <w:pStyle w:val="avsnitt-undertittel"/>
      </w:pPr>
      <w:r w:rsidRPr="00580C0D">
        <w:t>Vedtak nr. 383, 15. februar 2022</w:t>
      </w:r>
    </w:p>
    <w:p w14:paraId="6EBB15BC" w14:textId="77777777" w:rsidR="00F7113A" w:rsidRPr="00580C0D" w:rsidRDefault="00142E5B" w:rsidP="00580C0D">
      <w:pPr>
        <w:pStyle w:val="blokksit"/>
        <w:rPr>
          <w:rStyle w:val="kursiv"/>
        </w:rPr>
      </w:pPr>
      <w:r w:rsidRPr="00580C0D">
        <w:rPr>
          <w:rStyle w:val="kursiv"/>
        </w:rPr>
        <w:t xml:space="preserve">«Stortinget ber regjeringa legge fram ei </w:t>
      </w:r>
      <w:proofErr w:type="spellStart"/>
      <w:r w:rsidRPr="00580C0D">
        <w:rPr>
          <w:rStyle w:val="kursiv"/>
        </w:rPr>
        <w:t>heilskapleg</w:t>
      </w:r>
      <w:proofErr w:type="spellEnd"/>
      <w:r w:rsidRPr="00580C0D">
        <w:rPr>
          <w:rStyle w:val="kursiv"/>
        </w:rPr>
        <w:t xml:space="preserve"> stortingsmelding om dyrevelferd som </w:t>
      </w:r>
      <w:proofErr w:type="spellStart"/>
      <w:r w:rsidRPr="00580C0D">
        <w:rPr>
          <w:rStyle w:val="kursiv"/>
        </w:rPr>
        <w:t>omfattar</w:t>
      </w:r>
      <w:proofErr w:type="spellEnd"/>
      <w:r w:rsidRPr="00580C0D">
        <w:rPr>
          <w:rStyle w:val="kursiv"/>
        </w:rPr>
        <w:t xml:space="preserve"> både produksjonsdyr i landbruket, kjæledyr og fiskeoppdrett, </w:t>
      </w:r>
      <w:proofErr w:type="spellStart"/>
      <w:r w:rsidRPr="00580C0D">
        <w:rPr>
          <w:rStyle w:val="kursiv"/>
        </w:rPr>
        <w:t>seinast</w:t>
      </w:r>
      <w:proofErr w:type="spellEnd"/>
      <w:r w:rsidRPr="00580C0D">
        <w:rPr>
          <w:rStyle w:val="kursiv"/>
        </w:rPr>
        <w:t xml:space="preserve"> i vårsesjonen 2023. Regjeringa vert </w:t>
      </w:r>
      <w:proofErr w:type="spellStart"/>
      <w:r w:rsidRPr="00580C0D">
        <w:rPr>
          <w:rStyle w:val="kursiv"/>
        </w:rPr>
        <w:t>beden</w:t>
      </w:r>
      <w:proofErr w:type="spellEnd"/>
      <w:r w:rsidRPr="00580C0D">
        <w:rPr>
          <w:rStyle w:val="kursiv"/>
        </w:rPr>
        <w:t xml:space="preserve"> om å greie ut og foreslå konkrete tiltak i meldinga både for </w:t>
      </w:r>
      <w:proofErr w:type="spellStart"/>
      <w:r w:rsidRPr="00580C0D">
        <w:rPr>
          <w:rStyle w:val="kursiv"/>
        </w:rPr>
        <w:t>betra</w:t>
      </w:r>
      <w:proofErr w:type="spellEnd"/>
      <w:r w:rsidRPr="00580C0D">
        <w:rPr>
          <w:rStyle w:val="kursiv"/>
        </w:rPr>
        <w:t xml:space="preserve"> dyrevelferd generelt og for spesifikke </w:t>
      </w:r>
      <w:proofErr w:type="spellStart"/>
      <w:r w:rsidRPr="00580C0D">
        <w:rPr>
          <w:rStyle w:val="kursiv"/>
        </w:rPr>
        <w:t>artar</w:t>
      </w:r>
      <w:proofErr w:type="spellEnd"/>
      <w:r w:rsidRPr="00580C0D">
        <w:rPr>
          <w:rStyle w:val="kursiv"/>
        </w:rPr>
        <w:t xml:space="preserve">/grupper av dyr, herunder </w:t>
      </w:r>
      <w:proofErr w:type="spellStart"/>
      <w:r w:rsidRPr="00580C0D">
        <w:rPr>
          <w:rStyle w:val="kursiv"/>
        </w:rPr>
        <w:t>følgjande</w:t>
      </w:r>
      <w:proofErr w:type="spellEnd"/>
      <w:r w:rsidRPr="00580C0D">
        <w:rPr>
          <w:rStyle w:val="kursiv"/>
        </w:rPr>
        <w:t xml:space="preserve"> tema:</w:t>
      </w:r>
    </w:p>
    <w:p w14:paraId="1A3DC4E3" w14:textId="77777777" w:rsidR="00F7113A" w:rsidRPr="00580C0D" w:rsidRDefault="00142E5B" w:rsidP="00580C0D">
      <w:pPr>
        <w:pStyle w:val="Liste2"/>
        <w:rPr>
          <w:rStyle w:val="kursiv"/>
        </w:rPr>
      </w:pPr>
      <w:r w:rsidRPr="00580C0D">
        <w:rPr>
          <w:rStyle w:val="kursiv"/>
        </w:rPr>
        <w:t xml:space="preserve">å greie ut korleis økonomiske </w:t>
      </w:r>
      <w:proofErr w:type="spellStart"/>
      <w:r w:rsidRPr="00580C0D">
        <w:rPr>
          <w:rStyle w:val="kursiv"/>
        </w:rPr>
        <w:t>verkemiddel</w:t>
      </w:r>
      <w:proofErr w:type="spellEnd"/>
      <w:r w:rsidRPr="00580C0D">
        <w:rPr>
          <w:rStyle w:val="kursiv"/>
        </w:rPr>
        <w:t xml:space="preserve"> i landbrukspolitikken kan </w:t>
      </w:r>
      <w:proofErr w:type="spellStart"/>
      <w:r w:rsidRPr="00580C0D">
        <w:rPr>
          <w:rStyle w:val="kursiv"/>
        </w:rPr>
        <w:t>innrettast</w:t>
      </w:r>
      <w:proofErr w:type="spellEnd"/>
      <w:r w:rsidRPr="00580C0D">
        <w:rPr>
          <w:rStyle w:val="kursiv"/>
        </w:rPr>
        <w:t xml:space="preserve"> på </w:t>
      </w:r>
      <w:proofErr w:type="spellStart"/>
      <w:r w:rsidRPr="00580C0D">
        <w:rPr>
          <w:rStyle w:val="kursiv"/>
        </w:rPr>
        <w:t>ein</w:t>
      </w:r>
      <w:proofErr w:type="spellEnd"/>
      <w:r w:rsidRPr="00580C0D">
        <w:rPr>
          <w:rStyle w:val="kursiv"/>
        </w:rPr>
        <w:t xml:space="preserve"> måte som </w:t>
      </w:r>
      <w:proofErr w:type="spellStart"/>
      <w:r w:rsidRPr="00580C0D">
        <w:rPr>
          <w:rStyle w:val="kursiv"/>
        </w:rPr>
        <w:t>løner</w:t>
      </w:r>
      <w:proofErr w:type="spellEnd"/>
      <w:r w:rsidRPr="00580C0D">
        <w:rPr>
          <w:rStyle w:val="kursiv"/>
        </w:rPr>
        <w:t xml:space="preserve"> god dyrevelferd.</w:t>
      </w:r>
    </w:p>
    <w:p w14:paraId="4EB6E80B" w14:textId="77777777" w:rsidR="00F7113A" w:rsidRPr="00580C0D" w:rsidRDefault="00142E5B" w:rsidP="00580C0D">
      <w:pPr>
        <w:pStyle w:val="Liste2"/>
        <w:rPr>
          <w:rStyle w:val="kursiv"/>
        </w:rPr>
      </w:pPr>
      <w:r w:rsidRPr="00580C0D">
        <w:rPr>
          <w:rStyle w:val="kursiv"/>
        </w:rPr>
        <w:t xml:space="preserve">å greie ut korleis norsk regelverk vil måtte </w:t>
      </w:r>
      <w:proofErr w:type="spellStart"/>
      <w:r w:rsidRPr="00580C0D">
        <w:rPr>
          <w:rStyle w:val="kursiv"/>
        </w:rPr>
        <w:t>endrast</w:t>
      </w:r>
      <w:proofErr w:type="spellEnd"/>
      <w:r w:rsidRPr="00580C0D">
        <w:rPr>
          <w:rStyle w:val="kursiv"/>
        </w:rPr>
        <w:t xml:space="preserve"> ved implementering av EU sitt varsla </w:t>
      </w:r>
      <w:proofErr w:type="spellStart"/>
      <w:r w:rsidRPr="00580C0D">
        <w:rPr>
          <w:rStyle w:val="kursiv"/>
        </w:rPr>
        <w:t>forbod</w:t>
      </w:r>
      <w:proofErr w:type="spellEnd"/>
      <w:r w:rsidRPr="00580C0D">
        <w:rPr>
          <w:rStyle w:val="kursiv"/>
        </w:rPr>
        <w:t xml:space="preserve"> mot hald av dyr i bur og trange </w:t>
      </w:r>
      <w:proofErr w:type="spellStart"/>
      <w:r w:rsidRPr="00580C0D">
        <w:rPr>
          <w:rStyle w:val="kursiv"/>
        </w:rPr>
        <w:t>bingar</w:t>
      </w:r>
      <w:proofErr w:type="spellEnd"/>
      <w:r w:rsidRPr="00580C0D">
        <w:rPr>
          <w:rStyle w:val="kursiv"/>
        </w:rPr>
        <w:t>.</w:t>
      </w:r>
    </w:p>
    <w:p w14:paraId="59F0D4F2" w14:textId="77777777" w:rsidR="00F7113A" w:rsidRPr="00580C0D" w:rsidRDefault="00142E5B" w:rsidP="00580C0D">
      <w:pPr>
        <w:pStyle w:val="Liste2"/>
        <w:rPr>
          <w:rStyle w:val="kursiv"/>
        </w:rPr>
      </w:pPr>
      <w:r w:rsidRPr="00580C0D">
        <w:rPr>
          <w:rStyle w:val="kursiv"/>
        </w:rPr>
        <w:t xml:space="preserve">å greie ut Mattilsynet sin kontroll- og rettleiingsfunksjon og </w:t>
      </w:r>
      <w:proofErr w:type="spellStart"/>
      <w:r w:rsidRPr="00580C0D">
        <w:rPr>
          <w:rStyle w:val="kursiv"/>
        </w:rPr>
        <w:t>trong</w:t>
      </w:r>
      <w:proofErr w:type="spellEnd"/>
      <w:r w:rsidRPr="00580C0D">
        <w:rPr>
          <w:rStyle w:val="kursiv"/>
        </w:rPr>
        <w:t xml:space="preserve"> for </w:t>
      </w:r>
      <w:proofErr w:type="spellStart"/>
      <w:r w:rsidRPr="00580C0D">
        <w:rPr>
          <w:rStyle w:val="kursiv"/>
        </w:rPr>
        <w:t>ressursar</w:t>
      </w:r>
      <w:proofErr w:type="spellEnd"/>
      <w:r w:rsidRPr="00580C0D">
        <w:rPr>
          <w:rStyle w:val="kursiv"/>
        </w:rPr>
        <w:t xml:space="preserve"> for å sikre </w:t>
      </w:r>
      <w:proofErr w:type="spellStart"/>
      <w:r w:rsidRPr="00580C0D">
        <w:rPr>
          <w:rStyle w:val="kursiv"/>
        </w:rPr>
        <w:t>tilstrekkeleg</w:t>
      </w:r>
      <w:proofErr w:type="spellEnd"/>
      <w:r w:rsidRPr="00580C0D">
        <w:rPr>
          <w:rStyle w:val="kursiv"/>
        </w:rPr>
        <w:t xml:space="preserve"> oppfølging av dyrevelferden i landbruket.</w:t>
      </w:r>
    </w:p>
    <w:p w14:paraId="072637C9" w14:textId="77777777" w:rsidR="00F7113A" w:rsidRPr="00580C0D" w:rsidRDefault="00142E5B" w:rsidP="00580C0D">
      <w:pPr>
        <w:pStyle w:val="Liste2"/>
        <w:rPr>
          <w:rStyle w:val="kursiv"/>
        </w:rPr>
      </w:pPr>
      <w:r w:rsidRPr="00580C0D">
        <w:rPr>
          <w:rStyle w:val="kursiv"/>
        </w:rPr>
        <w:t xml:space="preserve">å greie ut </w:t>
      </w:r>
      <w:proofErr w:type="spellStart"/>
      <w:r w:rsidRPr="00580C0D">
        <w:rPr>
          <w:rStyle w:val="kursiv"/>
        </w:rPr>
        <w:t>merkeordningar</w:t>
      </w:r>
      <w:proofErr w:type="spellEnd"/>
      <w:r w:rsidRPr="00580C0D">
        <w:rPr>
          <w:rStyle w:val="kursiv"/>
        </w:rPr>
        <w:t xml:space="preserve"> som </w:t>
      </w:r>
      <w:proofErr w:type="spellStart"/>
      <w:r w:rsidRPr="00580C0D">
        <w:rPr>
          <w:rStyle w:val="kursiv"/>
        </w:rPr>
        <w:t>gjer</w:t>
      </w:r>
      <w:proofErr w:type="spellEnd"/>
      <w:r w:rsidRPr="00580C0D">
        <w:rPr>
          <w:rStyle w:val="kursiv"/>
        </w:rPr>
        <w:t xml:space="preserve"> det </w:t>
      </w:r>
      <w:proofErr w:type="spellStart"/>
      <w:r w:rsidRPr="00580C0D">
        <w:rPr>
          <w:rStyle w:val="kursiv"/>
        </w:rPr>
        <w:t>lettare</w:t>
      </w:r>
      <w:proofErr w:type="spellEnd"/>
      <w:r w:rsidRPr="00580C0D">
        <w:rPr>
          <w:rStyle w:val="kursiv"/>
        </w:rPr>
        <w:t xml:space="preserve"> for </w:t>
      </w:r>
      <w:proofErr w:type="spellStart"/>
      <w:r w:rsidRPr="00580C0D">
        <w:rPr>
          <w:rStyle w:val="kursiv"/>
        </w:rPr>
        <w:t>forbrukaren</w:t>
      </w:r>
      <w:proofErr w:type="spellEnd"/>
      <w:r w:rsidRPr="00580C0D">
        <w:rPr>
          <w:rStyle w:val="kursiv"/>
        </w:rPr>
        <w:t xml:space="preserve"> å </w:t>
      </w:r>
      <w:proofErr w:type="spellStart"/>
      <w:r w:rsidRPr="00580C0D">
        <w:rPr>
          <w:rStyle w:val="kursiv"/>
        </w:rPr>
        <w:t>velje</w:t>
      </w:r>
      <w:proofErr w:type="spellEnd"/>
      <w:r w:rsidRPr="00580C0D">
        <w:rPr>
          <w:rStyle w:val="kursiv"/>
        </w:rPr>
        <w:t xml:space="preserve"> </w:t>
      </w:r>
      <w:proofErr w:type="spellStart"/>
      <w:r w:rsidRPr="00580C0D">
        <w:rPr>
          <w:rStyle w:val="kursiv"/>
        </w:rPr>
        <w:t>dyrevenlege</w:t>
      </w:r>
      <w:proofErr w:type="spellEnd"/>
      <w:r w:rsidRPr="00580C0D">
        <w:rPr>
          <w:rStyle w:val="kursiv"/>
        </w:rPr>
        <w:t xml:space="preserve"> produkt. Ei slik merkeordning kan </w:t>
      </w:r>
      <w:proofErr w:type="spellStart"/>
      <w:r w:rsidRPr="00580C0D">
        <w:rPr>
          <w:rStyle w:val="kursiv"/>
        </w:rPr>
        <w:t>vere</w:t>
      </w:r>
      <w:proofErr w:type="spellEnd"/>
      <w:r w:rsidRPr="00580C0D">
        <w:rPr>
          <w:rStyle w:val="kursiv"/>
        </w:rPr>
        <w:t xml:space="preserve"> </w:t>
      </w:r>
      <w:proofErr w:type="spellStart"/>
      <w:r w:rsidRPr="00580C0D">
        <w:rPr>
          <w:rStyle w:val="kursiv"/>
        </w:rPr>
        <w:t>statleg</w:t>
      </w:r>
      <w:proofErr w:type="spellEnd"/>
      <w:r w:rsidRPr="00580C0D">
        <w:rPr>
          <w:rStyle w:val="kursiv"/>
        </w:rPr>
        <w:t xml:space="preserve"> eller privat.</w:t>
      </w:r>
    </w:p>
    <w:p w14:paraId="6036D4C3" w14:textId="77777777" w:rsidR="00F7113A" w:rsidRPr="00580C0D" w:rsidRDefault="00142E5B" w:rsidP="00580C0D">
      <w:pPr>
        <w:pStyle w:val="Liste2"/>
        <w:rPr>
          <w:rStyle w:val="kursiv"/>
        </w:rPr>
      </w:pPr>
      <w:r w:rsidRPr="00580C0D">
        <w:rPr>
          <w:rStyle w:val="kursiv"/>
        </w:rPr>
        <w:t xml:space="preserve">å greie ut korleis </w:t>
      </w:r>
      <w:proofErr w:type="spellStart"/>
      <w:r w:rsidRPr="00580C0D">
        <w:rPr>
          <w:rStyle w:val="kursiv"/>
        </w:rPr>
        <w:t>grisar</w:t>
      </w:r>
      <w:proofErr w:type="spellEnd"/>
      <w:r w:rsidRPr="00580C0D">
        <w:rPr>
          <w:rStyle w:val="kursiv"/>
        </w:rPr>
        <w:t xml:space="preserve"> kan </w:t>
      </w:r>
      <w:proofErr w:type="spellStart"/>
      <w:r w:rsidRPr="00580C0D">
        <w:rPr>
          <w:rStyle w:val="kursiv"/>
        </w:rPr>
        <w:t>sikrast</w:t>
      </w:r>
      <w:proofErr w:type="spellEnd"/>
      <w:r w:rsidRPr="00580C0D">
        <w:rPr>
          <w:rStyle w:val="kursiv"/>
        </w:rPr>
        <w:t xml:space="preserve"> betre tilgang til uteareal, til dømes gjennom </w:t>
      </w:r>
      <w:proofErr w:type="spellStart"/>
      <w:r w:rsidRPr="00580C0D">
        <w:rPr>
          <w:rStyle w:val="kursiv"/>
        </w:rPr>
        <w:t>tilskots</w:t>
      </w:r>
      <w:proofErr w:type="spellEnd"/>
      <w:r w:rsidRPr="00580C0D">
        <w:rPr>
          <w:rStyle w:val="kursiv"/>
        </w:rPr>
        <w:t xml:space="preserve">- eller </w:t>
      </w:r>
      <w:proofErr w:type="spellStart"/>
      <w:r w:rsidRPr="00580C0D">
        <w:rPr>
          <w:rStyle w:val="kursiv"/>
        </w:rPr>
        <w:t>merkeordningar</w:t>
      </w:r>
      <w:proofErr w:type="spellEnd"/>
      <w:r w:rsidRPr="00580C0D">
        <w:rPr>
          <w:rStyle w:val="kursiv"/>
        </w:rPr>
        <w:t xml:space="preserve">, eventuelt gjennom </w:t>
      </w:r>
      <w:proofErr w:type="spellStart"/>
      <w:r w:rsidRPr="00580C0D">
        <w:rPr>
          <w:rStyle w:val="kursiv"/>
        </w:rPr>
        <w:t>endringar</w:t>
      </w:r>
      <w:proofErr w:type="spellEnd"/>
      <w:r w:rsidRPr="00580C0D">
        <w:rPr>
          <w:rStyle w:val="kursiv"/>
        </w:rPr>
        <w:t xml:space="preserve"> i lovverket.»</w:t>
      </w:r>
    </w:p>
    <w:p w14:paraId="328D2644" w14:textId="77777777" w:rsidR="00F7113A" w:rsidRPr="00580C0D" w:rsidRDefault="00142E5B" w:rsidP="00580C0D">
      <w:r w:rsidRPr="00580C0D">
        <w:t xml:space="preserve">Vedtaket blei fatta ved handsaminga av Dokument 8:25 S (2021–2022), jf. </w:t>
      </w:r>
      <w:proofErr w:type="spellStart"/>
      <w:r w:rsidRPr="00580C0D">
        <w:t>Innst</w:t>
      </w:r>
      <w:proofErr w:type="spellEnd"/>
      <w:r w:rsidRPr="00580C0D">
        <w:t>. 130 S (2021–2022).</w:t>
      </w:r>
    </w:p>
    <w:p w14:paraId="6C01C7FB" w14:textId="77777777" w:rsidR="00F7113A" w:rsidRPr="00580C0D" w:rsidRDefault="00142E5B" w:rsidP="00580C0D">
      <w:r w:rsidRPr="00580C0D">
        <w:t xml:space="preserve">Regjeringa </w:t>
      </w:r>
      <w:proofErr w:type="spellStart"/>
      <w:r w:rsidRPr="00580C0D">
        <w:t>tek</w:t>
      </w:r>
      <w:proofErr w:type="spellEnd"/>
      <w:r w:rsidRPr="00580C0D">
        <w:t xml:space="preserve"> sikte på å </w:t>
      </w:r>
      <w:proofErr w:type="spellStart"/>
      <w:r w:rsidRPr="00580C0D">
        <w:t>leggje</w:t>
      </w:r>
      <w:proofErr w:type="spellEnd"/>
      <w:r w:rsidRPr="00580C0D">
        <w:t xml:space="preserve"> fram ei stortingsmelding om dyrevelferd i 2024, og </w:t>
      </w:r>
      <w:proofErr w:type="spellStart"/>
      <w:r w:rsidRPr="00580C0D">
        <w:t>desse</w:t>
      </w:r>
      <w:proofErr w:type="spellEnd"/>
      <w:r w:rsidRPr="00580C0D">
        <w:t xml:space="preserve"> </w:t>
      </w:r>
      <w:proofErr w:type="spellStart"/>
      <w:r w:rsidRPr="00580C0D">
        <w:t>temaa</w:t>
      </w:r>
      <w:proofErr w:type="spellEnd"/>
      <w:r w:rsidRPr="00580C0D">
        <w:t xml:space="preserve"> vil bli </w:t>
      </w:r>
      <w:proofErr w:type="spellStart"/>
      <w:r w:rsidRPr="00580C0D">
        <w:t>nærare</w:t>
      </w:r>
      <w:proofErr w:type="spellEnd"/>
      <w:r w:rsidRPr="00580C0D">
        <w:t xml:space="preserve"> vurderte i samband med stortingsmeldinga. Departementet har </w:t>
      </w:r>
      <w:proofErr w:type="spellStart"/>
      <w:r w:rsidRPr="00580C0D">
        <w:t>halde</w:t>
      </w:r>
      <w:proofErr w:type="spellEnd"/>
      <w:r w:rsidRPr="00580C0D">
        <w:t xml:space="preserve"> </w:t>
      </w:r>
      <w:proofErr w:type="spellStart"/>
      <w:r w:rsidRPr="00580C0D">
        <w:t>fleire</w:t>
      </w:r>
      <w:proofErr w:type="spellEnd"/>
      <w:r w:rsidRPr="00580C0D">
        <w:t xml:space="preserve"> møte med </w:t>
      </w:r>
      <w:proofErr w:type="spellStart"/>
      <w:r w:rsidRPr="00580C0D">
        <w:t>innspel</w:t>
      </w:r>
      <w:proofErr w:type="spellEnd"/>
      <w:r w:rsidRPr="00580C0D">
        <w:t xml:space="preserve"> om aktuelle tema, og </w:t>
      </w:r>
      <w:proofErr w:type="spellStart"/>
      <w:r w:rsidRPr="00580C0D">
        <w:t>motteke</w:t>
      </w:r>
      <w:proofErr w:type="spellEnd"/>
      <w:r w:rsidRPr="00580C0D">
        <w:t xml:space="preserve"> ei </w:t>
      </w:r>
      <w:proofErr w:type="spellStart"/>
      <w:r w:rsidRPr="00580C0D">
        <w:t>rekkje</w:t>
      </w:r>
      <w:proofErr w:type="spellEnd"/>
      <w:r w:rsidRPr="00580C0D">
        <w:t xml:space="preserve"> </w:t>
      </w:r>
      <w:proofErr w:type="spellStart"/>
      <w:r w:rsidRPr="00580C0D">
        <w:t>innspel</w:t>
      </w:r>
      <w:proofErr w:type="spellEnd"/>
      <w:r w:rsidRPr="00580C0D">
        <w:t xml:space="preserve"> på området.</w:t>
      </w:r>
    </w:p>
    <w:p w14:paraId="1B61DAC0" w14:textId="77777777" w:rsidR="00F7113A" w:rsidRPr="00580C0D" w:rsidRDefault="00142E5B" w:rsidP="00580C0D">
      <w:pPr>
        <w:pStyle w:val="avsnitt-tittel"/>
      </w:pPr>
      <w:r w:rsidRPr="00580C0D">
        <w:t>Alternativ til CO</w:t>
      </w:r>
      <w:r w:rsidRPr="00580C0D">
        <w:rPr>
          <w:rStyle w:val="skrift-senket"/>
        </w:rPr>
        <w:t>2</w:t>
      </w:r>
      <w:r w:rsidRPr="00580C0D">
        <w:t>-bedøving av dyr</w:t>
      </w:r>
    </w:p>
    <w:p w14:paraId="1411C740" w14:textId="77777777" w:rsidR="00F7113A" w:rsidRPr="00580C0D" w:rsidRDefault="00142E5B" w:rsidP="00580C0D">
      <w:pPr>
        <w:pStyle w:val="avsnitt-undertittel"/>
      </w:pPr>
      <w:r w:rsidRPr="00580C0D">
        <w:t>Vedtak nr. 384, 15. februar 2022</w:t>
      </w:r>
    </w:p>
    <w:p w14:paraId="0915B161" w14:textId="77777777" w:rsidR="00F7113A" w:rsidRPr="00580C0D" w:rsidRDefault="00142E5B" w:rsidP="00580C0D">
      <w:pPr>
        <w:pStyle w:val="blokksit"/>
        <w:rPr>
          <w:rStyle w:val="kursiv"/>
        </w:rPr>
      </w:pPr>
      <w:r w:rsidRPr="00580C0D">
        <w:rPr>
          <w:rStyle w:val="kursiv"/>
        </w:rPr>
        <w:t>«Stortinget ber regjeringa sørge for at det vert forska på alternativ til CO</w:t>
      </w:r>
      <w:r w:rsidRPr="00580C0D">
        <w:rPr>
          <w:rStyle w:val="skrift-senket"/>
        </w:rPr>
        <w:t>2</w:t>
      </w:r>
      <w:r w:rsidRPr="00580C0D">
        <w:rPr>
          <w:rStyle w:val="kursiv"/>
        </w:rPr>
        <w:t xml:space="preserve">-bedøving av dyr i slakteri og kverning av </w:t>
      </w:r>
      <w:proofErr w:type="spellStart"/>
      <w:r w:rsidRPr="00580C0D">
        <w:rPr>
          <w:rStyle w:val="kursiv"/>
        </w:rPr>
        <w:t>hanekyllingar</w:t>
      </w:r>
      <w:proofErr w:type="spellEnd"/>
      <w:r w:rsidRPr="00580C0D">
        <w:rPr>
          <w:rStyle w:val="kursiv"/>
        </w:rPr>
        <w:t xml:space="preserve"> (maserasjon), med mål om at det vert innført betre </w:t>
      </w:r>
      <w:proofErr w:type="spellStart"/>
      <w:r w:rsidRPr="00580C0D">
        <w:rPr>
          <w:rStyle w:val="kursiv"/>
        </w:rPr>
        <w:t>metodar</w:t>
      </w:r>
      <w:proofErr w:type="spellEnd"/>
      <w:r w:rsidRPr="00580C0D">
        <w:rPr>
          <w:rStyle w:val="kursiv"/>
        </w:rPr>
        <w:t xml:space="preserve"> for avliving, og at det på sikt kan </w:t>
      </w:r>
      <w:proofErr w:type="spellStart"/>
      <w:r w:rsidRPr="00580C0D">
        <w:rPr>
          <w:rStyle w:val="kursiv"/>
        </w:rPr>
        <w:t>innførast</w:t>
      </w:r>
      <w:proofErr w:type="spellEnd"/>
      <w:r w:rsidRPr="00580C0D">
        <w:rPr>
          <w:rStyle w:val="kursiv"/>
        </w:rPr>
        <w:t xml:space="preserve"> </w:t>
      </w:r>
      <w:proofErr w:type="spellStart"/>
      <w:r w:rsidRPr="00580C0D">
        <w:rPr>
          <w:rStyle w:val="kursiv"/>
        </w:rPr>
        <w:t>eit</w:t>
      </w:r>
      <w:proofErr w:type="spellEnd"/>
      <w:r w:rsidRPr="00580C0D">
        <w:rPr>
          <w:rStyle w:val="kursiv"/>
        </w:rPr>
        <w:t xml:space="preserve"> </w:t>
      </w:r>
      <w:proofErr w:type="spellStart"/>
      <w:r w:rsidRPr="00580C0D">
        <w:rPr>
          <w:rStyle w:val="kursiv"/>
        </w:rPr>
        <w:t>forbod</w:t>
      </w:r>
      <w:proofErr w:type="spellEnd"/>
      <w:r w:rsidRPr="00580C0D">
        <w:rPr>
          <w:rStyle w:val="kursiv"/>
        </w:rPr>
        <w:t xml:space="preserve"> mot dagens praksis.»</w:t>
      </w:r>
    </w:p>
    <w:p w14:paraId="20428286" w14:textId="77777777" w:rsidR="00F7113A" w:rsidRPr="00580C0D" w:rsidRDefault="00142E5B" w:rsidP="00580C0D">
      <w:r w:rsidRPr="00580C0D">
        <w:t xml:space="preserve">Vedtaket blei fatta ved handsaminga av Dokument 8:25 S (2021–2022), jf. </w:t>
      </w:r>
      <w:proofErr w:type="spellStart"/>
      <w:r w:rsidRPr="00580C0D">
        <w:t>Innst</w:t>
      </w:r>
      <w:proofErr w:type="spellEnd"/>
      <w:r w:rsidRPr="00580C0D">
        <w:t>. 130 S (2021–2022).</w:t>
      </w:r>
    </w:p>
    <w:p w14:paraId="32960F92" w14:textId="77777777" w:rsidR="00F7113A" w:rsidRPr="00580C0D" w:rsidRDefault="00142E5B" w:rsidP="00580C0D">
      <w:r w:rsidRPr="00580C0D">
        <w:t xml:space="preserve">Landbruks- og matdepartementet og Nærings- og fiskeridepartementet vil </w:t>
      </w:r>
      <w:proofErr w:type="spellStart"/>
      <w:r w:rsidRPr="00580C0D">
        <w:t>saman</w:t>
      </w:r>
      <w:proofErr w:type="spellEnd"/>
      <w:r w:rsidRPr="00580C0D">
        <w:t xml:space="preserve"> utarbeide ei stortingsmelding om dyrevelferd. </w:t>
      </w:r>
      <w:proofErr w:type="spellStart"/>
      <w:r w:rsidRPr="00580C0D">
        <w:t>Metodar</w:t>
      </w:r>
      <w:proofErr w:type="spellEnd"/>
      <w:r w:rsidRPr="00580C0D">
        <w:t xml:space="preserve"> for avliving av dyr kjem </w:t>
      </w:r>
      <w:proofErr w:type="spellStart"/>
      <w:r w:rsidRPr="00580C0D">
        <w:t>innanfor</w:t>
      </w:r>
      <w:proofErr w:type="spellEnd"/>
      <w:r w:rsidRPr="00580C0D">
        <w:t xml:space="preserve"> ramma av ei slik stortingsmelding. Når det gjeld </w:t>
      </w:r>
      <w:proofErr w:type="spellStart"/>
      <w:r w:rsidRPr="00580C0D">
        <w:t>metodar</w:t>
      </w:r>
      <w:proofErr w:type="spellEnd"/>
      <w:r w:rsidRPr="00580C0D">
        <w:t xml:space="preserve"> for avliving av dyr, er </w:t>
      </w:r>
      <w:proofErr w:type="spellStart"/>
      <w:r w:rsidRPr="00580C0D">
        <w:t>desse</w:t>
      </w:r>
      <w:proofErr w:type="spellEnd"/>
      <w:r w:rsidRPr="00580C0D">
        <w:t xml:space="preserve"> regulerte i </w:t>
      </w:r>
      <w:proofErr w:type="spellStart"/>
      <w:r w:rsidRPr="00580C0D">
        <w:t>eit</w:t>
      </w:r>
      <w:proofErr w:type="spellEnd"/>
      <w:r w:rsidRPr="00580C0D">
        <w:t xml:space="preserve"> EØS-harmonisert regelverk. Regelverket blir basert på den til </w:t>
      </w:r>
      <w:proofErr w:type="spellStart"/>
      <w:r w:rsidRPr="00580C0D">
        <w:t>ein</w:t>
      </w:r>
      <w:proofErr w:type="spellEnd"/>
      <w:r w:rsidRPr="00580C0D">
        <w:t xml:space="preserve"> kvar tid </w:t>
      </w:r>
      <w:proofErr w:type="spellStart"/>
      <w:r w:rsidRPr="00580C0D">
        <w:t>tilgjengelege</w:t>
      </w:r>
      <w:proofErr w:type="spellEnd"/>
      <w:r w:rsidRPr="00580C0D">
        <w:t xml:space="preserve"> kunnskapen i EØS-området.</w:t>
      </w:r>
    </w:p>
    <w:p w14:paraId="41E0130E" w14:textId="77777777" w:rsidR="00F7113A" w:rsidRPr="00580C0D" w:rsidRDefault="00142E5B" w:rsidP="00580C0D">
      <w:pPr>
        <w:pStyle w:val="avsnitt-tittel"/>
      </w:pPr>
      <w:r w:rsidRPr="00580C0D">
        <w:t>Inntektsgap</w:t>
      </w:r>
    </w:p>
    <w:p w14:paraId="4C47D0B5" w14:textId="77777777" w:rsidR="00F7113A" w:rsidRPr="00580C0D" w:rsidRDefault="00142E5B" w:rsidP="00580C0D">
      <w:pPr>
        <w:pStyle w:val="avsnitt-undertittel"/>
      </w:pPr>
      <w:r w:rsidRPr="00580C0D">
        <w:t>Vedtak nr. 35, vedtakspunkt 29, 2. desember 2021</w:t>
      </w:r>
    </w:p>
    <w:p w14:paraId="7A1E9AAC" w14:textId="77777777" w:rsidR="00F7113A" w:rsidRPr="00580C0D" w:rsidRDefault="00142E5B" w:rsidP="00580C0D">
      <w:pPr>
        <w:pStyle w:val="blokksit"/>
        <w:rPr>
          <w:rStyle w:val="kursiv"/>
        </w:rPr>
      </w:pPr>
      <w:r w:rsidRPr="00580C0D">
        <w:rPr>
          <w:rStyle w:val="kursiv"/>
        </w:rPr>
        <w:t>«Stortinget ber regjeringen legge frem en forpliktende og tidfestet plan i løpet av 2022 for å tette inntektsgapet mellom bønder og andre grupper i samfunnet. Inntektsgapet skal tettes uavhengig av bruksstørrelse, produksjon og landsdel.»</w:t>
      </w:r>
    </w:p>
    <w:p w14:paraId="0320C069"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 S (2021–2022), jf. </w:t>
      </w:r>
      <w:proofErr w:type="spellStart"/>
      <w:r w:rsidRPr="00580C0D">
        <w:t>Innst</w:t>
      </w:r>
      <w:proofErr w:type="spellEnd"/>
      <w:r w:rsidRPr="00580C0D">
        <w:t>. 2 S (2021–2022). Grytten-</w:t>
      </w:r>
      <w:proofErr w:type="spellStart"/>
      <w:r w:rsidRPr="00580C0D">
        <w:t>utvalet</w:t>
      </w:r>
      <w:proofErr w:type="spellEnd"/>
      <w:r w:rsidRPr="00580C0D">
        <w:t xml:space="preserve"> </w:t>
      </w:r>
      <w:proofErr w:type="spellStart"/>
      <w:r w:rsidRPr="00580C0D">
        <w:t>fekk</w:t>
      </w:r>
      <w:proofErr w:type="spellEnd"/>
      <w:r w:rsidRPr="00580C0D">
        <w:t xml:space="preserve"> utsett frist for å </w:t>
      </w:r>
      <w:proofErr w:type="spellStart"/>
      <w:r w:rsidRPr="00580C0D">
        <w:t>leggje</w:t>
      </w:r>
      <w:proofErr w:type="spellEnd"/>
      <w:r w:rsidRPr="00580C0D">
        <w:t xml:space="preserve"> fram sitt arbeid til 1. oktober 2022, og rapporten blei deretter sendt på </w:t>
      </w:r>
      <w:proofErr w:type="spellStart"/>
      <w:r w:rsidRPr="00580C0D">
        <w:t>høyring</w:t>
      </w:r>
      <w:proofErr w:type="spellEnd"/>
      <w:r w:rsidRPr="00580C0D">
        <w:t>.</w:t>
      </w:r>
    </w:p>
    <w:p w14:paraId="1A821C71" w14:textId="77777777" w:rsidR="00F7113A" w:rsidRPr="00580C0D" w:rsidRDefault="00142E5B" w:rsidP="00580C0D">
      <w:r w:rsidRPr="00580C0D">
        <w:t xml:space="preserve">Det er </w:t>
      </w:r>
      <w:proofErr w:type="spellStart"/>
      <w:r w:rsidRPr="00580C0D">
        <w:t>naudsynt</w:t>
      </w:r>
      <w:proofErr w:type="spellEnd"/>
      <w:r w:rsidRPr="00580C0D">
        <w:t xml:space="preserve"> å innarbeide </w:t>
      </w:r>
      <w:proofErr w:type="spellStart"/>
      <w:r w:rsidRPr="00580C0D">
        <w:t>avgrensingar</w:t>
      </w:r>
      <w:proofErr w:type="spellEnd"/>
      <w:r w:rsidRPr="00580C0D">
        <w:t xml:space="preserve"> og </w:t>
      </w:r>
      <w:proofErr w:type="spellStart"/>
      <w:r w:rsidRPr="00580C0D">
        <w:t>føresetnader</w:t>
      </w:r>
      <w:proofErr w:type="spellEnd"/>
      <w:r w:rsidRPr="00580C0D">
        <w:t xml:space="preserve"> for </w:t>
      </w:r>
      <w:proofErr w:type="spellStart"/>
      <w:r w:rsidRPr="00580C0D">
        <w:t>eit</w:t>
      </w:r>
      <w:proofErr w:type="spellEnd"/>
      <w:r w:rsidRPr="00580C0D">
        <w:t xml:space="preserve"> nivåmål for </w:t>
      </w:r>
      <w:proofErr w:type="spellStart"/>
      <w:r w:rsidRPr="00580C0D">
        <w:t>inntektssamanlikning</w:t>
      </w:r>
      <w:proofErr w:type="spellEnd"/>
      <w:r w:rsidRPr="00580C0D">
        <w:t xml:space="preserve">. </w:t>
      </w:r>
      <w:proofErr w:type="spellStart"/>
      <w:r w:rsidRPr="00580C0D">
        <w:t>Gryttenutvalet</w:t>
      </w:r>
      <w:proofErr w:type="spellEnd"/>
      <w:r w:rsidRPr="00580C0D">
        <w:t xml:space="preserve"> </w:t>
      </w:r>
      <w:proofErr w:type="spellStart"/>
      <w:r w:rsidRPr="00580C0D">
        <w:t>føreslo</w:t>
      </w:r>
      <w:proofErr w:type="spellEnd"/>
      <w:r w:rsidRPr="00580C0D">
        <w:t xml:space="preserve"> </w:t>
      </w:r>
      <w:proofErr w:type="spellStart"/>
      <w:r w:rsidRPr="00580C0D">
        <w:t>ein</w:t>
      </w:r>
      <w:proofErr w:type="spellEnd"/>
      <w:r w:rsidRPr="00580C0D">
        <w:t xml:space="preserve"> operativ måte å innarbeide </w:t>
      </w:r>
      <w:proofErr w:type="spellStart"/>
      <w:r w:rsidRPr="00580C0D">
        <w:t>avgrensingar</w:t>
      </w:r>
      <w:proofErr w:type="spellEnd"/>
      <w:r w:rsidRPr="00580C0D">
        <w:t xml:space="preserve"> og </w:t>
      </w:r>
      <w:proofErr w:type="spellStart"/>
      <w:r w:rsidRPr="00580C0D">
        <w:t>føresetnader</w:t>
      </w:r>
      <w:proofErr w:type="spellEnd"/>
      <w:r w:rsidRPr="00580C0D">
        <w:t xml:space="preserve"> på. Rapporten har </w:t>
      </w:r>
      <w:proofErr w:type="spellStart"/>
      <w:r w:rsidRPr="00580C0D">
        <w:t>vore</w:t>
      </w:r>
      <w:proofErr w:type="spellEnd"/>
      <w:r w:rsidRPr="00580C0D">
        <w:t xml:space="preserve"> på </w:t>
      </w:r>
      <w:proofErr w:type="spellStart"/>
      <w:r w:rsidRPr="00580C0D">
        <w:t>høyring</w:t>
      </w:r>
      <w:proofErr w:type="spellEnd"/>
      <w:r w:rsidRPr="00580C0D">
        <w:t xml:space="preserve">. Regjeringa arbeider for å få fram saka så fort det er </w:t>
      </w:r>
      <w:proofErr w:type="spellStart"/>
      <w:r w:rsidRPr="00580C0D">
        <w:t>forsvarleg</w:t>
      </w:r>
      <w:proofErr w:type="spellEnd"/>
      <w:r w:rsidRPr="00580C0D">
        <w:t>.</w:t>
      </w:r>
    </w:p>
    <w:p w14:paraId="0C89D98C" w14:textId="77777777" w:rsidR="00F7113A" w:rsidRPr="00580C0D" w:rsidRDefault="00142E5B" w:rsidP="00580C0D">
      <w:pPr>
        <w:pStyle w:val="Overskrift2"/>
      </w:pPr>
      <w:r w:rsidRPr="00580C0D">
        <w:t>Stortingssesjon 2020–2021</w:t>
      </w:r>
    </w:p>
    <w:p w14:paraId="1F6B86B6" w14:textId="77777777" w:rsidR="00F7113A" w:rsidRPr="00580C0D" w:rsidRDefault="00142E5B" w:rsidP="00580C0D">
      <w:pPr>
        <w:pStyle w:val="avsnitt-tittel"/>
      </w:pPr>
      <w:r w:rsidRPr="00580C0D">
        <w:t>Viltlova – utgreiing av omgrepet «kunstig lys»</w:t>
      </w:r>
    </w:p>
    <w:p w14:paraId="7B1BA617" w14:textId="77777777" w:rsidR="00F7113A" w:rsidRPr="00580C0D" w:rsidRDefault="00142E5B" w:rsidP="00580C0D">
      <w:pPr>
        <w:pStyle w:val="avsnitt-undertittel"/>
      </w:pPr>
      <w:r w:rsidRPr="00580C0D">
        <w:t>Vedtak nr. 1134, 4. juni 2021</w:t>
      </w:r>
    </w:p>
    <w:p w14:paraId="6EBFC679" w14:textId="77777777" w:rsidR="00F7113A" w:rsidRPr="00580C0D" w:rsidRDefault="00142E5B" w:rsidP="00580C0D">
      <w:pPr>
        <w:pStyle w:val="blokksit"/>
        <w:rPr>
          <w:rStyle w:val="kursiv"/>
        </w:rPr>
      </w:pPr>
      <w:r w:rsidRPr="00580C0D">
        <w:rPr>
          <w:rStyle w:val="kursiv"/>
        </w:rPr>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p>
    <w:p w14:paraId="4E2E158E"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149 L (2020–2021), jf. </w:t>
      </w:r>
      <w:proofErr w:type="spellStart"/>
      <w:r w:rsidRPr="00580C0D">
        <w:t>Innst</w:t>
      </w:r>
      <w:proofErr w:type="spellEnd"/>
      <w:r w:rsidRPr="00580C0D">
        <w:t xml:space="preserve">. 604 L. Landbruks- og matdepartementet og Klima- og miljødepartementet arbeider med å gå gjennom og modernisere viltlova. Arbeidet </w:t>
      </w:r>
      <w:proofErr w:type="spellStart"/>
      <w:r w:rsidRPr="00580C0D">
        <w:t>inneber</w:t>
      </w:r>
      <w:proofErr w:type="spellEnd"/>
      <w:r w:rsidRPr="00580C0D">
        <w:t xml:space="preserve"> </w:t>
      </w:r>
      <w:proofErr w:type="spellStart"/>
      <w:r w:rsidRPr="00580C0D">
        <w:t>ein</w:t>
      </w:r>
      <w:proofErr w:type="spellEnd"/>
      <w:r w:rsidRPr="00580C0D">
        <w:t xml:space="preserve"> revisjon av heile lova, </w:t>
      </w:r>
      <w:proofErr w:type="spellStart"/>
      <w:r w:rsidRPr="00580C0D">
        <w:t>noko</w:t>
      </w:r>
      <w:proofErr w:type="spellEnd"/>
      <w:r w:rsidRPr="00580C0D">
        <w:t xml:space="preserve"> som òg gjeld </w:t>
      </w:r>
      <w:proofErr w:type="spellStart"/>
      <w:r w:rsidRPr="00580C0D">
        <w:t>reglane</w:t>
      </w:r>
      <w:proofErr w:type="spellEnd"/>
      <w:r w:rsidRPr="00580C0D">
        <w:t xml:space="preserve"> om bruk av kunstig lys i samband med jakt og fangst. Departementet vil komme attende til Stortinget med </w:t>
      </w:r>
      <w:proofErr w:type="spellStart"/>
      <w:r w:rsidRPr="00580C0D">
        <w:t>eit</w:t>
      </w:r>
      <w:proofErr w:type="spellEnd"/>
      <w:r w:rsidRPr="00580C0D">
        <w:t xml:space="preserve"> lovforslag.</w:t>
      </w:r>
    </w:p>
    <w:p w14:paraId="58FDBD54" w14:textId="77777777" w:rsidR="00F7113A" w:rsidRPr="00580C0D" w:rsidRDefault="00142E5B" w:rsidP="00580C0D">
      <w:pPr>
        <w:pStyle w:val="Overskrift2"/>
      </w:pPr>
      <w:r w:rsidRPr="00580C0D">
        <w:t>Stortingssesjon 2016–2017</w:t>
      </w:r>
    </w:p>
    <w:p w14:paraId="19552A11" w14:textId="77777777" w:rsidR="00F7113A" w:rsidRPr="00580C0D" w:rsidRDefault="00142E5B" w:rsidP="00580C0D">
      <w:pPr>
        <w:pStyle w:val="avsnitt-tittel"/>
      </w:pPr>
      <w:proofErr w:type="spellStart"/>
      <w:r w:rsidRPr="00580C0D">
        <w:t>Konsekvensar</w:t>
      </w:r>
      <w:proofErr w:type="spellEnd"/>
      <w:r w:rsidRPr="00580C0D">
        <w:t xml:space="preserve"> av liberalisering av konsesjonsplikta</w:t>
      </w:r>
    </w:p>
    <w:p w14:paraId="733B8CE3" w14:textId="77777777" w:rsidR="00F7113A" w:rsidRPr="00580C0D" w:rsidRDefault="00142E5B" w:rsidP="00580C0D">
      <w:pPr>
        <w:pStyle w:val="avsnitt-undertittel"/>
      </w:pPr>
      <w:r w:rsidRPr="00580C0D">
        <w:t>Vedtak nr. 878, 13. juni 2017</w:t>
      </w:r>
    </w:p>
    <w:p w14:paraId="4E98E1F1" w14:textId="77777777" w:rsidR="00F7113A" w:rsidRPr="00580C0D" w:rsidRDefault="00142E5B" w:rsidP="00580C0D">
      <w:pPr>
        <w:pStyle w:val="blokksit"/>
        <w:rPr>
          <w:rStyle w:val="kursiv"/>
        </w:rPr>
      </w:pPr>
      <w:r w:rsidRPr="00580C0D">
        <w:rPr>
          <w:rStyle w:val="kursiv"/>
        </w:rPr>
        <w:t>«Stortinget ber regjeringen utrede konsekvensen av en videre liberalisering av konsesjons- plikten utover de lovmessige endringer som nå vedtas for rene skogeiendommer.»</w:t>
      </w:r>
    </w:p>
    <w:p w14:paraId="5A20AF98" w14:textId="77777777" w:rsidR="00F7113A" w:rsidRPr="00580C0D" w:rsidRDefault="00142E5B" w:rsidP="00580C0D">
      <w:r w:rsidRPr="00580C0D">
        <w:t xml:space="preserve">Vedtaket blei fatta ved handsaminga av </w:t>
      </w:r>
      <w:proofErr w:type="spellStart"/>
      <w:r w:rsidRPr="00580C0D">
        <w:t>Prop</w:t>
      </w:r>
      <w:proofErr w:type="spellEnd"/>
      <w:r w:rsidRPr="00580C0D">
        <w:t xml:space="preserve">. 92 L (2016–2017), jf. </w:t>
      </w:r>
      <w:proofErr w:type="spellStart"/>
      <w:r w:rsidRPr="00580C0D">
        <w:t>Innst</w:t>
      </w:r>
      <w:proofErr w:type="spellEnd"/>
      <w:r w:rsidRPr="00580C0D">
        <w:t xml:space="preserve">. 427 L (2016–2017). I Meld. St. 15 (2020–2021) la departementet til grunn at det var for </w:t>
      </w:r>
      <w:proofErr w:type="spellStart"/>
      <w:r w:rsidRPr="00580C0D">
        <w:t>tidleg</w:t>
      </w:r>
      <w:proofErr w:type="spellEnd"/>
      <w:r w:rsidRPr="00580C0D">
        <w:t xml:space="preserve"> å fastslå kva for følgjer </w:t>
      </w:r>
      <w:proofErr w:type="spellStart"/>
      <w:r w:rsidRPr="00580C0D">
        <w:t>endringane</w:t>
      </w:r>
      <w:proofErr w:type="spellEnd"/>
      <w:r w:rsidRPr="00580C0D">
        <w:t xml:space="preserve"> </w:t>
      </w:r>
      <w:proofErr w:type="spellStart"/>
      <w:r w:rsidRPr="00580C0D">
        <w:t>frå</w:t>
      </w:r>
      <w:proofErr w:type="spellEnd"/>
      <w:r w:rsidRPr="00580C0D">
        <w:t xml:space="preserve"> 2017 hadde på </w:t>
      </w:r>
      <w:proofErr w:type="spellStart"/>
      <w:r w:rsidRPr="00580C0D">
        <w:t>eigedoms</w:t>
      </w:r>
      <w:proofErr w:type="spellEnd"/>
      <w:r w:rsidRPr="00580C0D">
        <w:t xml:space="preserve">- og bruksstrukturen, og at det </w:t>
      </w:r>
      <w:proofErr w:type="spellStart"/>
      <w:r w:rsidRPr="00580C0D">
        <w:t>difor</w:t>
      </w:r>
      <w:proofErr w:type="spellEnd"/>
      <w:r w:rsidRPr="00580C0D">
        <w:t xml:space="preserve"> heller </w:t>
      </w:r>
      <w:proofErr w:type="spellStart"/>
      <w:r w:rsidRPr="00580C0D">
        <w:t>ikkje</w:t>
      </w:r>
      <w:proofErr w:type="spellEnd"/>
      <w:r w:rsidRPr="00580C0D">
        <w:t xml:space="preserve"> var grunnlag for å </w:t>
      </w:r>
      <w:proofErr w:type="spellStart"/>
      <w:r w:rsidRPr="00580C0D">
        <w:t>føreslå</w:t>
      </w:r>
      <w:proofErr w:type="spellEnd"/>
      <w:r w:rsidRPr="00580C0D">
        <w:t xml:space="preserve"> </w:t>
      </w:r>
      <w:proofErr w:type="spellStart"/>
      <w:r w:rsidRPr="00580C0D">
        <w:t>ytterlegare</w:t>
      </w:r>
      <w:proofErr w:type="spellEnd"/>
      <w:r w:rsidRPr="00580C0D">
        <w:t xml:space="preserve"> liberalisering av regelverket.</w:t>
      </w:r>
    </w:p>
    <w:p w14:paraId="32FD3A47" w14:textId="77777777" w:rsidR="00F7113A" w:rsidRPr="00580C0D" w:rsidRDefault="00142E5B" w:rsidP="00580C0D">
      <w:r w:rsidRPr="00580C0D">
        <w:t xml:space="preserve">I </w:t>
      </w:r>
      <w:proofErr w:type="spellStart"/>
      <w:r w:rsidRPr="00580C0D">
        <w:t>Prop</w:t>
      </w:r>
      <w:proofErr w:type="spellEnd"/>
      <w:r w:rsidRPr="00580C0D">
        <w:t xml:space="preserve">. 1 S (2021–2022) viste departementet til at det har gått ei tid, og at det </w:t>
      </w:r>
      <w:proofErr w:type="spellStart"/>
      <w:r w:rsidRPr="00580C0D">
        <w:t>no</w:t>
      </w:r>
      <w:proofErr w:type="spellEnd"/>
      <w:r w:rsidRPr="00580C0D">
        <w:t xml:space="preserve"> er grunnlag for å sjå kva for følgjer </w:t>
      </w:r>
      <w:proofErr w:type="spellStart"/>
      <w:r w:rsidRPr="00580C0D">
        <w:t>endringane</w:t>
      </w:r>
      <w:proofErr w:type="spellEnd"/>
      <w:r w:rsidRPr="00580C0D">
        <w:t xml:space="preserve"> har ført til. Landbruksdirektoratet har i rapport 4/2023 </w:t>
      </w:r>
      <w:proofErr w:type="spellStart"/>
      <w:r w:rsidRPr="00580C0D">
        <w:t>frå</w:t>
      </w:r>
      <w:proofErr w:type="spellEnd"/>
      <w:r w:rsidRPr="00580C0D">
        <w:t xml:space="preserve"> mars 2023 på oppmoding </w:t>
      </w:r>
      <w:proofErr w:type="spellStart"/>
      <w:r w:rsidRPr="00580C0D">
        <w:t>frå</w:t>
      </w:r>
      <w:proofErr w:type="spellEnd"/>
      <w:r w:rsidRPr="00580C0D">
        <w:t xml:space="preserve"> departementet, evaluert </w:t>
      </w:r>
      <w:proofErr w:type="spellStart"/>
      <w:r w:rsidRPr="00580C0D">
        <w:t>endringane</w:t>
      </w:r>
      <w:proofErr w:type="spellEnd"/>
      <w:r w:rsidRPr="00580C0D">
        <w:t xml:space="preserve"> som blei </w:t>
      </w:r>
      <w:proofErr w:type="spellStart"/>
      <w:r w:rsidRPr="00580C0D">
        <w:t>vedtekne</w:t>
      </w:r>
      <w:proofErr w:type="spellEnd"/>
      <w:r w:rsidRPr="00580C0D">
        <w:t xml:space="preserve"> i 2017. Evalueringa </w:t>
      </w:r>
      <w:proofErr w:type="spellStart"/>
      <w:r w:rsidRPr="00580C0D">
        <w:t>omfattar</w:t>
      </w:r>
      <w:proofErr w:type="spellEnd"/>
      <w:r w:rsidRPr="00580C0D">
        <w:t xml:space="preserve"> både </w:t>
      </w:r>
      <w:proofErr w:type="spellStart"/>
      <w:r w:rsidRPr="00580C0D">
        <w:t>endringane</w:t>
      </w:r>
      <w:proofErr w:type="spellEnd"/>
      <w:r w:rsidRPr="00580C0D">
        <w:t xml:space="preserve"> i arealgrense ved overtaking av </w:t>
      </w:r>
      <w:proofErr w:type="spellStart"/>
      <w:r w:rsidRPr="00580C0D">
        <w:t>eigedom</w:t>
      </w:r>
      <w:proofErr w:type="spellEnd"/>
      <w:r w:rsidRPr="00580C0D">
        <w:t xml:space="preserve"> med </w:t>
      </w:r>
      <w:proofErr w:type="spellStart"/>
      <w:r w:rsidRPr="00580C0D">
        <w:t>bygningar</w:t>
      </w:r>
      <w:proofErr w:type="spellEnd"/>
      <w:r w:rsidRPr="00580C0D">
        <w:t xml:space="preserve">, og endringa av </w:t>
      </w:r>
      <w:proofErr w:type="spellStart"/>
      <w:r w:rsidRPr="00580C0D">
        <w:t>reglane</w:t>
      </w:r>
      <w:proofErr w:type="spellEnd"/>
      <w:r w:rsidRPr="00580C0D">
        <w:t xml:space="preserve"> om priskontroll ved overtaking av reine </w:t>
      </w:r>
      <w:proofErr w:type="spellStart"/>
      <w:r w:rsidRPr="00580C0D">
        <w:t>skogeigedommar</w:t>
      </w:r>
      <w:proofErr w:type="spellEnd"/>
      <w:r w:rsidRPr="00580C0D">
        <w:t>.</w:t>
      </w:r>
    </w:p>
    <w:p w14:paraId="37B18A63" w14:textId="77777777" w:rsidR="00F7113A" w:rsidRPr="00580C0D" w:rsidRDefault="00142E5B" w:rsidP="00580C0D">
      <w:r w:rsidRPr="00580C0D">
        <w:t xml:space="preserve">Evalueringa viser at </w:t>
      </w:r>
      <w:proofErr w:type="spellStart"/>
      <w:r w:rsidRPr="00580C0D">
        <w:t>konsekvensane</w:t>
      </w:r>
      <w:proofErr w:type="spellEnd"/>
      <w:r w:rsidRPr="00580C0D">
        <w:t xml:space="preserve"> som er </w:t>
      </w:r>
      <w:proofErr w:type="spellStart"/>
      <w:r w:rsidRPr="00580C0D">
        <w:t>klarlagde</w:t>
      </w:r>
      <w:proofErr w:type="spellEnd"/>
      <w:r w:rsidRPr="00580C0D">
        <w:t xml:space="preserve">, er samansette. Dei gir verken </w:t>
      </w:r>
      <w:proofErr w:type="spellStart"/>
      <w:r w:rsidRPr="00580C0D">
        <w:t>klåre</w:t>
      </w:r>
      <w:proofErr w:type="spellEnd"/>
      <w:r w:rsidRPr="00580C0D">
        <w:t xml:space="preserve"> svar på om det er </w:t>
      </w:r>
      <w:proofErr w:type="spellStart"/>
      <w:r w:rsidRPr="00580C0D">
        <w:t>tenleg</w:t>
      </w:r>
      <w:proofErr w:type="spellEnd"/>
      <w:r w:rsidRPr="00580C0D">
        <w:t xml:space="preserve"> å liberalisere konsesjonsplikta </w:t>
      </w:r>
      <w:proofErr w:type="spellStart"/>
      <w:r w:rsidRPr="00580C0D">
        <w:t>meir</w:t>
      </w:r>
      <w:proofErr w:type="spellEnd"/>
      <w:r w:rsidRPr="00580C0D">
        <w:t xml:space="preserve"> enn det som blei </w:t>
      </w:r>
      <w:proofErr w:type="spellStart"/>
      <w:r w:rsidRPr="00580C0D">
        <w:t>vedteke</w:t>
      </w:r>
      <w:proofErr w:type="spellEnd"/>
      <w:r w:rsidRPr="00580C0D">
        <w:t xml:space="preserve"> i 2017, </w:t>
      </w:r>
      <w:proofErr w:type="spellStart"/>
      <w:r w:rsidRPr="00580C0D">
        <w:t>tenleg</w:t>
      </w:r>
      <w:proofErr w:type="spellEnd"/>
      <w:r w:rsidRPr="00580C0D">
        <w:t xml:space="preserve"> å </w:t>
      </w:r>
      <w:proofErr w:type="spellStart"/>
      <w:r w:rsidRPr="00580C0D">
        <w:t>oppretthalde</w:t>
      </w:r>
      <w:proofErr w:type="spellEnd"/>
      <w:r w:rsidRPr="00580C0D">
        <w:t xml:space="preserve"> </w:t>
      </w:r>
      <w:proofErr w:type="spellStart"/>
      <w:r w:rsidRPr="00580C0D">
        <w:t>reglane</w:t>
      </w:r>
      <w:proofErr w:type="spellEnd"/>
      <w:r w:rsidRPr="00580C0D">
        <w:t xml:space="preserve"> slik </w:t>
      </w:r>
      <w:proofErr w:type="spellStart"/>
      <w:r w:rsidRPr="00580C0D">
        <w:t>dei</w:t>
      </w:r>
      <w:proofErr w:type="spellEnd"/>
      <w:r w:rsidRPr="00580C0D">
        <w:t xml:space="preserve"> er i dag, eller om det er grunnlag for å reversere </w:t>
      </w:r>
      <w:proofErr w:type="spellStart"/>
      <w:r w:rsidRPr="00580C0D">
        <w:t>endringane</w:t>
      </w:r>
      <w:proofErr w:type="spellEnd"/>
      <w:r w:rsidRPr="00580C0D">
        <w:t xml:space="preserve">. </w:t>
      </w:r>
      <w:proofErr w:type="spellStart"/>
      <w:r w:rsidRPr="00580C0D">
        <w:t>Opplysningane</w:t>
      </w:r>
      <w:proofErr w:type="spellEnd"/>
      <w:r w:rsidRPr="00580C0D">
        <w:t xml:space="preserve"> i rapporten tyder på at det har </w:t>
      </w:r>
      <w:proofErr w:type="spellStart"/>
      <w:r w:rsidRPr="00580C0D">
        <w:t>vore</w:t>
      </w:r>
      <w:proofErr w:type="spellEnd"/>
      <w:r w:rsidRPr="00580C0D">
        <w:t xml:space="preserve"> </w:t>
      </w:r>
      <w:proofErr w:type="spellStart"/>
      <w:r w:rsidRPr="00580C0D">
        <w:t>ein</w:t>
      </w:r>
      <w:proofErr w:type="spellEnd"/>
      <w:r w:rsidRPr="00580C0D">
        <w:t xml:space="preserve"> generell </w:t>
      </w:r>
      <w:proofErr w:type="spellStart"/>
      <w:r w:rsidRPr="00580C0D">
        <w:t>auke</w:t>
      </w:r>
      <w:proofErr w:type="spellEnd"/>
      <w:r w:rsidRPr="00580C0D">
        <w:t xml:space="preserve"> i </w:t>
      </w:r>
      <w:proofErr w:type="spellStart"/>
      <w:r w:rsidRPr="00580C0D">
        <w:t>omsetjinga</w:t>
      </w:r>
      <w:proofErr w:type="spellEnd"/>
      <w:r w:rsidRPr="00580C0D">
        <w:t xml:space="preserve"> av </w:t>
      </w:r>
      <w:proofErr w:type="spellStart"/>
      <w:r w:rsidRPr="00580C0D">
        <w:t>landbrukseigedommar</w:t>
      </w:r>
      <w:proofErr w:type="spellEnd"/>
      <w:r w:rsidRPr="00580C0D">
        <w:t xml:space="preserve"> </w:t>
      </w:r>
      <w:proofErr w:type="spellStart"/>
      <w:r w:rsidRPr="00580C0D">
        <w:t>frå</w:t>
      </w:r>
      <w:proofErr w:type="spellEnd"/>
      <w:r w:rsidRPr="00580C0D">
        <w:t xml:space="preserve"> perioden 2013 til 2016 og til perioden 2018 til 2021. </w:t>
      </w:r>
      <w:proofErr w:type="spellStart"/>
      <w:r w:rsidRPr="00580C0D">
        <w:t>Omsetjinga</w:t>
      </w:r>
      <w:proofErr w:type="spellEnd"/>
      <w:r w:rsidRPr="00580C0D">
        <w:t xml:space="preserve"> av reine </w:t>
      </w:r>
      <w:proofErr w:type="spellStart"/>
      <w:r w:rsidRPr="00580C0D">
        <w:t>skogeigedommar</w:t>
      </w:r>
      <w:proofErr w:type="spellEnd"/>
      <w:r w:rsidRPr="00580C0D">
        <w:t xml:space="preserve"> har samla gått </w:t>
      </w:r>
      <w:proofErr w:type="spellStart"/>
      <w:r w:rsidRPr="00580C0D">
        <w:t>noko</w:t>
      </w:r>
      <w:proofErr w:type="spellEnd"/>
      <w:r w:rsidRPr="00580C0D">
        <w:t xml:space="preserve"> ned etter </w:t>
      </w:r>
      <w:proofErr w:type="spellStart"/>
      <w:r w:rsidRPr="00580C0D">
        <w:t>lovendringane</w:t>
      </w:r>
      <w:proofErr w:type="spellEnd"/>
      <w:r w:rsidRPr="00580C0D">
        <w:t xml:space="preserve"> i 2017. For reine </w:t>
      </w:r>
      <w:proofErr w:type="spellStart"/>
      <w:r w:rsidRPr="00580C0D">
        <w:t>skogeigedommar</w:t>
      </w:r>
      <w:proofErr w:type="spellEnd"/>
      <w:r w:rsidRPr="00580C0D">
        <w:t xml:space="preserve"> med bygning og </w:t>
      </w:r>
      <w:proofErr w:type="spellStart"/>
      <w:r w:rsidRPr="00580C0D">
        <w:t>meir</w:t>
      </w:r>
      <w:proofErr w:type="spellEnd"/>
      <w:r w:rsidRPr="00580C0D">
        <w:t xml:space="preserve"> enn 500 dekar produktiv skog som </w:t>
      </w:r>
      <w:proofErr w:type="spellStart"/>
      <w:r w:rsidRPr="00580C0D">
        <w:t>tidlegare</w:t>
      </w:r>
      <w:proofErr w:type="spellEnd"/>
      <w:r w:rsidRPr="00580C0D">
        <w:t xml:space="preserve"> var </w:t>
      </w:r>
      <w:proofErr w:type="spellStart"/>
      <w:r w:rsidRPr="00580C0D">
        <w:t>underlagde</w:t>
      </w:r>
      <w:proofErr w:type="spellEnd"/>
      <w:r w:rsidRPr="00580C0D">
        <w:t xml:space="preserve"> priskontroll, har </w:t>
      </w:r>
      <w:proofErr w:type="spellStart"/>
      <w:r w:rsidRPr="00580C0D">
        <w:t>omsetjinga</w:t>
      </w:r>
      <w:proofErr w:type="spellEnd"/>
      <w:r w:rsidRPr="00580C0D">
        <w:t xml:space="preserve"> </w:t>
      </w:r>
      <w:proofErr w:type="spellStart"/>
      <w:r w:rsidRPr="00580C0D">
        <w:t>auka</w:t>
      </w:r>
      <w:proofErr w:type="spellEnd"/>
      <w:r w:rsidRPr="00580C0D">
        <w:t xml:space="preserve"> </w:t>
      </w:r>
      <w:proofErr w:type="spellStart"/>
      <w:r w:rsidRPr="00580C0D">
        <w:t>mykje</w:t>
      </w:r>
      <w:proofErr w:type="spellEnd"/>
      <w:r w:rsidRPr="00580C0D">
        <w:t xml:space="preserve"> i det same tidsrommet.</w:t>
      </w:r>
    </w:p>
    <w:p w14:paraId="3116D494" w14:textId="77777777" w:rsidR="00F7113A" w:rsidRPr="00580C0D" w:rsidRDefault="00142E5B" w:rsidP="00580C0D">
      <w:r w:rsidRPr="00580C0D">
        <w:t xml:space="preserve">Som oppfølging av Hurdalsplattforma arbeider departementet med eventuelle </w:t>
      </w:r>
      <w:proofErr w:type="spellStart"/>
      <w:r w:rsidRPr="00580C0D">
        <w:t>endringar</w:t>
      </w:r>
      <w:proofErr w:type="spellEnd"/>
      <w:r w:rsidRPr="00580C0D">
        <w:t xml:space="preserve"> i lovgivinga, og vil i samband med dette arbeidet kunne komme tilbake til Stortinget med ei </w:t>
      </w:r>
      <w:proofErr w:type="spellStart"/>
      <w:r w:rsidRPr="00580C0D">
        <w:t>meir</w:t>
      </w:r>
      <w:proofErr w:type="spellEnd"/>
      <w:r w:rsidRPr="00580C0D">
        <w:t xml:space="preserve"> nyansert framstilling av </w:t>
      </w:r>
      <w:proofErr w:type="spellStart"/>
      <w:r w:rsidRPr="00580C0D">
        <w:t>dei</w:t>
      </w:r>
      <w:proofErr w:type="spellEnd"/>
      <w:r w:rsidRPr="00580C0D">
        <w:t xml:space="preserve"> spørsmåla evalueringa reiser. Departementet </w:t>
      </w:r>
      <w:proofErr w:type="spellStart"/>
      <w:r w:rsidRPr="00580C0D">
        <w:t>legg</w:t>
      </w:r>
      <w:proofErr w:type="spellEnd"/>
      <w:r w:rsidRPr="00580C0D">
        <w:t xml:space="preserve"> til grunn at vedtak nr. 878, 13. juni 2017 med dette er </w:t>
      </w:r>
      <w:proofErr w:type="spellStart"/>
      <w:r w:rsidRPr="00580C0D">
        <w:t>følgt</w:t>
      </w:r>
      <w:proofErr w:type="spellEnd"/>
      <w:r w:rsidRPr="00580C0D">
        <w:t xml:space="preserve"> opp.</w:t>
      </w:r>
    </w:p>
    <w:p w14:paraId="53E5F8B9" w14:textId="77777777" w:rsidR="00F7113A" w:rsidRPr="00580C0D" w:rsidRDefault="00142E5B" w:rsidP="00580C0D">
      <w:pPr>
        <w:pStyle w:val="Overskrift1"/>
      </w:pPr>
      <w:r w:rsidRPr="00580C0D">
        <w:t>Nærings- og fiskeridepartementet</w:t>
      </w:r>
    </w:p>
    <w:p w14:paraId="3883AB92" w14:textId="6A804EE6" w:rsidR="00F7113A" w:rsidRDefault="00142E5B" w:rsidP="00580C0D">
      <w:r w:rsidRPr="00580C0D">
        <w:t xml:space="preserve">Nedenfor gis en oversikt over oppfølging av anmodnings- og utredningsvedtak under Nærings- og fiskeridepartementet. Oversikten inkluderer alle vedtak fra stortingssesjonen 2022–2023, samt de vedtakene fra tidligere stortingssesjoner som kontroll- og konstitusjonskomiteen i </w:t>
      </w:r>
      <w:proofErr w:type="spellStart"/>
      <w:r w:rsidRPr="00580C0D">
        <w:t>Innst</w:t>
      </w:r>
      <w:proofErr w:type="spellEnd"/>
      <w:r w:rsidRPr="00580C0D">
        <w:t>. 186 S (2022–2023) mente ikke var kvittert ut. I tabellen nedenfor angis det også hvorvidt departementet planlegger at rapporteringen knyttet til anmodningsvedtaket nå avsluttes eller om departementet vil rapportere konkret på vedtaket også i neste års budsjettproposisjon.</w:t>
      </w:r>
    </w:p>
    <w:p w14:paraId="575FC0A5" w14:textId="0F6E53C9" w:rsidR="00BD6CF4" w:rsidRPr="00580C0D" w:rsidRDefault="00BD6CF4" w:rsidP="00BD6CF4">
      <w:pPr>
        <w:pStyle w:val="tabell-tittel"/>
      </w:pPr>
      <w:r w:rsidRPr="00580C0D">
        <w:t>Oversikt over anmodnings- og utredningsvedtak, ordnet etter sesjon og nummer</w:t>
      </w:r>
    </w:p>
    <w:p w14:paraId="2E59DC21" w14:textId="77777777" w:rsidR="00F7113A" w:rsidRPr="00580C0D" w:rsidRDefault="00142E5B" w:rsidP="00580C0D">
      <w:pPr>
        <w:pStyle w:val="Tabellnavn"/>
      </w:pPr>
      <w:r w:rsidRPr="00580C0D">
        <w:t>04J1xx2</w:t>
      </w:r>
    </w:p>
    <w:tbl>
      <w:tblPr>
        <w:tblW w:w="9540" w:type="dxa"/>
        <w:tblInd w:w="43" w:type="dxa"/>
        <w:tblLayout w:type="fixed"/>
        <w:tblCellMar>
          <w:top w:w="100" w:type="dxa"/>
          <w:left w:w="43" w:type="dxa"/>
          <w:bottom w:w="43" w:type="dxa"/>
          <w:right w:w="43" w:type="dxa"/>
        </w:tblCellMar>
        <w:tblLook w:val="0000" w:firstRow="0" w:lastRow="0" w:firstColumn="0" w:lastColumn="0" w:noHBand="0" w:noVBand="0"/>
      </w:tblPr>
      <w:tblGrid>
        <w:gridCol w:w="1300"/>
        <w:gridCol w:w="1351"/>
        <w:gridCol w:w="5528"/>
        <w:gridCol w:w="1361"/>
      </w:tblGrid>
      <w:tr w:rsidR="00F7113A" w:rsidRPr="00580C0D" w14:paraId="1BC0CA01" w14:textId="77777777" w:rsidTr="00BD6CF4">
        <w:trPr>
          <w:trHeight w:val="840"/>
        </w:trPr>
        <w:tc>
          <w:tcPr>
            <w:tcW w:w="1300"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38AAB13" w14:textId="77777777" w:rsidR="00F7113A" w:rsidRPr="00580C0D" w:rsidRDefault="00142E5B" w:rsidP="00BD6CF4">
            <w:r w:rsidRPr="00580C0D">
              <w:t>Sesjon</w:t>
            </w:r>
          </w:p>
        </w:tc>
        <w:tc>
          <w:tcPr>
            <w:tcW w:w="1351"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29D1F39C" w14:textId="77777777" w:rsidR="00F7113A" w:rsidRPr="00580C0D" w:rsidRDefault="00142E5B" w:rsidP="00BD6CF4">
            <w:pPr>
              <w:jc w:val="center"/>
            </w:pPr>
            <w:r w:rsidRPr="00580C0D">
              <w:t>Vedtak nr.</w:t>
            </w:r>
          </w:p>
        </w:tc>
        <w:tc>
          <w:tcPr>
            <w:tcW w:w="5528"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67B7D50" w14:textId="77777777" w:rsidR="00F7113A" w:rsidRPr="00580C0D" w:rsidRDefault="00142E5B" w:rsidP="00BD6CF4">
            <w:r w:rsidRPr="00580C0D">
              <w:t>Stikkord</w:t>
            </w:r>
          </w:p>
        </w:tc>
        <w:tc>
          <w:tcPr>
            <w:tcW w:w="1361" w:type="dxa"/>
            <w:tcBorders>
              <w:top w:val="single" w:sz="4" w:space="0" w:color="000000"/>
              <w:left w:val="nil"/>
              <w:bottom w:val="single" w:sz="4" w:space="0" w:color="000000"/>
              <w:right w:val="nil"/>
            </w:tcBorders>
            <w:tcMar>
              <w:top w:w="100" w:type="dxa"/>
              <w:left w:w="43" w:type="dxa"/>
              <w:bottom w:w="43" w:type="dxa"/>
              <w:right w:w="43" w:type="dxa"/>
            </w:tcMar>
            <w:vAlign w:val="bottom"/>
          </w:tcPr>
          <w:p w14:paraId="7A835780" w14:textId="77777777" w:rsidR="00F7113A" w:rsidRPr="00580C0D" w:rsidRDefault="00142E5B" w:rsidP="00BD6CF4">
            <w:pPr>
              <w:jc w:val="right"/>
            </w:pPr>
            <w:r w:rsidRPr="00580C0D">
              <w:t xml:space="preserve">Rapportering </w:t>
            </w:r>
            <w:r w:rsidRPr="00580C0D">
              <w:br/>
              <w:t xml:space="preserve">avsluttes </w:t>
            </w:r>
            <w:r w:rsidRPr="00580C0D">
              <w:br/>
              <w:t>(Ja/Nei)</w:t>
            </w:r>
          </w:p>
        </w:tc>
      </w:tr>
      <w:tr w:rsidR="00F7113A" w:rsidRPr="00580C0D" w14:paraId="1788C3A5" w14:textId="77777777" w:rsidTr="00BD6CF4">
        <w:trPr>
          <w:trHeight w:val="600"/>
        </w:trPr>
        <w:tc>
          <w:tcPr>
            <w:tcW w:w="1300" w:type="dxa"/>
            <w:tcBorders>
              <w:top w:val="single" w:sz="4" w:space="0" w:color="000000"/>
              <w:left w:val="nil"/>
              <w:bottom w:val="nil"/>
              <w:right w:val="nil"/>
            </w:tcBorders>
            <w:tcMar>
              <w:top w:w="100" w:type="dxa"/>
              <w:left w:w="43" w:type="dxa"/>
              <w:bottom w:w="43" w:type="dxa"/>
              <w:right w:w="43" w:type="dxa"/>
            </w:tcMar>
          </w:tcPr>
          <w:p w14:paraId="4E124F9F" w14:textId="77777777" w:rsidR="00F7113A" w:rsidRPr="00580C0D" w:rsidRDefault="00142E5B" w:rsidP="00BD6CF4">
            <w:r w:rsidRPr="00580C0D">
              <w:t>2022–2023</w:t>
            </w:r>
          </w:p>
        </w:tc>
        <w:tc>
          <w:tcPr>
            <w:tcW w:w="1351" w:type="dxa"/>
            <w:tcBorders>
              <w:top w:val="single" w:sz="4" w:space="0" w:color="000000"/>
              <w:left w:val="nil"/>
              <w:bottom w:val="nil"/>
              <w:right w:val="nil"/>
            </w:tcBorders>
            <w:tcMar>
              <w:top w:w="100" w:type="dxa"/>
              <w:left w:w="43" w:type="dxa"/>
              <w:bottom w:w="43" w:type="dxa"/>
              <w:right w:w="43" w:type="dxa"/>
            </w:tcMar>
          </w:tcPr>
          <w:p w14:paraId="2F8556A3" w14:textId="77777777" w:rsidR="00F7113A" w:rsidRPr="00580C0D" w:rsidRDefault="00142E5B" w:rsidP="00BD6CF4">
            <w:pPr>
              <w:ind w:right="284"/>
              <w:jc w:val="right"/>
            </w:pPr>
            <w:r w:rsidRPr="00580C0D">
              <w:t>53</w:t>
            </w:r>
          </w:p>
        </w:tc>
        <w:tc>
          <w:tcPr>
            <w:tcW w:w="5528" w:type="dxa"/>
            <w:tcBorders>
              <w:top w:val="single" w:sz="4" w:space="0" w:color="000000"/>
              <w:left w:val="nil"/>
              <w:bottom w:val="nil"/>
              <w:right w:val="nil"/>
            </w:tcBorders>
            <w:tcMar>
              <w:top w:w="100" w:type="dxa"/>
              <w:left w:w="43" w:type="dxa"/>
              <w:bottom w:w="43" w:type="dxa"/>
              <w:right w:w="43" w:type="dxa"/>
            </w:tcMar>
          </w:tcPr>
          <w:p w14:paraId="295976D2" w14:textId="77777777" w:rsidR="00F7113A" w:rsidRPr="00580C0D" w:rsidRDefault="00142E5B" w:rsidP="00BD6CF4">
            <w:r w:rsidRPr="00580C0D">
              <w:t xml:space="preserve">Deltagelse i Den europeiske romorganisasjonens frivillige programmer </w:t>
            </w:r>
          </w:p>
        </w:tc>
        <w:tc>
          <w:tcPr>
            <w:tcW w:w="1361" w:type="dxa"/>
            <w:tcBorders>
              <w:top w:val="single" w:sz="4" w:space="0" w:color="000000"/>
              <w:left w:val="nil"/>
              <w:bottom w:val="nil"/>
              <w:right w:val="nil"/>
            </w:tcBorders>
            <w:tcMar>
              <w:top w:w="100" w:type="dxa"/>
              <w:left w:w="43" w:type="dxa"/>
              <w:bottom w:w="43" w:type="dxa"/>
              <w:right w:w="43" w:type="dxa"/>
            </w:tcMar>
          </w:tcPr>
          <w:p w14:paraId="68301454" w14:textId="77777777" w:rsidR="00F7113A" w:rsidRPr="00580C0D" w:rsidRDefault="00142E5B" w:rsidP="00BD6CF4">
            <w:pPr>
              <w:jc w:val="right"/>
            </w:pPr>
            <w:r w:rsidRPr="00580C0D">
              <w:t>Ja</w:t>
            </w:r>
          </w:p>
        </w:tc>
      </w:tr>
      <w:tr w:rsidR="00F7113A" w:rsidRPr="00580C0D" w14:paraId="5BFE5BED"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74C63E58"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7452B904" w14:textId="77777777" w:rsidR="00F7113A" w:rsidRPr="00580C0D" w:rsidRDefault="00142E5B" w:rsidP="00BD6CF4">
            <w:pPr>
              <w:ind w:right="284"/>
              <w:jc w:val="right"/>
            </w:pPr>
            <w:r w:rsidRPr="00580C0D">
              <w:t>55</w:t>
            </w:r>
          </w:p>
        </w:tc>
        <w:tc>
          <w:tcPr>
            <w:tcW w:w="5528" w:type="dxa"/>
            <w:tcBorders>
              <w:top w:val="nil"/>
              <w:left w:val="nil"/>
              <w:bottom w:val="nil"/>
              <w:right w:val="nil"/>
            </w:tcBorders>
            <w:tcMar>
              <w:top w:w="100" w:type="dxa"/>
              <w:left w:w="43" w:type="dxa"/>
              <w:bottom w:w="43" w:type="dxa"/>
              <w:right w:w="43" w:type="dxa"/>
            </w:tcMar>
          </w:tcPr>
          <w:p w14:paraId="2490C2D2" w14:textId="77777777" w:rsidR="00F7113A" w:rsidRPr="00580C0D" w:rsidRDefault="00142E5B" w:rsidP="00BD6CF4">
            <w:r w:rsidRPr="00580C0D">
              <w:t>Strategi for vekst i kreativ industri</w:t>
            </w:r>
          </w:p>
        </w:tc>
        <w:tc>
          <w:tcPr>
            <w:tcW w:w="1361" w:type="dxa"/>
            <w:tcBorders>
              <w:top w:val="nil"/>
              <w:left w:val="nil"/>
              <w:bottom w:val="nil"/>
              <w:right w:val="nil"/>
            </w:tcBorders>
            <w:tcMar>
              <w:top w:w="100" w:type="dxa"/>
              <w:left w:w="43" w:type="dxa"/>
              <w:bottom w:w="43" w:type="dxa"/>
              <w:right w:w="43" w:type="dxa"/>
            </w:tcMar>
          </w:tcPr>
          <w:p w14:paraId="608EA936" w14:textId="77777777" w:rsidR="00F7113A" w:rsidRPr="00580C0D" w:rsidRDefault="00142E5B" w:rsidP="00BD6CF4">
            <w:pPr>
              <w:jc w:val="right"/>
            </w:pPr>
            <w:r w:rsidRPr="00580C0D">
              <w:t>Nei</w:t>
            </w:r>
          </w:p>
        </w:tc>
      </w:tr>
      <w:tr w:rsidR="00F7113A" w:rsidRPr="00580C0D" w14:paraId="6CFEFF7D"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48196EBC"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12BA01C2" w14:textId="77777777" w:rsidR="00F7113A" w:rsidRPr="00580C0D" w:rsidRDefault="00142E5B" w:rsidP="00BD6CF4">
            <w:pPr>
              <w:ind w:right="284"/>
              <w:jc w:val="right"/>
            </w:pPr>
            <w:r w:rsidRPr="00580C0D">
              <w:t>56</w:t>
            </w:r>
          </w:p>
        </w:tc>
        <w:tc>
          <w:tcPr>
            <w:tcW w:w="5528" w:type="dxa"/>
            <w:tcBorders>
              <w:top w:val="nil"/>
              <w:left w:val="nil"/>
              <w:bottom w:val="nil"/>
              <w:right w:val="nil"/>
            </w:tcBorders>
            <w:tcMar>
              <w:top w:w="100" w:type="dxa"/>
              <w:left w:w="43" w:type="dxa"/>
              <w:bottom w:w="43" w:type="dxa"/>
              <w:right w:w="43" w:type="dxa"/>
            </w:tcMar>
          </w:tcPr>
          <w:p w14:paraId="04E232B1" w14:textId="68FA04F8" w:rsidR="00F7113A" w:rsidRPr="00580C0D" w:rsidRDefault="00142E5B" w:rsidP="00BD6CF4">
            <w:r w:rsidRPr="00580C0D">
              <w:t>Gjennomgang av virkemiddelapparatet for kultur</w:t>
            </w:r>
            <w:r w:rsidR="00E13315">
              <w:softHyphen/>
            </w:r>
            <w:r w:rsidRPr="00580C0D">
              <w:t>næringer</w:t>
            </w:r>
          </w:p>
        </w:tc>
        <w:tc>
          <w:tcPr>
            <w:tcW w:w="1361" w:type="dxa"/>
            <w:tcBorders>
              <w:top w:val="nil"/>
              <w:left w:val="nil"/>
              <w:bottom w:val="nil"/>
              <w:right w:val="nil"/>
            </w:tcBorders>
            <w:tcMar>
              <w:top w:w="100" w:type="dxa"/>
              <w:left w:w="43" w:type="dxa"/>
              <w:bottom w:w="43" w:type="dxa"/>
              <w:right w:w="43" w:type="dxa"/>
            </w:tcMar>
          </w:tcPr>
          <w:p w14:paraId="74BF6127" w14:textId="77777777" w:rsidR="00F7113A" w:rsidRPr="00580C0D" w:rsidRDefault="00142E5B" w:rsidP="00BD6CF4">
            <w:pPr>
              <w:jc w:val="right"/>
            </w:pPr>
            <w:r w:rsidRPr="00580C0D">
              <w:t>Nei</w:t>
            </w:r>
          </w:p>
        </w:tc>
      </w:tr>
      <w:tr w:rsidR="00F7113A" w:rsidRPr="00580C0D" w14:paraId="340F58EC"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0D9C5506"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41768F56" w14:textId="77777777" w:rsidR="00F7113A" w:rsidRPr="00580C0D" w:rsidRDefault="00142E5B" w:rsidP="00BD6CF4">
            <w:pPr>
              <w:ind w:right="284"/>
              <w:jc w:val="right"/>
            </w:pPr>
            <w:r w:rsidRPr="00580C0D">
              <w:t>68</w:t>
            </w:r>
          </w:p>
        </w:tc>
        <w:tc>
          <w:tcPr>
            <w:tcW w:w="5528" w:type="dxa"/>
            <w:tcBorders>
              <w:top w:val="nil"/>
              <w:left w:val="nil"/>
              <w:bottom w:val="nil"/>
              <w:right w:val="nil"/>
            </w:tcBorders>
            <w:tcMar>
              <w:top w:w="100" w:type="dxa"/>
              <w:left w:w="43" w:type="dxa"/>
              <w:bottom w:w="43" w:type="dxa"/>
              <w:right w:w="43" w:type="dxa"/>
            </w:tcMar>
          </w:tcPr>
          <w:p w14:paraId="7C65AD01" w14:textId="77777777" w:rsidR="00F7113A" w:rsidRPr="00580C0D" w:rsidRDefault="00142E5B" w:rsidP="00BD6CF4">
            <w:r w:rsidRPr="00580C0D">
              <w:t>Opphevelse av boligstiftelser opprettet av kommune og boligbyggelag</w:t>
            </w:r>
          </w:p>
        </w:tc>
        <w:tc>
          <w:tcPr>
            <w:tcW w:w="1361" w:type="dxa"/>
            <w:tcBorders>
              <w:top w:val="nil"/>
              <w:left w:val="nil"/>
              <w:bottom w:val="nil"/>
              <w:right w:val="nil"/>
            </w:tcBorders>
            <w:tcMar>
              <w:top w:w="100" w:type="dxa"/>
              <w:left w:w="43" w:type="dxa"/>
              <w:bottom w:w="43" w:type="dxa"/>
              <w:right w:w="43" w:type="dxa"/>
            </w:tcMar>
          </w:tcPr>
          <w:p w14:paraId="63AB0C9A" w14:textId="77777777" w:rsidR="00F7113A" w:rsidRPr="00580C0D" w:rsidRDefault="00142E5B" w:rsidP="00BD6CF4">
            <w:pPr>
              <w:jc w:val="right"/>
            </w:pPr>
            <w:r w:rsidRPr="00580C0D">
              <w:t>Nei</w:t>
            </w:r>
          </w:p>
        </w:tc>
      </w:tr>
      <w:tr w:rsidR="00F7113A" w:rsidRPr="00580C0D" w14:paraId="1A076AEF"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4BD31B91"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7CD56E9A" w14:textId="77777777" w:rsidR="00F7113A" w:rsidRPr="00580C0D" w:rsidRDefault="00142E5B" w:rsidP="00BD6CF4">
            <w:pPr>
              <w:ind w:right="284"/>
              <w:jc w:val="right"/>
            </w:pPr>
            <w:r w:rsidRPr="00580C0D">
              <w:t>85</w:t>
            </w:r>
          </w:p>
        </w:tc>
        <w:tc>
          <w:tcPr>
            <w:tcW w:w="5528" w:type="dxa"/>
            <w:tcBorders>
              <w:top w:val="nil"/>
              <w:left w:val="nil"/>
              <w:bottom w:val="nil"/>
              <w:right w:val="nil"/>
            </w:tcBorders>
            <w:tcMar>
              <w:top w:w="100" w:type="dxa"/>
              <w:left w:w="43" w:type="dxa"/>
              <w:bottom w:w="43" w:type="dxa"/>
              <w:right w:w="43" w:type="dxa"/>
            </w:tcMar>
          </w:tcPr>
          <w:p w14:paraId="2300FD7D" w14:textId="77777777" w:rsidR="00F7113A" w:rsidRPr="00580C0D" w:rsidRDefault="00142E5B" w:rsidP="00BD6CF4">
            <w:r w:rsidRPr="00580C0D">
              <w:t>Høring om endringer i regelverk for fiske etter torsk med fartøy av visse størrelser</w:t>
            </w:r>
          </w:p>
        </w:tc>
        <w:tc>
          <w:tcPr>
            <w:tcW w:w="1361" w:type="dxa"/>
            <w:tcBorders>
              <w:top w:val="nil"/>
              <w:left w:val="nil"/>
              <w:bottom w:val="nil"/>
              <w:right w:val="nil"/>
            </w:tcBorders>
            <w:tcMar>
              <w:top w:w="100" w:type="dxa"/>
              <w:left w:w="43" w:type="dxa"/>
              <w:bottom w:w="43" w:type="dxa"/>
              <w:right w:w="43" w:type="dxa"/>
            </w:tcMar>
          </w:tcPr>
          <w:p w14:paraId="78095B7B" w14:textId="77777777" w:rsidR="00F7113A" w:rsidRPr="00580C0D" w:rsidRDefault="00142E5B" w:rsidP="00BD6CF4">
            <w:pPr>
              <w:jc w:val="right"/>
            </w:pPr>
            <w:r w:rsidRPr="00580C0D">
              <w:t>Ja</w:t>
            </w:r>
          </w:p>
        </w:tc>
      </w:tr>
      <w:tr w:rsidR="00F7113A" w:rsidRPr="00580C0D" w14:paraId="2A39C391" w14:textId="77777777" w:rsidTr="00BD6CF4">
        <w:trPr>
          <w:trHeight w:val="860"/>
        </w:trPr>
        <w:tc>
          <w:tcPr>
            <w:tcW w:w="1300" w:type="dxa"/>
            <w:tcBorders>
              <w:top w:val="nil"/>
              <w:left w:val="nil"/>
              <w:bottom w:val="nil"/>
              <w:right w:val="nil"/>
            </w:tcBorders>
            <w:tcMar>
              <w:top w:w="100" w:type="dxa"/>
              <w:left w:w="43" w:type="dxa"/>
              <w:bottom w:w="43" w:type="dxa"/>
              <w:right w:w="43" w:type="dxa"/>
            </w:tcMar>
          </w:tcPr>
          <w:p w14:paraId="299E0002"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2D731482" w14:textId="77777777" w:rsidR="00F7113A" w:rsidRPr="00580C0D" w:rsidRDefault="00142E5B" w:rsidP="00BD6CF4">
            <w:pPr>
              <w:ind w:right="284"/>
              <w:jc w:val="right"/>
            </w:pPr>
            <w:r w:rsidRPr="00580C0D">
              <w:t>97</w:t>
            </w:r>
          </w:p>
        </w:tc>
        <w:tc>
          <w:tcPr>
            <w:tcW w:w="5528" w:type="dxa"/>
            <w:tcBorders>
              <w:top w:val="nil"/>
              <w:left w:val="nil"/>
              <w:bottom w:val="nil"/>
              <w:right w:val="nil"/>
            </w:tcBorders>
            <w:tcMar>
              <w:top w:w="100" w:type="dxa"/>
              <w:left w:w="43" w:type="dxa"/>
              <w:bottom w:w="43" w:type="dxa"/>
              <w:right w:w="43" w:type="dxa"/>
            </w:tcMar>
          </w:tcPr>
          <w:p w14:paraId="32E69984" w14:textId="77777777" w:rsidR="00F7113A" w:rsidRPr="00580C0D" w:rsidRDefault="00142E5B" w:rsidP="00BD6CF4">
            <w:r w:rsidRPr="00580C0D">
              <w:t>Innkjøps- og anskaffelsesstrategi for å sikre at miljøhensyn, kutt i klimagassutslipp og seriøsitet vektlegges i offentlige innkjøp</w:t>
            </w:r>
          </w:p>
        </w:tc>
        <w:tc>
          <w:tcPr>
            <w:tcW w:w="1361" w:type="dxa"/>
            <w:tcBorders>
              <w:top w:val="nil"/>
              <w:left w:val="nil"/>
              <w:bottom w:val="nil"/>
              <w:right w:val="nil"/>
            </w:tcBorders>
            <w:tcMar>
              <w:top w:w="100" w:type="dxa"/>
              <w:left w:w="43" w:type="dxa"/>
              <w:bottom w:w="43" w:type="dxa"/>
              <w:right w:w="43" w:type="dxa"/>
            </w:tcMar>
          </w:tcPr>
          <w:p w14:paraId="539C3212" w14:textId="77777777" w:rsidR="00F7113A" w:rsidRPr="00580C0D" w:rsidRDefault="00142E5B" w:rsidP="00BD6CF4">
            <w:pPr>
              <w:jc w:val="right"/>
            </w:pPr>
            <w:r w:rsidRPr="00580C0D">
              <w:t>Ja</w:t>
            </w:r>
          </w:p>
        </w:tc>
      </w:tr>
      <w:tr w:rsidR="00F7113A" w:rsidRPr="00580C0D" w14:paraId="33F50857"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05106227"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609228CA" w14:textId="77777777" w:rsidR="00F7113A" w:rsidRPr="00580C0D" w:rsidRDefault="00142E5B" w:rsidP="00BD6CF4">
            <w:pPr>
              <w:ind w:right="284"/>
              <w:jc w:val="right"/>
            </w:pPr>
            <w:r w:rsidRPr="00580C0D">
              <w:t>99</w:t>
            </w:r>
          </w:p>
        </w:tc>
        <w:tc>
          <w:tcPr>
            <w:tcW w:w="5528" w:type="dxa"/>
            <w:tcBorders>
              <w:top w:val="nil"/>
              <w:left w:val="nil"/>
              <w:bottom w:val="nil"/>
              <w:right w:val="nil"/>
            </w:tcBorders>
            <w:tcMar>
              <w:top w:w="100" w:type="dxa"/>
              <w:left w:w="43" w:type="dxa"/>
              <w:bottom w:w="43" w:type="dxa"/>
              <w:right w:w="43" w:type="dxa"/>
            </w:tcMar>
          </w:tcPr>
          <w:p w14:paraId="6233B72E" w14:textId="34CFD688" w:rsidR="00F7113A" w:rsidRPr="00580C0D" w:rsidRDefault="00142E5B" w:rsidP="00BD6CF4">
            <w:r w:rsidRPr="00580C0D">
              <w:t xml:space="preserve">Krav om </w:t>
            </w:r>
            <w:proofErr w:type="spellStart"/>
            <w:r w:rsidRPr="00580C0D">
              <w:t>tilbakefylling</w:t>
            </w:r>
            <w:proofErr w:type="spellEnd"/>
            <w:r w:rsidRPr="00580C0D">
              <w:t xml:space="preserve"> og ressursutnyttelse for gruvedrift i Norge</w:t>
            </w:r>
          </w:p>
        </w:tc>
        <w:tc>
          <w:tcPr>
            <w:tcW w:w="1361" w:type="dxa"/>
            <w:tcBorders>
              <w:top w:val="nil"/>
              <w:left w:val="nil"/>
              <w:bottom w:val="nil"/>
              <w:right w:val="nil"/>
            </w:tcBorders>
            <w:tcMar>
              <w:top w:w="100" w:type="dxa"/>
              <w:left w:w="43" w:type="dxa"/>
              <w:bottom w:w="43" w:type="dxa"/>
              <w:right w:w="43" w:type="dxa"/>
            </w:tcMar>
          </w:tcPr>
          <w:p w14:paraId="75074BD4" w14:textId="77777777" w:rsidR="00F7113A" w:rsidRPr="00580C0D" w:rsidRDefault="00142E5B" w:rsidP="00BD6CF4">
            <w:pPr>
              <w:jc w:val="right"/>
            </w:pPr>
            <w:r w:rsidRPr="00580C0D">
              <w:t>Ja</w:t>
            </w:r>
          </w:p>
        </w:tc>
      </w:tr>
      <w:tr w:rsidR="00F7113A" w:rsidRPr="00580C0D" w14:paraId="1796EB64"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5A4DC30D"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7440B491" w14:textId="77777777" w:rsidR="00F7113A" w:rsidRPr="00580C0D" w:rsidRDefault="00142E5B" w:rsidP="00BD6CF4">
            <w:pPr>
              <w:ind w:right="284"/>
              <w:jc w:val="right"/>
            </w:pPr>
            <w:r w:rsidRPr="00580C0D">
              <w:t>122</w:t>
            </w:r>
          </w:p>
        </w:tc>
        <w:tc>
          <w:tcPr>
            <w:tcW w:w="5528" w:type="dxa"/>
            <w:tcBorders>
              <w:top w:val="nil"/>
              <w:left w:val="nil"/>
              <w:bottom w:val="nil"/>
              <w:right w:val="nil"/>
            </w:tcBorders>
            <w:tcMar>
              <w:top w:w="100" w:type="dxa"/>
              <w:left w:w="43" w:type="dxa"/>
              <w:bottom w:w="43" w:type="dxa"/>
              <w:right w:w="43" w:type="dxa"/>
            </w:tcMar>
          </w:tcPr>
          <w:p w14:paraId="715C1FA0" w14:textId="77777777" w:rsidR="00F7113A" w:rsidRPr="00580C0D" w:rsidRDefault="00142E5B" w:rsidP="00BD6CF4">
            <w:r w:rsidRPr="00580C0D">
              <w:t xml:space="preserve">Samlokalisering av Havforskningsinstituttet og Fiskeridirektoratet </w:t>
            </w:r>
          </w:p>
        </w:tc>
        <w:tc>
          <w:tcPr>
            <w:tcW w:w="1361" w:type="dxa"/>
            <w:tcBorders>
              <w:top w:val="nil"/>
              <w:left w:val="nil"/>
              <w:bottom w:val="nil"/>
              <w:right w:val="nil"/>
            </w:tcBorders>
            <w:tcMar>
              <w:top w:w="100" w:type="dxa"/>
              <w:left w:w="43" w:type="dxa"/>
              <w:bottom w:w="43" w:type="dxa"/>
              <w:right w:w="43" w:type="dxa"/>
            </w:tcMar>
          </w:tcPr>
          <w:p w14:paraId="76362E30" w14:textId="77777777" w:rsidR="00F7113A" w:rsidRPr="00580C0D" w:rsidRDefault="00142E5B" w:rsidP="00BD6CF4">
            <w:pPr>
              <w:jc w:val="right"/>
            </w:pPr>
            <w:r w:rsidRPr="00580C0D">
              <w:t>Ja</w:t>
            </w:r>
          </w:p>
        </w:tc>
      </w:tr>
      <w:tr w:rsidR="00F7113A" w:rsidRPr="00580C0D" w14:paraId="463EC086"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13D109DD"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55740F0B" w14:textId="77777777" w:rsidR="00F7113A" w:rsidRPr="00580C0D" w:rsidRDefault="00142E5B" w:rsidP="00BD6CF4">
            <w:pPr>
              <w:ind w:right="284"/>
              <w:jc w:val="right"/>
            </w:pPr>
            <w:r w:rsidRPr="00580C0D">
              <w:t>381</w:t>
            </w:r>
          </w:p>
        </w:tc>
        <w:tc>
          <w:tcPr>
            <w:tcW w:w="5528" w:type="dxa"/>
            <w:tcBorders>
              <w:top w:val="nil"/>
              <w:left w:val="nil"/>
              <w:bottom w:val="nil"/>
              <w:right w:val="nil"/>
            </w:tcBorders>
            <w:tcMar>
              <w:top w:w="100" w:type="dxa"/>
              <w:left w:w="43" w:type="dxa"/>
              <w:bottom w:w="43" w:type="dxa"/>
              <w:right w:w="43" w:type="dxa"/>
            </w:tcMar>
          </w:tcPr>
          <w:p w14:paraId="6071F5D5" w14:textId="77777777" w:rsidR="00F7113A" w:rsidRPr="00580C0D" w:rsidRDefault="00142E5B" w:rsidP="00BD6CF4">
            <w:r w:rsidRPr="00580C0D">
              <w:t xml:space="preserve">Strategi for fôrråvarer </w:t>
            </w:r>
          </w:p>
        </w:tc>
        <w:tc>
          <w:tcPr>
            <w:tcW w:w="1361" w:type="dxa"/>
            <w:tcBorders>
              <w:top w:val="nil"/>
              <w:left w:val="nil"/>
              <w:bottom w:val="nil"/>
              <w:right w:val="nil"/>
            </w:tcBorders>
            <w:tcMar>
              <w:top w:w="100" w:type="dxa"/>
              <w:left w:w="43" w:type="dxa"/>
              <w:bottom w:w="43" w:type="dxa"/>
              <w:right w:w="43" w:type="dxa"/>
            </w:tcMar>
          </w:tcPr>
          <w:p w14:paraId="0EF0C83F" w14:textId="77777777" w:rsidR="00F7113A" w:rsidRPr="00580C0D" w:rsidRDefault="00142E5B" w:rsidP="00BD6CF4">
            <w:pPr>
              <w:jc w:val="right"/>
            </w:pPr>
            <w:r w:rsidRPr="00580C0D">
              <w:t>Ja</w:t>
            </w:r>
          </w:p>
        </w:tc>
      </w:tr>
      <w:tr w:rsidR="00F7113A" w:rsidRPr="00580C0D" w14:paraId="46F291C6"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706CB1E3"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14F1502C" w14:textId="77777777" w:rsidR="00F7113A" w:rsidRPr="00580C0D" w:rsidRDefault="00142E5B" w:rsidP="00BD6CF4">
            <w:pPr>
              <w:ind w:right="284"/>
              <w:jc w:val="right"/>
            </w:pPr>
            <w:r w:rsidRPr="00580C0D">
              <w:t>382</w:t>
            </w:r>
          </w:p>
        </w:tc>
        <w:tc>
          <w:tcPr>
            <w:tcW w:w="5528" w:type="dxa"/>
            <w:tcBorders>
              <w:top w:val="nil"/>
              <w:left w:val="nil"/>
              <w:bottom w:val="nil"/>
              <w:right w:val="nil"/>
            </w:tcBorders>
            <w:tcMar>
              <w:top w:w="100" w:type="dxa"/>
              <w:left w:w="43" w:type="dxa"/>
              <w:bottom w:w="43" w:type="dxa"/>
              <w:right w:w="43" w:type="dxa"/>
            </w:tcMar>
          </w:tcPr>
          <w:p w14:paraId="089D6175" w14:textId="77777777" w:rsidR="00F7113A" w:rsidRPr="00580C0D" w:rsidRDefault="00142E5B" w:rsidP="00BD6CF4">
            <w:r w:rsidRPr="00580C0D">
              <w:t>Utvikling og profilering av Finnmark som destinasjon innen reiseliv</w:t>
            </w:r>
          </w:p>
        </w:tc>
        <w:tc>
          <w:tcPr>
            <w:tcW w:w="1361" w:type="dxa"/>
            <w:tcBorders>
              <w:top w:val="nil"/>
              <w:left w:val="nil"/>
              <w:bottom w:val="nil"/>
              <w:right w:val="nil"/>
            </w:tcBorders>
            <w:tcMar>
              <w:top w:w="100" w:type="dxa"/>
              <w:left w:w="43" w:type="dxa"/>
              <w:bottom w:w="43" w:type="dxa"/>
              <w:right w:w="43" w:type="dxa"/>
            </w:tcMar>
          </w:tcPr>
          <w:p w14:paraId="18B08532" w14:textId="77777777" w:rsidR="00F7113A" w:rsidRPr="00580C0D" w:rsidRDefault="00142E5B" w:rsidP="00BD6CF4">
            <w:pPr>
              <w:jc w:val="right"/>
            </w:pPr>
            <w:r w:rsidRPr="00580C0D">
              <w:t>Ja</w:t>
            </w:r>
          </w:p>
        </w:tc>
      </w:tr>
      <w:tr w:rsidR="00F7113A" w:rsidRPr="00580C0D" w14:paraId="33F821EF"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62CF4520"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449BC18E" w14:textId="77777777" w:rsidR="00F7113A" w:rsidRPr="00580C0D" w:rsidRDefault="00142E5B" w:rsidP="00BD6CF4">
            <w:pPr>
              <w:ind w:right="284"/>
              <w:jc w:val="right"/>
            </w:pPr>
            <w:r w:rsidRPr="00580C0D">
              <w:t>504</w:t>
            </w:r>
          </w:p>
        </w:tc>
        <w:tc>
          <w:tcPr>
            <w:tcW w:w="5528" w:type="dxa"/>
            <w:tcBorders>
              <w:top w:val="nil"/>
              <w:left w:val="nil"/>
              <w:bottom w:val="nil"/>
              <w:right w:val="nil"/>
            </w:tcBorders>
            <w:tcMar>
              <w:top w:w="100" w:type="dxa"/>
              <w:left w:w="43" w:type="dxa"/>
              <w:bottom w:w="43" w:type="dxa"/>
              <w:right w:w="43" w:type="dxa"/>
            </w:tcMar>
          </w:tcPr>
          <w:p w14:paraId="265D31C4" w14:textId="77777777" w:rsidR="00F7113A" w:rsidRPr="00580C0D" w:rsidRDefault="00142E5B" w:rsidP="00BD6CF4">
            <w:r w:rsidRPr="00580C0D">
              <w:t>Bredere geografisk spredning og mangfold blant eiervalgte styrerepresentanter i selskaper hvor staten har eierandeler</w:t>
            </w:r>
          </w:p>
        </w:tc>
        <w:tc>
          <w:tcPr>
            <w:tcW w:w="1361" w:type="dxa"/>
            <w:tcBorders>
              <w:top w:val="nil"/>
              <w:left w:val="nil"/>
              <w:bottom w:val="nil"/>
              <w:right w:val="nil"/>
            </w:tcBorders>
            <w:tcMar>
              <w:top w:w="100" w:type="dxa"/>
              <w:left w:w="43" w:type="dxa"/>
              <w:bottom w:w="43" w:type="dxa"/>
              <w:right w:w="43" w:type="dxa"/>
            </w:tcMar>
          </w:tcPr>
          <w:p w14:paraId="604AE320" w14:textId="77777777" w:rsidR="00F7113A" w:rsidRPr="00580C0D" w:rsidRDefault="00142E5B" w:rsidP="00BD6CF4">
            <w:pPr>
              <w:jc w:val="right"/>
            </w:pPr>
            <w:r w:rsidRPr="00580C0D">
              <w:t>Ja</w:t>
            </w:r>
          </w:p>
        </w:tc>
      </w:tr>
      <w:tr w:rsidR="00F7113A" w:rsidRPr="00580C0D" w14:paraId="6400C757"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513AA976"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5283F353" w14:textId="77777777" w:rsidR="00F7113A" w:rsidRPr="00580C0D" w:rsidRDefault="00142E5B" w:rsidP="00BD6CF4">
            <w:pPr>
              <w:ind w:right="284"/>
              <w:jc w:val="right"/>
            </w:pPr>
            <w:r w:rsidRPr="00580C0D">
              <w:t>694</w:t>
            </w:r>
          </w:p>
        </w:tc>
        <w:tc>
          <w:tcPr>
            <w:tcW w:w="5528" w:type="dxa"/>
            <w:tcBorders>
              <w:top w:val="nil"/>
              <w:left w:val="nil"/>
              <w:bottom w:val="nil"/>
              <w:right w:val="nil"/>
            </w:tcBorders>
            <w:tcMar>
              <w:top w:w="100" w:type="dxa"/>
              <w:left w:w="43" w:type="dxa"/>
              <w:bottom w:w="43" w:type="dxa"/>
              <w:right w:w="43" w:type="dxa"/>
            </w:tcMar>
          </w:tcPr>
          <w:p w14:paraId="2B1AA0BA" w14:textId="77777777" w:rsidR="00F7113A" w:rsidRPr="00580C0D" w:rsidRDefault="00142E5B" w:rsidP="00BD6CF4">
            <w:r w:rsidRPr="00580C0D">
              <w:t>Tilstrekkelige verktøy for Konkurransetilsynet</w:t>
            </w:r>
          </w:p>
        </w:tc>
        <w:tc>
          <w:tcPr>
            <w:tcW w:w="1361" w:type="dxa"/>
            <w:tcBorders>
              <w:top w:val="nil"/>
              <w:left w:val="nil"/>
              <w:bottom w:val="nil"/>
              <w:right w:val="nil"/>
            </w:tcBorders>
            <w:tcMar>
              <w:top w:w="100" w:type="dxa"/>
              <w:left w:w="43" w:type="dxa"/>
              <w:bottom w:w="43" w:type="dxa"/>
              <w:right w:w="43" w:type="dxa"/>
            </w:tcMar>
          </w:tcPr>
          <w:p w14:paraId="3794D6CA" w14:textId="77777777" w:rsidR="00F7113A" w:rsidRPr="00580C0D" w:rsidRDefault="00142E5B" w:rsidP="00BD6CF4">
            <w:pPr>
              <w:jc w:val="right"/>
            </w:pPr>
            <w:r w:rsidRPr="00580C0D">
              <w:t>Nei</w:t>
            </w:r>
          </w:p>
        </w:tc>
      </w:tr>
      <w:tr w:rsidR="00F7113A" w:rsidRPr="00580C0D" w14:paraId="55B84E18"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0CEC4B25"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600B8B8D" w14:textId="77777777" w:rsidR="00F7113A" w:rsidRPr="00580C0D" w:rsidRDefault="00142E5B" w:rsidP="00BD6CF4">
            <w:pPr>
              <w:ind w:right="284"/>
              <w:jc w:val="right"/>
            </w:pPr>
            <w:r w:rsidRPr="00580C0D">
              <w:t>695</w:t>
            </w:r>
          </w:p>
        </w:tc>
        <w:tc>
          <w:tcPr>
            <w:tcW w:w="5528" w:type="dxa"/>
            <w:tcBorders>
              <w:top w:val="nil"/>
              <w:left w:val="nil"/>
              <w:bottom w:val="nil"/>
              <w:right w:val="nil"/>
            </w:tcBorders>
            <w:tcMar>
              <w:top w:w="100" w:type="dxa"/>
              <w:left w:w="43" w:type="dxa"/>
              <w:bottom w:w="43" w:type="dxa"/>
              <w:right w:w="43" w:type="dxa"/>
            </w:tcMar>
          </w:tcPr>
          <w:p w14:paraId="35F59A82" w14:textId="77777777" w:rsidR="00F7113A" w:rsidRPr="00580C0D" w:rsidRDefault="00142E5B" w:rsidP="00BD6CF4">
            <w:r w:rsidRPr="00580C0D">
              <w:t>Markedsdata for dagligvarehandelen</w:t>
            </w:r>
          </w:p>
        </w:tc>
        <w:tc>
          <w:tcPr>
            <w:tcW w:w="1361" w:type="dxa"/>
            <w:tcBorders>
              <w:top w:val="nil"/>
              <w:left w:val="nil"/>
              <w:bottom w:val="nil"/>
              <w:right w:val="nil"/>
            </w:tcBorders>
            <w:tcMar>
              <w:top w:w="100" w:type="dxa"/>
              <w:left w:w="43" w:type="dxa"/>
              <w:bottom w:w="43" w:type="dxa"/>
              <w:right w:w="43" w:type="dxa"/>
            </w:tcMar>
          </w:tcPr>
          <w:p w14:paraId="2A35317D" w14:textId="77777777" w:rsidR="00F7113A" w:rsidRPr="00580C0D" w:rsidRDefault="00142E5B" w:rsidP="00BD6CF4">
            <w:pPr>
              <w:jc w:val="right"/>
            </w:pPr>
            <w:r w:rsidRPr="00580C0D">
              <w:t>Nei</w:t>
            </w:r>
          </w:p>
        </w:tc>
      </w:tr>
      <w:tr w:rsidR="00F7113A" w:rsidRPr="00580C0D" w14:paraId="15447C4C"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1A98C5B7"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71E5AC88" w14:textId="77777777" w:rsidR="00F7113A" w:rsidRPr="00580C0D" w:rsidRDefault="00142E5B" w:rsidP="00BD6CF4">
            <w:pPr>
              <w:ind w:right="284"/>
              <w:jc w:val="right"/>
            </w:pPr>
            <w:r w:rsidRPr="00580C0D">
              <w:t>696</w:t>
            </w:r>
          </w:p>
        </w:tc>
        <w:tc>
          <w:tcPr>
            <w:tcW w:w="5528" w:type="dxa"/>
            <w:tcBorders>
              <w:top w:val="nil"/>
              <w:left w:val="nil"/>
              <w:bottom w:val="nil"/>
              <w:right w:val="nil"/>
            </w:tcBorders>
            <w:tcMar>
              <w:top w:w="100" w:type="dxa"/>
              <w:left w:w="43" w:type="dxa"/>
              <w:bottom w:w="43" w:type="dxa"/>
              <w:right w:w="43" w:type="dxa"/>
            </w:tcMar>
          </w:tcPr>
          <w:p w14:paraId="1318E04F" w14:textId="77777777" w:rsidR="00F7113A" w:rsidRPr="00580C0D" w:rsidRDefault="00142E5B" w:rsidP="00BD6CF4">
            <w:r w:rsidRPr="00580C0D">
              <w:t>Åpenhet og transparens i verdikjeden for dagligvarer</w:t>
            </w:r>
          </w:p>
        </w:tc>
        <w:tc>
          <w:tcPr>
            <w:tcW w:w="1361" w:type="dxa"/>
            <w:tcBorders>
              <w:top w:val="nil"/>
              <w:left w:val="nil"/>
              <w:bottom w:val="nil"/>
              <w:right w:val="nil"/>
            </w:tcBorders>
            <w:tcMar>
              <w:top w:w="100" w:type="dxa"/>
              <w:left w:w="43" w:type="dxa"/>
              <w:bottom w:w="43" w:type="dxa"/>
              <w:right w:w="43" w:type="dxa"/>
            </w:tcMar>
          </w:tcPr>
          <w:p w14:paraId="3C61F6C3" w14:textId="77777777" w:rsidR="00F7113A" w:rsidRPr="00580C0D" w:rsidRDefault="00142E5B" w:rsidP="00BD6CF4">
            <w:pPr>
              <w:jc w:val="right"/>
            </w:pPr>
            <w:r w:rsidRPr="00580C0D">
              <w:t>Ja</w:t>
            </w:r>
          </w:p>
        </w:tc>
      </w:tr>
      <w:tr w:rsidR="00F7113A" w:rsidRPr="00580C0D" w14:paraId="6AA69096" w14:textId="77777777" w:rsidTr="003C787D">
        <w:trPr>
          <w:trHeight w:val="600"/>
        </w:trPr>
        <w:tc>
          <w:tcPr>
            <w:tcW w:w="1300" w:type="dxa"/>
            <w:tcBorders>
              <w:top w:val="nil"/>
              <w:left w:val="nil"/>
              <w:right w:val="nil"/>
            </w:tcBorders>
            <w:tcMar>
              <w:top w:w="100" w:type="dxa"/>
              <w:left w:w="43" w:type="dxa"/>
              <w:bottom w:w="43" w:type="dxa"/>
              <w:right w:w="43" w:type="dxa"/>
            </w:tcMar>
          </w:tcPr>
          <w:p w14:paraId="7F6120D5" w14:textId="77777777" w:rsidR="00F7113A" w:rsidRPr="00580C0D" w:rsidRDefault="00142E5B" w:rsidP="00BD6CF4">
            <w:r w:rsidRPr="00580C0D">
              <w:t>2022–2023</w:t>
            </w:r>
          </w:p>
        </w:tc>
        <w:tc>
          <w:tcPr>
            <w:tcW w:w="1351" w:type="dxa"/>
            <w:tcBorders>
              <w:top w:val="nil"/>
              <w:left w:val="nil"/>
              <w:right w:val="nil"/>
            </w:tcBorders>
            <w:tcMar>
              <w:top w:w="100" w:type="dxa"/>
              <w:left w:w="43" w:type="dxa"/>
              <w:bottom w:w="43" w:type="dxa"/>
              <w:right w:w="43" w:type="dxa"/>
            </w:tcMar>
          </w:tcPr>
          <w:p w14:paraId="4C35988B" w14:textId="77777777" w:rsidR="00F7113A" w:rsidRPr="00580C0D" w:rsidRDefault="00142E5B" w:rsidP="00BD6CF4">
            <w:pPr>
              <w:ind w:right="284"/>
              <w:jc w:val="right"/>
            </w:pPr>
            <w:r w:rsidRPr="00580C0D">
              <w:t>698</w:t>
            </w:r>
          </w:p>
        </w:tc>
        <w:tc>
          <w:tcPr>
            <w:tcW w:w="5528" w:type="dxa"/>
            <w:tcBorders>
              <w:top w:val="nil"/>
              <w:left w:val="nil"/>
              <w:right w:val="nil"/>
            </w:tcBorders>
            <w:tcMar>
              <w:top w:w="100" w:type="dxa"/>
              <w:left w:w="43" w:type="dxa"/>
              <w:bottom w:w="43" w:type="dxa"/>
              <w:right w:w="43" w:type="dxa"/>
            </w:tcMar>
          </w:tcPr>
          <w:p w14:paraId="3F29EE6E" w14:textId="5A9D9202" w:rsidR="00F7113A" w:rsidRPr="00580C0D" w:rsidRDefault="00142E5B" w:rsidP="00BD6CF4">
            <w:r w:rsidRPr="00580C0D">
              <w:t>Tiltak for å øke produksjon av nye, bærekraftige fôr</w:t>
            </w:r>
            <w:r w:rsidR="00E13315">
              <w:softHyphen/>
            </w:r>
            <w:r w:rsidRPr="00580C0D">
              <w:t>råvarer til fiskeoppdrett</w:t>
            </w:r>
          </w:p>
        </w:tc>
        <w:tc>
          <w:tcPr>
            <w:tcW w:w="1361" w:type="dxa"/>
            <w:tcBorders>
              <w:top w:val="nil"/>
              <w:left w:val="nil"/>
              <w:right w:val="nil"/>
            </w:tcBorders>
            <w:tcMar>
              <w:top w:w="100" w:type="dxa"/>
              <w:left w:w="43" w:type="dxa"/>
              <w:bottom w:w="43" w:type="dxa"/>
              <w:right w:w="43" w:type="dxa"/>
            </w:tcMar>
          </w:tcPr>
          <w:p w14:paraId="46ACB4F2" w14:textId="77777777" w:rsidR="00F7113A" w:rsidRPr="00580C0D" w:rsidRDefault="00142E5B" w:rsidP="00BD6CF4">
            <w:pPr>
              <w:jc w:val="right"/>
            </w:pPr>
            <w:r w:rsidRPr="00580C0D">
              <w:t>Ja</w:t>
            </w:r>
          </w:p>
        </w:tc>
      </w:tr>
      <w:tr w:rsidR="00F7113A" w:rsidRPr="00580C0D" w14:paraId="12119029" w14:textId="77777777" w:rsidTr="003C787D">
        <w:trPr>
          <w:trHeight w:val="340"/>
        </w:trPr>
        <w:tc>
          <w:tcPr>
            <w:tcW w:w="1300" w:type="dxa"/>
            <w:tcBorders>
              <w:top w:val="nil"/>
              <w:left w:val="nil"/>
              <w:right w:val="nil"/>
            </w:tcBorders>
            <w:tcMar>
              <w:top w:w="100" w:type="dxa"/>
              <w:left w:w="43" w:type="dxa"/>
              <w:bottom w:w="43" w:type="dxa"/>
              <w:right w:w="43" w:type="dxa"/>
            </w:tcMar>
          </w:tcPr>
          <w:p w14:paraId="1305C12F" w14:textId="77777777" w:rsidR="00F7113A" w:rsidRPr="00580C0D" w:rsidRDefault="00142E5B" w:rsidP="00BD6CF4">
            <w:r w:rsidRPr="00580C0D">
              <w:t>2022–2023</w:t>
            </w:r>
          </w:p>
        </w:tc>
        <w:tc>
          <w:tcPr>
            <w:tcW w:w="1351" w:type="dxa"/>
            <w:tcBorders>
              <w:top w:val="nil"/>
              <w:left w:val="nil"/>
              <w:right w:val="nil"/>
            </w:tcBorders>
            <w:tcMar>
              <w:top w:w="100" w:type="dxa"/>
              <w:left w:w="43" w:type="dxa"/>
              <w:bottom w:w="43" w:type="dxa"/>
              <w:right w:w="43" w:type="dxa"/>
            </w:tcMar>
          </w:tcPr>
          <w:p w14:paraId="5ED0D0C2" w14:textId="77777777" w:rsidR="00F7113A" w:rsidRPr="00580C0D" w:rsidRDefault="00142E5B" w:rsidP="00BD6CF4">
            <w:pPr>
              <w:ind w:right="284"/>
              <w:jc w:val="right"/>
            </w:pPr>
            <w:r w:rsidRPr="00580C0D">
              <w:t>920</w:t>
            </w:r>
          </w:p>
        </w:tc>
        <w:tc>
          <w:tcPr>
            <w:tcW w:w="5528" w:type="dxa"/>
            <w:tcBorders>
              <w:top w:val="nil"/>
              <w:left w:val="nil"/>
              <w:right w:val="nil"/>
            </w:tcBorders>
            <w:tcMar>
              <w:top w:w="100" w:type="dxa"/>
              <w:left w:w="43" w:type="dxa"/>
              <w:bottom w:w="43" w:type="dxa"/>
              <w:right w:w="43" w:type="dxa"/>
            </w:tcMar>
          </w:tcPr>
          <w:p w14:paraId="0BE59485" w14:textId="77777777" w:rsidR="00F7113A" w:rsidRPr="00580C0D" w:rsidRDefault="00142E5B" w:rsidP="00BD6CF4">
            <w:r w:rsidRPr="00580C0D">
              <w:t>Tiltak for etablering av grønn industri i Norge</w:t>
            </w:r>
          </w:p>
        </w:tc>
        <w:tc>
          <w:tcPr>
            <w:tcW w:w="1361" w:type="dxa"/>
            <w:tcBorders>
              <w:top w:val="nil"/>
              <w:left w:val="nil"/>
              <w:right w:val="nil"/>
            </w:tcBorders>
            <w:tcMar>
              <w:top w:w="100" w:type="dxa"/>
              <w:left w:w="43" w:type="dxa"/>
              <w:bottom w:w="43" w:type="dxa"/>
              <w:right w:w="43" w:type="dxa"/>
            </w:tcMar>
          </w:tcPr>
          <w:p w14:paraId="017F7754" w14:textId="77777777" w:rsidR="00F7113A" w:rsidRPr="00580C0D" w:rsidRDefault="00142E5B" w:rsidP="00BD6CF4">
            <w:pPr>
              <w:jc w:val="right"/>
            </w:pPr>
            <w:r w:rsidRPr="00580C0D">
              <w:t>Ja</w:t>
            </w:r>
          </w:p>
        </w:tc>
      </w:tr>
      <w:tr w:rsidR="00F7113A" w:rsidRPr="00580C0D" w14:paraId="7E866F63" w14:textId="77777777" w:rsidTr="003C787D">
        <w:trPr>
          <w:trHeight w:val="600"/>
        </w:trPr>
        <w:tc>
          <w:tcPr>
            <w:tcW w:w="1300" w:type="dxa"/>
            <w:tcBorders>
              <w:left w:val="nil"/>
              <w:bottom w:val="nil"/>
              <w:right w:val="nil"/>
            </w:tcBorders>
            <w:tcMar>
              <w:top w:w="100" w:type="dxa"/>
              <w:left w:w="43" w:type="dxa"/>
              <w:bottom w:w="43" w:type="dxa"/>
              <w:right w:w="43" w:type="dxa"/>
            </w:tcMar>
          </w:tcPr>
          <w:p w14:paraId="46D422AD" w14:textId="77777777" w:rsidR="00F7113A" w:rsidRPr="00580C0D" w:rsidRDefault="00142E5B" w:rsidP="00BD6CF4">
            <w:r w:rsidRPr="00580C0D">
              <w:t>2022–2023</w:t>
            </w:r>
          </w:p>
        </w:tc>
        <w:tc>
          <w:tcPr>
            <w:tcW w:w="1351" w:type="dxa"/>
            <w:tcBorders>
              <w:left w:val="nil"/>
              <w:bottom w:val="nil"/>
              <w:right w:val="nil"/>
            </w:tcBorders>
            <w:tcMar>
              <w:top w:w="100" w:type="dxa"/>
              <w:left w:w="43" w:type="dxa"/>
              <w:bottom w:w="43" w:type="dxa"/>
              <w:right w:w="43" w:type="dxa"/>
            </w:tcMar>
          </w:tcPr>
          <w:p w14:paraId="53432B83" w14:textId="77777777" w:rsidR="00F7113A" w:rsidRPr="00580C0D" w:rsidRDefault="00142E5B" w:rsidP="00BD6CF4">
            <w:pPr>
              <w:ind w:right="284"/>
              <w:jc w:val="right"/>
            </w:pPr>
            <w:r w:rsidRPr="00580C0D">
              <w:t>921</w:t>
            </w:r>
          </w:p>
        </w:tc>
        <w:tc>
          <w:tcPr>
            <w:tcW w:w="5528" w:type="dxa"/>
            <w:tcBorders>
              <w:left w:val="nil"/>
              <w:bottom w:val="nil"/>
              <w:right w:val="nil"/>
            </w:tcBorders>
            <w:tcMar>
              <w:top w:w="100" w:type="dxa"/>
              <w:left w:w="43" w:type="dxa"/>
              <w:bottom w:w="43" w:type="dxa"/>
              <w:right w:w="43" w:type="dxa"/>
            </w:tcMar>
          </w:tcPr>
          <w:p w14:paraId="52E92EE2" w14:textId="77777777" w:rsidR="00F7113A" w:rsidRPr="00580C0D" w:rsidRDefault="00142E5B" w:rsidP="00BD6CF4">
            <w:r w:rsidRPr="00580C0D">
              <w:t>Utvidelse av andelen garanti ved byggelån til skip, fartøy og innretninger til havs</w:t>
            </w:r>
          </w:p>
        </w:tc>
        <w:tc>
          <w:tcPr>
            <w:tcW w:w="1361" w:type="dxa"/>
            <w:tcBorders>
              <w:left w:val="nil"/>
              <w:bottom w:val="nil"/>
              <w:right w:val="nil"/>
            </w:tcBorders>
            <w:tcMar>
              <w:top w:w="100" w:type="dxa"/>
              <w:left w:w="43" w:type="dxa"/>
              <w:bottom w:w="43" w:type="dxa"/>
              <w:right w:w="43" w:type="dxa"/>
            </w:tcMar>
          </w:tcPr>
          <w:p w14:paraId="56B87C53" w14:textId="77777777" w:rsidR="00F7113A" w:rsidRPr="00580C0D" w:rsidRDefault="00142E5B" w:rsidP="00BD6CF4">
            <w:pPr>
              <w:jc w:val="right"/>
            </w:pPr>
            <w:r w:rsidRPr="00580C0D">
              <w:t>Ja</w:t>
            </w:r>
          </w:p>
        </w:tc>
      </w:tr>
      <w:tr w:rsidR="00F7113A" w:rsidRPr="00580C0D" w14:paraId="7A3B0E1A"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066C371C"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008AD051" w14:textId="77777777" w:rsidR="00F7113A" w:rsidRPr="00580C0D" w:rsidRDefault="00142E5B" w:rsidP="00BD6CF4">
            <w:pPr>
              <w:ind w:right="284"/>
              <w:jc w:val="right"/>
            </w:pPr>
            <w:r w:rsidRPr="00580C0D">
              <w:t>932</w:t>
            </w:r>
          </w:p>
        </w:tc>
        <w:tc>
          <w:tcPr>
            <w:tcW w:w="5528" w:type="dxa"/>
            <w:tcBorders>
              <w:top w:val="nil"/>
              <w:left w:val="nil"/>
              <w:bottom w:val="nil"/>
              <w:right w:val="nil"/>
            </w:tcBorders>
            <w:tcMar>
              <w:top w:w="100" w:type="dxa"/>
              <w:left w:w="43" w:type="dxa"/>
              <w:bottom w:w="43" w:type="dxa"/>
              <w:right w:w="43" w:type="dxa"/>
            </w:tcMar>
          </w:tcPr>
          <w:p w14:paraId="68666E2B" w14:textId="4B0C1C7A" w:rsidR="00F7113A" w:rsidRPr="00580C0D" w:rsidRDefault="00142E5B" w:rsidP="00BD6CF4">
            <w:r w:rsidRPr="00580C0D">
              <w:t xml:space="preserve">Redegjørelse av regjeringen om handelspolitikk og </w:t>
            </w:r>
            <w:r w:rsidR="00E13315">
              <w:br/>
            </w:r>
            <w:r w:rsidRPr="00580C0D">
              <w:t>nærings</w:t>
            </w:r>
            <w:r w:rsidR="00E13315">
              <w:softHyphen/>
            </w:r>
            <w:r w:rsidRPr="00580C0D">
              <w:t>utvikling</w:t>
            </w:r>
          </w:p>
        </w:tc>
        <w:tc>
          <w:tcPr>
            <w:tcW w:w="1361" w:type="dxa"/>
            <w:tcBorders>
              <w:top w:val="nil"/>
              <w:left w:val="nil"/>
              <w:bottom w:val="nil"/>
              <w:right w:val="nil"/>
            </w:tcBorders>
            <w:tcMar>
              <w:top w:w="100" w:type="dxa"/>
              <w:left w:w="43" w:type="dxa"/>
              <w:bottom w:w="43" w:type="dxa"/>
              <w:right w:w="43" w:type="dxa"/>
            </w:tcMar>
          </w:tcPr>
          <w:p w14:paraId="3C9D510C" w14:textId="77777777" w:rsidR="00F7113A" w:rsidRPr="00580C0D" w:rsidRDefault="00142E5B" w:rsidP="00BD6CF4">
            <w:pPr>
              <w:jc w:val="right"/>
            </w:pPr>
            <w:r w:rsidRPr="00580C0D">
              <w:t>Ja</w:t>
            </w:r>
          </w:p>
        </w:tc>
      </w:tr>
      <w:tr w:rsidR="00F7113A" w:rsidRPr="00580C0D" w14:paraId="3344C9BB"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4698E5FE" w14:textId="77777777" w:rsidR="00F7113A" w:rsidRPr="00580C0D" w:rsidRDefault="00142E5B" w:rsidP="00BD6CF4">
            <w:r w:rsidRPr="00580C0D">
              <w:t>2022–2023</w:t>
            </w:r>
          </w:p>
        </w:tc>
        <w:tc>
          <w:tcPr>
            <w:tcW w:w="1351" w:type="dxa"/>
            <w:tcBorders>
              <w:top w:val="nil"/>
              <w:left w:val="nil"/>
              <w:bottom w:val="nil"/>
              <w:right w:val="nil"/>
            </w:tcBorders>
            <w:tcMar>
              <w:top w:w="100" w:type="dxa"/>
              <w:left w:w="43" w:type="dxa"/>
              <w:bottom w:w="43" w:type="dxa"/>
              <w:right w:w="43" w:type="dxa"/>
            </w:tcMar>
          </w:tcPr>
          <w:p w14:paraId="72BC2680" w14:textId="77777777" w:rsidR="00F7113A" w:rsidRPr="00580C0D" w:rsidRDefault="00142E5B" w:rsidP="00BD6CF4">
            <w:pPr>
              <w:ind w:right="284"/>
              <w:jc w:val="right"/>
            </w:pPr>
            <w:r w:rsidRPr="00580C0D">
              <w:t>933</w:t>
            </w:r>
          </w:p>
        </w:tc>
        <w:tc>
          <w:tcPr>
            <w:tcW w:w="5528" w:type="dxa"/>
            <w:tcBorders>
              <w:top w:val="nil"/>
              <w:left w:val="nil"/>
              <w:bottom w:val="nil"/>
              <w:right w:val="nil"/>
            </w:tcBorders>
            <w:tcMar>
              <w:top w:w="100" w:type="dxa"/>
              <w:left w:w="43" w:type="dxa"/>
              <w:bottom w:w="43" w:type="dxa"/>
              <w:right w:w="43" w:type="dxa"/>
            </w:tcMar>
          </w:tcPr>
          <w:p w14:paraId="371DE58D" w14:textId="77777777" w:rsidR="00F7113A" w:rsidRPr="00580C0D" w:rsidRDefault="00142E5B" w:rsidP="00BD6CF4">
            <w:r w:rsidRPr="00580C0D">
              <w:t>Krav om nullutslipp for alle nye servicefartøy i havbruksnæringen fra 1. juli 2024</w:t>
            </w:r>
          </w:p>
        </w:tc>
        <w:tc>
          <w:tcPr>
            <w:tcW w:w="1361" w:type="dxa"/>
            <w:tcBorders>
              <w:top w:val="nil"/>
              <w:left w:val="nil"/>
              <w:bottom w:val="nil"/>
              <w:right w:val="nil"/>
            </w:tcBorders>
            <w:tcMar>
              <w:top w:w="100" w:type="dxa"/>
              <w:left w:w="43" w:type="dxa"/>
              <w:bottom w:w="43" w:type="dxa"/>
              <w:right w:w="43" w:type="dxa"/>
            </w:tcMar>
          </w:tcPr>
          <w:p w14:paraId="10FC1F2D" w14:textId="77777777" w:rsidR="00F7113A" w:rsidRPr="00580C0D" w:rsidRDefault="00142E5B" w:rsidP="00BD6CF4">
            <w:pPr>
              <w:jc w:val="right"/>
            </w:pPr>
            <w:r w:rsidRPr="00580C0D">
              <w:t>Nei</w:t>
            </w:r>
          </w:p>
        </w:tc>
      </w:tr>
      <w:tr w:rsidR="00F7113A" w:rsidRPr="00580C0D" w14:paraId="2A9F3B3E"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70FBD03D"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0770B50A" w14:textId="77777777" w:rsidR="00F7113A" w:rsidRPr="00580C0D" w:rsidRDefault="00142E5B" w:rsidP="00BD6CF4">
            <w:pPr>
              <w:ind w:right="284"/>
              <w:jc w:val="right"/>
            </w:pPr>
            <w:r w:rsidRPr="00580C0D">
              <w:t xml:space="preserve">35, </w:t>
            </w:r>
            <w:r w:rsidRPr="00580C0D">
              <w:br/>
              <w:t>punkt 12</w:t>
            </w:r>
          </w:p>
        </w:tc>
        <w:tc>
          <w:tcPr>
            <w:tcW w:w="5528" w:type="dxa"/>
            <w:tcBorders>
              <w:top w:val="nil"/>
              <w:left w:val="nil"/>
              <w:bottom w:val="nil"/>
              <w:right w:val="nil"/>
            </w:tcBorders>
            <w:tcMar>
              <w:top w:w="100" w:type="dxa"/>
              <w:left w:w="43" w:type="dxa"/>
              <w:bottom w:w="43" w:type="dxa"/>
              <w:right w:w="43" w:type="dxa"/>
            </w:tcMar>
          </w:tcPr>
          <w:p w14:paraId="09DE044C" w14:textId="2AAD51D5" w:rsidR="00F7113A" w:rsidRPr="00580C0D" w:rsidRDefault="00142E5B" w:rsidP="00BD6CF4">
            <w:r w:rsidRPr="00580C0D">
              <w:t>Nullutslippsløsninger for servicefartøy i havbruks</w:t>
            </w:r>
            <w:r w:rsidR="00E13315">
              <w:softHyphen/>
            </w:r>
            <w:r w:rsidRPr="00580C0D">
              <w:t>næringen</w:t>
            </w:r>
          </w:p>
        </w:tc>
        <w:tc>
          <w:tcPr>
            <w:tcW w:w="1361" w:type="dxa"/>
            <w:tcBorders>
              <w:top w:val="nil"/>
              <w:left w:val="nil"/>
              <w:bottom w:val="nil"/>
              <w:right w:val="nil"/>
            </w:tcBorders>
            <w:tcMar>
              <w:top w:w="100" w:type="dxa"/>
              <w:left w:w="43" w:type="dxa"/>
              <w:bottom w:w="43" w:type="dxa"/>
              <w:right w:w="43" w:type="dxa"/>
            </w:tcMar>
          </w:tcPr>
          <w:p w14:paraId="25578BE9" w14:textId="77777777" w:rsidR="00F7113A" w:rsidRPr="00580C0D" w:rsidRDefault="00142E5B" w:rsidP="00BD6CF4">
            <w:pPr>
              <w:jc w:val="right"/>
            </w:pPr>
            <w:r w:rsidRPr="00580C0D">
              <w:t>Ja</w:t>
            </w:r>
          </w:p>
        </w:tc>
      </w:tr>
      <w:tr w:rsidR="00F7113A" w:rsidRPr="00580C0D" w14:paraId="06B3BF19"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39B08BF2"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44F59543" w14:textId="77777777" w:rsidR="00F7113A" w:rsidRPr="00580C0D" w:rsidRDefault="00142E5B" w:rsidP="00BD6CF4">
            <w:pPr>
              <w:ind w:right="284"/>
              <w:jc w:val="right"/>
            </w:pPr>
            <w:r w:rsidRPr="00580C0D">
              <w:t>481</w:t>
            </w:r>
          </w:p>
        </w:tc>
        <w:tc>
          <w:tcPr>
            <w:tcW w:w="5528" w:type="dxa"/>
            <w:tcBorders>
              <w:top w:val="nil"/>
              <w:left w:val="nil"/>
              <w:bottom w:val="nil"/>
              <w:right w:val="nil"/>
            </w:tcBorders>
            <w:tcMar>
              <w:top w:w="100" w:type="dxa"/>
              <w:left w:w="43" w:type="dxa"/>
              <w:bottom w:w="43" w:type="dxa"/>
              <w:right w:w="43" w:type="dxa"/>
            </w:tcMar>
          </w:tcPr>
          <w:p w14:paraId="1C6BF6B8" w14:textId="77777777" w:rsidR="00F7113A" w:rsidRPr="00580C0D" w:rsidRDefault="00142E5B" w:rsidP="00BD6CF4">
            <w:r w:rsidRPr="00580C0D">
              <w:t>Nullvisjon for næringer til havs</w:t>
            </w:r>
          </w:p>
        </w:tc>
        <w:tc>
          <w:tcPr>
            <w:tcW w:w="1361" w:type="dxa"/>
            <w:tcBorders>
              <w:top w:val="nil"/>
              <w:left w:val="nil"/>
              <w:bottom w:val="nil"/>
              <w:right w:val="nil"/>
            </w:tcBorders>
            <w:tcMar>
              <w:top w:w="100" w:type="dxa"/>
              <w:left w:w="43" w:type="dxa"/>
              <w:bottom w:w="43" w:type="dxa"/>
              <w:right w:w="43" w:type="dxa"/>
            </w:tcMar>
          </w:tcPr>
          <w:p w14:paraId="74E4C057" w14:textId="77777777" w:rsidR="00F7113A" w:rsidRPr="00580C0D" w:rsidRDefault="00142E5B" w:rsidP="00BD6CF4">
            <w:pPr>
              <w:jc w:val="right"/>
            </w:pPr>
            <w:r w:rsidRPr="00580C0D">
              <w:t>Ja</w:t>
            </w:r>
          </w:p>
        </w:tc>
      </w:tr>
      <w:tr w:rsidR="00F7113A" w:rsidRPr="00580C0D" w14:paraId="62946E05"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38B6CE5E"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5817AD09" w14:textId="77777777" w:rsidR="00F7113A" w:rsidRPr="00580C0D" w:rsidRDefault="00142E5B" w:rsidP="00BD6CF4">
            <w:pPr>
              <w:ind w:right="284"/>
              <w:jc w:val="right"/>
            </w:pPr>
            <w:r w:rsidRPr="00580C0D">
              <w:t>562</w:t>
            </w:r>
          </w:p>
        </w:tc>
        <w:tc>
          <w:tcPr>
            <w:tcW w:w="5528" w:type="dxa"/>
            <w:tcBorders>
              <w:top w:val="nil"/>
              <w:left w:val="nil"/>
              <w:bottom w:val="nil"/>
              <w:right w:val="nil"/>
            </w:tcBorders>
            <w:tcMar>
              <w:top w:w="100" w:type="dxa"/>
              <w:left w:w="43" w:type="dxa"/>
              <w:bottom w:w="43" w:type="dxa"/>
              <w:right w:w="43" w:type="dxa"/>
            </w:tcMar>
          </w:tcPr>
          <w:p w14:paraId="1F5617A6" w14:textId="77777777" w:rsidR="00F7113A" w:rsidRPr="00580C0D" w:rsidRDefault="00142E5B" w:rsidP="00BD6CF4">
            <w:r w:rsidRPr="00580C0D">
              <w:t>Grensekryssende fiske i Skagerrak</w:t>
            </w:r>
          </w:p>
        </w:tc>
        <w:tc>
          <w:tcPr>
            <w:tcW w:w="1361" w:type="dxa"/>
            <w:tcBorders>
              <w:top w:val="nil"/>
              <w:left w:val="nil"/>
              <w:bottom w:val="nil"/>
              <w:right w:val="nil"/>
            </w:tcBorders>
            <w:tcMar>
              <w:top w:w="100" w:type="dxa"/>
              <w:left w:w="43" w:type="dxa"/>
              <w:bottom w:w="43" w:type="dxa"/>
              <w:right w:w="43" w:type="dxa"/>
            </w:tcMar>
          </w:tcPr>
          <w:p w14:paraId="44D60BED" w14:textId="77777777" w:rsidR="00F7113A" w:rsidRPr="00580C0D" w:rsidRDefault="00142E5B" w:rsidP="00BD6CF4">
            <w:pPr>
              <w:jc w:val="right"/>
            </w:pPr>
            <w:r w:rsidRPr="00580C0D">
              <w:t>Ja</w:t>
            </w:r>
          </w:p>
        </w:tc>
      </w:tr>
      <w:tr w:rsidR="00F7113A" w:rsidRPr="00580C0D" w14:paraId="197056D5"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734D975F"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02B50463" w14:textId="77777777" w:rsidR="00F7113A" w:rsidRPr="00580C0D" w:rsidRDefault="00142E5B" w:rsidP="00BD6CF4">
            <w:pPr>
              <w:ind w:right="284"/>
              <w:jc w:val="right"/>
            </w:pPr>
            <w:r w:rsidRPr="00580C0D">
              <w:t>601</w:t>
            </w:r>
          </w:p>
        </w:tc>
        <w:tc>
          <w:tcPr>
            <w:tcW w:w="5528" w:type="dxa"/>
            <w:tcBorders>
              <w:top w:val="nil"/>
              <w:left w:val="nil"/>
              <w:bottom w:val="nil"/>
              <w:right w:val="nil"/>
            </w:tcBorders>
            <w:tcMar>
              <w:top w:w="100" w:type="dxa"/>
              <w:left w:w="43" w:type="dxa"/>
              <w:bottom w:w="43" w:type="dxa"/>
              <w:right w:w="43" w:type="dxa"/>
            </w:tcMar>
          </w:tcPr>
          <w:p w14:paraId="7575FA97" w14:textId="77777777" w:rsidR="00F7113A" w:rsidRPr="00580C0D" w:rsidRDefault="00142E5B" w:rsidP="00BD6CF4">
            <w:r w:rsidRPr="00580C0D">
              <w:t>Dagligvare – hvordan aktører uten stor kapitaltilgang kan få innpass</w:t>
            </w:r>
          </w:p>
        </w:tc>
        <w:tc>
          <w:tcPr>
            <w:tcW w:w="1361" w:type="dxa"/>
            <w:tcBorders>
              <w:top w:val="nil"/>
              <w:left w:val="nil"/>
              <w:bottom w:val="nil"/>
              <w:right w:val="nil"/>
            </w:tcBorders>
            <w:tcMar>
              <w:top w:w="100" w:type="dxa"/>
              <w:left w:w="43" w:type="dxa"/>
              <w:bottom w:w="43" w:type="dxa"/>
              <w:right w:w="43" w:type="dxa"/>
            </w:tcMar>
          </w:tcPr>
          <w:p w14:paraId="4A1B6EA4" w14:textId="77777777" w:rsidR="00F7113A" w:rsidRPr="00580C0D" w:rsidRDefault="00142E5B" w:rsidP="00BD6CF4">
            <w:pPr>
              <w:jc w:val="right"/>
            </w:pPr>
            <w:r w:rsidRPr="00580C0D">
              <w:t>Nei</w:t>
            </w:r>
          </w:p>
        </w:tc>
      </w:tr>
      <w:tr w:rsidR="00F7113A" w:rsidRPr="00580C0D" w14:paraId="2E08AADC"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05BFE746"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2E181D41" w14:textId="77777777" w:rsidR="00F7113A" w:rsidRPr="00580C0D" w:rsidRDefault="00142E5B" w:rsidP="00BD6CF4">
            <w:pPr>
              <w:ind w:right="284"/>
              <w:jc w:val="right"/>
            </w:pPr>
            <w:r w:rsidRPr="00580C0D">
              <w:t>602</w:t>
            </w:r>
          </w:p>
        </w:tc>
        <w:tc>
          <w:tcPr>
            <w:tcW w:w="5528" w:type="dxa"/>
            <w:tcBorders>
              <w:top w:val="nil"/>
              <w:left w:val="nil"/>
              <w:bottom w:val="nil"/>
              <w:right w:val="nil"/>
            </w:tcBorders>
            <w:tcMar>
              <w:top w:w="100" w:type="dxa"/>
              <w:left w:w="43" w:type="dxa"/>
              <w:bottom w:w="43" w:type="dxa"/>
              <w:right w:w="43" w:type="dxa"/>
            </w:tcMar>
          </w:tcPr>
          <w:p w14:paraId="6E27229F" w14:textId="77777777" w:rsidR="00F7113A" w:rsidRPr="00580C0D" w:rsidRDefault="00142E5B" w:rsidP="00BD6CF4">
            <w:r w:rsidRPr="00580C0D">
              <w:t>Dagligvare – rettferdig andel av verdiskapinga i verdikjeden for mat</w:t>
            </w:r>
          </w:p>
        </w:tc>
        <w:tc>
          <w:tcPr>
            <w:tcW w:w="1361" w:type="dxa"/>
            <w:tcBorders>
              <w:top w:val="nil"/>
              <w:left w:val="nil"/>
              <w:bottom w:val="nil"/>
              <w:right w:val="nil"/>
            </w:tcBorders>
            <w:tcMar>
              <w:top w:w="100" w:type="dxa"/>
              <w:left w:w="43" w:type="dxa"/>
              <w:bottom w:w="43" w:type="dxa"/>
              <w:right w:w="43" w:type="dxa"/>
            </w:tcMar>
          </w:tcPr>
          <w:p w14:paraId="6E68300F" w14:textId="77777777" w:rsidR="00F7113A" w:rsidRPr="00580C0D" w:rsidRDefault="00142E5B" w:rsidP="00BD6CF4">
            <w:pPr>
              <w:jc w:val="right"/>
            </w:pPr>
            <w:r w:rsidRPr="00580C0D">
              <w:t>Nei</w:t>
            </w:r>
          </w:p>
        </w:tc>
      </w:tr>
      <w:tr w:rsidR="00F7113A" w:rsidRPr="00580C0D" w14:paraId="13F753F8"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1D8F73B2"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235628DD" w14:textId="77777777" w:rsidR="00F7113A" w:rsidRPr="00580C0D" w:rsidRDefault="00142E5B" w:rsidP="00BD6CF4">
            <w:pPr>
              <w:ind w:right="284"/>
              <w:jc w:val="right"/>
            </w:pPr>
            <w:r w:rsidRPr="00580C0D">
              <w:t>606</w:t>
            </w:r>
          </w:p>
        </w:tc>
        <w:tc>
          <w:tcPr>
            <w:tcW w:w="5528" w:type="dxa"/>
            <w:tcBorders>
              <w:top w:val="nil"/>
              <w:left w:val="nil"/>
              <w:bottom w:val="nil"/>
              <w:right w:val="nil"/>
            </w:tcBorders>
            <w:tcMar>
              <w:top w:w="100" w:type="dxa"/>
              <w:left w:w="43" w:type="dxa"/>
              <w:bottom w:w="43" w:type="dxa"/>
              <w:right w:w="43" w:type="dxa"/>
            </w:tcMar>
          </w:tcPr>
          <w:p w14:paraId="3B6A7EC7" w14:textId="77777777" w:rsidR="00F7113A" w:rsidRPr="00580C0D" w:rsidRDefault="00142E5B" w:rsidP="00BD6CF4">
            <w:r w:rsidRPr="00580C0D">
              <w:t>Dagligvare – felles merkeordning for kjedenes egne merkevarer (EMV)</w:t>
            </w:r>
          </w:p>
        </w:tc>
        <w:tc>
          <w:tcPr>
            <w:tcW w:w="1361" w:type="dxa"/>
            <w:tcBorders>
              <w:top w:val="nil"/>
              <w:left w:val="nil"/>
              <w:bottom w:val="nil"/>
              <w:right w:val="nil"/>
            </w:tcBorders>
            <w:tcMar>
              <w:top w:w="100" w:type="dxa"/>
              <w:left w:w="43" w:type="dxa"/>
              <w:bottom w:w="43" w:type="dxa"/>
              <w:right w:w="43" w:type="dxa"/>
            </w:tcMar>
          </w:tcPr>
          <w:p w14:paraId="7F8E5F9F" w14:textId="77777777" w:rsidR="00F7113A" w:rsidRPr="00580C0D" w:rsidRDefault="00142E5B" w:rsidP="00BD6CF4">
            <w:pPr>
              <w:jc w:val="right"/>
            </w:pPr>
            <w:r w:rsidRPr="00580C0D">
              <w:t>Nei</w:t>
            </w:r>
          </w:p>
        </w:tc>
      </w:tr>
      <w:tr w:rsidR="00F7113A" w:rsidRPr="00580C0D" w14:paraId="06BD3ECA"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125D18A7"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1887840E" w14:textId="77777777" w:rsidR="00F7113A" w:rsidRPr="00580C0D" w:rsidRDefault="00142E5B" w:rsidP="00BD6CF4">
            <w:pPr>
              <w:ind w:right="284"/>
              <w:jc w:val="right"/>
            </w:pPr>
            <w:r w:rsidRPr="00580C0D">
              <w:t>607</w:t>
            </w:r>
          </w:p>
        </w:tc>
        <w:tc>
          <w:tcPr>
            <w:tcW w:w="5528" w:type="dxa"/>
            <w:tcBorders>
              <w:top w:val="nil"/>
              <w:left w:val="nil"/>
              <w:bottom w:val="nil"/>
              <w:right w:val="nil"/>
            </w:tcBorders>
            <w:tcMar>
              <w:top w:w="100" w:type="dxa"/>
              <w:left w:w="43" w:type="dxa"/>
              <w:bottom w:w="43" w:type="dxa"/>
              <w:right w:w="43" w:type="dxa"/>
            </w:tcMar>
          </w:tcPr>
          <w:p w14:paraId="21E1C835" w14:textId="77777777" w:rsidR="00F7113A" w:rsidRPr="00580C0D" w:rsidRDefault="00142E5B" w:rsidP="00BD6CF4">
            <w:r w:rsidRPr="00580C0D">
              <w:t xml:space="preserve">Dagligvare – utrede virkningene av egne merkevarer på konkurransen </w:t>
            </w:r>
          </w:p>
        </w:tc>
        <w:tc>
          <w:tcPr>
            <w:tcW w:w="1361" w:type="dxa"/>
            <w:tcBorders>
              <w:top w:val="nil"/>
              <w:left w:val="nil"/>
              <w:bottom w:val="nil"/>
              <w:right w:val="nil"/>
            </w:tcBorders>
            <w:tcMar>
              <w:top w:w="100" w:type="dxa"/>
              <w:left w:w="43" w:type="dxa"/>
              <w:bottom w:w="43" w:type="dxa"/>
              <w:right w:w="43" w:type="dxa"/>
            </w:tcMar>
          </w:tcPr>
          <w:p w14:paraId="6DCA58CA" w14:textId="77777777" w:rsidR="00F7113A" w:rsidRPr="00580C0D" w:rsidRDefault="00142E5B" w:rsidP="00BD6CF4">
            <w:pPr>
              <w:jc w:val="right"/>
            </w:pPr>
            <w:r w:rsidRPr="00580C0D">
              <w:t>Nei</w:t>
            </w:r>
          </w:p>
        </w:tc>
      </w:tr>
      <w:tr w:rsidR="00F7113A" w:rsidRPr="00580C0D" w14:paraId="12C126BF"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251E732C"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1C3523C5" w14:textId="77777777" w:rsidR="00F7113A" w:rsidRPr="00580C0D" w:rsidRDefault="00142E5B" w:rsidP="00BD6CF4">
            <w:pPr>
              <w:ind w:right="284"/>
              <w:jc w:val="right"/>
            </w:pPr>
            <w:r w:rsidRPr="00580C0D">
              <w:t>608</w:t>
            </w:r>
          </w:p>
        </w:tc>
        <w:tc>
          <w:tcPr>
            <w:tcW w:w="5528" w:type="dxa"/>
            <w:tcBorders>
              <w:top w:val="nil"/>
              <w:left w:val="nil"/>
              <w:bottom w:val="nil"/>
              <w:right w:val="nil"/>
            </w:tcBorders>
            <w:tcMar>
              <w:top w:w="100" w:type="dxa"/>
              <w:left w:w="43" w:type="dxa"/>
              <w:bottom w:w="43" w:type="dxa"/>
              <w:right w:w="43" w:type="dxa"/>
            </w:tcMar>
          </w:tcPr>
          <w:p w14:paraId="3DAA0CAA" w14:textId="77777777" w:rsidR="00F7113A" w:rsidRPr="00580C0D" w:rsidRDefault="00142E5B" w:rsidP="00BD6CF4">
            <w:r w:rsidRPr="00580C0D">
              <w:t xml:space="preserve">Dagligvare – vertikal integrasjon og egne merkevarer </w:t>
            </w:r>
            <w:r w:rsidRPr="00580C0D">
              <w:br/>
              <w:t>i dagligvarebransjen</w:t>
            </w:r>
          </w:p>
        </w:tc>
        <w:tc>
          <w:tcPr>
            <w:tcW w:w="1361" w:type="dxa"/>
            <w:tcBorders>
              <w:top w:val="nil"/>
              <w:left w:val="nil"/>
              <w:bottom w:val="nil"/>
              <w:right w:val="nil"/>
            </w:tcBorders>
            <w:tcMar>
              <w:top w:w="100" w:type="dxa"/>
              <w:left w:w="43" w:type="dxa"/>
              <w:bottom w:w="43" w:type="dxa"/>
              <w:right w:w="43" w:type="dxa"/>
            </w:tcMar>
          </w:tcPr>
          <w:p w14:paraId="3FB4B644" w14:textId="77777777" w:rsidR="00F7113A" w:rsidRPr="00580C0D" w:rsidRDefault="00142E5B" w:rsidP="00BD6CF4">
            <w:pPr>
              <w:jc w:val="right"/>
            </w:pPr>
            <w:r w:rsidRPr="00580C0D">
              <w:t>Nei</w:t>
            </w:r>
          </w:p>
        </w:tc>
      </w:tr>
      <w:tr w:rsidR="00F7113A" w:rsidRPr="00580C0D" w14:paraId="23D84BF0"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16F83146"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4A8713A2" w14:textId="77777777" w:rsidR="00F7113A" w:rsidRPr="00580C0D" w:rsidRDefault="00142E5B" w:rsidP="00BD6CF4">
            <w:pPr>
              <w:ind w:right="284"/>
              <w:jc w:val="right"/>
            </w:pPr>
            <w:r w:rsidRPr="00580C0D">
              <w:t>609</w:t>
            </w:r>
          </w:p>
        </w:tc>
        <w:tc>
          <w:tcPr>
            <w:tcW w:w="5528" w:type="dxa"/>
            <w:tcBorders>
              <w:top w:val="nil"/>
              <w:left w:val="nil"/>
              <w:bottom w:val="nil"/>
              <w:right w:val="nil"/>
            </w:tcBorders>
            <w:tcMar>
              <w:top w:w="100" w:type="dxa"/>
              <w:left w:w="43" w:type="dxa"/>
              <w:bottom w:w="43" w:type="dxa"/>
              <w:right w:w="43" w:type="dxa"/>
            </w:tcMar>
          </w:tcPr>
          <w:p w14:paraId="3B091973" w14:textId="77777777" w:rsidR="00F7113A" w:rsidRPr="00580C0D" w:rsidRDefault="00142E5B" w:rsidP="00BD6CF4">
            <w:r w:rsidRPr="00580C0D">
              <w:t>Dagligvare – hindre bruk av negative servitutter</w:t>
            </w:r>
          </w:p>
        </w:tc>
        <w:tc>
          <w:tcPr>
            <w:tcW w:w="1361" w:type="dxa"/>
            <w:tcBorders>
              <w:top w:val="nil"/>
              <w:left w:val="nil"/>
              <w:bottom w:val="nil"/>
              <w:right w:val="nil"/>
            </w:tcBorders>
            <w:tcMar>
              <w:top w:w="100" w:type="dxa"/>
              <w:left w:w="43" w:type="dxa"/>
              <w:bottom w:w="43" w:type="dxa"/>
              <w:right w:w="43" w:type="dxa"/>
            </w:tcMar>
          </w:tcPr>
          <w:p w14:paraId="67222452" w14:textId="77777777" w:rsidR="00F7113A" w:rsidRPr="00580C0D" w:rsidRDefault="00142E5B" w:rsidP="00BD6CF4">
            <w:pPr>
              <w:jc w:val="right"/>
            </w:pPr>
            <w:r w:rsidRPr="00580C0D">
              <w:t>Ja</w:t>
            </w:r>
          </w:p>
        </w:tc>
      </w:tr>
      <w:tr w:rsidR="00F7113A" w:rsidRPr="00580C0D" w14:paraId="2A136493"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3BE5EA1D"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7E532FA6" w14:textId="77777777" w:rsidR="00F7113A" w:rsidRPr="00580C0D" w:rsidRDefault="00142E5B" w:rsidP="00BD6CF4">
            <w:pPr>
              <w:ind w:right="284"/>
              <w:jc w:val="right"/>
            </w:pPr>
            <w:r w:rsidRPr="00580C0D">
              <w:t>610</w:t>
            </w:r>
          </w:p>
        </w:tc>
        <w:tc>
          <w:tcPr>
            <w:tcW w:w="5528" w:type="dxa"/>
            <w:tcBorders>
              <w:top w:val="nil"/>
              <w:left w:val="nil"/>
              <w:bottom w:val="nil"/>
              <w:right w:val="nil"/>
            </w:tcBorders>
            <w:tcMar>
              <w:top w:w="100" w:type="dxa"/>
              <w:left w:w="43" w:type="dxa"/>
              <w:bottom w:w="43" w:type="dxa"/>
              <w:right w:w="43" w:type="dxa"/>
            </w:tcMar>
          </w:tcPr>
          <w:p w14:paraId="585800B1" w14:textId="5629263A" w:rsidR="00F7113A" w:rsidRPr="00580C0D" w:rsidRDefault="00142E5B" w:rsidP="00BD6CF4">
            <w:r w:rsidRPr="00580C0D">
              <w:t xml:space="preserve">Dagligvare – konkurranse og mer åpenhet innenfor </w:t>
            </w:r>
            <w:r w:rsidR="00E13315">
              <w:br/>
            </w:r>
            <w:r w:rsidRPr="00580C0D">
              <w:t>grossist- og distribusjonsleddet</w:t>
            </w:r>
          </w:p>
        </w:tc>
        <w:tc>
          <w:tcPr>
            <w:tcW w:w="1361" w:type="dxa"/>
            <w:tcBorders>
              <w:top w:val="nil"/>
              <w:left w:val="nil"/>
              <w:bottom w:val="nil"/>
              <w:right w:val="nil"/>
            </w:tcBorders>
            <w:tcMar>
              <w:top w:w="100" w:type="dxa"/>
              <w:left w:w="43" w:type="dxa"/>
              <w:bottom w:w="43" w:type="dxa"/>
              <w:right w:w="43" w:type="dxa"/>
            </w:tcMar>
          </w:tcPr>
          <w:p w14:paraId="431F7D36" w14:textId="77777777" w:rsidR="00F7113A" w:rsidRPr="00580C0D" w:rsidRDefault="00142E5B" w:rsidP="00BD6CF4">
            <w:pPr>
              <w:jc w:val="right"/>
            </w:pPr>
            <w:r w:rsidRPr="00580C0D">
              <w:t>Nei</w:t>
            </w:r>
          </w:p>
        </w:tc>
      </w:tr>
      <w:tr w:rsidR="00F7113A" w:rsidRPr="00580C0D" w14:paraId="6627E7B0"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45061AB7"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163BCAFB" w14:textId="77777777" w:rsidR="00F7113A" w:rsidRPr="00580C0D" w:rsidRDefault="00142E5B" w:rsidP="00BD6CF4">
            <w:pPr>
              <w:ind w:right="284"/>
              <w:jc w:val="right"/>
            </w:pPr>
            <w:r w:rsidRPr="00580C0D">
              <w:t>611</w:t>
            </w:r>
          </w:p>
        </w:tc>
        <w:tc>
          <w:tcPr>
            <w:tcW w:w="5528" w:type="dxa"/>
            <w:tcBorders>
              <w:top w:val="nil"/>
              <w:left w:val="nil"/>
              <w:bottom w:val="nil"/>
              <w:right w:val="nil"/>
            </w:tcBorders>
            <w:tcMar>
              <w:top w:w="100" w:type="dxa"/>
              <w:left w:w="43" w:type="dxa"/>
              <w:bottom w:w="43" w:type="dxa"/>
              <w:right w:w="43" w:type="dxa"/>
            </w:tcMar>
          </w:tcPr>
          <w:p w14:paraId="0EE6B343" w14:textId="77777777" w:rsidR="00F7113A" w:rsidRPr="00580C0D" w:rsidRDefault="00142E5B" w:rsidP="00BD6CF4">
            <w:r w:rsidRPr="00580C0D">
              <w:t>Dagligvare – definisjon av kjedenes egne merkevarer (EMV)</w:t>
            </w:r>
          </w:p>
        </w:tc>
        <w:tc>
          <w:tcPr>
            <w:tcW w:w="1361" w:type="dxa"/>
            <w:tcBorders>
              <w:top w:val="nil"/>
              <w:left w:val="nil"/>
              <w:bottom w:val="nil"/>
              <w:right w:val="nil"/>
            </w:tcBorders>
            <w:tcMar>
              <w:top w:w="100" w:type="dxa"/>
              <w:left w:w="43" w:type="dxa"/>
              <w:bottom w:w="43" w:type="dxa"/>
              <w:right w:w="43" w:type="dxa"/>
            </w:tcMar>
          </w:tcPr>
          <w:p w14:paraId="4377CE08" w14:textId="77777777" w:rsidR="00F7113A" w:rsidRPr="00580C0D" w:rsidRDefault="00142E5B" w:rsidP="00BD6CF4">
            <w:pPr>
              <w:jc w:val="right"/>
            </w:pPr>
            <w:r w:rsidRPr="00580C0D">
              <w:t>Ja</w:t>
            </w:r>
          </w:p>
        </w:tc>
      </w:tr>
      <w:tr w:rsidR="00F7113A" w:rsidRPr="00580C0D" w14:paraId="01FC63A8"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23F04286"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5334E49F" w14:textId="77777777" w:rsidR="00F7113A" w:rsidRPr="00580C0D" w:rsidRDefault="00142E5B" w:rsidP="00BD6CF4">
            <w:pPr>
              <w:ind w:right="284"/>
              <w:jc w:val="right"/>
            </w:pPr>
            <w:r w:rsidRPr="00580C0D">
              <w:t>612</w:t>
            </w:r>
          </w:p>
        </w:tc>
        <w:tc>
          <w:tcPr>
            <w:tcW w:w="5528" w:type="dxa"/>
            <w:tcBorders>
              <w:top w:val="nil"/>
              <w:left w:val="nil"/>
              <w:bottom w:val="nil"/>
              <w:right w:val="nil"/>
            </w:tcBorders>
            <w:tcMar>
              <w:top w:w="100" w:type="dxa"/>
              <w:left w:w="43" w:type="dxa"/>
              <w:bottom w:w="43" w:type="dxa"/>
              <w:right w:w="43" w:type="dxa"/>
            </w:tcMar>
          </w:tcPr>
          <w:p w14:paraId="2F338EB7" w14:textId="03AC74B6" w:rsidR="00F7113A" w:rsidRPr="00580C0D" w:rsidRDefault="00142E5B" w:rsidP="00BD6CF4">
            <w:r w:rsidRPr="00580C0D">
              <w:t>Dagligvare – midlertidig forskrift om usaklig pris</w:t>
            </w:r>
            <w:r w:rsidR="00E13315">
              <w:softHyphen/>
            </w:r>
            <w:r w:rsidRPr="00580C0D">
              <w:t>diskriminering</w:t>
            </w:r>
          </w:p>
        </w:tc>
        <w:tc>
          <w:tcPr>
            <w:tcW w:w="1361" w:type="dxa"/>
            <w:tcBorders>
              <w:top w:val="nil"/>
              <w:left w:val="nil"/>
              <w:bottom w:val="nil"/>
              <w:right w:val="nil"/>
            </w:tcBorders>
            <w:tcMar>
              <w:top w:w="100" w:type="dxa"/>
              <w:left w:w="43" w:type="dxa"/>
              <w:bottom w:w="43" w:type="dxa"/>
              <w:right w:w="43" w:type="dxa"/>
            </w:tcMar>
          </w:tcPr>
          <w:p w14:paraId="67F6CBFC" w14:textId="77777777" w:rsidR="00F7113A" w:rsidRPr="00580C0D" w:rsidRDefault="00142E5B" w:rsidP="00BD6CF4">
            <w:pPr>
              <w:jc w:val="right"/>
            </w:pPr>
            <w:r w:rsidRPr="00580C0D">
              <w:t>Ja</w:t>
            </w:r>
          </w:p>
        </w:tc>
      </w:tr>
      <w:tr w:rsidR="00F7113A" w:rsidRPr="00580C0D" w14:paraId="23508704"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4A87E717"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5AB94D00" w14:textId="77777777" w:rsidR="00F7113A" w:rsidRPr="00580C0D" w:rsidRDefault="00142E5B" w:rsidP="00BD6CF4">
            <w:pPr>
              <w:ind w:right="284"/>
              <w:jc w:val="right"/>
            </w:pPr>
            <w:r w:rsidRPr="00580C0D">
              <w:t>719</w:t>
            </w:r>
          </w:p>
        </w:tc>
        <w:tc>
          <w:tcPr>
            <w:tcW w:w="5528" w:type="dxa"/>
            <w:tcBorders>
              <w:top w:val="nil"/>
              <w:left w:val="nil"/>
              <w:bottom w:val="nil"/>
              <w:right w:val="nil"/>
            </w:tcBorders>
            <w:tcMar>
              <w:top w:w="100" w:type="dxa"/>
              <w:left w:w="43" w:type="dxa"/>
              <w:bottom w:w="43" w:type="dxa"/>
              <w:right w:w="43" w:type="dxa"/>
            </w:tcMar>
          </w:tcPr>
          <w:p w14:paraId="11CBDC35" w14:textId="77777777" w:rsidR="00F7113A" w:rsidRPr="00580C0D" w:rsidRDefault="00142E5B" w:rsidP="00BD6CF4">
            <w:r w:rsidRPr="00580C0D">
              <w:t>Tilrettelegging for testsentre for flytende havvind</w:t>
            </w:r>
          </w:p>
        </w:tc>
        <w:tc>
          <w:tcPr>
            <w:tcW w:w="1361" w:type="dxa"/>
            <w:tcBorders>
              <w:top w:val="nil"/>
              <w:left w:val="nil"/>
              <w:bottom w:val="nil"/>
              <w:right w:val="nil"/>
            </w:tcBorders>
            <w:tcMar>
              <w:top w:w="100" w:type="dxa"/>
              <w:left w:w="43" w:type="dxa"/>
              <w:bottom w:w="43" w:type="dxa"/>
              <w:right w:w="43" w:type="dxa"/>
            </w:tcMar>
          </w:tcPr>
          <w:p w14:paraId="54CBA39C" w14:textId="77777777" w:rsidR="00F7113A" w:rsidRPr="00580C0D" w:rsidRDefault="00142E5B" w:rsidP="00BD6CF4">
            <w:pPr>
              <w:jc w:val="right"/>
            </w:pPr>
            <w:r w:rsidRPr="00580C0D">
              <w:t>Ja</w:t>
            </w:r>
          </w:p>
        </w:tc>
      </w:tr>
      <w:tr w:rsidR="00F7113A" w:rsidRPr="00580C0D" w14:paraId="36E0416E"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63587B25"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54791A59" w14:textId="77777777" w:rsidR="00F7113A" w:rsidRPr="00580C0D" w:rsidRDefault="00142E5B" w:rsidP="00BD6CF4">
            <w:pPr>
              <w:ind w:right="284"/>
              <w:jc w:val="right"/>
            </w:pPr>
            <w:r w:rsidRPr="00580C0D">
              <w:t>725</w:t>
            </w:r>
          </w:p>
        </w:tc>
        <w:tc>
          <w:tcPr>
            <w:tcW w:w="5528" w:type="dxa"/>
            <w:tcBorders>
              <w:top w:val="nil"/>
              <w:left w:val="nil"/>
              <w:bottom w:val="nil"/>
              <w:right w:val="nil"/>
            </w:tcBorders>
            <w:tcMar>
              <w:top w:w="100" w:type="dxa"/>
              <w:left w:w="43" w:type="dxa"/>
              <w:bottom w:w="43" w:type="dxa"/>
              <w:right w:w="43" w:type="dxa"/>
            </w:tcMar>
          </w:tcPr>
          <w:p w14:paraId="44F4B55A" w14:textId="77777777" w:rsidR="00F7113A" w:rsidRPr="00580C0D" w:rsidRDefault="00142E5B" w:rsidP="00BD6CF4">
            <w:r w:rsidRPr="00580C0D">
              <w:t>Offentlige innkjøp – krav til bærekraftig produksjon av batterier ved offentlige innkjøp</w:t>
            </w:r>
          </w:p>
        </w:tc>
        <w:tc>
          <w:tcPr>
            <w:tcW w:w="1361" w:type="dxa"/>
            <w:tcBorders>
              <w:top w:val="nil"/>
              <w:left w:val="nil"/>
              <w:bottom w:val="nil"/>
              <w:right w:val="nil"/>
            </w:tcBorders>
            <w:tcMar>
              <w:top w:w="100" w:type="dxa"/>
              <w:left w:w="43" w:type="dxa"/>
              <w:bottom w:w="43" w:type="dxa"/>
              <w:right w:w="43" w:type="dxa"/>
            </w:tcMar>
          </w:tcPr>
          <w:p w14:paraId="7ADE228C" w14:textId="77777777" w:rsidR="00F7113A" w:rsidRPr="00580C0D" w:rsidRDefault="00142E5B" w:rsidP="00BD6CF4">
            <w:pPr>
              <w:jc w:val="right"/>
            </w:pPr>
            <w:r w:rsidRPr="00580C0D">
              <w:t>Ja</w:t>
            </w:r>
          </w:p>
        </w:tc>
      </w:tr>
      <w:tr w:rsidR="00F7113A" w:rsidRPr="00580C0D" w14:paraId="385DB292"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543AFA71"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75A6A6F3" w14:textId="77777777" w:rsidR="00F7113A" w:rsidRPr="00580C0D" w:rsidRDefault="00142E5B" w:rsidP="00BD6CF4">
            <w:pPr>
              <w:ind w:right="284"/>
              <w:jc w:val="right"/>
            </w:pPr>
            <w:r w:rsidRPr="00580C0D">
              <w:t>732</w:t>
            </w:r>
          </w:p>
        </w:tc>
        <w:tc>
          <w:tcPr>
            <w:tcW w:w="5528" w:type="dxa"/>
            <w:tcBorders>
              <w:top w:val="nil"/>
              <w:left w:val="nil"/>
              <w:bottom w:val="nil"/>
              <w:right w:val="nil"/>
            </w:tcBorders>
            <w:tcMar>
              <w:top w:w="100" w:type="dxa"/>
              <w:left w:w="43" w:type="dxa"/>
              <w:bottom w:w="43" w:type="dxa"/>
              <w:right w:w="43" w:type="dxa"/>
            </w:tcMar>
          </w:tcPr>
          <w:p w14:paraId="155FB9AE" w14:textId="77777777" w:rsidR="00F7113A" w:rsidRPr="00580C0D" w:rsidRDefault="00142E5B" w:rsidP="00BD6CF4">
            <w:r w:rsidRPr="00580C0D">
              <w:t>Batteritoll – handels- og samarbeidsavtalen mellom EU og Storbritannia</w:t>
            </w:r>
          </w:p>
        </w:tc>
        <w:tc>
          <w:tcPr>
            <w:tcW w:w="1361" w:type="dxa"/>
            <w:tcBorders>
              <w:top w:val="nil"/>
              <w:left w:val="nil"/>
              <w:bottom w:val="nil"/>
              <w:right w:val="nil"/>
            </w:tcBorders>
            <w:tcMar>
              <w:top w:w="100" w:type="dxa"/>
              <w:left w:w="43" w:type="dxa"/>
              <w:bottom w:w="43" w:type="dxa"/>
              <w:right w:w="43" w:type="dxa"/>
            </w:tcMar>
          </w:tcPr>
          <w:p w14:paraId="1463165D" w14:textId="77777777" w:rsidR="00F7113A" w:rsidRPr="00580C0D" w:rsidRDefault="00142E5B" w:rsidP="00BD6CF4">
            <w:pPr>
              <w:jc w:val="right"/>
            </w:pPr>
            <w:r w:rsidRPr="00580C0D">
              <w:t>Ja</w:t>
            </w:r>
          </w:p>
        </w:tc>
      </w:tr>
      <w:tr w:rsidR="00F7113A" w:rsidRPr="00580C0D" w14:paraId="4147D36C"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7D985B22"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58ED2E39" w14:textId="77777777" w:rsidR="00F7113A" w:rsidRPr="00580C0D" w:rsidRDefault="00142E5B" w:rsidP="00BD6CF4">
            <w:pPr>
              <w:ind w:right="284"/>
              <w:jc w:val="right"/>
            </w:pPr>
            <w:r w:rsidRPr="00580C0D">
              <w:t>733</w:t>
            </w:r>
          </w:p>
        </w:tc>
        <w:tc>
          <w:tcPr>
            <w:tcW w:w="5528" w:type="dxa"/>
            <w:tcBorders>
              <w:top w:val="nil"/>
              <w:left w:val="nil"/>
              <w:bottom w:val="nil"/>
              <w:right w:val="nil"/>
            </w:tcBorders>
            <w:tcMar>
              <w:top w:w="100" w:type="dxa"/>
              <w:left w:w="43" w:type="dxa"/>
              <w:bottom w:w="43" w:type="dxa"/>
              <w:right w:w="43" w:type="dxa"/>
            </w:tcMar>
          </w:tcPr>
          <w:p w14:paraId="1E1318C0" w14:textId="77777777" w:rsidR="00F7113A" w:rsidRPr="00580C0D" w:rsidRDefault="00142E5B" w:rsidP="00BD6CF4">
            <w:r w:rsidRPr="00580C0D">
              <w:t>Produksjon og resirkulering av batterier</w:t>
            </w:r>
          </w:p>
        </w:tc>
        <w:tc>
          <w:tcPr>
            <w:tcW w:w="1361" w:type="dxa"/>
            <w:tcBorders>
              <w:top w:val="nil"/>
              <w:left w:val="nil"/>
              <w:bottom w:val="nil"/>
              <w:right w:val="nil"/>
            </w:tcBorders>
            <w:tcMar>
              <w:top w:w="100" w:type="dxa"/>
              <w:left w:w="43" w:type="dxa"/>
              <w:bottom w:w="43" w:type="dxa"/>
              <w:right w:w="43" w:type="dxa"/>
            </w:tcMar>
          </w:tcPr>
          <w:p w14:paraId="5DA941A2" w14:textId="77777777" w:rsidR="00F7113A" w:rsidRPr="00580C0D" w:rsidRDefault="00142E5B" w:rsidP="00BD6CF4">
            <w:pPr>
              <w:jc w:val="right"/>
            </w:pPr>
            <w:r w:rsidRPr="00580C0D">
              <w:t>Ja</w:t>
            </w:r>
          </w:p>
        </w:tc>
      </w:tr>
      <w:tr w:rsidR="00F7113A" w:rsidRPr="00580C0D" w14:paraId="4D83A27F"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7B869B77"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76071E23" w14:textId="77777777" w:rsidR="00F7113A" w:rsidRPr="00580C0D" w:rsidRDefault="00142E5B" w:rsidP="00BD6CF4">
            <w:pPr>
              <w:ind w:right="284"/>
              <w:jc w:val="right"/>
            </w:pPr>
            <w:r w:rsidRPr="00580C0D">
              <w:t>734</w:t>
            </w:r>
          </w:p>
        </w:tc>
        <w:tc>
          <w:tcPr>
            <w:tcW w:w="5528" w:type="dxa"/>
            <w:tcBorders>
              <w:top w:val="nil"/>
              <w:left w:val="nil"/>
              <w:bottom w:val="nil"/>
              <w:right w:val="nil"/>
            </w:tcBorders>
            <w:tcMar>
              <w:top w:w="100" w:type="dxa"/>
              <w:left w:w="43" w:type="dxa"/>
              <w:bottom w:w="43" w:type="dxa"/>
              <w:right w:w="43" w:type="dxa"/>
            </w:tcMar>
          </w:tcPr>
          <w:p w14:paraId="0A1C12F0" w14:textId="77777777" w:rsidR="00F7113A" w:rsidRPr="00580C0D" w:rsidRDefault="00142E5B" w:rsidP="00BD6CF4">
            <w:r w:rsidRPr="00580C0D">
              <w:t>Satsing på utvikling og produksjon av batterier og andre nye grønne næringer</w:t>
            </w:r>
          </w:p>
        </w:tc>
        <w:tc>
          <w:tcPr>
            <w:tcW w:w="1361" w:type="dxa"/>
            <w:tcBorders>
              <w:top w:val="nil"/>
              <w:left w:val="nil"/>
              <w:bottom w:val="nil"/>
              <w:right w:val="nil"/>
            </w:tcBorders>
            <w:tcMar>
              <w:top w:w="100" w:type="dxa"/>
              <w:left w:w="43" w:type="dxa"/>
              <w:bottom w:w="43" w:type="dxa"/>
              <w:right w:w="43" w:type="dxa"/>
            </w:tcMar>
          </w:tcPr>
          <w:p w14:paraId="720F3C27" w14:textId="77777777" w:rsidR="00F7113A" w:rsidRPr="00580C0D" w:rsidRDefault="00142E5B" w:rsidP="00BD6CF4">
            <w:pPr>
              <w:jc w:val="right"/>
            </w:pPr>
            <w:r w:rsidRPr="00580C0D">
              <w:t>Ja</w:t>
            </w:r>
          </w:p>
        </w:tc>
      </w:tr>
      <w:tr w:rsidR="00F7113A" w:rsidRPr="00580C0D" w14:paraId="1FC80B08"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4DFDC591"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1B9126F1" w14:textId="77777777" w:rsidR="00F7113A" w:rsidRPr="00580C0D" w:rsidRDefault="00142E5B" w:rsidP="00BD6CF4">
            <w:pPr>
              <w:ind w:right="284"/>
              <w:jc w:val="right"/>
            </w:pPr>
            <w:r w:rsidRPr="00580C0D">
              <w:t>735</w:t>
            </w:r>
          </w:p>
        </w:tc>
        <w:tc>
          <w:tcPr>
            <w:tcW w:w="5528" w:type="dxa"/>
            <w:tcBorders>
              <w:top w:val="nil"/>
              <w:left w:val="nil"/>
              <w:bottom w:val="nil"/>
              <w:right w:val="nil"/>
            </w:tcBorders>
            <w:tcMar>
              <w:top w:w="100" w:type="dxa"/>
              <w:left w:w="43" w:type="dxa"/>
              <w:bottom w:w="43" w:type="dxa"/>
              <w:right w:w="43" w:type="dxa"/>
            </w:tcMar>
          </w:tcPr>
          <w:p w14:paraId="2A8FA82B" w14:textId="77777777" w:rsidR="00F7113A" w:rsidRPr="00580C0D" w:rsidRDefault="00142E5B" w:rsidP="00BD6CF4">
            <w:r w:rsidRPr="00580C0D">
              <w:t xml:space="preserve">Batterispesifikke utdanningsløp, herunder etablere flere </w:t>
            </w:r>
            <w:proofErr w:type="spellStart"/>
            <w:r w:rsidRPr="00580C0D">
              <w:t>treparts</w:t>
            </w:r>
            <w:proofErr w:type="spellEnd"/>
            <w:r w:rsidRPr="00580C0D">
              <w:t xml:space="preserve"> bransjeprogram</w:t>
            </w:r>
          </w:p>
        </w:tc>
        <w:tc>
          <w:tcPr>
            <w:tcW w:w="1361" w:type="dxa"/>
            <w:tcBorders>
              <w:top w:val="nil"/>
              <w:left w:val="nil"/>
              <w:bottom w:val="nil"/>
              <w:right w:val="nil"/>
            </w:tcBorders>
            <w:tcMar>
              <w:top w:w="100" w:type="dxa"/>
              <w:left w:w="43" w:type="dxa"/>
              <w:bottom w:w="43" w:type="dxa"/>
              <w:right w:w="43" w:type="dxa"/>
            </w:tcMar>
          </w:tcPr>
          <w:p w14:paraId="6433516F" w14:textId="77777777" w:rsidR="00F7113A" w:rsidRPr="00580C0D" w:rsidRDefault="00142E5B" w:rsidP="00BD6CF4">
            <w:pPr>
              <w:jc w:val="right"/>
            </w:pPr>
            <w:r w:rsidRPr="00580C0D">
              <w:t>Ja</w:t>
            </w:r>
          </w:p>
        </w:tc>
      </w:tr>
      <w:tr w:rsidR="00F7113A" w:rsidRPr="00580C0D" w14:paraId="11C3CA9A"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585C0779"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5D97976E" w14:textId="77777777" w:rsidR="00F7113A" w:rsidRPr="00580C0D" w:rsidRDefault="00142E5B" w:rsidP="00BD6CF4">
            <w:pPr>
              <w:ind w:right="284"/>
              <w:jc w:val="right"/>
            </w:pPr>
            <w:r w:rsidRPr="00580C0D">
              <w:t>754</w:t>
            </w:r>
          </w:p>
        </w:tc>
        <w:tc>
          <w:tcPr>
            <w:tcW w:w="5528" w:type="dxa"/>
            <w:tcBorders>
              <w:top w:val="nil"/>
              <w:left w:val="nil"/>
              <w:bottom w:val="nil"/>
              <w:right w:val="nil"/>
            </w:tcBorders>
            <w:tcMar>
              <w:top w:w="100" w:type="dxa"/>
              <w:left w:w="43" w:type="dxa"/>
              <w:bottom w:w="43" w:type="dxa"/>
              <w:right w:w="43" w:type="dxa"/>
            </w:tcMar>
          </w:tcPr>
          <w:p w14:paraId="1B993513" w14:textId="77777777" w:rsidR="00F7113A" w:rsidRPr="00580C0D" w:rsidRDefault="00142E5B" w:rsidP="00BD6CF4">
            <w:r w:rsidRPr="00580C0D">
              <w:t>Bransjeavtaler – råstoff til biogassproduksjon</w:t>
            </w:r>
          </w:p>
        </w:tc>
        <w:tc>
          <w:tcPr>
            <w:tcW w:w="1361" w:type="dxa"/>
            <w:tcBorders>
              <w:top w:val="nil"/>
              <w:left w:val="nil"/>
              <w:bottom w:val="nil"/>
              <w:right w:val="nil"/>
            </w:tcBorders>
            <w:tcMar>
              <w:top w:w="100" w:type="dxa"/>
              <w:left w:w="43" w:type="dxa"/>
              <w:bottom w:w="43" w:type="dxa"/>
              <w:right w:w="43" w:type="dxa"/>
            </w:tcMar>
          </w:tcPr>
          <w:p w14:paraId="5F95D2C5" w14:textId="77777777" w:rsidR="00F7113A" w:rsidRPr="00580C0D" w:rsidRDefault="00142E5B" w:rsidP="00BD6CF4">
            <w:pPr>
              <w:jc w:val="right"/>
            </w:pPr>
            <w:r w:rsidRPr="00580C0D">
              <w:t>Nei</w:t>
            </w:r>
          </w:p>
        </w:tc>
      </w:tr>
      <w:tr w:rsidR="00F7113A" w:rsidRPr="00580C0D" w14:paraId="5590D1B5"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1F40332A"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7CF79517" w14:textId="77777777" w:rsidR="00F7113A" w:rsidRPr="00580C0D" w:rsidRDefault="00142E5B" w:rsidP="00BD6CF4">
            <w:pPr>
              <w:ind w:right="284"/>
              <w:jc w:val="right"/>
            </w:pPr>
            <w:r w:rsidRPr="00580C0D">
              <w:t>755</w:t>
            </w:r>
          </w:p>
        </w:tc>
        <w:tc>
          <w:tcPr>
            <w:tcW w:w="5528" w:type="dxa"/>
            <w:tcBorders>
              <w:top w:val="nil"/>
              <w:left w:val="nil"/>
              <w:bottom w:val="nil"/>
              <w:right w:val="nil"/>
            </w:tcBorders>
            <w:tcMar>
              <w:top w:w="100" w:type="dxa"/>
              <w:left w:w="43" w:type="dxa"/>
              <w:bottom w:w="43" w:type="dxa"/>
              <w:right w:w="43" w:type="dxa"/>
            </w:tcMar>
          </w:tcPr>
          <w:p w14:paraId="411F9475" w14:textId="77777777" w:rsidR="00F7113A" w:rsidRPr="00580C0D" w:rsidRDefault="00142E5B" w:rsidP="00BD6CF4">
            <w:r w:rsidRPr="00580C0D">
              <w:t xml:space="preserve">Sirkulær økonomi i virkemiddelapparatet </w:t>
            </w:r>
          </w:p>
        </w:tc>
        <w:tc>
          <w:tcPr>
            <w:tcW w:w="1361" w:type="dxa"/>
            <w:tcBorders>
              <w:top w:val="nil"/>
              <w:left w:val="nil"/>
              <w:bottom w:val="nil"/>
              <w:right w:val="nil"/>
            </w:tcBorders>
            <w:tcMar>
              <w:top w:w="100" w:type="dxa"/>
              <w:left w:w="43" w:type="dxa"/>
              <w:bottom w:w="43" w:type="dxa"/>
              <w:right w:w="43" w:type="dxa"/>
            </w:tcMar>
          </w:tcPr>
          <w:p w14:paraId="738F2524" w14:textId="77777777" w:rsidR="00F7113A" w:rsidRPr="00580C0D" w:rsidRDefault="00142E5B" w:rsidP="00BD6CF4">
            <w:pPr>
              <w:jc w:val="right"/>
            </w:pPr>
            <w:r w:rsidRPr="00580C0D">
              <w:t>Ja</w:t>
            </w:r>
          </w:p>
        </w:tc>
      </w:tr>
      <w:tr w:rsidR="00F7113A" w:rsidRPr="00580C0D" w14:paraId="2BA5D2FA"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2FCA01DE" w14:textId="77777777" w:rsidR="00F7113A" w:rsidRPr="00580C0D" w:rsidRDefault="00142E5B" w:rsidP="00BD6CF4">
            <w:r w:rsidRPr="00580C0D">
              <w:t>2021–2022</w:t>
            </w:r>
          </w:p>
        </w:tc>
        <w:tc>
          <w:tcPr>
            <w:tcW w:w="1351" w:type="dxa"/>
            <w:tcBorders>
              <w:top w:val="nil"/>
              <w:left w:val="nil"/>
              <w:bottom w:val="nil"/>
              <w:right w:val="nil"/>
            </w:tcBorders>
            <w:tcMar>
              <w:top w:w="100" w:type="dxa"/>
              <w:left w:w="43" w:type="dxa"/>
              <w:bottom w:w="43" w:type="dxa"/>
              <w:right w:w="43" w:type="dxa"/>
            </w:tcMar>
          </w:tcPr>
          <w:p w14:paraId="73B677D0" w14:textId="77777777" w:rsidR="00F7113A" w:rsidRPr="00580C0D" w:rsidRDefault="00142E5B" w:rsidP="00BD6CF4">
            <w:pPr>
              <w:ind w:right="284"/>
              <w:jc w:val="right"/>
            </w:pPr>
            <w:r w:rsidRPr="00580C0D">
              <w:t>841</w:t>
            </w:r>
          </w:p>
        </w:tc>
        <w:tc>
          <w:tcPr>
            <w:tcW w:w="5528" w:type="dxa"/>
            <w:tcBorders>
              <w:top w:val="nil"/>
              <w:left w:val="nil"/>
              <w:bottom w:val="nil"/>
              <w:right w:val="nil"/>
            </w:tcBorders>
            <w:tcMar>
              <w:top w:w="100" w:type="dxa"/>
              <w:left w:w="43" w:type="dxa"/>
              <w:bottom w:w="43" w:type="dxa"/>
              <w:right w:w="43" w:type="dxa"/>
            </w:tcMar>
          </w:tcPr>
          <w:p w14:paraId="3A1F626B" w14:textId="77777777" w:rsidR="00F7113A" w:rsidRPr="00580C0D" w:rsidRDefault="00142E5B" w:rsidP="00BD6CF4">
            <w:r w:rsidRPr="00580C0D">
              <w:t>Kystfiske – rapportering av posisjon og fangstmeldinger over mobilnettet</w:t>
            </w:r>
          </w:p>
        </w:tc>
        <w:tc>
          <w:tcPr>
            <w:tcW w:w="1361" w:type="dxa"/>
            <w:tcBorders>
              <w:top w:val="nil"/>
              <w:left w:val="nil"/>
              <w:bottom w:val="nil"/>
              <w:right w:val="nil"/>
            </w:tcBorders>
            <w:tcMar>
              <w:top w:w="100" w:type="dxa"/>
              <w:left w:w="43" w:type="dxa"/>
              <w:bottom w:w="43" w:type="dxa"/>
              <w:right w:w="43" w:type="dxa"/>
            </w:tcMar>
          </w:tcPr>
          <w:p w14:paraId="610F8673" w14:textId="77777777" w:rsidR="00F7113A" w:rsidRPr="00580C0D" w:rsidRDefault="00142E5B" w:rsidP="00BD6CF4">
            <w:pPr>
              <w:jc w:val="right"/>
            </w:pPr>
            <w:r w:rsidRPr="00580C0D">
              <w:t>Ja</w:t>
            </w:r>
          </w:p>
        </w:tc>
      </w:tr>
      <w:tr w:rsidR="00F7113A" w:rsidRPr="00580C0D" w14:paraId="0EC1AA1A"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139B9B90"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53AB9583" w14:textId="77777777" w:rsidR="00F7113A" w:rsidRPr="00580C0D" w:rsidRDefault="00142E5B" w:rsidP="00BD6CF4">
            <w:pPr>
              <w:ind w:right="284"/>
              <w:jc w:val="right"/>
            </w:pPr>
            <w:r w:rsidRPr="00580C0D">
              <w:t>71</w:t>
            </w:r>
          </w:p>
        </w:tc>
        <w:tc>
          <w:tcPr>
            <w:tcW w:w="5528" w:type="dxa"/>
            <w:tcBorders>
              <w:top w:val="nil"/>
              <w:left w:val="nil"/>
              <w:bottom w:val="nil"/>
              <w:right w:val="nil"/>
            </w:tcBorders>
            <w:tcMar>
              <w:top w:w="100" w:type="dxa"/>
              <w:left w:w="43" w:type="dxa"/>
              <w:bottom w:w="43" w:type="dxa"/>
              <w:right w:w="43" w:type="dxa"/>
            </w:tcMar>
          </w:tcPr>
          <w:p w14:paraId="7893B740" w14:textId="0A062457" w:rsidR="00F7113A" w:rsidRPr="00580C0D" w:rsidRDefault="00142E5B" w:rsidP="00BD6CF4">
            <w:r w:rsidRPr="00580C0D">
              <w:t>Sikre egenproduksjon – ordning med utleie av akva</w:t>
            </w:r>
            <w:r w:rsidR="00E13315">
              <w:softHyphen/>
            </w:r>
            <w:r w:rsidRPr="00580C0D">
              <w:t>kulturtillatelser</w:t>
            </w:r>
          </w:p>
        </w:tc>
        <w:tc>
          <w:tcPr>
            <w:tcW w:w="1361" w:type="dxa"/>
            <w:tcBorders>
              <w:top w:val="nil"/>
              <w:left w:val="nil"/>
              <w:bottom w:val="nil"/>
              <w:right w:val="nil"/>
            </w:tcBorders>
            <w:tcMar>
              <w:top w:w="100" w:type="dxa"/>
              <w:left w:w="43" w:type="dxa"/>
              <w:bottom w:w="43" w:type="dxa"/>
              <w:right w:w="43" w:type="dxa"/>
            </w:tcMar>
          </w:tcPr>
          <w:p w14:paraId="55EA0B55" w14:textId="77777777" w:rsidR="00F7113A" w:rsidRPr="00580C0D" w:rsidRDefault="00142E5B" w:rsidP="00BD6CF4">
            <w:pPr>
              <w:jc w:val="right"/>
            </w:pPr>
            <w:r w:rsidRPr="00580C0D">
              <w:t>Nei</w:t>
            </w:r>
          </w:p>
        </w:tc>
      </w:tr>
      <w:tr w:rsidR="00F7113A" w:rsidRPr="00580C0D" w14:paraId="183DC6E7"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36A76257"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4E74749A" w14:textId="77777777" w:rsidR="00F7113A" w:rsidRPr="00580C0D" w:rsidRDefault="00142E5B" w:rsidP="00BD6CF4">
            <w:pPr>
              <w:ind w:right="284"/>
              <w:jc w:val="right"/>
            </w:pPr>
            <w:r w:rsidRPr="00580C0D">
              <w:t>98</w:t>
            </w:r>
          </w:p>
        </w:tc>
        <w:tc>
          <w:tcPr>
            <w:tcW w:w="5528" w:type="dxa"/>
            <w:tcBorders>
              <w:top w:val="nil"/>
              <w:left w:val="nil"/>
              <w:bottom w:val="nil"/>
              <w:right w:val="nil"/>
            </w:tcBorders>
            <w:tcMar>
              <w:top w:w="100" w:type="dxa"/>
              <w:left w:w="43" w:type="dxa"/>
              <w:bottom w:w="43" w:type="dxa"/>
              <w:right w:w="43" w:type="dxa"/>
            </w:tcMar>
          </w:tcPr>
          <w:p w14:paraId="64AA1F58" w14:textId="77777777" w:rsidR="00F7113A" w:rsidRPr="00580C0D" w:rsidRDefault="00142E5B" w:rsidP="00BD6CF4">
            <w:r w:rsidRPr="00580C0D">
              <w:t>Oppfølging av kvotesystemet i kyst- og havfiske</w:t>
            </w:r>
          </w:p>
        </w:tc>
        <w:tc>
          <w:tcPr>
            <w:tcW w:w="1361" w:type="dxa"/>
            <w:tcBorders>
              <w:top w:val="nil"/>
              <w:left w:val="nil"/>
              <w:bottom w:val="nil"/>
              <w:right w:val="nil"/>
            </w:tcBorders>
            <w:tcMar>
              <w:top w:w="100" w:type="dxa"/>
              <w:left w:w="43" w:type="dxa"/>
              <w:bottom w:w="43" w:type="dxa"/>
              <w:right w:w="43" w:type="dxa"/>
            </w:tcMar>
          </w:tcPr>
          <w:p w14:paraId="6D816648" w14:textId="77777777" w:rsidR="00F7113A" w:rsidRPr="00580C0D" w:rsidRDefault="00142E5B" w:rsidP="00BD6CF4">
            <w:pPr>
              <w:jc w:val="right"/>
            </w:pPr>
            <w:r w:rsidRPr="00580C0D">
              <w:t>Nei</w:t>
            </w:r>
          </w:p>
        </w:tc>
      </w:tr>
      <w:tr w:rsidR="00F7113A" w:rsidRPr="00580C0D" w14:paraId="4C379BB7"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15045161"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61B2B853" w14:textId="77777777" w:rsidR="00F7113A" w:rsidRPr="00580C0D" w:rsidRDefault="00142E5B" w:rsidP="00BD6CF4">
            <w:pPr>
              <w:ind w:right="284"/>
              <w:jc w:val="right"/>
            </w:pPr>
            <w:r w:rsidRPr="00580C0D">
              <w:t>172</w:t>
            </w:r>
          </w:p>
        </w:tc>
        <w:tc>
          <w:tcPr>
            <w:tcW w:w="5528" w:type="dxa"/>
            <w:tcBorders>
              <w:top w:val="nil"/>
              <w:left w:val="nil"/>
              <w:bottom w:val="nil"/>
              <w:right w:val="nil"/>
            </w:tcBorders>
            <w:tcMar>
              <w:top w:w="100" w:type="dxa"/>
              <w:left w:w="43" w:type="dxa"/>
              <w:bottom w:w="43" w:type="dxa"/>
              <w:right w:w="43" w:type="dxa"/>
            </w:tcMar>
          </w:tcPr>
          <w:p w14:paraId="205629F0" w14:textId="77777777" w:rsidR="00F7113A" w:rsidRPr="00580C0D" w:rsidRDefault="00142E5B" w:rsidP="00BD6CF4">
            <w:r w:rsidRPr="00580C0D">
              <w:t>Mineralloven – forbedringer og forenklinger</w:t>
            </w:r>
          </w:p>
        </w:tc>
        <w:tc>
          <w:tcPr>
            <w:tcW w:w="1361" w:type="dxa"/>
            <w:tcBorders>
              <w:top w:val="nil"/>
              <w:left w:val="nil"/>
              <w:bottom w:val="nil"/>
              <w:right w:val="nil"/>
            </w:tcBorders>
            <w:tcMar>
              <w:top w:w="100" w:type="dxa"/>
              <w:left w:w="43" w:type="dxa"/>
              <w:bottom w:w="43" w:type="dxa"/>
              <w:right w:w="43" w:type="dxa"/>
            </w:tcMar>
          </w:tcPr>
          <w:p w14:paraId="2493913D" w14:textId="77777777" w:rsidR="00F7113A" w:rsidRPr="00580C0D" w:rsidRDefault="00142E5B" w:rsidP="00BD6CF4">
            <w:pPr>
              <w:jc w:val="right"/>
            </w:pPr>
            <w:r w:rsidRPr="00580C0D">
              <w:t>Nei</w:t>
            </w:r>
          </w:p>
        </w:tc>
      </w:tr>
      <w:tr w:rsidR="00F7113A" w:rsidRPr="00580C0D" w14:paraId="56FBF317"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0C5D8B0F"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7BAC6E2D" w14:textId="77777777" w:rsidR="00F7113A" w:rsidRPr="00580C0D" w:rsidRDefault="00142E5B" w:rsidP="00BD6CF4">
            <w:pPr>
              <w:ind w:right="284"/>
              <w:jc w:val="right"/>
            </w:pPr>
            <w:r w:rsidRPr="00580C0D">
              <w:t>572</w:t>
            </w:r>
          </w:p>
        </w:tc>
        <w:tc>
          <w:tcPr>
            <w:tcW w:w="5528" w:type="dxa"/>
            <w:tcBorders>
              <w:top w:val="nil"/>
              <w:left w:val="nil"/>
              <w:bottom w:val="nil"/>
              <w:right w:val="nil"/>
            </w:tcBorders>
            <w:tcMar>
              <w:top w:w="100" w:type="dxa"/>
              <w:left w:w="43" w:type="dxa"/>
              <w:bottom w:w="43" w:type="dxa"/>
              <w:right w:w="43" w:type="dxa"/>
            </w:tcMar>
          </w:tcPr>
          <w:p w14:paraId="210BA93D" w14:textId="77777777" w:rsidR="00F7113A" w:rsidRPr="00580C0D" w:rsidRDefault="00142E5B" w:rsidP="00BD6CF4">
            <w:r w:rsidRPr="00580C0D">
              <w:t>Innkjøpspriser i dagligvaremarkedet</w:t>
            </w:r>
          </w:p>
        </w:tc>
        <w:tc>
          <w:tcPr>
            <w:tcW w:w="1361" w:type="dxa"/>
            <w:tcBorders>
              <w:top w:val="nil"/>
              <w:left w:val="nil"/>
              <w:bottom w:val="nil"/>
              <w:right w:val="nil"/>
            </w:tcBorders>
            <w:tcMar>
              <w:top w:w="100" w:type="dxa"/>
              <w:left w:w="43" w:type="dxa"/>
              <w:bottom w:w="43" w:type="dxa"/>
              <w:right w:w="43" w:type="dxa"/>
            </w:tcMar>
          </w:tcPr>
          <w:p w14:paraId="57684A6C" w14:textId="77777777" w:rsidR="00F7113A" w:rsidRPr="00580C0D" w:rsidRDefault="00142E5B" w:rsidP="00BD6CF4">
            <w:pPr>
              <w:jc w:val="right"/>
            </w:pPr>
            <w:r w:rsidRPr="00580C0D">
              <w:t>Ja</w:t>
            </w:r>
          </w:p>
        </w:tc>
      </w:tr>
      <w:tr w:rsidR="00F7113A" w:rsidRPr="00580C0D" w14:paraId="41E16074"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1AA99BBD"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77C86817" w14:textId="77777777" w:rsidR="00F7113A" w:rsidRPr="00580C0D" w:rsidRDefault="00142E5B" w:rsidP="00BD6CF4">
            <w:pPr>
              <w:ind w:right="284"/>
              <w:jc w:val="right"/>
            </w:pPr>
            <w:r w:rsidRPr="00580C0D">
              <w:t>573</w:t>
            </w:r>
          </w:p>
        </w:tc>
        <w:tc>
          <w:tcPr>
            <w:tcW w:w="5528" w:type="dxa"/>
            <w:tcBorders>
              <w:top w:val="nil"/>
              <w:left w:val="nil"/>
              <w:bottom w:val="nil"/>
              <w:right w:val="nil"/>
            </w:tcBorders>
            <w:tcMar>
              <w:top w:w="100" w:type="dxa"/>
              <w:left w:w="43" w:type="dxa"/>
              <w:bottom w:w="43" w:type="dxa"/>
              <w:right w:w="43" w:type="dxa"/>
            </w:tcMar>
          </w:tcPr>
          <w:p w14:paraId="5E4E30AA" w14:textId="77777777" w:rsidR="00F7113A" w:rsidRPr="00580C0D" w:rsidRDefault="00142E5B" w:rsidP="00BD6CF4">
            <w:r w:rsidRPr="00580C0D">
              <w:t xml:space="preserve">Dagligvaremarkedet – regnskaps- og </w:t>
            </w:r>
            <w:proofErr w:type="spellStart"/>
            <w:r w:rsidRPr="00580C0D">
              <w:t>funksjonsmessig</w:t>
            </w:r>
            <w:proofErr w:type="spellEnd"/>
            <w:r w:rsidRPr="00580C0D">
              <w:t xml:space="preserve"> skille mellom leddene</w:t>
            </w:r>
          </w:p>
        </w:tc>
        <w:tc>
          <w:tcPr>
            <w:tcW w:w="1361" w:type="dxa"/>
            <w:tcBorders>
              <w:top w:val="nil"/>
              <w:left w:val="nil"/>
              <w:bottom w:val="nil"/>
              <w:right w:val="nil"/>
            </w:tcBorders>
            <w:tcMar>
              <w:top w:w="100" w:type="dxa"/>
              <w:left w:w="43" w:type="dxa"/>
              <w:bottom w:w="43" w:type="dxa"/>
              <w:right w:w="43" w:type="dxa"/>
            </w:tcMar>
          </w:tcPr>
          <w:p w14:paraId="78ADE2C4" w14:textId="77777777" w:rsidR="00F7113A" w:rsidRPr="00580C0D" w:rsidRDefault="00142E5B" w:rsidP="00BD6CF4">
            <w:pPr>
              <w:jc w:val="right"/>
            </w:pPr>
            <w:r w:rsidRPr="00580C0D">
              <w:t>Nei</w:t>
            </w:r>
          </w:p>
        </w:tc>
      </w:tr>
      <w:tr w:rsidR="00F7113A" w:rsidRPr="00580C0D" w14:paraId="19BB34F7"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7E3E27AA"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3184A9AF" w14:textId="77777777" w:rsidR="00F7113A" w:rsidRPr="00580C0D" w:rsidRDefault="00142E5B" w:rsidP="00BD6CF4">
            <w:pPr>
              <w:ind w:right="284"/>
              <w:jc w:val="right"/>
            </w:pPr>
            <w:r w:rsidRPr="00580C0D">
              <w:t>574</w:t>
            </w:r>
          </w:p>
        </w:tc>
        <w:tc>
          <w:tcPr>
            <w:tcW w:w="5528" w:type="dxa"/>
            <w:tcBorders>
              <w:top w:val="nil"/>
              <w:left w:val="nil"/>
              <w:bottom w:val="nil"/>
              <w:right w:val="nil"/>
            </w:tcBorders>
            <w:tcMar>
              <w:top w:w="100" w:type="dxa"/>
              <w:left w:w="43" w:type="dxa"/>
              <w:bottom w:w="43" w:type="dxa"/>
              <w:right w:w="43" w:type="dxa"/>
            </w:tcMar>
          </w:tcPr>
          <w:p w14:paraId="496E5B0B" w14:textId="77777777" w:rsidR="00F7113A" w:rsidRPr="00580C0D" w:rsidRDefault="00142E5B" w:rsidP="00BD6CF4">
            <w:r w:rsidRPr="00580C0D">
              <w:t>Dagligvare – rabatter skal i større grad følge varen</w:t>
            </w:r>
          </w:p>
        </w:tc>
        <w:tc>
          <w:tcPr>
            <w:tcW w:w="1361" w:type="dxa"/>
            <w:tcBorders>
              <w:top w:val="nil"/>
              <w:left w:val="nil"/>
              <w:bottom w:val="nil"/>
              <w:right w:val="nil"/>
            </w:tcBorders>
            <w:tcMar>
              <w:top w:w="100" w:type="dxa"/>
              <w:left w:w="43" w:type="dxa"/>
              <w:bottom w:w="43" w:type="dxa"/>
              <w:right w:w="43" w:type="dxa"/>
            </w:tcMar>
          </w:tcPr>
          <w:p w14:paraId="29A77EE1" w14:textId="77777777" w:rsidR="00F7113A" w:rsidRPr="00580C0D" w:rsidRDefault="00142E5B" w:rsidP="00BD6CF4">
            <w:pPr>
              <w:jc w:val="right"/>
            </w:pPr>
            <w:r w:rsidRPr="00580C0D">
              <w:t>Nei</w:t>
            </w:r>
          </w:p>
        </w:tc>
      </w:tr>
      <w:tr w:rsidR="00F7113A" w:rsidRPr="00580C0D" w14:paraId="3627FA3F"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3DEB9630"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11ED7A98" w14:textId="77777777" w:rsidR="00F7113A" w:rsidRPr="00580C0D" w:rsidRDefault="00142E5B" w:rsidP="00BD6CF4">
            <w:pPr>
              <w:ind w:right="284"/>
              <w:jc w:val="right"/>
            </w:pPr>
            <w:r w:rsidRPr="00580C0D">
              <w:t>829</w:t>
            </w:r>
          </w:p>
        </w:tc>
        <w:tc>
          <w:tcPr>
            <w:tcW w:w="5528" w:type="dxa"/>
            <w:tcBorders>
              <w:top w:val="nil"/>
              <w:left w:val="nil"/>
              <w:bottom w:val="nil"/>
              <w:right w:val="nil"/>
            </w:tcBorders>
            <w:tcMar>
              <w:top w:w="100" w:type="dxa"/>
              <w:left w:w="43" w:type="dxa"/>
              <w:bottom w:w="43" w:type="dxa"/>
              <w:right w:w="43" w:type="dxa"/>
            </w:tcMar>
          </w:tcPr>
          <w:p w14:paraId="5E84D3D0" w14:textId="77777777" w:rsidR="00F7113A" w:rsidRPr="00580C0D" w:rsidRDefault="00142E5B" w:rsidP="00BD6CF4">
            <w:r w:rsidRPr="00580C0D">
              <w:t>Fiskeflåten – strategi for fornyelse</w:t>
            </w:r>
          </w:p>
        </w:tc>
        <w:tc>
          <w:tcPr>
            <w:tcW w:w="1361" w:type="dxa"/>
            <w:tcBorders>
              <w:top w:val="nil"/>
              <w:left w:val="nil"/>
              <w:bottom w:val="nil"/>
              <w:right w:val="nil"/>
            </w:tcBorders>
            <w:tcMar>
              <w:top w:w="100" w:type="dxa"/>
              <w:left w:w="43" w:type="dxa"/>
              <w:bottom w:w="43" w:type="dxa"/>
              <w:right w:w="43" w:type="dxa"/>
            </w:tcMar>
          </w:tcPr>
          <w:p w14:paraId="28BEAE0D" w14:textId="77777777" w:rsidR="00F7113A" w:rsidRPr="00580C0D" w:rsidRDefault="00142E5B" w:rsidP="00BD6CF4">
            <w:pPr>
              <w:jc w:val="right"/>
            </w:pPr>
            <w:r w:rsidRPr="00580C0D">
              <w:t>Nei</w:t>
            </w:r>
          </w:p>
        </w:tc>
      </w:tr>
      <w:tr w:rsidR="00F7113A" w:rsidRPr="00580C0D" w14:paraId="4BD111B4"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36B80E57"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4E0AF612" w14:textId="77777777" w:rsidR="00F7113A" w:rsidRPr="00580C0D" w:rsidRDefault="00142E5B" w:rsidP="00BD6CF4">
            <w:pPr>
              <w:ind w:right="284"/>
              <w:jc w:val="right"/>
            </w:pPr>
            <w:r w:rsidRPr="00580C0D">
              <w:t>839</w:t>
            </w:r>
          </w:p>
        </w:tc>
        <w:tc>
          <w:tcPr>
            <w:tcW w:w="5528" w:type="dxa"/>
            <w:tcBorders>
              <w:top w:val="nil"/>
              <w:left w:val="nil"/>
              <w:bottom w:val="nil"/>
              <w:right w:val="nil"/>
            </w:tcBorders>
            <w:tcMar>
              <w:top w:w="100" w:type="dxa"/>
              <w:left w:w="43" w:type="dxa"/>
              <w:bottom w:w="43" w:type="dxa"/>
              <w:right w:w="43" w:type="dxa"/>
            </w:tcMar>
          </w:tcPr>
          <w:p w14:paraId="158F01E9" w14:textId="77777777" w:rsidR="00F7113A" w:rsidRPr="00580C0D" w:rsidRDefault="00142E5B" w:rsidP="00BD6CF4">
            <w:r w:rsidRPr="00580C0D">
              <w:t xml:space="preserve">Styrke og lovfeste tilskuddsordningen for sysselsetting av sjøfolk </w:t>
            </w:r>
          </w:p>
        </w:tc>
        <w:tc>
          <w:tcPr>
            <w:tcW w:w="1361" w:type="dxa"/>
            <w:tcBorders>
              <w:top w:val="nil"/>
              <w:left w:val="nil"/>
              <w:bottom w:val="nil"/>
              <w:right w:val="nil"/>
            </w:tcBorders>
            <w:tcMar>
              <w:top w:w="100" w:type="dxa"/>
              <w:left w:w="43" w:type="dxa"/>
              <w:bottom w:w="43" w:type="dxa"/>
              <w:right w:w="43" w:type="dxa"/>
            </w:tcMar>
          </w:tcPr>
          <w:p w14:paraId="2A48F44E" w14:textId="77777777" w:rsidR="00F7113A" w:rsidRPr="00580C0D" w:rsidRDefault="00142E5B" w:rsidP="00BD6CF4">
            <w:pPr>
              <w:jc w:val="right"/>
            </w:pPr>
            <w:r w:rsidRPr="00580C0D">
              <w:t>Nei</w:t>
            </w:r>
          </w:p>
        </w:tc>
      </w:tr>
      <w:tr w:rsidR="00F7113A" w:rsidRPr="00580C0D" w14:paraId="03B77039"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2EA0F72A"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7036D8C0" w14:textId="77777777" w:rsidR="00F7113A" w:rsidRPr="00580C0D" w:rsidRDefault="00142E5B" w:rsidP="00BD6CF4">
            <w:pPr>
              <w:ind w:right="284"/>
              <w:jc w:val="right"/>
            </w:pPr>
            <w:r w:rsidRPr="00580C0D">
              <w:t>841</w:t>
            </w:r>
          </w:p>
        </w:tc>
        <w:tc>
          <w:tcPr>
            <w:tcW w:w="5528" w:type="dxa"/>
            <w:tcBorders>
              <w:top w:val="nil"/>
              <w:left w:val="nil"/>
              <w:bottom w:val="nil"/>
              <w:right w:val="nil"/>
            </w:tcBorders>
            <w:tcMar>
              <w:top w:w="100" w:type="dxa"/>
              <w:left w:w="43" w:type="dxa"/>
              <w:bottom w:w="43" w:type="dxa"/>
              <w:right w:w="43" w:type="dxa"/>
            </w:tcMar>
          </w:tcPr>
          <w:p w14:paraId="03263D6F" w14:textId="77777777" w:rsidR="00F7113A" w:rsidRPr="00580C0D" w:rsidRDefault="00142E5B" w:rsidP="00BD6CF4">
            <w:r w:rsidRPr="00580C0D">
              <w:t xml:space="preserve">Utrede handlingsrommet innenfor EØS-avtalen for </w:t>
            </w:r>
            <w:r w:rsidRPr="00580C0D">
              <w:br/>
              <w:t>å plassere offentlig oppdrag hos norske verft</w:t>
            </w:r>
          </w:p>
        </w:tc>
        <w:tc>
          <w:tcPr>
            <w:tcW w:w="1361" w:type="dxa"/>
            <w:tcBorders>
              <w:top w:val="nil"/>
              <w:left w:val="nil"/>
              <w:bottom w:val="nil"/>
              <w:right w:val="nil"/>
            </w:tcBorders>
            <w:tcMar>
              <w:top w:w="100" w:type="dxa"/>
              <w:left w:w="43" w:type="dxa"/>
              <w:bottom w:w="43" w:type="dxa"/>
              <w:right w:w="43" w:type="dxa"/>
            </w:tcMar>
          </w:tcPr>
          <w:p w14:paraId="6D0F6C37" w14:textId="77777777" w:rsidR="00F7113A" w:rsidRPr="00580C0D" w:rsidRDefault="00142E5B" w:rsidP="00BD6CF4">
            <w:pPr>
              <w:jc w:val="right"/>
            </w:pPr>
            <w:r w:rsidRPr="00580C0D">
              <w:t>Ja</w:t>
            </w:r>
          </w:p>
        </w:tc>
      </w:tr>
      <w:tr w:rsidR="00F7113A" w:rsidRPr="00580C0D" w14:paraId="6347089D"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2F58F707"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0309837D" w14:textId="77777777" w:rsidR="00F7113A" w:rsidRPr="00580C0D" w:rsidRDefault="00142E5B" w:rsidP="00BD6CF4">
            <w:pPr>
              <w:ind w:right="284"/>
              <w:jc w:val="right"/>
            </w:pPr>
            <w:r w:rsidRPr="00580C0D">
              <w:t>980</w:t>
            </w:r>
          </w:p>
        </w:tc>
        <w:tc>
          <w:tcPr>
            <w:tcW w:w="5528" w:type="dxa"/>
            <w:tcBorders>
              <w:top w:val="nil"/>
              <w:left w:val="nil"/>
              <w:bottom w:val="nil"/>
              <w:right w:val="nil"/>
            </w:tcBorders>
            <w:tcMar>
              <w:top w:w="100" w:type="dxa"/>
              <w:left w:w="43" w:type="dxa"/>
              <w:bottom w:w="43" w:type="dxa"/>
              <w:right w:w="43" w:type="dxa"/>
            </w:tcMar>
          </w:tcPr>
          <w:p w14:paraId="1F0611E0" w14:textId="77777777" w:rsidR="00F7113A" w:rsidRPr="00580C0D" w:rsidRDefault="00142E5B" w:rsidP="00BD6CF4">
            <w:r w:rsidRPr="00580C0D">
              <w:t>Representantforslag om å sikre en mer helhetlig havbruksforvaltning</w:t>
            </w:r>
          </w:p>
        </w:tc>
        <w:tc>
          <w:tcPr>
            <w:tcW w:w="1361" w:type="dxa"/>
            <w:tcBorders>
              <w:top w:val="nil"/>
              <w:left w:val="nil"/>
              <w:bottom w:val="nil"/>
              <w:right w:val="nil"/>
            </w:tcBorders>
            <w:tcMar>
              <w:top w:w="100" w:type="dxa"/>
              <w:left w:w="43" w:type="dxa"/>
              <w:bottom w:w="43" w:type="dxa"/>
              <w:right w:w="43" w:type="dxa"/>
            </w:tcMar>
          </w:tcPr>
          <w:p w14:paraId="46E89272" w14:textId="77777777" w:rsidR="00F7113A" w:rsidRPr="00580C0D" w:rsidRDefault="00142E5B" w:rsidP="00BD6CF4">
            <w:pPr>
              <w:jc w:val="right"/>
            </w:pPr>
            <w:r w:rsidRPr="00580C0D">
              <w:t>Nei</w:t>
            </w:r>
          </w:p>
        </w:tc>
      </w:tr>
      <w:tr w:rsidR="00F7113A" w:rsidRPr="00580C0D" w14:paraId="4A2E0600"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372249C6"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3975097F" w14:textId="77777777" w:rsidR="00F7113A" w:rsidRPr="00580C0D" w:rsidRDefault="00142E5B" w:rsidP="00BD6CF4">
            <w:pPr>
              <w:ind w:right="284"/>
              <w:jc w:val="right"/>
            </w:pPr>
            <w:r w:rsidRPr="00580C0D">
              <w:t>1137</w:t>
            </w:r>
          </w:p>
        </w:tc>
        <w:tc>
          <w:tcPr>
            <w:tcW w:w="5528" w:type="dxa"/>
            <w:tcBorders>
              <w:top w:val="nil"/>
              <w:left w:val="nil"/>
              <w:bottom w:val="nil"/>
              <w:right w:val="nil"/>
            </w:tcBorders>
            <w:tcMar>
              <w:top w:w="100" w:type="dxa"/>
              <w:left w:w="43" w:type="dxa"/>
              <w:bottom w:w="43" w:type="dxa"/>
              <w:right w:w="43" w:type="dxa"/>
            </w:tcMar>
          </w:tcPr>
          <w:p w14:paraId="59FA1B6F" w14:textId="77777777" w:rsidR="00F7113A" w:rsidRPr="00580C0D" w:rsidRDefault="00142E5B" w:rsidP="00BD6CF4">
            <w:r w:rsidRPr="00580C0D">
              <w:t>Mineralstrategi</w:t>
            </w:r>
          </w:p>
        </w:tc>
        <w:tc>
          <w:tcPr>
            <w:tcW w:w="1361" w:type="dxa"/>
            <w:tcBorders>
              <w:top w:val="nil"/>
              <w:left w:val="nil"/>
              <w:bottom w:val="nil"/>
              <w:right w:val="nil"/>
            </w:tcBorders>
            <w:tcMar>
              <w:top w:w="100" w:type="dxa"/>
              <w:left w:w="43" w:type="dxa"/>
              <w:bottom w:w="43" w:type="dxa"/>
              <w:right w:w="43" w:type="dxa"/>
            </w:tcMar>
          </w:tcPr>
          <w:p w14:paraId="6AFB6A68" w14:textId="77777777" w:rsidR="00F7113A" w:rsidRPr="00580C0D" w:rsidRDefault="00142E5B" w:rsidP="00BD6CF4">
            <w:pPr>
              <w:jc w:val="right"/>
            </w:pPr>
            <w:r w:rsidRPr="00580C0D">
              <w:t>Ja</w:t>
            </w:r>
          </w:p>
        </w:tc>
      </w:tr>
      <w:tr w:rsidR="00F7113A" w:rsidRPr="00580C0D" w14:paraId="53AF5720"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62A90F54" w14:textId="77777777" w:rsidR="00F7113A" w:rsidRPr="00580C0D" w:rsidRDefault="00142E5B" w:rsidP="00BD6CF4">
            <w:r w:rsidRPr="00580C0D">
              <w:t>2020–2021</w:t>
            </w:r>
          </w:p>
        </w:tc>
        <w:tc>
          <w:tcPr>
            <w:tcW w:w="1351" w:type="dxa"/>
            <w:tcBorders>
              <w:top w:val="nil"/>
              <w:left w:val="nil"/>
              <w:bottom w:val="nil"/>
              <w:right w:val="nil"/>
            </w:tcBorders>
            <w:tcMar>
              <w:top w:w="100" w:type="dxa"/>
              <w:left w:w="43" w:type="dxa"/>
              <w:bottom w:w="43" w:type="dxa"/>
              <w:right w:w="43" w:type="dxa"/>
            </w:tcMar>
          </w:tcPr>
          <w:p w14:paraId="0ABE07D9" w14:textId="77777777" w:rsidR="00F7113A" w:rsidRPr="00580C0D" w:rsidRDefault="00142E5B" w:rsidP="00BD6CF4">
            <w:pPr>
              <w:ind w:right="284"/>
              <w:jc w:val="right"/>
            </w:pPr>
            <w:r w:rsidRPr="00580C0D">
              <w:t>1231</w:t>
            </w:r>
          </w:p>
        </w:tc>
        <w:tc>
          <w:tcPr>
            <w:tcW w:w="5528" w:type="dxa"/>
            <w:tcBorders>
              <w:top w:val="nil"/>
              <w:left w:val="nil"/>
              <w:bottom w:val="nil"/>
              <w:right w:val="nil"/>
            </w:tcBorders>
            <w:tcMar>
              <w:top w:w="100" w:type="dxa"/>
              <w:left w:w="43" w:type="dxa"/>
              <w:bottom w:w="43" w:type="dxa"/>
              <w:right w:w="43" w:type="dxa"/>
            </w:tcMar>
          </w:tcPr>
          <w:p w14:paraId="373FCCC0" w14:textId="28ACD641" w:rsidR="00F7113A" w:rsidRPr="00580C0D" w:rsidRDefault="00142E5B" w:rsidP="00BD6CF4">
            <w:r w:rsidRPr="00580C0D">
              <w:t xml:space="preserve">Løse utfordringene Svinesundtersklene har for </w:t>
            </w:r>
            <w:r w:rsidR="00E13315">
              <w:br/>
            </w:r>
            <w:r w:rsidRPr="00580C0D">
              <w:t>innseilingen til Halden</w:t>
            </w:r>
          </w:p>
        </w:tc>
        <w:tc>
          <w:tcPr>
            <w:tcW w:w="1361" w:type="dxa"/>
            <w:tcBorders>
              <w:top w:val="nil"/>
              <w:left w:val="nil"/>
              <w:bottom w:val="nil"/>
              <w:right w:val="nil"/>
            </w:tcBorders>
            <w:tcMar>
              <w:top w:w="100" w:type="dxa"/>
              <w:left w:w="43" w:type="dxa"/>
              <w:bottom w:w="43" w:type="dxa"/>
              <w:right w:w="43" w:type="dxa"/>
            </w:tcMar>
          </w:tcPr>
          <w:p w14:paraId="259EAF14" w14:textId="77777777" w:rsidR="00F7113A" w:rsidRPr="00580C0D" w:rsidRDefault="00142E5B" w:rsidP="00BD6CF4">
            <w:pPr>
              <w:jc w:val="right"/>
            </w:pPr>
            <w:r w:rsidRPr="00580C0D">
              <w:t>Nei</w:t>
            </w:r>
          </w:p>
        </w:tc>
      </w:tr>
      <w:tr w:rsidR="00F7113A" w:rsidRPr="00580C0D" w14:paraId="4FA7B032"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08AE3DB2" w14:textId="77777777" w:rsidR="00F7113A" w:rsidRPr="00580C0D" w:rsidRDefault="00142E5B" w:rsidP="00BD6CF4">
            <w:r w:rsidRPr="00580C0D">
              <w:t>2019–2020</w:t>
            </w:r>
          </w:p>
        </w:tc>
        <w:tc>
          <w:tcPr>
            <w:tcW w:w="1351" w:type="dxa"/>
            <w:tcBorders>
              <w:top w:val="nil"/>
              <w:left w:val="nil"/>
              <w:bottom w:val="nil"/>
              <w:right w:val="nil"/>
            </w:tcBorders>
            <w:tcMar>
              <w:top w:w="100" w:type="dxa"/>
              <w:left w:w="43" w:type="dxa"/>
              <w:bottom w:w="43" w:type="dxa"/>
              <w:right w:w="43" w:type="dxa"/>
            </w:tcMar>
          </w:tcPr>
          <w:p w14:paraId="1F818BB1" w14:textId="77777777" w:rsidR="00F7113A" w:rsidRPr="00580C0D" w:rsidRDefault="00142E5B" w:rsidP="00BD6CF4">
            <w:pPr>
              <w:ind w:right="284"/>
              <w:jc w:val="right"/>
            </w:pPr>
            <w:r w:rsidRPr="00580C0D">
              <w:t>549</w:t>
            </w:r>
          </w:p>
        </w:tc>
        <w:tc>
          <w:tcPr>
            <w:tcW w:w="5528" w:type="dxa"/>
            <w:tcBorders>
              <w:top w:val="nil"/>
              <w:left w:val="nil"/>
              <w:bottom w:val="nil"/>
              <w:right w:val="nil"/>
            </w:tcBorders>
            <w:tcMar>
              <w:top w:w="100" w:type="dxa"/>
              <w:left w:w="43" w:type="dxa"/>
              <w:bottom w:w="43" w:type="dxa"/>
              <w:right w:w="43" w:type="dxa"/>
            </w:tcMar>
          </w:tcPr>
          <w:p w14:paraId="47D8B75A" w14:textId="77777777" w:rsidR="00F7113A" w:rsidRPr="00580C0D" w:rsidRDefault="00142E5B" w:rsidP="00BD6CF4">
            <w:r w:rsidRPr="00580C0D">
              <w:t>Kvotemeldingen – fordeling mellom flåtegruppene</w:t>
            </w:r>
          </w:p>
        </w:tc>
        <w:tc>
          <w:tcPr>
            <w:tcW w:w="1361" w:type="dxa"/>
            <w:tcBorders>
              <w:top w:val="nil"/>
              <w:left w:val="nil"/>
              <w:bottom w:val="nil"/>
              <w:right w:val="nil"/>
            </w:tcBorders>
            <w:tcMar>
              <w:top w:w="100" w:type="dxa"/>
              <w:left w:w="43" w:type="dxa"/>
              <w:bottom w:w="43" w:type="dxa"/>
              <w:right w:w="43" w:type="dxa"/>
            </w:tcMar>
          </w:tcPr>
          <w:p w14:paraId="5FFEDE6C" w14:textId="77777777" w:rsidR="00F7113A" w:rsidRPr="00580C0D" w:rsidRDefault="00142E5B" w:rsidP="00BD6CF4">
            <w:pPr>
              <w:jc w:val="right"/>
            </w:pPr>
            <w:r w:rsidRPr="00580C0D">
              <w:t>Ja</w:t>
            </w:r>
          </w:p>
        </w:tc>
      </w:tr>
      <w:tr w:rsidR="00F7113A" w:rsidRPr="00580C0D" w14:paraId="5012E931"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6F1F5BA2" w14:textId="77777777" w:rsidR="00F7113A" w:rsidRPr="00580C0D" w:rsidRDefault="00142E5B" w:rsidP="00BD6CF4">
            <w:r w:rsidRPr="00580C0D">
              <w:t>2019–2020</w:t>
            </w:r>
          </w:p>
        </w:tc>
        <w:tc>
          <w:tcPr>
            <w:tcW w:w="1351" w:type="dxa"/>
            <w:tcBorders>
              <w:top w:val="nil"/>
              <w:left w:val="nil"/>
              <w:bottom w:val="nil"/>
              <w:right w:val="nil"/>
            </w:tcBorders>
            <w:tcMar>
              <w:top w:w="100" w:type="dxa"/>
              <w:left w:w="43" w:type="dxa"/>
              <w:bottom w:w="43" w:type="dxa"/>
              <w:right w:w="43" w:type="dxa"/>
            </w:tcMar>
          </w:tcPr>
          <w:p w14:paraId="210B3E27" w14:textId="77777777" w:rsidR="00F7113A" w:rsidRPr="00580C0D" w:rsidRDefault="00142E5B" w:rsidP="00BD6CF4">
            <w:pPr>
              <w:ind w:right="284"/>
              <w:jc w:val="right"/>
            </w:pPr>
            <w:r w:rsidRPr="00580C0D">
              <w:t>551</w:t>
            </w:r>
          </w:p>
        </w:tc>
        <w:tc>
          <w:tcPr>
            <w:tcW w:w="5528" w:type="dxa"/>
            <w:tcBorders>
              <w:top w:val="nil"/>
              <w:left w:val="nil"/>
              <w:bottom w:val="nil"/>
              <w:right w:val="nil"/>
            </w:tcBorders>
            <w:tcMar>
              <w:top w:w="100" w:type="dxa"/>
              <w:left w:w="43" w:type="dxa"/>
              <w:bottom w:w="43" w:type="dxa"/>
              <w:right w:w="43" w:type="dxa"/>
            </w:tcMar>
          </w:tcPr>
          <w:p w14:paraId="475C3203" w14:textId="77777777" w:rsidR="00F7113A" w:rsidRPr="00580C0D" w:rsidRDefault="00142E5B" w:rsidP="00BD6CF4">
            <w:r w:rsidRPr="00580C0D">
              <w:t>Kvotemeldingen – fordeling av strukturgevinst</w:t>
            </w:r>
          </w:p>
        </w:tc>
        <w:tc>
          <w:tcPr>
            <w:tcW w:w="1361" w:type="dxa"/>
            <w:tcBorders>
              <w:top w:val="nil"/>
              <w:left w:val="nil"/>
              <w:bottom w:val="nil"/>
              <w:right w:val="nil"/>
            </w:tcBorders>
            <w:tcMar>
              <w:top w:w="100" w:type="dxa"/>
              <w:left w:w="43" w:type="dxa"/>
              <w:bottom w:w="43" w:type="dxa"/>
              <w:right w:w="43" w:type="dxa"/>
            </w:tcMar>
          </w:tcPr>
          <w:p w14:paraId="36F780BF" w14:textId="77777777" w:rsidR="00F7113A" w:rsidRPr="00580C0D" w:rsidRDefault="00142E5B" w:rsidP="00BD6CF4">
            <w:pPr>
              <w:jc w:val="right"/>
            </w:pPr>
            <w:r w:rsidRPr="00580C0D">
              <w:t>Nei</w:t>
            </w:r>
          </w:p>
        </w:tc>
      </w:tr>
      <w:tr w:rsidR="00F7113A" w:rsidRPr="00580C0D" w14:paraId="099C95E0"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0088D36C" w14:textId="77777777" w:rsidR="00F7113A" w:rsidRPr="00580C0D" w:rsidRDefault="00142E5B" w:rsidP="00BD6CF4">
            <w:r w:rsidRPr="00580C0D">
              <w:t>2019–2020</w:t>
            </w:r>
          </w:p>
        </w:tc>
        <w:tc>
          <w:tcPr>
            <w:tcW w:w="1351" w:type="dxa"/>
            <w:tcBorders>
              <w:top w:val="nil"/>
              <w:left w:val="nil"/>
              <w:bottom w:val="nil"/>
              <w:right w:val="nil"/>
            </w:tcBorders>
            <w:tcMar>
              <w:top w:w="100" w:type="dxa"/>
              <w:left w:w="43" w:type="dxa"/>
              <w:bottom w:w="43" w:type="dxa"/>
              <w:right w:w="43" w:type="dxa"/>
            </w:tcMar>
          </w:tcPr>
          <w:p w14:paraId="1C2388D0" w14:textId="77777777" w:rsidR="00F7113A" w:rsidRPr="00580C0D" w:rsidRDefault="00142E5B" w:rsidP="00BD6CF4">
            <w:pPr>
              <w:ind w:right="284"/>
              <w:jc w:val="right"/>
            </w:pPr>
            <w:r w:rsidRPr="00580C0D">
              <w:t>553</w:t>
            </w:r>
          </w:p>
        </w:tc>
        <w:tc>
          <w:tcPr>
            <w:tcW w:w="5528" w:type="dxa"/>
            <w:tcBorders>
              <w:top w:val="nil"/>
              <w:left w:val="nil"/>
              <w:bottom w:val="nil"/>
              <w:right w:val="nil"/>
            </w:tcBorders>
            <w:tcMar>
              <w:top w:w="100" w:type="dxa"/>
              <w:left w:w="43" w:type="dxa"/>
              <w:bottom w:w="43" w:type="dxa"/>
              <w:right w:w="43" w:type="dxa"/>
            </w:tcMar>
          </w:tcPr>
          <w:p w14:paraId="1A445E58" w14:textId="77777777" w:rsidR="00F7113A" w:rsidRPr="00580C0D" w:rsidRDefault="00142E5B" w:rsidP="00BD6CF4">
            <w:r w:rsidRPr="00580C0D">
              <w:t xml:space="preserve">Kvotemeldingen – kvotefleksibilitet i fisket etter torsk, </w:t>
            </w:r>
            <w:r w:rsidRPr="00580C0D">
              <w:br/>
              <w:t>hyse og sei nord for 62° N</w:t>
            </w:r>
          </w:p>
        </w:tc>
        <w:tc>
          <w:tcPr>
            <w:tcW w:w="1361" w:type="dxa"/>
            <w:tcBorders>
              <w:top w:val="nil"/>
              <w:left w:val="nil"/>
              <w:bottom w:val="nil"/>
              <w:right w:val="nil"/>
            </w:tcBorders>
            <w:tcMar>
              <w:top w:w="100" w:type="dxa"/>
              <w:left w:w="43" w:type="dxa"/>
              <w:bottom w:w="43" w:type="dxa"/>
              <w:right w:w="43" w:type="dxa"/>
            </w:tcMar>
          </w:tcPr>
          <w:p w14:paraId="4BE41F96" w14:textId="77777777" w:rsidR="00F7113A" w:rsidRPr="00580C0D" w:rsidRDefault="00142E5B" w:rsidP="00BD6CF4">
            <w:pPr>
              <w:jc w:val="right"/>
            </w:pPr>
            <w:r w:rsidRPr="00580C0D">
              <w:t>Nei</w:t>
            </w:r>
          </w:p>
        </w:tc>
      </w:tr>
      <w:tr w:rsidR="00F7113A" w:rsidRPr="00580C0D" w14:paraId="2C21F656"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572E5C09" w14:textId="77777777" w:rsidR="00F7113A" w:rsidRPr="00580C0D" w:rsidRDefault="00142E5B" w:rsidP="00BD6CF4">
            <w:r w:rsidRPr="00580C0D">
              <w:t>2019–2020</w:t>
            </w:r>
          </w:p>
        </w:tc>
        <w:tc>
          <w:tcPr>
            <w:tcW w:w="1351" w:type="dxa"/>
            <w:tcBorders>
              <w:top w:val="nil"/>
              <w:left w:val="nil"/>
              <w:bottom w:val="nil"/>
              <w:right w:val="nil"/>
            </w:tcBorders>
            <w:tcMar>
              <w:top w:w="100" w:type="dxa"/>
              <w:left w:w="43" w:type="dxa"/>
              <w:bottom w:w="43" w:type="dxa"/>
              <w:right w:w="43" w:type="dxa"/>
            </w:tcMar>
          </w:tcPr>
          <w:p w14:paraId="288D9ED0" w14:textId="77777777" w:rsidR="00F7113A" w:rsidRPr="00580C0D" w:rsidRDefault="00142E5B" w:rsidP="00BD6CF4">
            <w:pPr>
              <w:ind w:right="284"/>
              <w:jc w:val="right"/>
            </w:pPr>
            <w:r w:rsidRPr="00580C0D">
              <w:t>555</w:t>
            </w:r>
          </w:p>
        </w:tc>
        <w:tc>
          <w:tcPr>
            <w:tcW w:w="5528" w:type="dxa"/>
            <w:tcBorders>
              <w:top w:val="nil"/>
              <w:left w:val="nil"/>
              <w:bottom w:val="nil"/>
              <w:right w:val="nil"/>
            </w:tcBorders>
            <w:tcMar>
              <w:top w:w="100" w:type="dxa"/>
              <w:left w:w="43" w:type="dxa"/>
              <w:bottom w:w="43" w:type="dxa"/>
              <w:right w:w="43" w:type="dxa"/>
            </w:tcMar>
          </w:tcPr>
          <w:p w14:paraId="5C12475C" w14:textId="77777777" w:rsidR="00F7113A" w:rsidRPr="00580C0D" w:rsidRDefault="00142E5B" w:rsidP="00BD6CF4">
            <w:r w:rsidRPr="00580C0D">
              <w:t>Kvotemeldingen – om faktisk lengde og hjemmelslengde</w:t>
            </w:r>
          </w:p>
        </w:tc>
        <w:tc>
          <w:tcPr>
            <w:tcW w:w="1361" w:type="dxa"/>
            <w:tcBorders>
              <w:top w:val="nil"/>
              <w:left w:val="nil"/>
              <w:bottom w:val="nil"/>
              <w:right w:val="nil"/>
            </w:tcBorders>
            <w:tcMar>
              <w:top w:w="100" w:type="dxa"/>
              <w:left w:w="43" w:type="dxa"/>
              <w:bottom w:w="43" w:type="dxa"/>
              <w:right w:w="43" w:type="dxa"/>
            </w:tcMar>
          </w:tcPr>
          <w:p w14:paraId="44487E4C" w14:textId="77777777" w:rsidR="00F7113A" w:rsidRPr="00580C0D" w:rsidRDefault="00142E5B" w:rsidP="00BD6CF4">
            <w:pPr>
              <w:jc w:val="right"/>
            </w:pPr>
            <w:r w:rsidRPr="00580C0D">
              <w:t>Nei</w:t>
            </w:r>
          </w:p>
        </w:tc>
      </w:tr>
      <w:tr w:rsidR="00F7113A" w:rsidRPr="00580C0D" w14:paraId="40A3DDD8"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2DF41B15" w14:textId="77777777" w:rsidR="00F7113A" w:rsidRPr="00580C0D" w:rsidRDefault="00142E5B" w:rsidP="00BD6CF4">
            <w:r w:rsidRPr="00580C0D">
              <w:t>2019–2020</w:t>
            </w:r>
          </w:p>
        </w:tc>
        <w:tc>
          <w:tcPr>
            <w:tcW w:w="1351" w:type="dxa"/>
            <w:tcBorders>
              <w:top w:val="nil"/>
              <w:left w:val="nil"/>
              <w:bottom w:val="nil"/>
              <w:right w:val="nil"/>
            </w:tcBorders>
            <w:tcMar>
              <w:top w:w="100" w:type="dxa"/>
              <w:left w:w="43" w:type="dxa"/>
              <w:bottom w:w="43" w:type="dxa"/>
              <w:right w:w="43" w:type="dxa"/>
            </w:tcMar>
          </w:tcPr>
          <w:p w14:paraId="08BFC64E" w14:textId="77777777" w:rsidR="00F7113A" w:rsidRPr="00580C0D" w:rsidRDefault="00142E5B" w:rsidP="00BD6CF4">
            <w:pPr>
              <w:ind w:right="284"/>
              <w:jc w:val="right"/>
            </w:pPr>
            <w:r w:rsidRPr="00580C0D">
              <w:t>556</w:t>
            </w:r>
          </w:p>
        </w:tc>
        <w:tc>
          <w:tcPr>
            <w:tcW w:w="5528" w:type="dxa"/>
            <w:tcBorders>
              <w:top w:val="nil"/>
              <w:left w:val="nil"/>
              <w:bottom w:val="nil"/>
              <w:right w:val="nil"/>
            </w:tcBorders>
            <w:tcMar>
              <w:top w:w="100" w:type="dxa"/>
              <w:left w:w="43" w:type="dxa"/>
              <w:bottom w:w="43" w:type="dxa"/>
              <w:right w:w="43" w:type="dxa"/>
            </w:tcMar>
          </w:tcPr>
          <w:p w14:paraId="4027515D" w14:textId="77777777" w:rsidR="00F7113A" w:rsidRPr="00580C0D" w:rsidRDefault="00142E5B" w:rsidP="00BD6CF4">
            <w:r w:rsidRPr="00580C0D">
              <w:t>Kvotemeldingen – avvikling av «samfiske med seg selv»</w:t>
            </w:r>
          </w:p>
        </w:tc>
        <w:tc>
          <w:tcPr>
            <w:tcW w:w="1361" w:type="dxa"/>
            <w:tcBorders>
              <w:top w:val="nil"/>
              <w:left w:val="nil"/>
              <w:bottom w:val="nil"/>
              <w:right w:val="nil"/>
            </w:tcBorders>
            <w:tcMar>
              <w:top w:w="100" w:type="dxa"/>
              <w:left w:w="43" w:type="dxa"/>
              <w:bottom w:w="43" w:type="dxa"/>
              <w:right w:w="43" w:type="dxa"/>
            </w:tcMar>
          </w:tcPr>
          <w:p w14:paraId="3F692B03" w14:textId="77777777" w:rsidR="00F7113A" w:rsidRPr="00580C0D" w:rsidRDefault="00142E5B" w:rsidP="00BD6CF4">
            <w:pPr>
              <w:jc w:val="right"/>
            </w:pPr>
            <w:r w:rsidRPr="00580C0D">
              <w:t>Nei</w:t>
            </w:r>
          </w:p>
        </w:tc>
      </w:tr>
      <w:tr w:rsidR="00F7113A" w:rsidRPr="00580C0D" w14:paraId="350B05EE" w14:textId="77777777" w:rsidTr="00BD6CF4">
        <w:trPr>
          <w:trHeight w:val="340"/>
        </w:trPr>
        <w:tc>
          <w:tcPr>
            <w:tcW w:w="1300" w:type="dxa"/>
            <w:tcBorders>
              <w:top w:val="nil"/>
              <w:left w:val="nil"/>
              <w:bottom w:val="nil"/>
              <w:right w:val="nil"/>
            </w:tcBorders>
            <w:tcMar>
              <w:top w:w="100" w:type="dxa"/>
              <w:left w:w="43" w:type="dxa"/>
              <w:bottom w:w="43" w:type="dxa"/>
              <w:right w:w="43" w:type="dxa"/>
            </w:tcMar>
          </w:tcPr>
          <w:p w14:paraId="69827372" w14:textId="77777777" w:rsidR="00F7113A" w:rsidRPr="00580C0D" w:rsidRDefault="00142E5B" w:rsidP="00BD6CF4">
            <w:r w:rsidRPr="00580C0D">
              <w:t>2019–2020</w:t>
            </w:r>
          </w:p>
        </w:tc>
        <w:tc>
          <w:tcPr>
            <w:tcW w:w="1351" w:type="dxa"/>
            <w:tcBorders>
              <w:top w:val="nil"/>
              <w:left w:val="nil"/>
              <w:bottom w:val="nil"/>
              <w:right w:val="nil"/>
            </w:tcBorders>
            <w:tcMar>
              <w:top w:w="100" w:type="dxa"/>
              <w:left w:w="43" w:type="dxa"/>
              <w:bottom w:w="43" w:type="dxa"/>
              <w:right w:w="43" w:type="dxa"/>
            </w:tcMar>
          </w:tcPr>
          <w:p w14:paraId="4C93BD4C" w14:textId="77777777" w:rsidR="00F7113A" w:rsidRPr="00580C0D" w:rsidRDefault="00142E5B" w:rsidP="00BD6CF4">
            <w:pPr>
              <w:ind w:right="284"/>
              <w:jc w:val="right"/>
            </w:pPr>
            <w:r w:rsidRPr="00580C0D">
              <w:t>558</w:t>
            </w:r>
          </w:p>
        </w:tc>
        <w:tc>
          <w:tcPr>
            <w:tcW w:w="5528" w:type="dxa"/>
            <w:tcBorders>
              <w:top w:val="nil"/>
              <w:left w:val="nil"/>
              <w:bottom w:val="nil"/>
              <w:right w:val="nil"/>
            </w:tcBorders>
            <w:tcMar>
              <w:top w:w="100" w:type="dxa"/>
              <w:left w:w="43" w:type="dxa"/>
              <w:bottom w:w="43" w:type="dxa"/>
              <w:right w:w="43" w:type="dxa"/>
            </w:tcMar>
          </w:tcPr>
          <w:p w14:paraId="5AD1E121" w14:textId="77777777" w:rsidR="00F7113A" w:rsidRPr="00580C0D" w:rsidRDefault="00142E5B" w:rsidP="00BD6CF4">
            <w:r w:rsidRPr="00580C0D">
              <w:t xml:space="preserve">Kvotemeldingen – om konsekvensutredninger </w:t>
            </w:r>
          </w:p>
        </w:tc>
        <w:tc>
          <w:tcPr>
            <w:tcW w:w="1361" w:type="dxa"/>
            <w:tcBorders>
              <w:top w:val="nil"/>
              <w:left w:val="nil"/>
              <w:bottom w:val="nil"/>
              <w:right w:val="nil"/>
            </w:tcBorders>
            <w:tcMar>
              <w:top w:w="100" w:type="dxa"/>
              <w:left w:w="43" w:type="dxa"/>
              <w:bottom w:w="43" w:type="dxa"/>
              <w:right w:w="43" w:type="dxa"/>
            </w:tcMar>
          </w:tcPr>
          <w:p w14:paraId="40B684A2" w14:textId="77777777" w:rsidR="00F7113A" w:rsidRPr="00580C0D" w:rsidRDefault="00142E5B" w:rsidP="00BD6CF4">
            <w:pPr>
              <w:jc w:val="right"/>
            </w:pPr>
            <w:r w:rsidRPr="00580C0D">
              <w:t>Nei</w:t>
            </w:r>
          </w:p>
        </w:tc>
      </w:tr>
      <w:tr w:rsidR="00F7113A" w:rsidRPr="00580C0D" w14:paraId="69DF1498" w14:textId="77777777" w:rsidTr="00BD6CF4">
        <w:trPr>
          <w:trHeight w:val="600"/>
        </w:trPr>
        <w:tc>
          <w:tcPr>
            <w:tcW w:w="1300" w:type="dxa"/>
            <w:tcBorders>
              <w:top w:val="nil"/>
              <w:left w:val="nil"/>
              <w:bottom w:val="nil"/>
              <w:right w:val="nil"/>
            </w:tcBorders>
            <w:tcMar>
              <w:top w:w="100" w:type="dxa"/>
              <w:left w:w="43" w:type="dxa"/>
              <w:bottom w:w="43" w:type="dxa"/>
              <w:right w:w="43" w:type="dxa"/>
            </w:tcMar>
          </w:tcPr>
          <w:p w14:paraId="02EF5574" w14:textId="77777777" w:rsidR="00F7113A" w:rsidRPr="00580C0D" w:rsidRDefault="00142E5B" w:rsidP="00BD6CF4">
            <w:r w:rsidRPr="00580C0D">
              <w:t>2016–2017</w:t>
            </w:r>
          </w:p>
        </w:tc>
        <w:tc>
          <w:tcPr>
            <w:tcW w:w="1351" w:type="dxa"/>
            <w:tcBorders>
              <w:top w:val="nil"/>
              <w:left w:val="nil"/>
              <w:bottom w:val="nil"/>
              <w:right w:val="nil"/>
            </w:tcBorders>
            <w:tcMar>
              <w:top w:w="100" w:type="dxa"/>
              <w:left w:w="43" w:type="dxa"/>
              <w:bottom w:w="43" w:type="dxa"/>
              <w:right w:w="43" w:type="dxa"/>
            </w:tcMar>
          </w:tcPr>
          <w:p w14:paraId="32ADFC63" w14:textId="77777777" w:rsidR="00F7113A" w:rsidRPr="00580C0D" w:rsidRDefault="00142E5B" w:rsidP="00BD6CF4">
            <w:pPr>
              <w:ind w:right="284"/>
              <w:jc w:val="right"/>
            </w:pPr>
            <w:r w:rsidRPr="00580C0D">
              <w:t xml:space="preserve">108, </w:t>
            </w:r>
            <w:r w:rsidRPr="00580C0D">
              <w:br/>
              <w:t>punkt 35</w:t>
            </w:r>
          </w:p>
        </w:tc>
        <w:tc>
          <w:tcPr>
            <w:tcW w:w="5528" w:type="dxa"/>
            <w:tcBorders>
              <w:top w:val="nil"/>
              <w:left w:val="nil"/>
              <w:bottom w:val="nil"/>
              <w:right w:val="nil"/>
            </w:tcBorders>
            <w:tcMar>
              <w:top w:w="100" w:type="dxa"/>
              <w:left w:w="43" w:type="dxa"/>
              <w:bottom w:w="43" w:type="dxa"/>
              <w:right w:w="43" w:type="dxa"/>
            </w:tcMar>
          </w:tcPr>
          <w:p w14:paraId="57B8331D" w14:textId="77777777" w:rsidR="00F7113A" w:rsidRPr="00580C0D" w:rsidRDefault="00142E5B" w:rsidP="00BD6CF4">
            <w:r w:rsidRPr="00580C0D">
              <w:t>Registrering av firmaer og selskap i Norge uten fysisk tilstedeværelse</w:t>
            </w:r>
          </w:p>
        </w:tc>
        <w:tc>
          <w:tcPr>
            <w:tcW w:w="1361" w:type="dxa"/>
            <w:tcBorders>
              <w:top w:val="nil"/>
              <w:left w:val="nil"/>
              <w:bottom w:val="nil"/>
              <w:right w:val="nil"/>
            </w:tcBorders>
            <w:tcMar>
              <w:top w:w="100" w:type="dxa"/>
              <w:left w:w="43" w:type="dxa"/>
              <w:bottom w:w="43" w:type="dxa"/>
              <w:right w:w="43" w:type="dxa"/>
            </w:tcMar>
          </w:tcPr>
          <w:p w14:paraId="508DC583" w14:textId="77777777" w:rsidR="00F7113A" w:rsidRPr="00580C0D" w:rsidRDefault="00142E5B" w:rsidP="00BD6CF4">
            <w:pPr>
              <w:jc w:val="right"/>
            </w:pPr>
            <w:r w:rsidRPr="00580C0D">
              <w:t>Nei</w:t>
            </w:r>
          </w:p>
        </w:tc>
      </w:tr>
      <w:tr w:rsidR="00F7113A" w:rsidRPr="00580C0D" w14:paraId="6249D2B8" w14:textId="77777777" w:rsidTr="00BD6CF4">
        <w:trPr>
          <w:trHeight w:val="340"/>
        </w:trPr>
        <w:tc>
          <w:tcPr>
            <w:tcW w:w="1300" w:type="dxa"/>
            <w:tcBorders>
              <w:top w:val="nil"/>
              <w:left w:val="nil"/>
              <w:bottom w:val="single" w:sz="4" w:space="0" w:color="000000"/>
              <w:right w:val="nil"/>
            </w:tcBorders>
            <w:tcMar>
              <w:top w:w="100" w:type="dxa"/>
              <w:left w:w="43" w:type="dxa"/>
              <w:bottom w:w="43" w:type="dxa"/>
              <w:right w:w="43" w:type="dxa"/>
            </w:tcMar>
          </w:tcPr>
          <w:p w14:paraId="2E25FB8A" w14:textId="77777777" w:rsidR="00F7113A" w:rsidRPr="00580C0D" w:rsidRDefault="00142E5B" w:rsidP="00BD6CF4">
            <w:r w:rsidRPr="00580C0D">
              <w:t>2013–2014</w:t>
            </w:r>
          </w:p>
        </w:tc>
        <w:tc>
          <w:tcPr>
            <w:tcW w:w="1351" w:type="dxa"/>
            <w:tcBorders>
              <w:top w:val="nil"/>
              <w:left w:val="nil"/>
              <w:bottom w:val="single" w:sz="4" w:space="0" w:color="000000"/>
              <w:right w:val="nil"/>
            </w:tcBorders>
            <w:tcMar>
              <w:top w:w="100" w:type="dxa"/>
              <w:left w:w="43" w:type="dxa"/>
              <w:bottom w:w="43" w:type="dxa"/>
              <w:right w:w="43" w:type="dxa"/>
            </w:tcMar>
          </w:tcPr>
          <w:p w14:paraId="022F9B54" w14:textId="77777777" w:rsidR="00F7113A" w:rsidRPr="00580C0D" w:rsidRDefault="00142E5B" w:rsidP="00BD6CF4">
            <w:pPr>
              <w:ind w:right="284"/>
              <w:jc w:val="right"/>
            </w:pPr>
            <w:r w:rsidRPr="00580C0D">
              <w:t>496</w:t>
            </w:r>
          </w:p>
        </w:tc>
        <w:tc>
          <w:tcPr>
            <w:tcW w:w="5528" w:type="dxa"/>
            <w:tcBorders>
              <w:top w:val="nil"/>
              <w:left w:val="nil"/>
              <w:bottom w:val="single" w:sz="4" w:space="0" w:color="000000"/>
              <w:right w:val="nil"/>
            </w:tcBorders>
            <w:tcMar>
              <w:top w:w="100" w:type="dxa"/>
              <w:left w:w="43" w:type="dxa"/>
              <w:bottom w:w="43" w:type="dxa"/>
              <w:right w:w="43" w:type="dxa"/>
            </w:tcMar>
          </w:tcPr>
          <w:p w14:paraId="77668FD9" w14:textId="77777777" w:rsidR="00F7113A" w:rsidRPr="00580C0D" w:rsidRDefault="00142E5B" w:rsidP="00BD6CF4">
            <w:r w:rsidRPr="00580C0D">
              <w:t>Informasjon om eiere av aksjeselskap</w:t>
            </w:r>
          </w:p>
        </w:tc>
        <w:tc>
          <w:tcPr>
            <w:tcW w:w="1361" w:type="dxa"/>
            <w:tcBorders>
              <w:top w:val="nil"/>
              <w:left w:val="nil"/>
              <w:bottom w:val="single" w:sz="4" w:space="0" w:color="000000"/>
              <w:right w:val="nil"/>
            </w:tcBorders>
            <w:tcMar>
              <w:top w:w="100" w:type="dxa"/>
              <w:left w:w="43" w:type="dxa"/>
              <w:bottom w:w="43" w:type="dxa"/>
              <w:right w:w="43" w:type="dxa"/>
            </w:tcMar>
          </w:tcPr>
          <w:p w14:paraId="34A969BA" w14:textId="77777777" w:rsidR="00F7113A" w:rsidRPr="00580C0D" w:rsidRDefault="00142E5B" w:rsidP="00BD6CF4">
            <w:pPr>
              <w:jc w:val="right"/>
            </w:pPr>
            <w:r w:rsidRPr="00580C0D">
              <w:t>Nei</w:t>
            </w:r>
          </w:p>
        </w:tc>
      </w:tr>
    </w:tbl>
    <w:p w14:paraId="55762B5F" w14:textId="77777777" w:rsidR="00F7113A" w:rsidRPr="00580C0D" w:rsidRDefault="00142E5B" w:rsidP="001A1B0B">
      <w:pPr>
        <w:pStyle w:val="Overskrift2"/>
        <w:numPr>
          <w:ilvl w:val="1"/>
          <w:numId w:val="34"/>
        </w:numPr>
      </w:pPr>
      <w:r w:rsidRPr="00580C0D">
        <w:t>Stortingssesjon 2022–2023</w:t>
      </w:r>
    </w:p>
    <w:p w14:paraId="316ABC05" w14:textId="77777777" w:rsidR="00F7113A" w:rsidRPr="00580C0D" w:rsidRDefault="00142E5B" w:rsidP="00580C0D">
      <w:pPr>
        <w:pStyle w:val="avsnitt-tittel"/>
      </w:pPr>
      <w:r w:rsidRPr="00580C0D">
        <w:t>Deltagelse i Den europeiske romorganisasjonens frivillige programmer</w:t>
      </w:r>
    </w:p>
    <w:p w14:paraId="66BBE3DB" w14:textId="77777777" w:rsidR="00F7113A" w:rsidRPr="00580C0D" w:rsidRDefault="00142E5B" w:rsidP="00580C0D">
      <w:pPr>
        <w:pStyle w:val="avsnitt-undertittel"/>
      </w:pPr>
      <w:r w:rsidRPr="00580C0D">
        <w:t>Vedtak nr. 53, 22. november 2022</w:t>
      </w:r>
    </w:p>
    <w:p w14:paraId="512132CE" w14:textId="77777777" w:rsidR="00F7113A" w:rsidRPr="00580C0D" w:rsidRDefault="00142E5B" w:rsidP="00580C0D">
      <w:pPr>
        <w:pStyle w:val="blokksit"/>
        <w:rPr>
          <w:rStyle w:val="kursiv"/>
        </w:rPr>
      </w:pPr>
      <w:r w:rsidRPr="00580C0D">
        <w:rPr>
          <w:rStyle w:val="kursiv"/>
        </w:rPr>
        <w:t>«Stortinget ber regjeringen på ESAs ministerrådsmøte 22. og 23. november 2022 varsle at Norge vil opprettholde innbetalingene til ESAs frivillige programmer på dagens nivå, dvs. minimum 161 mill. euro i nye forpliktelser for programperioden frem til 2030.»</w:t>
      </w:r>
    </w:p>
    <w:p w14:paraId="01A6F869" w14:textId="77777777" w:rsidR="00F7113A" w:rsidRPr="00580C0D" w:rsidRDefault="00142E5B" w:rsidP="00580C0D">
      <w:r w:rsidRPr="00580C0D">
        <w:t xml:space="preserve">Vedtaket ble truffet under behandlingen av Dokument 8:36 S (2022–2023) </w:t>
      </w:r>
      <w:r w:rsidRPr="00580C0D">
        <w:rPr>
          <w:rStyle w:val="kursiv"/>
        </w:rPr>
        <w:t>Representantforslag om å opprettholde Norges innbetalinger til Den europeiske romorganisasjonens (ESA) frivillige programmer på dagens nivå</w:t>
      </w:r>
      <w:r w:rsidRPr="00580C0D">
        <w:t xml:space="preserve">, jf. </w:t>
      </w:r>
      <w:proofErr w:type="spellStart"/>
      <w:r w:rsidRPr="00580C0D">
        <w:t>Innst</w:t>
      </w:r>
      <w:proofErr w:type="spellEnd"/>
      <w:r w:rsidRPr="00580C0D">
        <w:t>. 46 S (2022–2023).</w:t>
      </w:r>
    </w:p>
    <w:p w14:paraId="7D947303" w14:textId="77777777" w:rsidR="00F7113A" w:rsidRPr="00580C0D" w:rsidRDefault="00142E5B" w:rsidP="00580C0D">
      <w:r w:rsidRPr="00580C0D">
        <w:t>Regjeringen kunngjorde på ESAs ministerrådsmøte i november 2022 at Norge vil delta med 161 mill. euro i ESAs industrirettede (frivillige) programmer. Dette ble også fulgt opp i behandlingen av statsbudsjettet for 2023.</w:t>
      </w:r>
    </w:p>
    <w:p w14:paraId="430D3400" w14:textId="77777777" w:rsidR="00F7113A" w:rsidRPr="00580C0D" w:rsidRDefault="00142E5B" w:rsidP="00580C0D">
      <w:r w:rsidRPr="00580C0D">
        <w:t>Vedtaket anses med dette som fulgt opp.</w:t>
      </w:r>
    </w:p>
    <w:p w14:paraId="6C90B765" w14:textId="77777777" w:rsidR="00F7113A" w:rsidRPr="00580C0D" w:rsidRDefault="00142E5B" w:rsidP="00580C0D">
      <w:pPr>
        <w:pStyle w:val="avsnitt-tittel"/>
      </w:pPr>
      <w:r w:rsidRPr="00580C0D">
        <w:t>Strategi for vekst i kreativ industri</w:t>
      </w:r>
    </w:p>
    <w:p w14:paraId="06D87DE7" w14:textId="77777777" w:rsidR="00F7113A" w:rsidRPr="00580C0D" w:rsidRDefault="00142E5B" w:rsidP="00580C0D">
      <w:pPr>
        <w:pStyle w:val="avsnitt-undertittel"/>
      </w:pPr>
      <w:r w:rsidRPr="00580C0D">
        <w:t>Vedtak nr. 55, 24. november 2022</w:t>
      </w:r>
    </w:p>
    <w:p w14:paraId="3A62C316" w14:textId="77777777" w:rsidR="00F7113A" w:rsidRPr="00580C0D" w:rsidRDefault="00142E5B" w:rsidP="00580C0D">
      <w:pPr>
        <w:pStyle w:val="blokksit"/>
        <w:rPr>
          <w:rStyle w:val="kursiv"/>
        </w:rPr>
      </w:pPr>
      <w:r w:rsidRPr="00580C0D">
        <w:rPr>
          <w:rStyle w:val="kursiv"/>
        </w:rPr>
        <w:t>«Stortinget ber regjeringen utarbeide og fremme forslag om en strategi for vekst innenfor kreativ industri. Strategien skal ha som mål å øke verdiskapingen og bidra til vekst i antall bedrifter, bærekraftige arbeidsplasser og eksport.»</w:t>
      </w:r>
    </w:p>
    <w:p w14:paraId="79E2F75C" w14:textId="77777777" w:rsidR="00F7113A" w:rsidRPr="00580C0D" w:rsidRDefault="00142E5B" w:rsidP="00580C0D">
      <w:r w:rsidRPr="00580C0D">
        <w:t xml:space="preserve">Vedtaket ble truffet under behandlingen av Dokument 8:244 S (2021–2022) </w:t>
      </w:r>
      <w:r w:rsidRPr="00580C0D">
        <w:rPr>
          <w:rStyle w:val="kursiv"/>
        </w:rPr>
        <w:t xml:space="preserve">Representantforslag fra stortingsrepresentantene Kathy Lie og Torgeir </w:t>
      </w:r>
      <w:proofErr w:type="spellStart"/>
      <w:r w:rsidRPr="00580C0D">
        <w:rPr>
          <w:rStyle w:val="kursiv"/>
        </w:rPr>
        <w:t>Knag</w:t>
      </w:r>
      <w:proofErr w:type="spellEnd"/>
      <w:r w:rsidRPr="00580C0D">
        <w:rPr>
          <w:rStyle w:val="kursiv"/>
        </w:rPr>
        <w:t xml:space="preserve"> Fylkesnes om et nasjonalt løft for kreative næringer</w:t>
      </w:r>
      <w:r w:rsidRPr="00580C0D">
        <w:t xml:space="preserve">, jf. </w:t>
      </w:r>
      <w:proofErr w:type="spellStart"/>
      <w:r w:rsidRPr="00580C0D">
        <w:t>Innst</w:t>
      </w:r>
      <w:proofErr w:type="spellEnd"/>
      <w:r w:rsidRPr="00580C0D">
        <w:t>. 58 S (2022–2023).</w:t>
      </w:r>
    </w:p>
    <w:p w14:paraId="1338727F" w14:textId="77777777" w:rsidR="00F7113A" w:rsidRPr="00580C0D" w:rsidRDefault="00142E5B" w:rsidP="00580C0D">
      <w:r w:rsidRPr="00580C0D">
        <w:t>Regjeringen følger opp representantforslag om å utarbeide en strategi for vekst innenfor kreativ industri, blant annet gjennom videreutviklingen av det næringsrettede virkemiddelapparatet. De generelle virkemidlene kan også være relevante for disse næringene. Regjeringen vil på egnet måte komme tilbake til Stortinget om hvordan strategien følges opp.</w:t>
      </w:r>
    </w:p>
    <w:p w14:paraId="778D1F2A" w14:textId="77777777" w:rsidR="00F7113A" w:rsidRPr="00580C0D" w:rsidRDefault="00142E5B" w:rsidP="00580C0D">
      <w:pPr>
        <w:pStyle w:val="avsnitt-tittel"/>
      </w:pPr>
      <w:r w:rsidRPr="00580C0D">
        <w:t>Gjennomgang av virkemiddelapparatet for kulturnæringer</w:t>
      </w:r>
    </w:p>
    <w:p w14:paraId="7BF194D3" w14:textId="77777777" w:rsidR="00F7113A" w:rsidRPr="00580C0D" w:rsidRDefault="00142E5B" w:rsidP="00580C0D">
      <w:pPr>
        <w:pStyle w:val="avsnitt-undertittel"/>
      </w:pPr>
      <w:r w:rsidRPr="00580C0D">
        <w:t>Vedtak nr. 56, 24. november 2022</w:t>
      </w:r>
    </w:p>
    <w:p w14:paraId="7DE76B8B" w14:textId="77777777" w:rsidR="00F7113A" w:rsidRPr="00580C0D" w:rsidRDefault="00142E5B" w:rsidP="00580C0D">
      <w:pPr>
        <w:pStyle w:val="blokksit"/>
        <w:rPr>
          <w:rStyle w:val="kursiv"/>
        </w:rPr>
      </w:pPr>
      <w:r w:rsidRPr="00580C0D">
        <w:rPr>
          <w:rStyle w:val="kursiv"/>
        </w:rPr>
        <w:t>«Stortinget ber regjeringen gjennomgå hele virkemiddelapparatet for kulturelle næringer og vurdere hvordan man kan sikre bedre koordinering, herunder om det kan være hensiktsmessig å samle flere virkemidler for kulturnæringer i Innovasjon Norge, samt sørge for at Innovasjon Norges kulturnæringskompetanse styrkes.»</w:t>
      </w:r>
    </w:p>
    <w:p w14:paraId="3215AE4E" w14:textId="77777777" w:rsidR="00F7113A" w:rsidRPr="00580C0D" w:rsidRDefault="00142E5B" w:rsidP="00580C0D">
      <w:r w:rsidRPr="00580C0D">
        <w:t xml:space="preserve">Vedtaket ble truffet under behandlingen av Dokument 8:244 S (2021–2022) </w:t>
      </w:r>
      <w:r w:rsidRPr="00580C0D">
        <w:rPr>
          <w:rStyle w:val="kursiv"/>
        </w:rPr>
        <w:t xml:space="preserve">Representantforslag fra stortingsrepresentantene Kathy Lie og Torgeir </w:t>
      </w:r>
      <w:proofErr w:type="spellStart"/>
      <w:r w:rsidRPr="00580C0D">
        <w:rPr>
          <w:rStyle w:val="kursiv"/>
        </w:rPr>
        <w:t>Knag</w:t>
      </w:r>
      <w:proofErr w:type="spellEnd"/>
      <w:r w:rsidRPr="00580C0D">
        <w:rPr>
          <w:rStyle w:val="kursiv"/>
        </w:rPr>
        <w:t xml:space="preserve"> Fylkesnes om et nasjonalt løft for kreative næringer</w:t>
      </w:r>
      <w:r w:rsidRPr="00580C0D">
        <w:t xml:space="preserve">, jf. </w:t>
      </w:r>
      <w:proofErr w:type="spellStart"/>
      <w:r w:rsidRPr="00580C0D">
        <w:t>Innst</w:t>
      </w:r>
      <w:proofErr w:type="spellEnd"/>
      <w:r w:rsidRPr="00580C0D">
        <w:t>. 58 S (2022–2023).</w:t>
      </w:r>
    </w:p>
    <w:p w14:paraId="04CCB517" w14:textId="77777777" w:rsidR="00F7113A" w:rsidRPr="00580C0D" w:rsidRDefault="00142E5B" w:rsidP="00580C0D">
      <w:r w:rsidRPr="00580C0D">
        <w:t xml:space="preserve">Regjeringen arbeider med å videreutvikle det næringsrettede virkemiddelapparatet. Regjeringen er blant annet i gang med å kartlegge næringslivets brukerreiser gjennom virkemiddelapparatet, og Innovasjon Norge er sammen med Siva, Forskningsrådet, Eksfin og Agder og </w:t>
      </w:r>
      <w:proofErr w:type="spellStart"/>
      <w:r w:rsidRPr="00580C0D">
        <w:t>Vestland</w:t>
      </w:r>
      <w:proofErr w:type="spellEnd"/>
      <w:r w:rsidRPr="00580C0D">
        <w:t xml:space="preserve"> fylkeskommuner i gang med å opprette en felles digital inngang. Gjennom regjeringens eksportstrategi «Hele Norge eksporterer» er det lagt til grunn at det er næringslivet selv gjennom Nasjonalt eksportråd, som foreslår nye nasjonale eksportfremmesatsinger. Design- og ferdigvareindustrien er en av de neste prioriterte satsingene. En rekke offentlige eksportrettede virkemidler kan være relevante for de kulturell og kreative næringene. Videre vil det være en rekke kulturpolitiske virkemidler som direkte bidrar til økonomisk aktivitet, eller som indirekte kan bidra til økonomisk verdiskaping blant kulturbedrifter og selvstendig næringsdrivende i kultursektoren. Innovasjon Norge tilbyr både rådgivings- og kompetansetjenester for å fremme bredden av norsk næringsliv i utlandet og organiserer også bidrag på internasjonale messer i utlandet.</w:t>
      </w:r>
    </w:p>
    <w:p w14:paraId="3C4BE329" w14:textId="77777777" w:rsidR="00F7113A" w:rsidRPr="00580C0D" w:rsidRDefault="00142E5B" w:rsidP="00580C0D">
      <w:r w:rsidRPr="00580C0D">
        <w:t>Regjeringen vil på egnet måte komme tilbake til Stortinget om hvordan anmodningsvedtaket følges opp.</w:t>
      </w:r>
    </w:p>
    <w:p w14:paraId="46567163" w14:textId="77777777" w:rsidR="00F7113A" w:rsidRPr="00580C0D" w:rsidRDefault="00142E5B" w:rsidP="00580C0D">
      <w:pPr>
        <w:pStyle w:val="avsnitt-tittel"/>
      </w:pPr>
      <w:r w:rsidRPr="00580C0D">
        <w:t>Opphevelse av boligstiftelser opprettet av kommune og boligbyggelag</w:t>
      </w:r>
    </w:p>
    <w:p w14:paraId="7D48C677" w14:textId="77777777" w:rsidR="00F7113A" w:rsidRPr="00580C0D" w:rsidRDefault="00142E5B" w:rsidP="00580C0D">
      <w:pPr>
        <w:pStyle w:val="avsnitt-undertittel"/>
      </w:pPr>
      <w:r w:rsidRPr="00580C0D">
        <w:t>Vedtak nr. 68, 29. november 2022</w:t>
      </w:r>
    </w:p>
    <w:p w14:paraId="6BF2CBD3" w14:textId="77777777" w:rsidR="00F7113A" w:rsidRPr="00580C0D" w:rsidRDefault="00142E5B" w:rsidP="00580C0D">
      <w:pPr>
        <w:pStyle w:val="blokksit"/>
        <w:rPr>
          <w:rStyle w:val="kursiv"/>
        </w:rPr>
      </w:pPr>
      <w:r w:rsidRPr="00580C0D">
        <w:rPr>
          <w:rStyle w:val="kursiv"/>
        </w:rPr>
        <w:t>«Stortinget ber regjeringen komme tilbake til Stortinget med en sak om hvordan hjemmel for oppløsning av stiftelser som er etablert av kommune eller fylkeskommune sammen med boligbyggelag, kan utformes.»</w:t>
      </w:r>
    </w:p>
    <w:p w14:paraId="5C823C96" w14:textId="77777777" w:rsidR="00F7113A" w:rsidRPr="00580C0D" w:rsidRDefault="00142E5B" w:rsidP="00580C0D">
      <w:r w:rsidRPr="00580C0D">
        <w:t xml:space="preserve">Vedtaket ble truffet under behandlingen av </w:t>
      </w:r>
      <w:proofErr w:type="spellStart"/>
      <w:r w:rsidRPr="00580C0D">
        <w:t>Prop</w:t>
      </w:r>
      <w:proofErr w:type="spellEnd"/>
      <w:r w:rsidRPr="00580C0D">
        <w:t xml:space="preserve">. 135 L (2021–2022) </w:t>
      </w:r>
      <w:r w:rsidRPr="00580C0D">
        <w:rPr>
          <w:rStyle w:val="kursiv"/>
        </w:rPr>
        <w:t>Endringer i stiftelsesloven (opphevelse av boligstiftelser opprettet av kommuner)</w:t>
      </w:r>
      <w:r w:rsidRPr="00580C0D">
        <w:t>,</w:t>
      </w:r>
      <w:r w:rsidRPr="00580C0D">
        <w:rPr>
          <w:rStyle w:val="kursiv"/>
        </w:rPr>
        <w:t xml:space="preserve"> </w:t>
      </w:r>
      <w:r w:rsidRPr="00580C0D">
        <w:t xml:space="preserve">jf. </w:t>
      </w:r>
      <w:proofErr w:type="spellStart"/>
      <w:r w:rsidRPr="00580C0D">
        <w:t>Innst</w:t>
      </w:r>
      <w:proofErr w:type="spellEnd"/>
      <w:r w:rsidRPr="00580C0D">
        <w:t>. 73 L (2022–2023).</w:t>
      </w:r>
    </w:p>
    <w:p w14:paraId="0B5B25BB" w14:textId="77777777" w:rsidR="00F7113A" w:rsidRPr="00580C0D" w:rsidRDefault="00142E5B" w:rsidP="00580C0D">
      <w:r w:rsidRPr="00580C0D">
        <w:t>Regjeringen vil utrede hvordan regler om opphevelse av boligstiftelser hvor et privat rettssubjekt er blant oppretterne kan utformes i samsvar med norsk rett. Det er i 2023 gjennomført en kartlegging av hvor mange stiftelser en eventuell lovhjemmel vil gjelde for og hvilken rolle boligbyggelagene hadde ved opprettelsen.</w:t>
      </w:r>
    </w:p>
    <w:p w14:paraId="42C3253D" w14:textId="77777777" w:rsidR="00F7113A" w:rsidRPr="00580C0D" w:rsidRDefault="00142E5B" w:rsidP="00580C0D">
      <w:r w:rsidRPr="00580C0D">
        <w:t>Regjeringen vil følge opp vedtaket og komme tilbake til Stortinget på egnet måte.</w:t>
      </w:r>
    </w:p>
    <w:p w14:paraId="537878BD" w14:textId="77777777" w:rsidR="00F7113A" w:rsidRPr="00580C0D" w:rsidRDefault="00142E5B" w:rsidP="00580C0D">
      <w:pPr>
        <w:pStyle w:val="avsnitt-tittel"/>
      </w:pPr>
      <w:r w:rsidRPr="00580C0D">
        <w:t>Høring om endringer i regelverk for fiske etter torsk med fartøy av visse størrelser</w:t>
      </w:r>
    </w:p>
    <w:p w14:paraId="4FBCD3DC" w14:textId="77777777" w:rsidR="00F7113A" w:rsidRPr="00580C0D" w:rsidRDefault="00142E5B" w:rsidP="00580C0D">
      <w:pPr>
        <w:pStyle w:val="avsnitt-undertittel"/>
      </w:pPr>
      <w:r w:rsidRPr="00580C0D">
        <w:t>Vedtak nr. 85, 1. desember 2022</w:t>
      </w:r>
    </w:p>
    <w:p w14:paraId="1A1879AA" w14:textId="77777777" w:rsidR="00F7113A" w:rsidRPr="00580C0D" w:rsidRDefault="00142E5B" w:rsidP="00580C0D">
      <w:pPr>
        <w:pStyle w:val="blokksit"/>
        <w:rPr>
          <w:rStyle w:val="kursiv"/>
        </w:rPr>
      </w:pPr>
      <w:r w:rsidRPr="00580C0D">
        <w:rPr>
          <w:rStyle w:val="kursiv"/>
        </w:rPr>
        <w:t>«Stortinget ber regjeringen i løpet av 2022 sende på høring forslag om nye regler om at fiske etter torsk med fartøy over 21 meter må skje utenfor grunnlinjen, og at fartøy over 28 meter må fiske utenfor 4 nautiske mil av grunnlinjen. Forslaget vil innebære et forbud mot fiske av torsk med de angitte fartøygruppene innenfor disse grensene. Formålet med endringen som sendes på høring er å få på plass en betydelig innskjerping sammenlignet med dagens praksis.»</w:t>
      </w:r>
    </w:p>
    <w:p w14:paraId="380020F6" w14:textId="77777777" w:rsidR="00F7113A" w:rsidRPr="00580C0D" w:rsidRDefault="00142E5B" w:rsidP="00580C0D">
      <w:r w:rsidRPr="00580C0D">
        <w:t xml:space="preserve">Vedtaket ble truffet under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77FD4BAA" w14:textId="77777777" w:rsidR="00F7113A" w:rsidRPr="00580C0D" w:rsidRDefault="00142E5B" w:rsidP="00580C0D">
      <w:r w:rsidRPr="00580C0D">
        <w:t xml:space="preserve">Det er gjennomført høring om grunnlinje- og fjordlinjereguleringer, spørsmål om hvor kystnært de større fartøyene skal kunne fiske etter torsk, samt problematikk knyttet til gytefelt for kysttorsk i fisket etter torsk nord for 62° N. Nærings- og fiskeridepartementet har besluttet å innføre tiltak med virkning fra 26. mai 2023 for alle fartøy over 21 meter som fisker etter torsk, hyse og sei med konvensjonelle redskaper nord for 62° N. Tiltakene skal bidra til å redusere presset på kysttorsken og til å gjenoppbygge bestanden, samt bidra til å redusere areal- og redskapskonflikter nord for 62° N. Den delen av høringen som omfattet forslag til tiltak knyttet til gytefelt for kysttorsk, blant annet om redskap og </w:t>
      </w:r>
      <w:proofErr w:type="spellStart"/>
      <w:r w:rsidRPr="00580C0D">
        <w:t>minstemålsbestemmelser</w:t>
      </w:r>
      <w:proofErr w:type="spellEnd"/>
      <w:r w:rsidRPr="00580C0D">
        <w:t>, er til vurdering med sikte på iverksettelse av tiltak fra 2024.</w:t>
      </w:r>
    </w:p>
    <w:p w14:paraId="4B4CB1D7" w14:textId="77777777" w:rsidR="00F7113A" w:rsidRPr="00580C0D" w:rsidRDefault="00142E5B" w:rsidP="00580C0D">
      <w:r w:rsidRPr="00580C0D">
        <w:t>Vedtaket anses med dette som fulgt opp.</w:t>
      </w:r>
    </w:p>
    <w:p w14:paraId="584F7353" w14:textId="77777777" w:rsidR="00F7113A" w:rsidRPr="00580C0D" w:rsidRDefault="00142E5B" w:rsidP="00580C0D">
      <w:pPr>
        <w:pStyle w:val="avsnitt-tittel"/>
      </w:pPr>
      <w:r w:rsidRPr="00580C0D">
        <w:t>Innkjøps- og anskaffelsesstrategi for å sikre at miljøhensyn, kutt i klimagassutslipp og seriøsitet vektlegges i offentlige innkjøp</w:t>
      </w:r>
    </w:p>
    <w:p w14:paraId="7B081868" w14:textId="77777777" w:rsidR="00F7113A" w:rsidRPr="00580C0D" w:rsidRDefault="00142E5B" w:rsidP="00580C0D">
      <w:pPr>
        <w:pStyle w:val="avsnitt-undertittel"/>
      </w:pPr>
      <w:r w:rsidRPr="00580C0D">
        <w:t>Vedtak nr. 97, 1. desember 2022</w:t>
      </w:r>
    </w:p>
    <w:p w14:paraId="009D4525" w14:textId="77777777" w:rsidR="00F7113A" w:rsidRPr="00580C0D" w:rsidRDefault="00142E5B" w:rsidP="00580C0D">
      <w:pPr>
        <w:pStyle w:val="blokksit"/>
        <w:rPr>
          <w:rStyle w:val="kursiv"/>
        </w:rPr>
      </w:pPr>
      <w:r w:rsidRPr="00580C0D">
        <w:rPr>
          <w:rStyle w:val="kursiv"/>
        </w:rPr>
        <w:t>«Stortinget ber regjeringen utarbeide en innkjøps- og anskaffelsesstrategi for å sikre at miljøhensyn, kutt i klimagassutslipp og seriøsitet vektlegges i offentlige innkjøp. Strategien skal utarbeides i samarbeid med partene i arbeidslivet og det skal rapporteres til Stortinget i statsbudsjettet for 2024.»</w:t>
      </w:r>
    </w:p>
    <w:p w14:paraId="2C725D8E" w14:textId="77777777" w:rsidR="00F7113A" w:rsidRPr="00580C0D" w:rsidRDefault="00142E5B" w:rsidP="00580C0D">
      <w:r w:rsidRPr="00580C0D">
        <w:t xml:space="preserve">Vedtaket ble truffet under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(2020–2021).</w:t>
      </w:r>
    </w:p>
    <w:p w14:paraId="3A7BE482" w14:textId="77777777" w:rsidR="00F7113A" w:rsidRPr="00580C0D" w:rsidRDefault="00142E5B" w:rsidP="00580C0D">
      <w:r w:rsidRPr="00580C0D">
        <w:t xml:space="preserve">Regjeringens strategi for arbeidet med offentlige anskaffelser er redegjort for under programkategori 17.10 i </w:t>
      </w:r>
      <w:proofErr w:type="spellStart"/>
      <w:r w:rsidRPr="00580C0D">
        <w:t>Prop</w:t>
      </w:r>
      <w:proofErr w:type="spellEnd"/>
      <w:r w:rsidRPr="00580C0D">
        <w:t>. 1 S (2023–2024) for Nærings- og fiskeridepartementet. Strategien er forankret med partene i arbeidslivet.</w:t>
      </w:r>
    </w:p>
    <w:p w14:paraId="3DFA1EFD" w14:textId="77777777" w:rsidR="00F7113A" w:rsidRPr="00580C0D" w:rsidRDefault="00142E5B" w:rsidP="00580C0D">
      <w:r w:rsidRPr="00580C0D">
        <w:t>Vedtaket anses med dette som fulgt opp.</w:t>
      </w:r>
    </w:p>
    <w:p w14:paraId="3F83A448" w14:textId="77777777" w:rsidR="00F7113A" w:rsidRPr="00580C0D" w:rsidRDefault="00142E5B" w:rsidP="00580C0D">
      <w:pPr>
        <w:pStyle w:val="avsnitt-tittel"/>
      </w:pPr>
      <w:r w:rsidRPr="00580C0D">
        <w:t xml:space="preserve">Krav om </w:t>
      </w:r>
      <w:proofErr w:type="spellStart"/>
      <w:r w:rsidRPr="00580C0D">
        <w:t>tilbakefylling</w:t>
      </w:r>
      <w:proofErr w:type="spellEnd"/>
      <w:r w:rsidRPr="00580C0D">
        <w:t xml:space="preserve"> og ressursutnyttelse for gruvedrift i Norge</w:t>
      </w:r>
    </w:p>
    <w:p w14:paraId="384225DD" w14:textId="77777777" w:rsidR="00F7113A" w:rsidRPr="00580C0D" w:rsidRDefault="00142E5B" w:rsidP="00580C0D">
      <w:pPr>
        <w:pStyle w:val="avsnitt-undertittel"/>
      </w:pPr>
      <w:r w:rsidRPr="00580C0D">
        <w:t>Vedtak nr. 99, 1. desember 2022</w:t>
      </w:r>
    </w:p>
    <w:p w14:paraId="5CB3629B" w14:textId="77777777" w:rsidR="00F7113A" w:rsidRPr="00580C0D" w:rsidRDefault="00142E5B" w:rsidP="00580C0D">
      <w:pPr>
        <w:pStyle w:val="blokksit"/>
        <w:rPr>
          <w:rStyle w:val="kursiv"/>
        </w:rPr>
      </w:pPr>
      <w:r w:rsidRPr="00580C0D">
        <w:rPr>
          <w:rStyle w:val="kursiv"/>
        </w:rPr>
        <w:t xml:space="preserve">«Stortinget ber regjeringen i løpet av 2023 stille strengere krav til gruvevirksomhet om </w:t>
      </w:r>
      <w:proofErr w:type="spellStart"/>
      <w:r w:rsidRPr="00580C0D">
        <w:rPr>
          <w:rStyle w:val="kursiv"/>
        </w:rPr>
        <w:t>tilbakefylling</w:t>
      </w:r>
      <w:proofErr w:type="spellEnd"/>
      <w:r w:rsidRPr="00580C0D">
        <w:rPr>
          <w:rStyle w:val="kursiv"/>
        </w:rPr>
        <w:t xml:space="preserve"> og økt ressursutnyttelse.»</w:t>
      </w:r>
    </w:p>
    <w:p w14:paraId="68DAAD8C" w14:textId="77777777" w:rsidR="00F7113A" w:rsidRPr="00580C0D" w:rsidRDefault="00142E5B" w:rsidP="00580C0D">
      <w:r w:rsidRPr="00580C0D">
        <w:t xml:space="preserve">Vedtaket ble truffet under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2840BA83" w14:textId="77777777" w:rsidR="00F7113A" w:rsidRPr="00580C0D" w:rsidRDefault="00142E5B" w:rsidP="00580C0D">
      <w:r w:rsidRPr="00580C0D">
        <w:t xml:space="preserve">Regjeringens mineralstrategi ble lagt fram den 21. juni 2023. Regjeringens ambisjon er at Norge skal utvikle verdens mest bærekraftige mineralnæring. Langsiktig og bærekraftig forvaltning av ressurser er et grunnprinsipp i regjeringens politikk. Økt </w:t>
      </w:r>
      <w:proofErr w:type="spellStart"/>
      <w:r w:rsidRPr="00580C0D">
        <w:t>sirkularitet</w:t>
      </w:r>
      <w:proofErr w:type="spellEnd"/>
      <w:r w:rsidRPr="00580C0D">
        <w:t xml:space="preserve"> og mer gjenvinning er viktig for å sikre en bærekraftig ressursbruk.</w:t>
      </w:r>
    </w:p>
    <w:p w14:paraId="56400795" w14:textId="77777777" w:rsidR="00F7113A" w:rsidRPr="00580C0D" w:rsidRDefault="00142E5B" w:rsidP="00580C0D">
      <w:r w:rsidRPr="00580C0D">
        <w:t>I regjeringens mineralstrategi framkommer det blant annet at regjeringen vil:</w:t>
      </w:r>
    </w:p>
    <w:p w14:paraId="716FD0B8" w14:textId="77777777" w:rsidR="00F7113A" w:rsidRPr="00580C0D" w:rsidRDefault="00142E5B" w:rsidP="00580C0D">
      <w:pPr>
        <w:pStyle w:val="Liste"/>
      </w:pPr>
      <w:r w:rsidRPr="00580C0D">
        <w:t>Stille krav om at andelen overskuddsmasser minimeres i alle prosesser der det er gjennomførbart, basert på beste teknologi og beste tilgjengelige forretningsmodeller og drifts- og deponeringsmetoder.</w:t>
      </w:r>
    </w:p>
    <w:p w14:paraId="69A70AC4" w14:textId="77777777" w:rsidR="00F7113A" w:rsidRPr="00580C0D" w:rsidRDefault="00142E5B" w:rsidP="00580C0D">
      <w:pPr>
        <w:pStyle w:val="Liste"/>
      </w:pPr>
      <w:r w:rsidRPr="00580C0D">
        <w:t>Stille krav om at nye mineralprosjekter skal legge fram en sirkulær forretningsplan, slik at man på den måten reduserer omfanget av deponerte masser og bidrar til bedre ressursutnyttelse og mindre naturbelastning.</w:t>
      </w:r>
    </w:p>
    <w:p w14:paraId="4854FF02" w14:textId="77777777" w:rsidR="00F7113A" w:rsidRPr="00580C0D" w:rsidRDefault="00142E5B" w:rsidP="00580C0D">
      <w:pPr>
        <w:pStyle w:val="Liste"/>
      </w:pPr>
      <w:r w:rsidRPr="00580C0D">
        <w:t>Stille krav om at tiltakshaver skal utarbeide planer for årlig reduksjon av overskuddsmasser, kjemikaliebruk og annen miljøpåvirkning.</w:t>
      </w:r>
    </w:p>
    <w:p w14:paraId="7FC7C897" w14:textId="77777777" w:rsidR="00F7113A" w:rsidRPr="00580C0D" w:rsidRDefault="00142E5B" w:rsidP="00580C0D">
      <w:pPr>
        <w:pStyle w:val="Liste"/>
      </w:pPr>
      <w:r w:rsidRPr="00580C0D">
        <w:t>At før nye prosjekter godkjennes skal tiltakshaver dokumentere behovet for å ta ut jomfruelige ressurser framfor gjenbruk av tidligere uttatte ressurser og hvordan ressurser som tas ut vil kunne inngå i sirkulære verdikjeder og forretningsmodeller.</w:t>
      </w:r>
    </w:p>
    <w:p w14:paraId="2E673308" w14:textId="77777777" w:rsidR="00F7113A" w:rsidRPr="00580C0D" w:rsidRDefault="00142E5B" w:rsidP="00580C0D">
      <w:pPr>
        <w:pStyle w:val="Liste"/>
      </w:pPr>
      <w:r w:rsidRPr="00580C0D">
        <w:t xml:space="preserve">Styrke ressursperspektivet i mineralloven for å sikre at mineralressurser utnyttes </w:t>
      </w:r>
      <w:proofErr w:type="gramStart"/>
      <w:r w:rsidRPr="00580C0D">
        <w:t>optimalt</w:t>
      </w:r>
      <w:proofErr w:type="gramEnd"/>
      <w:r w:rsidRPr="00580C0D">
        <w:t xml:space="preserve"> og at det foretas gode vurderinger av bruk for alle masser som tas ut ved utvinning.</w:t>
      </w:r>
    </w:p>
    <w:p w14:paraId="481D7C38" w14:textId="77777777" w:rsidR="00F7113A" w:rsidRPr="00580C0D" w:rsidRDefault="00142E5B" w:rsidP="00580C0D">
      <w:r w:rsidRPr="00580C0D">
        <w:t xml:space="preserve">Anmodningsvedtaket følges opp videre gjennom implementering av tiltakene i regjeringens mineralstrategi. Det må vurderes nærmere hvilke tiltak som krever endringer i lov og forskrift. Vurdering av endringer i lov og forskrift vil foretas i det pågående arbeidet med oppfølging av NOU 2022:8 </w:t>
      </w:r>
      <w:r w:rsidRPr="00580C0D">
        <w:rPr>
          <w:rStyle w:val="kursiv"/>
        </w:rPr>
        <w:t>Ny minerallov</w:t>
      </w:r>
      <w:r w:rsidRPr="00580C0D">
        <w:t>.</w:t>
      </w:r>
    </w:p>
    <w:p w14:paraId="2E3340AB" w14:textId="77777777" w:rsidR="00F7113A" w:rsidRPr="00580C0D" w:rsidRDefault="00142E5B" w:rsidP="00580C0D">
      <w:r w:rsidRPr="00580C0D">
        <w:t>Vedtaket anses med dette som fulgt opp.</w:t>
      </w:r>
    </w:p>
    <w:p w14:paraId="7F44AF2B" w14:textId="77777777" w:rsidR="00F7113A" w:rsidRPr="00580C0D" w:rsidRDefault="00142E5B" w:rsidP="00580C0D">
      <w:pPr>
        <w:pStyle w:val="avsnitt-tittel"/>
      </w:pPr>
      <w:r w:rsidRPr="00580C0D">
        <w:t>Samlokalisering av Havforskningsinstituttet og Fiskeridirektoratet</w:t>
      </w:r>
    </w:p>
    <w:p w14:paraId="0900F6AA" w14:textId="77777777" w:rsidR="00F7113A" w:rsidRPr="00580C0D" w:rsidRDefault="00142E5B" w:rsidP="00580C0D">
      <w:pPr>
        <w:pStyle w:val="avsnitt-undertittel"/>
      </w:pPr>
      <w:r w:rsidRPr="00580C0D">
        <w:t>Vedtak nr. 122, 1. desember 2021</w:t>
      </w:r>
    </w:p>
    <w:p w14:paraId="05039CEC" w14:textId="77777777" w:rsidR="00F7113A" w:rsidRPr="00580C0D" w:rsidRDefault="00142E5B" w:rsidP="00580C0D">
      <w:pPr>
        <w:pStyle w:val="blokksit"/>
        <w:rPr>
          <w:rStyle w:val="kursiv"/>
        </w:rPr>
      </w:pPr>
      <w:r w:rsidRPr="00580C0D">
        <w:rPr>
          <w:rStyle w:val="kursiv"/>
        </w:rPr>
        <w:t>«Stortinget ber regjeringen om å ikke skrinlegge prosjektet for samlokalisering av Havforskningsinstituttet og Fiskeridirektoratet på Dokken-området i Bergen.»</w:t>
      </w:r>
    </w:p>
    <w:p w14:paraId="76A7AFF2" w14:textId="77777777" w:rsidR="00F7113A" w:rsidRPr="00580C0D" w:rsidRDefault="00142E5B" w:rsidP="00580C0D">
      <w:r w:rsidRPr="00580C0D">
        <w:t xml:space="preserve">Vedtaket ble truffet under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1A15C92F" w14:textId="77777777" w:rsidR="00F7113A" w:rsidRPr="00580C0D" w:rsidRDefault="00142E5B" w:rsidP="00580C0D">
      <w:r w:rsidRPr="00580C0D">
        <w:t>Forprosjektet for samlokalisering av Havforskningsinstituttet og Fiskeridirektoratet på Dokken-området i Bergen er videreført.</w:t>
      </w:r>
    </w:p>
    <w:p w14:paraId="50D3C3B3" w14:textId="77777777" w:rsidR="00F7113A" w:rsidRPr="00580C0D" w:rsidRDefault="00142E5B" w:rsidP="00580C0D">
      <w:r w:rsidRPr="00580C0D">
        <w:t>Vedtaket anses med dette som fulgt opp.</w:t>
      </w:r>
    </w:p>
    <w:p w14:paraId="670789A2" w14:textId="77777777" w:rsidR="00F7113A" w:rsidRPr="00580C0D" w:rsidRDefault="00142E5B" w:rsidP="00580C0D">
      <w:pPr>
        <w:pStyle w:val="avsnitt-tittel"/>
      </w:pPr>
      <w:r w:rsidRPr="00580C0D">
        <w:t>Strategi for fôrråvarer</w:t>
      </w:r>
    </w:p>
    <w:p w14:paraId="2738035D" w14:textId="77777777" w:rsidR="00F7113A" w:rsidRPr="00580C0D" w:rsidRDefault="00142E5B" w:rsidP="00580C0D">
      <w:pPr>
        <w:pStyle w:val="avsnitt-undertittel"/>
      </w:pPr>
      <w:r w:rsidRPr="00580C0D">
        <w:t>Vedtak nr. 381, 19. desember 2022</w:t>
      </w:r>
    </w:p>
    <w:p w14:paraId="2AE5D5C3" w14:textId="77777777" w:rsidR="00F7113A" w:rsidRPr="00580C0D" w:rsidRDefault="00142E5B" w:rsidP="00580C0D">
      <w:pPr>
        <w:pStyle w:val="blokksit"/>
        <w:rPr>
          <w:rStyle w:val="kursiv"/>
        </w:rPr>
      </w:pPr>
      <w:r w:rsidRPr="00580C0D">
        <w:rPr>
          <w:rStyle w:val="kursiv"/>
        </w:rPr>
        <w:t>«Stortinget ber regjeringen utvikle en strategi for fôr-råvarer, med den hensikt å gjøre havbruksnæringen mer bærekraftig og uavhengig av import.»</w:t>
      </w:r>
    </w:p>
    <w:p w14:paraId="4E465E8C" w14:textId="77777777" w:rsidR="00F7113A" w:rsidRPr="00580C0D" w:rsidRDefault="00142E5B" w:rsidP="00580C0D">
      <w:r w:rsidRPr="00580C0D">
        <w:t xml:space="preserve">Vedtaket ble truffet under behandlingen av Dokument 8:269 S (2021–2022) </w:t>
      </w:r>
      <w:r w:rsidRPr="00580C0D">
        <w:rPr>
          <w:rStyle w:val="kursiv"/>
        </w:rPr>
        <w:t xml:space="preserve">Representantforslag fra stortingsrepresentantene Alfred Jens Bjørlo, Guri Melby og Sofie </w:t>
      </w:r>
      <w:proofErr w:type="spellStart"/>
      <w:r w:rsidRPr="00580C0D">
        <w:rPr>
          <w:rStyle w:val="kursiv"/>
        </w:rPr>
        <w:t>Høgestøl</w:t>
      </w:r>
      <w:proofErr w:type="spellEnd"/>
      <w:r w:rsidRPr="00580C0D">
        <w:rPr>
          <w:rStyle w:val="kursiv"/>
        </w:rPr>
        <w:t xml:space="preserve"> om en omstillingspakke for Finnmark</w:t>
      </w:r>
      <w:r w:rsidRPr="00580C0D">
        <w:t xml:space="preserve">, jf. </w:t>
      </w:r>
      <w:proofErr w:type="spellStart"/>
      <w:r w:rsidRPr="00580C0D">
        <w:t>Innst</w:t>
      </w:r>
      <w:proofErr w:type="spellEnd"/>
      <w:r w:rsidRPr="00580C0D">
        <w:t>. 95 S (2022–2023).</w:t>
      </w:r>
    </w:p>
    <w:p w14:paraId="7CA61059" w14:textId="77777777" w:rsidR="00F7113A" w:rsidRPr="00580C0D" w:rsidRDefault="00142E5B" w:rsidP="00580C0D">
      <w:r w:rsidRPr="00580C0D">
        <w:t xml:space="preserve">I Meld. St. 5 (2022–2023) </w:t>
      </w:r>
      <w:r w:rsidRPr="00580C0D">
        <w:rPr>
          <w:rStyle w:val="kursiv"/>
        </w:rPr>
        <w:t>Langtidsplan for forsking og høyere utdanning 2023–2032</w:t>
      </w:r>
      <w:r w:rsidRPr="00580C0D">
        <w:t xml:space="preserve"> lanserte regjeringen et samfunnsoppdrag om bærekraftig fôr med mål om at alt fôr til oppdrettsfisk og husdyr skal komme fra bærekraftige kilder og bidra til å redusere klimagassutslippene i </w:t>
      </w:r>
      <w:proofErr w:type="spellStart"/>
      <w:r w:rsidRPr="00580C0D">
        <w:t>matsystemene</w:t>
      </w:r>
      <w:proofErr w:type="spellEnd"/>
      <w:r w:rsidRPr="00580C0D">
        <w:t xml:space="preserve">. Stortinget sluttet seg til dette, jf. </w:t>
      </w:r>
      <w:proofErr w:type="spellStart"/>
      <w:r w:rsidRPr="00580C0D">
        <w:t>Innst</w:t>
      </w:r>
      <w:proofErr w:type="spellEnd"/>
      <w:r w:rsidRPr="00580C0D">
        <w:t>. 170 S (2022–2023).</w:t>
      </w:r>
    </w:p>
    <w:p w14:paraId="09CE3154" w14:textId="77777777" w:rsidR="00F7113A" w:rsidRPr="00580C0D" w:rsidRDefault="00142E5B" w:rsidP="00580C0D">
      <w:r w:rsidRPr="00580C0D">
        <w:t>Se også omtale av vedtak nr. 698, 23. mai 2023.</w:t>
      </w:r>
    </w:p>
    <w:p w14:paraId="464714E5" w14:textId="77777777" w:rsidR="00F7113A" w:rsidRPr="00580C0D" w:rsidRDefault="00142E5B" w:rsidP="00580C0D">
      <w:r w:rsidRPr="00580C0D">
        <w:t>Vedtaket anses med dette som fulgt opp.</w:t>
      </w:r>
    </w:p>
    <w:p w14:paraId="2FF96391" w14:textId="77777777" w:rsidR="00F7113A" w:rsidRPr="00580C0D" w:rsidRDefault="00142E5B" w:rsidP="00580C0D">
      <w:pPr>
        <w:pStyle w:val="avsnitt-tittel"/>
      </w:pPr>
      <w:r w:rsidRPr="00580C0D">
        <w:t>Utvikling og profilering av Finnmark som destinasjon innen reiseliv</w:t>
      </w:r>
    </w:p>
    <w:p w14:paraId="0D6D8B5E" w14:textId="77777777" w:rsidR="00F7113A" w:rsidRPr="00580C0D" w:rsidRDefault="00142E5B" w:rsidP="00580C0D">
      <w:pPr>
        <w:pStyle w:val="avsnitt-undertittel"/>
      </w:pPr>
      <w:r w:rsidRPr="00580C0D">
        <w:t>Vedtak nr. 382, 19. desember 2022</w:t>
      </w:r>
    </w:p>
    <w:p w14:paraId="3E8858E2" w14:textId="77777777" w:rsidR="00F7113A" w:rsidRPr="00580C0D" w:rsidRDefault="00142E5B" w:rsidP="00580C0D">
      <w:pPr>
        <w:pStyle w:val="blokksit"/>
        <w:rPr>
          <w:rStyle w:val="kursiv"/>
        </w:rPr>
      </w:pPr>
      <w:r w:rsidRPr="00580C0D">
        <w:rPr>
          <w:rStyle w:val="kursiv"/>
        </w:rPr>
        <w:t>«Stortinget ber regjeringen styrke innsatsen for å utvikle og profilere Finnmark som reiselivsdestinasjon.»</w:t>
      </w:r>
    </w:p>
    <w:p w14:paraId="0FC6B7BD" w14:textId="77777777" w:rsidR="00F7113A" w:rsidRPr="00580C0D" w:rsidRDefault="00142E5B" w:rsidP="00580C0D">
      <w:r w:rsidRPr="00580C0D">
        <w:t xml:space="preserve">Vedtaket ble truffet under behandlingen av Dokument 8:269 S (2021–2022) </w:t>
      </w:r>
      <w:r w:rsidRPr="00580C0D">
        <w:rPr>
          <w:rStyle w:val="kursiv"/>
        </w:rPr>
        <w:t xml:space="preserve">Representantforslag fra stortingsrepresentantene Alfred Jens Bjørlo, Guri Melby og Sofie </w:t>
      </w:r>
      <w:proofErr w:type="spellStart"/>
      <w:r w:rsidRPr="00580C0D">
        <w:rPr>
          <w:rStyle w:val="kursiv"/>
        </w:rPr>
        <w:t>Høgestøl</w:t>
      </w:r>
      <w:proofErr w:type="spellEnd"/>
      <w:r w:rsidRPr="00580C0D">
        <w:rPr>
          <w:rStyle w:val="kursiv"/>
        </w:rPr>
        <w:t xml:space="preserve"> om en omstillingspakke for Finnmark</w:t>
      </w:r>
      <w:r w:rsidRPr="00580C0D">
        <w:t xml:space="preserve">, jf. </w:t>
      </w:r>
      <w:proofErr w:type="spellStart"/>
      <w:r w:rsidRPr="00580C0D">
        <w:t>Innst</w:t>
      </w:r>
      <w:proofErr w:type="spellEnd"/>
      <w:r w:rsidRPr="00580C0D">
        <w:t>. 95 S (2022–2023).</w:t>
      </w:r>
    </w:p>
    <w:p w14:paraId="558374C6" w14:textId="77777777" w:rsidR="00F7113A" w:rsidRPr="00580C0D" w:rsidRDefault="00142E5B" w:rsidP="00580C0D">
      <w:r w:rsidRPr="00580C0D">
        <w:t>Innovasjon Norge har som ett av sine oppdrag å øke verdiskapingen i reiselivsnæringen innenfor bærekraftige rammer. I 2023 er det bevilget 184 mill. kroner til Innovasjon Norges ordinære arbeid med å styrke markedsmulighetene for norske reiselivsaktører. Det kanaliseres dessuten andre midler (lån og tilskudd) til reiselivsnæringen fra Innovasjon Norges øvrige ordinære ordninger. Markedsføringen av norske reisemål i utlandet skal øke reiselysten til Norge, og Nord-Norge profileres særskilt i denne sammenhengen med sin ville natur, unike opplevelser og kultur. Reiselivspolitikken er nasjonal, og Innovasjon Norges arbeid med implementering av politikken innebærer også å utnytte det mulighetsrommet som finnes regionalt, også i Finnmark.</w:t>
      </w:r>
    </w:p>
    <w:p w14:paraId="2F23A2BA" w14:textId="77777777" w:rsidR="00F7113A" w:rsidRPr="00580C0D" w:rsidRDefault="00142E5B" w:rsidP="00580C0D">
      <w:r w:rsidRPr="00580C0D">
        <w:t>I forbindelse med revidert nasjonalbudsjett 2023 ble det bevilget 1 mill. kroner til Finnmarksløpet. Finnmarksløpet er en veletablert merkevare som skaper store ringvirkninger i regionen. Gjennom denne bevilgningen bidrar regjeringen til å videreføre Finnmarksløpets arbeid knyttet til næringsutvikling og profilering.</w:t>
      </w:r>
    </w:p>
    <w:p w14:paraId="05268866" w14:textId="77777777" w:rsidR="00F7113A" w:rsidRPr="00580C0D" w:rsidRDefault="00142E5B" w:rsidP="00580C0D">
      <w:r w:rsidRPr="00580C0D">
        <w:t xml:space="preserve">Innovasjon Norge lanserte i 2021 en Nasjonal reiselivsstrategi, som ble utarbeidet i dialog med en rekke aktører. Et av tiltakene i denne strategien er å utarbeide en strategi for å sikre en framtidsrettet plattform for utvikling av bærekraftig urfolksturisme. Sametinget har i sin høringsuttalelse til NOU 2023:10 </w:t>
      </w:r>
      <w:r w:rsidRPr="00580C0D">
        <w:rPr>
          <w:rStyle w:val="kursiv"/>
        </w:rPr>
        <w:t>Leve og oppleve – Reisemål for en bærekraftig framtid</w:t>
      </w:r>
      <w:r w:rsidRPr="00580C0D">
        <w:t>, anbefalt flere tiltak knyttet til samisk reiseliv, herunder å etablere en langsiktig samisk reiselivsstrategi med Sametinget som eier. Sametinget har bedt om konsultasjoner med Nærings- og fiskeridepartementet om innspillene.</w:t>
      </w:r>
    </w:p>
    <w:p w14:paraId="324B67D4" w14:textId="77777777" w:rsidR="00F7113A" w:rsidRPr="00580C0D" w:rsidRDefault="00142E5B" w:rsidP="00580C0D">
      <w:r w:rsidRPr="00580C0D">
        <w:t xml:space="preserve">Regjeringen jobber med å følge opp punktet i Hurdalsplattformen om å utvikle en nasjonal plan for reiselivsnæringen, med </w:t>
      </w:r>
      <w:proofErr w:type="gramStart"/>
      <w:r w:rsidRPr="00580C0D">
        <w:t>fokus</w:t>
      </w:r>
      <w:proofErr w:type="gramEnd"/>
      <w:r w:rsidRPr="00580C0D">
        <w:t xml:space="preserve"> på bærekraftig utvikling, markedsføring, kompetanse, helårlige arbeidsplasser, destinasjonsutvikling og verdiskaping i hele landet.</w:t>
      </w:r>
    </w:p>
    <w:p w14:paraId="11DB0164" w14:textId="77777777" w:rsidR="00F7113A" w:rsidRPr="00580C0D" w:rsidRDefault="00142E5B" w:rsidP="00580C0D">
      <w:r w:rsidRPr="00580C0D">
        <w:t>Vedtaket anses med dette som fulgt opp.</w:t>
      </w:r>
    </w:p>
    <w:p w14:paraId="19D116D9" w14:textId="77777777" w:rsidR="00F7113A" w:rsidRPr="00580C0D" w:rsidRDefault="00142E5B" w:rsidP="00580C0D">
      <w:pPr>
        <w:pStyle w:val="avsnitt-tittel"/>
      </w:pPr>
      <w:r w:rsidRPr="00580C0D">
        <w:t>Bredere geografisk spredning og mangfold blant eiervalgte styrerepresentanter i selskaper hvor staten har eierandeler</w:t>
      </w:r>
    </w:p>
    <w:p w14:paraId="05663B2F" w14:textId="77777777" w:rsidR="00F7113A" w:rsidRPr="00580C0D" w:rsidRDefault="00142E5B" w:rsidP="00580C0D">
      <w:pPr>
        <w:pStyle w:val="avsnitt-undertittel"/>
      </w:pPr>
      <w:r w:rsidRPr="00580C0D">
        <w:t>Vedtak nr. 504, 23. februar 2023</w:t>
      </w:r>
    </w:p>
    <w:p w14:paraId="3DF91DF7" w14:textId="77777777" w:rsidR="00F7113A" w:rsidRPr="00580C0D" w:rsidRDefault="00142E5B" w:rsidP="00580C0D">
      <w:pPr>
        <w:pStyle w:val="blokksit"/>
        <w:rPr>
          <w:rStyle w:val="kursiv"/>
        </w:rPr>
      </w:pPr>
      <w:r w:rsidRPr="00580C0D">
        <w:rPr>
          <w:rStyle w:val="kursiv"/>
        </w:rPr>
        <w:t>«Stortinget ber regjeringen i større grad bidra til bredere geografisk spredning og mangfold blant eiervalgte styrerepresentanter i selskaper hvor staten har eierandeler.»</w:t>
      </w:r>
    </w:p>
    <w:p w14:paraId="18FF66CC" w14:textId="77777777" w:rsidR="00F7113A" w:rsidRPr="00580C0D" w:rsidRDefault="00142E5B" w:rsidP="00580C0D">
      <w:r w:rsidRPr="00580C0D">
        <w:t xml:space="preserve">Vedtaket ble truffet under behandlingen av Meld. St. 6 (2022–2023) </w:t>
      </w:r>
      <w:r w:rsidRPr="00580C0D">
        <w:rPr>
          <w:rStyle w:val="kursiv"/>
        </w:rPr>
        <w:t>Et grønnere og mer aktivt statlig eierskap – Statens direkte eierskap i selskaper</w:t>
      </w:r>
      <w:r w:rsidRPr="00580C0D">
        <w:t xml:space="preserve">, jf. </w:t>
      </w:r>
      <w:proofErr w:type="spellStart"/>
      <w:r w:rsidRPr="00580C0D">
        <w:t>Innst</w:t>
      </w:r>
      <w:proofErr w:type="spellEnd"/>
      <w:r w:rsidRPr="00580C0D">
        <w:t>. 190 S (2022–2023).</w:t>
      </w:r>
    </w:p>
    <w:p w14:paraId="19176053" w14:textId="77777777" w:rsidR="00F7113A" w:rsidRPr="00580C0D" w:rsidRDefault="00142E5B" w:rsidP="00580C0D">
      <w:r w:rsidRPr="00580C0D">
        <w:t>Det følger av eierskapsmeldingen at relevant kompetanse er hovedhensynet ved statens arbeid med styresammensetning i selskaper med statlig eierandel, og gitt kompetanse skal staten vektlegge kapasitet og mangfold. Når det gjelder mangfold er det i eierskapsmeldingen utdypet at med utgangspunkt i kompetansebehovene vil staten bidra til at det enkelte styre har et relevant mangfold. Anmodningsvedtaket følges opp framover ved at regjeringen fortsetter sitt systematiske arbeid ved styrevalg med å identifisere et bredt spekter av kandidater med relevant kompetanse, og med utgangspunkt i dette bidra til at det enkelte styre har et relevant mangfold herunder geografisk tilhørighet. Regjeringen vil i de årlige eierrapportene framover, i tillegg til å rapportere på kjønn, også rapportere på fødselsår og bostedsfylke for hvert enkelt styremedlem i de enkelte styrene.</w:t>
      </w:r>
    </w:p>
    <w:p w14:paraId="30D71D2E" w14:textId="77777777" w:rsidR="00F7113A" w:rsidRPr="00580C0D" w:rsidRDefault="00142E5B" w:rsidP="00580C0D">
      <w:r w:rsidRPr="00580C0D">
        <w:t>Vedtaket anses med dette som fulgt opp.</w:t>
      </w:r>
    </w:p>
    <w:p w14:paraId="47873D0F" w14:textId="77777777" w:rsidR="00F7113A" w:rsidRPr="00580C0D" w:rsidRDefault="00142E5B" w:rsidP="00580C0D">
      <w:pPr>
        <w:pStyle w:val="avsnitt-tittel"/>
      </w:pPr>
      <w:r w:rsidRPr="00580C0D">
        <w:t>Tilstrekkelige verktøy for Konkurransetilsynet</w:t>
      </w:r>
    </w:p>
    <w:p w14:paraId="2A3E5000" w14:textId="77777777" w:rsidR="00F7113A" w:rsidRPr="00580C0D" w:rsidRDefault="00142E5B" w:rsidP="00580C0D">
      <w:pPr>
        <w:pStyle w:val="avsnitt-undertittel"/>
      </w:pPr>
      <w:r w:rsidRPr="00580C0D">
        <w:t>Vedtak nr. 694, 23. mai 2023</w:t>
      </w:r>
    </w:p>
    <w:p w14:paraId="338FEAE4" w14:textId="77777777" w:rsidR="00F7113A" w:rsidRPr="00580C0D" w:rsidRDefault="00142E5B" w:rsidP="00580C0D">
      <w:pPr>
        <w:pStyle w:val="blokksit"/>
        <w:rPr>
          <w:rStyle w:val="kursiv"/>
        </w:rPr>
      </w:pPr>
      <w:r w:rsidRPr="00580C0D">
        <w:rPr>
          <w:rStyle w:val="kursiv"/>
        </w:rPr>
        <w:t>«Stortinget ber regjeringen sikre at Konkurransetilsynet har de nødvendige verktøy og håndhever konkurranseloven, slik at forbruker ikke blir skadelidende ved manglende konkurranse.»</w:t>
      </w:r>
    </w:p>
    <w:p w14:paraId="3332ECF8" w14:textId="77777777" w:rsidR="00F7113A" w:rsidRPr="00580C0D" w:rsidRDefault="00142E5B" w:rsidP="00580C0D">
      <w:r w:rsidRPr="00580C0D">
        <w:t xml:space="preserve">Vedtaket ble truffet under behandlingen av Dokument 8:222 S (2022–2023) </w:t>
      </w:r>
      <w:r w:rsidRPr="00580C0D">
        <w:rPr>
          <w:rStyle w:val="kursiv"/>
        </w:rPr>
        <w:t xml:space="preserve">Representantforslag fra stortingsrepresentantene Lene Westgaard-Halle, Alfred Jens Bjørlo, Helge Orten, Anna </w:t>
      </w:r>
      <w:proofErr w:type="spellStart"/>
      <w:r w:rsidRPr="00580C0D">
        <w:rPr>
          <w:rStyle w:val="kursiv"/>
        </w:rPr>
        <w:t>Molberg</w:t>
      </w:r>
      <w:proofErr w:type="spellEnd"/>
      <w:r w:rsidRPr="00580C0D">
        <w:rPr>
          <w:rStyle w:val="kursiv"/>
        </w:rPr>
        <w:t>, Tage Pettersen og Grunde Almeland om å dempe prisveksten på mat og styrke konkurransen i verdikjeden for dagligvarer</w:t>
      </w:r>
      <w:r w:rsidRPr="00580C0D">
        <w:t xml:space="preserve">, jf. </w:t>
      </w:r>
      <w:proofErr w:type="spellStart"/>
      <w:r w:rsidRPr="00580C0D">
        <w:t>Innst</w:t>
      </w:r>
      <w:proofErr w:type="spellEnd"/>
      <w:r w:rsidRPr="00580C0D">
        <w:t>. 370 S (2022–2023).</w:t>
      </w:r>
    </w:p>
    <w:p w14:paraId="43B9AC27" w14:textId="77777777" w:rsidR="00F7113A" w:rsidRPr="00580C0D" w:rsidRDefault="00142E5B" w:rsidP="00580C0D">
      <w:r w:rsidRPr="00580C0D">
        <w:t>Nærings- og fiskeridepartementet har sendt på høring forslag til nytt markedsetterforskningsverktøy som skal gi Konkurransetilsynet mulighet til å treffe avhjelpende tiltak i markeder med vesentlige konkurranseproblemer. Sammen med forslaget til markedsetterforskning sendte departementet på høring en utredning av professor Jon Petter Rui. I utredningen foreslås det å gi Konkurransetilsynet muligheten til å ilegge fysiske personer overtredelsesgebyr og ledelseskarantene for deres deltakelse i alvorlige konkurranseovertredelser. Høringsfristen var 30. juni. Departementet vurderer høringsinnspillene. Forslag til eventuelle lovendringer vil bli fremmet for Stortinget ved lovproposisjon på vanlig måte.</w:t>
      </w:r>
    </w:p>
    <w:p w14:paraId="450E27A3" w14:textId="77777777" w:rsidR="00F7113A" w:rsidRPr="00580C0D" w:rsidRDefault="00142E5B" w:rsidP="00580C0D">
      <w:r w:rsidRPr="00580C0D">
        <w:t>Regjeringen vil følge opp vedtaket og komme tilbake til Stortinget på egnet måte.</w:t>
      </w:r>
    </w:p>
    <w:p w14:paraId="4B137F64" w14:textId="77777777" w:rsidR="00F7113A" w:rsidRPr="00580C0D" w:rsidRDefault="00142E5B" w:rsidP="00580C0D">
      <w:pPr>
        <w:pStyle w:val="avsnitt-tittel"/>
      </w:pPr>
      <w:r w:rsidRPr="00580C0D">
        <w:t>Markedsdata for dagligvarehandelen</w:t>
      </w:r>
    </w:p>
    <w:p w14:paraId="460AFDBD" w14:textId="77777777" w:rsidR="00F7113A" w:rsidRPr="00580C0D" w:rsidRDefault="00142E5B" w:rsidP="00580C0D">
      <w:pPr>
        <w:pStyle w:val="avsnitt-undertittel"/>
      </w:pPr>
      <w:r w:rsidRPr="00580C0D">
        <w:t>Vedtak nr. 695, 23. mai 2023</w:t>
      </w:r>
    </w:p>
    <w:p w14:paraId="2EB51068" w14:textId="77777777" w:rsidR="00F7113A" w:rsidRPr="00580C0D" w:rsidRDefault="00142E5B" w:rsidP="00580C0D">
      <w:pPr>
        <w:pStyle w:val="blokksit"/>
        <w:rPr>
          <w:rStyle w:val="kursiv"/>
        </w:rPr>
      </w:pPr>
      <w:r w:rsidRPr="00580C0D">
        <w:rPr>
          <w:rStyle w:val="kursiv"/>
        </w:rPr>
        <w:t>«Stortinget ber regjeringen sikre at markedsdata som viser utviklingen i markedsandeler på kjedenivå i dagligvarehandelen, publiseres jevnlig.»</w:t>
      </w:r>
    </w:p>
    <w:p w14:paraId="734329F7" w14:textId="77777777" w:rsidR="00F7113A" w:rsidRPr="00580C0D" w:rsidRDefault="00142E5B" w:rsidP="00580C0D">
      <w:r w:rsidRPr="00580C0D">
        <w:t xml:space="preserve">Vedtaket ble truffet under behandlingen av Dokument 8:222 S (2022–2023) </w:t>
      </w:r>
      <w:r w:rsidRPr="00580C0D">
        <w:rPr>
          <w:rStyle w:val="kursiv"/>
        </w:rPr>
        <w:t xml:space="preserve">Representantforslag fra stortingsrepresentantene Lene Westgaard-Halle, Alfred Jens Bjørlo, Helge Orten, Anna </w:t>
      </w:r>
      <w:proofErr w:type="spellStart"/>
      <w:r w:rsidRPr="00580C0D">
        <w:rPr>
          <w:rStyle w:val="kursiv"/>
        </w:rPr>
        <w:t>Molberg</w:t>
      </w:r>
      <w:proofErr w:type="spellEnd"/>
      <w:r w:rsidRPr="00580C0D">
        <w:rPr>
          <w:rStyle w:val="kursiv"/>
        </w:rPr>
        <w:t>, Tage Pettersen og Grunde Almeland om å dempe prisveksten på mat og styrke konkurransen i verdikjeden for dagligvarer</w:t>
      </w:r>
      <w:r w:rsidRPr="00580C0D">
        <w:t xml:space="preserve">, jf. </w:t>
      </w:r>
      <w:proofErr w:type="spellStart"/>
      <w:r w:rsidRPr="00580C0D">
        <w:t>Innst</w:t>
      </w:r>
      <w:proofErr w:type="spellEnd"/>
      <w:r w:rsidRPr="00580C0D">
        <w:t>. 370 S (2022–2023).</w:t>
      </w:r>
    </w:p>
    <w:p w14:paraId="72ADCDCE" w14:textId="77777777" w:rsidR="00F7113A" w:rsidRPr="00580C0D" w:rsidRDefault="00142E5B" w:rsidP="00580C0D">
      <w:r w:rsidRPr="00580C0D">
        <w:t xml:space="preserve">Fram til nå har </w:t>
      </w:r>
      <w:proofErr w:type="spellStart"/>
      <w:r w:rsidRPr="00580C0D">
        <w:t>NielsenIQ</w:t>
      </w:r>
      <w:proofErr w:type="spellEnd"/>
      <w:r w:rsidRPr="00580C0D">
        <w:t xml:space="preserve"> publisert en årlig rapport som blant annet gir oversikt over omsetningen i dagligvaremarkedet, kjedegrupperingenes markedsandeler og de ulike butikkjedenes markedsandeler. Informasjonen i de årlige rapportene fra </w:t>
      </w:r>
      <w:proofErr w:type="spellStart"/>
      <w:r w:rsidRPr="00580C0D">
        <w:t>NielsenIQ</w:t>
      </w:r>
      <w:proofErr w:type="spellEnd"/>
      <w:r w:rsidRPr="00580C0D">
        <w:t xml:space="preserve"> har vært viktig for å kunne følge utviklingen på viktige parametere som har betydning for konkurransen i dagligvaremarkedet. Dersom </w:t>
      </w:r>
      <w:proofErr w:type="spellStart"/>
      <w:r w:rsidRPr="00580C0D">
        <w:t>NielsenIQ</w:t>
      </w:r>
      <w:proofErr w:type="spellEnd"/>
      <w:r w:rsidRPr="00580C0D">
        <w:t xml:space="preserve"> sin rapportering endres på en slik måte at det ikke lenger vil være mulig å følge utviklingen i markedsandeler og omsetning mv., vil departementet vurdere andre måter å få tilgang på informasjon om markedsandeler og omsetning.</w:t>
      </w:r>
    </w:p>
    <w:p w14:paraId="10BD5964" w14:textId="77777777" w:rsidR="00F7113A" w:rsidRPr="00580C0D" w:rsidRDefault="00142E5B" w:rsidP="00580C0D">
      <w:r w:rsidRPr="00580C0D">
        <w:t>Regjeringen vil følge opp vedtaket og komme tilbake til Stortinget på egnet måte.</w:t>
      </w:r>
    </w:p>
    <w:p w14:paraId="4B1B070D" w14:textId="77777777" w:rsidR="00F7113A" w:rsidRPr="00580C0D" w:rsidRDefault="00142E5B" w:rsidP="00580C0D">
      <w:pPr>
        <w:pStyle w:val="avsnitt-tittel"/>
      </w:pPr>
      <w:r w:rsidRPr="00580C0D">
        <w:t>Åpenhet og transparens i verdikjeden for dagligvarer</w:t>
      </w:r>
    </w:p>
    <w:p w14:paraId="66EA60A0" w14:textId="77777777" w:rsidR="00F7113A" w:rsidRPr="00580C0D" w:rsidRDefault="00142E5B" w:rsidP="00580C0D">
      <w:pPr>
        <w:pStyle w:val="avsnitt-undertittel"/>
      </w:pPr>
      <w:r w:rsidRPr="00580C0D">
        <w:t>Vedtak nr. 696, 23. mai 2023</w:t>
      </w:r>
    </w:p>
    <w:p w14:paraId="4889D156" w14:textId="77777777" w:rsidR="00F7113A" w:rsidRPr="00580C0D" w:rsidRDefault="00142E5B" w:rsidP="00580C0D">
      <w:pPr>
        <w:pStyle w:val="blokksit"/>
        <w:rPr>
          <w:rStyle w:val="kursiv"/>
        </w:rPr>
      </w:pPr>
      <w:r w:rsidRPr="00580C0D">
        <w:rPr>
          <w:rStyle w:val="kursiv"/>
        </w:rPr>
        <w:t>«Stortinget ber regjeringen vurdere tiltak som i større grad kan sikre åpenhet og transparens i hele verdikjeden for dagligvarer.»</w:t>
      </w:r>
    </w:p>
    <w:p w14:paraId="6A30A9B4" w14:textId="77777777" w:rsidR="00F7113A" w:rsidRPr="00580C0D" w:rsidRDefault="00142E5B" w:rsidP="00580C0D">
      <w:r w:rsidRPr="00580C0D">
        <w:t xml:space="preserve">Vedtaket ble truffet under behandlingen av Dokument 8:222 S (2022–2023) </w:t>
      </w:r>
      <w:r w:rsidRPr="00580C0D">
        <w:rPr>
          <w:rStyle w:val="kursiv"/>
        </w:rPr>
        <w:t xml:space="preserve">Representantforslag fra stortingsrepresentantene Lene Westgaard-Halle, Alfred Jens Bjørlo, Helge Orten, Anna </w:t>
      </w:r>
      <w:proofErr w:type="spellStart"/>
      <w:r w:rsidRPr="00580C0D">
        <w:rPr>
          <w:rStyle w:val="kursiv"/>
        </w:rPr>
        <w:t>Molberg</w:t>
      </w:r>
      <w:proofErr w:type="spellEnd"/>
      <w:r w:rsidRPr="00580C0D">
        <w:rPr>
          <w:rStyle w:val="kursiv"/>
        </w:rPr>
        <w:t>, Tage Pettersen og Grunde Almeland om å dempe prisveksten på mat og styrke konkurransen i verdikjeden for dagligvarer</w:t>
      </w:r>
      <w:r w:rsidRPr="00580C0D">
        <w:t xml:space="preserve">, jf. </w:t>
      </w:r>
      <w:proofErr w:type="spellStart"/>
      <w:r w:rsidRPr="00580C0D">
        <w:t>Innst</w:t>
      </w:r>
      <w:proofErr w:type="spellEnd"/>
      <w:r w:rsidRPr="00580C0D">
        <w:t>. 370 S (2022–2023).</w:t>
      </w:r>
    </w:p>
    <w:p w14:paraId="67EB59F2" w14:textId="77777777" w:rsidR="00F7113A" w:rsidRPr="00580C0D" w:rsidRDefault="00142E5B" w:rsidP="00580C0D">
      <w:r w:rsidRPr="00580C0D">
        <w:t>Økt åpenhet og transparens kan gjøre det lettere for forbrukerne å ta informerte valg, noe som kan bidra til å styrke konkurransen. Åpenhet om priser mellom bedrifter kan imidlertid ha motsatt effekt. Mer åpenhet om forhandlinger, priser og lignende vil kunne legge til rette for koordinering mellom foretak, noe som kan føre til svekket konkurranse og høyere priser for forbrukerne.</w:t>
      </w:r>
    </w:p>
    <w:p w14:paraId="4AE686E9" w14:textId="77777777" w:rsidR="00F7113A" w:rsidRPr="00580C0D" w:rsidRDefault="00142E5B" w:rsidP="00580C0D">
      <w:r w:rsidRPr="00580C0D">
        <w:t>Det eksisterer allerede reguleringer som skal sikre åpenhet mellom kontraktsparter, og overfor tilsynsmyndigheter. Lov om god handelsskikk pålegger kontraktsparter å legge fram opplysninger som de kjenner til, og som de har grunn til å tro at har betydning for den annen part, både i forbindelse med forhandlinger om, og gjennomføring av, en kontrakt. Lov om god handelsskikk og konkurranseloven gir henholdsvis Dagligvaretilsynet og Konkurransetilsynet bred tilgang til å innhente den informasjonen de mener er nødvendig for å utføre de oppgavene de er satt til å gjøre.</w:t>
      </w:r>
    </w:p>
    <w:p w14:paraId="08D26500" w14:textId="77777777" w:rsidR="00F7113A" w:rsidRPr="00580C0D" w:rsidRDefault="00142E5B" w:rsidP="00580C0D">
      <w:r w:rsidRPr="00580C0D">
        <w:t>Nærings- og fiskeridepartementet har også bedt Konkurransetilsynet om å undersøke lønnsomhet og marginer for aktører i ulike ledd av verdikjeden for mat og dagligvarer. Tilsynet skal også undersøke hvilke virkninger ordningen med to faste tidspunkt for leverandørenes prisjusteringer har for prisdannelsen og konkurransen i dagligvarebransjen. Undersøkelsene skal gjennomføres i løpet av 2023, se også nærmere omtale under vedtak nr. 610, 31. mai 2022. Undersøkelsene vil kunne bidra til økt kunnskap og åpenhet i verdikjeden for mat og dagligvarer.</w:t>
      </w:r>
    </w:p>
    <w:p w14:paraId="0A796800" w14:textId="77777777" w:rsidR="00F7113A" w:rsidRPr="00580C0D" w:rsidRDefault="00142E5B" w:rsidP="00580C0D">
      <w:r w:rsidRPr="00580C0D">
        <w:t>Kartleggingen av dagligvarekjedenes egne merkevarer (EMV) og andre former for vertikale bindinger bidrar også til økt åpenhet og transparens i verdikjeden for mat og dagligvarer, jf. nærmere omtale under vedtak nr. 611, 31. mai 2022.</w:t>
      </w:r>
    </w:p>
    <w:p w14:paraId="6E9787E9" w14:textId="77777777" w:rsidR="00F7113A" w:rsidRPr="00580C0D" w:rsidRDefault="00142E5B" w:rsidP="00580C0D">
      <w:r w:rsidRPr="00580C0D">
        <w:t>Vedtaket anses med dette som fulgt opp.</w:t>
      </w:r>
    </w:p>
    <w:p w14:paraId="4645F386" w14:textId="77777777" w:rsidR="00F7113A" w:rsidRPr="00580C0D" w:rsidRDefault="00142E5B" w:rsidP="00580C0D">
      <w:pPr>
        <w:pStyle w:val="avsnitt-tittel"/>
      </w:pPr>
      <w:r w:rsidRPr="00580C0D">
        <w:t>Tiltak for å øke produksjon av nye, bærekraftige fôrråvarer til fiskeoppdrett</w:t>
      </w:r>
    </w:p>
    <w:p w14:paraId="049C3B84" w14:textId="77777777" w:rsidR="00F7113A" w:rsidRPr="00580C0D" w:rsidRDefault="00142E5B" w:rsidP="00580C0D">
      <w:pPr>
        <w:pStyle w:val="avsnitt-undertittel"/>
      </w:pPr>
      <w:r w:rsidRPr="00580C0D">
        <w:t>Vedtak nr. 698, 23. mai 2023</w:t>
      </w:r>
    </w:p>
    <w:p w14:paraId="78A3F6A4" w14:textId="77777777" w:rsidR="00F7113A" w:rsidRPr="00580C0D" w:rsidRDefault="00142E5B" w:rsidP="00580C0D">
      <w:pPr>
        <w:pStyle w:val="blokksit"/>
        <w:rPr>
          <w:rStyle w:val="kursiv"/>
        </w:rPr>
      </w:pPr>
      <w:r w:rsidRPr="00580C0D">
        <w:rPr>
          <w:rStyle w:val="kursiv"/>
        </w:rPr>
        <w:t>«Stortinget ber regjeringen legge fram tiltak for Stortinget for å øke produksjonen av nye bærekraftige fôrråvarer som ikke har en negativ effekt på miljøet til fiskeoppdrett.»</w:t>
      </w:r>
    </w:p>
    <w:p w14:paraId="4539DA8D" w14:textId="77777777" w:rsidR="00F7113A" w:rsidRPr="00580C0D" w:rsidRDefault="00142E5B" w:rsidP="00580C0D">
      <w:r w:rsidRPr="00580C0D">
        <w:t xml:space="preserve">Vedtaket ble truffet under behandlingen av Dokument 8:216 S (2022–2023) </w:t>
      </w:r>
      <w:r w:rsidRPr="00580C0D">
        <w:rPr>
          <w:rStyle w:val="kursiv"/>
        </w:rPr>
        <w:t xml:space="preserve">Representantforslag fra stortingsrepresentantene Kari Elisabeth </w:t>
      </w:r>
      <w:proofErr w:type="spellStart"/>
      <w:r w:rsidRPr="00580C0D">
        <w:rPr>
          <w:rStyle w:val="kursiv"/>
        </w:rPr>
        <w:t>Kaski</w:t>
      </w:r>
      <w:proofErr w:type="spellEnd"/>
      <w:r w:rsidRPr="00580C0D">
        <w:rPr>
          <w:rStyle w:val="kursiv"/>
        </w:rPr>
        <w:t xml:space="preserve"> og Torgeir </w:t>
      </w:r>
      <w:proofErr w:type="spellStart"/>
      <w:r w:rsidRPr="00580C0D">
        <w:rPr>
          <w:rStyle w:val="kursiv"/>
        </w:rPr>
        <w:t>Knag</w:t>
      </w:r>
      <w:proofErr w:type="spellEnd"/>
      <w:r w:rsidRPr="00580C0D">
        <w:rPr>
          <w:rStyle w:val="kursiv"/>
        </w:rPr>
        <w:t xml:space="preserve"> Fylkesnes om et bærekraftig og langsiktig havbruk</w:t>
      </w:r>
      <w:r w:rsidRPr="00580C0D">
        <w:t xml:space="preserve">, jf. </w:t>
      </w:r>
      <w:proofErr w:type="spellStart"/>
      <w:r w:rsidRPr="00580C0D">
        <w:t>Innst</w:t>
      </w:r>
      <w:proofErr w:type="spellEnd"/>
      <w:r w:rsidRPr="00580C0D">
        <w:t>. 368 S (2022–2023).</w:t>
      </w:r>
    </w:p>
    <w:p w14:paraId="57823F7E" w14:textId="77777777" w:rsidR="00F7113A" w:rsidRPr="00580C0D" w:rsidRDefault="00142E5B" w:rsidP="00580C0D">
      <w:r w:rsidRPr="00580C0D">
        <w:t>Arbeidet med bærekraftige fôrressurser er høyt prioritert av regjeringen, både gjennom virkemiddelapparatets ordinære innsats, regelverksarbeid, etablering av et nytt virkemiddel – «samfunnsoppdrag» – og opprettingen av Bionova.</w:t>
      </w:r>
    </w:p>
    <w:p w14:paraId="3ACAB0AC" w14:textId="77777777" w:rsidR="00F7113A" w:rsidRPr="00580C0D" w:rsidRDefault="00142E5B" w:rsidP="00580C0D">
      <w:r w:rsidRPr="00580C0D">
        <w:t xml:space="preserve">Samfunnsoppdrag om bærekraftig fôr ble lansert i Meld. St. 5 (2022–2023) </w:t>
      </w:r>
      <w:r w:rsidRPr="00580C0D">
        <w:rPr>
          <w:rStyle w:val="kursiv"/>
        </w:rPr>
        <w:t>Langtidsplan for forsking og høyere utdanning 2023–2032</w:t>
      </w:r>
      <w:r w:rsidRPr="00580C0D">
        <w:t>,</w:t>
      </w:r>
      <w:r w:rsidRPr="00580C0D">
        <w:rPr>
          <w:rStyle w:val="kursiv"/>
        </w:rPr>
        <w:t xml:space="preserve"> </w:t>
      </w:r>
      <w:r w:rsidRPr="00580C0D">
        <w:t xml:space="preserve">med mål om at alt fôr til oppdrettsfisk og husdyr skal komme fra bærekraftige kilder og bidra til å redusere klimagassutslippene i </w:t>
      </w:r>
      <w:proofErr w:type="spellStart"/>
      <w:r w:rsidRPr="00580C0D">
        <w:t>matsystemene</w:t>
      </w:r>
      <w:proofErr w:type="spellEnd"/>
      <w:r w:rsidRPr="00580C0D">
        <w:t xml:space="preserve">. Stortinget sluttet seg til dette, jf. </w:t>
      </w:r>
      <w:proofErr w:type="spellStart"/>
      <w:r w:rsidRPr="00580C0D">
        <w:t>Innst</w:t>
      </w:r>
      <w:proofErr w:type="spellEnd"/>
      <w:r w:rsidRPr="00580C0D">
        <w:t>. 170 S (2022–2023) og regjeringen er godt i gang med å operasjonalisere det nye virkemidlet. Samfunnsoppdraget er nå i en design- og implementeringsfase og regjeringen vil følge opp samfunnsoppdraget i 2024.</w:t>
      </w:r>
    </w:p>
    <w:p w14:paraId="0CE87F8B" w14:textId="77777777" w:rsidR="00F7113A" w:rsidRPr="00580C0D" w:rsidRDefault="00142E5B" w:rsidP="00580C0D">
      <w:r w:rsidRPr="00580C0D">
        <w:t>Bionova ble operativ våren 2023 og er en del av Innovasjon Norge. I tillegg til å være et viktig verktøy for å nå klimamålene i landbruket skal Bionova bidra til en mer sirkulær bioøkonomi basert på fornybare ressurser fra land og hav, herunder tiltak for mer bærekraftig fôr.</w:t>
      </w:r>
    </w:p>
    <w:p w14:paraId="4E71AECB" w14:textId="77777777" w:rsidR="00F7113A" w:rsidRPr="00580C0D" w:rsidRDefault="00142E5B" w:rsidP="00580C0D">
      <w:r w:rsidRPr="00580C0D">
        <w:t>Se også omtale av vedtak nr. 381, 19. desember 2022.</w:t>
      </w:r>
    </w:p>
    <w:p w14:paraId="7A4B7D88" w14:textId="77777777" w:rsidR="00F7113A" w:rsidRPr="00580C0D" w:rsidRDefault="00142E5B" w:rsidP="00580C0D">
      <w:r w:rsidRPr="00580C0D">
        <w:t>Vedtaket anses med dette som fulgt opp.</w:t>
      </w:r>
    </w:p>
    <w:p w14:paraId="3D1BB7CD" w14:textId="77777777" w:rsidR="00F7113A" w:rsidRPr="00580C0D" w:rsidRDefault="00142E5B" w:rsidP="00580C0D">
      <w:pPr>
        <w:pStyle w:val="avsnitt-tittel"/>
      </w:pPr>
      <w:r w:rsidRPr="00580C0D">
        <w:t>Tiltak for etablering av grønn industri i Norge</w:t>
      </w:r>
    </w:p>
    <w:p w14:paraId="6B6714CD" w14:textId="77777777" w:rsidR="00F7113A" w:rsidRPr="00580C0D" w:rsidRDefault="00142E5B" w:rsidP="00580C0D">
      <w:pPr>
        <w:pStyle w:val="avsnitt-undertittel"/>
      </w:pPr>
      <w:r w:rsidRPr="00580C0D">
        <w:t>Vedtak nr. 920, 16. juni 2023</w:t>
      </w:r>
    </w:p>
    <w:p w14:paraId="6C95FACD" w14:textId="77777777" w:rsidR="00F7113A" w:rsidRPr="00580C0D" w:rsidRDefault="00142E5B" w:rsidP="00580C0D">
      <w:pPr>
        <w:pStyle w:val="blokksit"/>
        <w:rPr>
          <w:rStyle w:val="kursiv"/>
        </w:rPr>
      </w:pPr>
      <w:r w:rsidRPr="00580C0D">
        <w:rPr>
          <w:rStyle w:val="kursiv"/>
        </w:rPr>
        <w:t xml:space="preserve">«Stortinget ber regjeringen i statsbudsjettet for 2024 fremme forslag om konkrete konkurransedyktige tiltak for å sikre grønne industrietableringer i Norge. Arbeidet må sees i lys av andre lands satsing på grønn omstilling og grønn industri, som USAs </w:t>
      </w:r>
      <w:proofErr w:type="spellStart"/>
      <w:r w:rsidRPr="00580C0D">
        <w:rPr>
          <w:rStyle w:val="kursiv"/>
        </w:rPr>
        <w:t>Inflation</w:t>
      </w:r>
      <w:proofErr w:type="spellEnd"/>
      <w:r w:rsidRPr="00580C0D">
        <w:rPr>
          <w:rStyle w:val="kursiv"/>
        </w:rPr>
        <w:t xml:space="preserve"> </w:t>
      </w:r>
      <w:proofErr w:type="spellStart"/>
      <w:r w:rsidRPr="00580C0D">
        <w:rPr>
          <w:rStyle w:val="kursiv"/>
        </w:rPr>
        <w:t>Reduction</w:t>
      </w:r>
      <w:proofErr w:type="spellEnd"/>
      <w:r w:rsidRPr="00580C0D">
        <w:rPr>
          <w:rStyle w:val="kursiv"/>
        </w:rPr>
        <w:t xml:space="preserve"> </w:t>
      </w:r>
      <w:proofErr w:type="spellStart"/>
      <w:r w:rsidRPr="00580C0D">
        <w:rPr>
          <w:rStyle w:val="kursiv"/>
        </w:rPr>
        <w:t>Act</w:t>
      </w:r>
      <w:proofErr w:type="spellEnd"/>
      <w:r w:rsidRPr="00580C0D">
        <w:rPr>
          <w:rStyle w:val="kursiv"/>
        </w:rPr>
        <w:t xml:space="preserve"> og EUs Net Zero Industry </w:t>
      </w:r>
      <w:proofErr w:type="spellStart"/>
      <w:r w:rsidRPr="00580C0D">
        <w:rPr>
          <w:rStyle w:val="kursiv"/>
        </w:rPr>
        <w:t>Act</w:t>
      </w:r>
      <w:proofErr w:type="spellEnd"/>
      <w:r w:rsidRPr="00580C0D">
        <w:rPr>
          <w:rStyle w:val="kursiv"/>
        </w:rPr>
        <w:t>. Tiltakene skal inkludere langsiktige og fleksible virkemidler, som lån, garantier og risikokapital, samt utvidet bruk av dagens næringsrettede virkemiddelapparat.»</w:t>
      </w:r>
    </w:p>
    <w:p w14:paraId="50C36DE7" w14:textId="77777777" w:rsidR="00F7113A" w:rsidRPr="00580C0D" w:rsidRDefault="00142E5B" w:rsidP="00580C0D">
      <w:r w:rsidRPr="00580C0D">
        <w:t xml:space="preserve">Vedtaket ble truffet under behandlingen av Meld. St. 2 (2022–2023) </w:t>
      </w:r>
      <w:r w:rsidRPr="00580C0D">
        <w:rPr>
          <w:rStyle w:val="kursiv"/>
        </w:rPr>
        <w:t>Revidert nasjonalbudsjett 2023</w:t>
      </w:r>
      <w:r w:rsidRPr="00580C0D">
        <w:t xml:space="preserve">, jf. </w:t>
      </w:r>
      <w:proofErr w:type="spellStart"/>
      <w:r w:rsidRPr="00580C0D">
        <w:t>Innst</w:t>
      </w:r>
      <w:proofErr w:type="spellEnd"/>
      <w:r w:rsidRPr="00580C0D">
        <w:t>. 490 S (2022–2023).</w:t>
      </w:r>
    </w:p>
    <w:p w14:paraId="745C1241" w14:textId="77777777" w:rsidR="00F7113A" w:rsidRPr="00580C0D" w:rsidRDefault="00142E5B" w:rsidP="00580C0D">
      <w:r w:rsidRPr="00580C0D">
        <w:t>Regjeringen igangsatte i fjor et krafttak for industrien, kalt Grønt industriløft. Ambisjonen er å få fortgang på store grønne industriprosjekter i både eksisterende og nye næringer, slik at vi sikrer verdiskaping og velferd for framtida. Initiativet bygger på Hurdalsplattformen, som framhever sammenhengen mellom energi, klima- og næringspolitikk. Som startskudd for arbeidet la regjeringen i juni 2022 fram et veikart for Grønt industriløft med ambisjoner og 100 tiltak.</w:t>
      </w:r>
    </w:p>
    <w:p w14:paraId="0B353191" w14:textId="77777777" w:rsidR="00F7113A" w:rsidRPr="00580C0D" w:rsidRDefault="00142E5B" w:rsidP="00580C0D">
      <w:r w:rsidRPr="00580C0D">
        <w:t>Veikartet framhever syv etterspørselsdrevne områder som er særlige viktige for Norge; hydrogen, havvind, CO</w:t>
      </w:r>
      <w:r w:rsidRPr="00580C0D">
        <w:rPr>
          <w:rStyle w:val="skrift-senket"/>
        </w:rPr>
        <w:t>2</w:t>
      </w:r>
      <w:r w:rsidRPr="00580C0D">
        <w:t xml:space="preserve">-håndtering, batterier, prosessindustrien, grønn skipsfart og skog- og </w:t>
      </w:r>
      <w:proofErr w:type="spellStart"/>
      <w:r w:rsidRPr="00580C0D">
        <w:t>trenæringen</w:t>
      </w:r>
      <w:proofErr w:type="spellEnd"/>
      <w:r w:rsidRPr="00580C0D">
        <w:t xml:space="preserve"> og annen bioøkonomi.</w:t>
      </w:r>
    </w:p>
    <w:p w14:paraId="12BB3529" w14:textId="77777777" w:rsidR="00F7113A" w:rsidRPr="00580C0D" w:rsidRDefault="00142E5B" w:rsidP="00580C0D">
      <w:r w:rsidRPr="00580C0D">
        <w:t xml:space="preserve">Den geopolitiske situasjonen har forandret seg og etterspørselen etter produkter med grønne verdikjeder er større enn noen gang. Derfor lanserte regjeringen i september 2023 Veikart 2.0 for Grønt industriløft der vi forsterker innsatsen og løfter fram to nye områder: solindustri og </w:t>
      </w:r>
      <w:proofErr w:type="spellStart"/>
      <w:r w:rsidRPr="00580C0D">
        <w:t>manufacturing</w:t>
      </w:r>
      <w:proofErr w:type="spellEnd"/>
      <w:r w:rsidRPr="00580C0D">
        <w:t>.</w:t>
      </w:r>
    </w:p>
    <w:p w14:paraId="32F32330" w14:textId="77777777" w:rsidR="00F7113A" w:rsidRPr="00580C0D" w:rsidRDefault="00142E5B" w:rsidP="00580C0D">
      <w:r w:rsidRPr="00580C0D">
        <w:t>Etter framleggelsen av det første veikartet i fjor, har de fleste av de 100 tiltakene blitt fulgt opp.</w:t>
      </w:r>
    </w:p>
    <w:p w14:paraId="3499B23E" w14:textId="77777777" w:rsidR="00F7113A" w:rsidRPr="00580C0D" w:rsidRDefault="00142E5B" w:rsidP="00580C0D">
      <w:r w:rsidRPr="00580C0D">
        <w:t>Når det gjelder kapitalvirkemidler og det næringsrettede virkemiddelapparatet har regjeringen gjennomgått virkemiddelapparatet og spisset innsatsen ytterligere mot grønn omstilling i næringslivet. Dreiningen støtter også opp om Grønt industriløft.</w:t>
      </w:r>
    </w:p>
    <w:p w14:paraId="0757CB25" w14:textId="77777777" w:rsidR="00F7113A" w:rsidRPr="00580C0D" w:rsidRDefault="00142E5B" w:rsidP="00580C0D">
      <w:r w:rsidRPr="00580C0D">
        <w:t>Eksfin har blant annet fått utvidet mandat til å finansiere klimavennlige investeringer i Norge. I tillegg foreslår regjeringen å styrke Eksfin med en fullmakt til å øke garantirammen under Alminnelig garantiordning med 10 mrd. kroner i 2024. Det foreslås at fullmakten midlertidig kan økes med ytterligere 10 mrd. kroner dersom det er behov på grunn av valutasvingninger. I tillegg foreslås rammen for Innovasjon Norges lavrisikolåneordning økt med 1 mrd. kroner.</w:t>
      </w:r>
    </w:p>
    <w:p w14:paraId="4E18FD04" w14:textId="77777777" w:rsidR="00F7113A" w:rsidRPr="00580C0D" w:rsidRDefault="00142E5B" w:rsidP="00580C0D">
      <w:r w:rsidRPr="00580C0D">
        <w:t>Som en oppfølging av Grønt industriløft og batteristrategien vil regjeringen legge til rette for at det kan ytes innovasjonstilskudd i Innovasjon Norge til store batteriprosjekter av felleseuropeisk interesse. Prosjektstøtten vil ha en øvre totalramme på 1 mrd. kroner over fem år.</w:t>
      </w:r>
    </w:p>
    <w:p w14:paraId="2FAF7399" w14:textId="42C8CA9D" w:rsidR="00F7113A" w:rsidRPr="00580C0D" w:rsidRDefault="00142E5B" w:rsidP="00580C0D">
      <w:r w:rsidRPr="00580C0D">
        <w:t>Regjeringen har i Veikartet 2.0 for Grønt industriløft varslet en betydelig økt kapitaltilførsel til Nysnø Klimainvesteringer</w:t>
      </w:r>
      <w:r w:rsidR="00580C0D">
        <w:t xml:space="preserve"> </w:t>
      </w:r>
      <w:r w:rsidRPr="00580C0D">
        <w:t>AS og Siva i 2023. Regjeringen vil komme tilbake til dette i forbindelse med nysalderingen for 2023 budsjettet.</w:t>
      </w:r>
    </w:p>
    <w:p w14:paraId="78F272B2" w14:textId="77777777" w:rsidR="00F7113A" w:rsidRPr="00580C0D" w:rsidRDefault="00142E5B" w:rsidP="00580C0D">
      <w:r w:rsidRPr="00580C0D">
        <w:t>Vedtaket anses med dette som fulgt opp.</w:t>
      </w:r>
    </w:p>
    <w:p w14:paraId="082706C3" w14:textId="77777777" w:rsidR="00F7113A" w:rsidRPr="00580C0D" w:rsidRDefault="00142E5B" w:rsidP="00580C0D">
      <w:pPr>
        <w:pStyle w:val="avsnitt-tittel"/>
      </w:pPr>
      <w:r w:rsidRPr="00580C0D">
        <w:t>Utvidelse av andelen garanti ved byggelån til skip, fartøy og innretninger til havs</w:t>
      </w:r>
    </w:p>
    <w:p w14:paraId="5C3B1020" w14:textId="77777777" w:rsidR="00F7113A" w:rsidRPr="00580C0D" w:rsidRDefault="00142E5B" w:rsidP="00580C0D">
      <w:pPr>
        <w:pStyle w:val="avsnitt-undertittel"/>
      </w:pPr>
      <w:r w:rsidRPr="00580C0D">
        <w:t>Vedtak nr. 921, 16. juni 2023</w:t>
      </w:r>
    </w:p>
    <w:p w14:paraId="60E678AF" w14:textId="77777777" w:rsidR="00F7113A" w:rsidRPr="00580C0D" w:rsidRDefault="00142E5B" w:rsidP="00580C0D">
      <w:pPr>
        <w:pStyle w:val="blokksit"/>
        <w:rPr>
          <w:rStyle w:val="kursiv"/>
        </w:rPr>
      </w:pPr>
      <w:r w:rsidRPr="00580C0D">
        <w:rPr>
          <w:rStyle w:val="kursiv"/>
        </w:rPr>
        <w:t>«Stortinget ber regjeringen bidra til å styrke norske verfts bidrag til grønne maritime løsninger ved å utvide garantiandelen til Eksportfinansiering Norge i garantiordningen for byggelån til skip, fartøy og innretninger til havs til 75 pst.»</w:t>
      </w:r>
    </w:p>
    <w:p w14:paraId="04B0C258" w14:textId="77777777" w:rsidR="00F7113A" w:rsidRPr="00580C0D" w:rsidRDefault="00142E5B" w:rsidP="00580C0D">
      <w:r w:rsidRPr="00580C0D">
        <w:t xml:space="preserve">Vedtaket ble truffet under behandlingen av Meld. St. 2 (2022–2023) </w:t>
      </w:r>
      <w:r w:rsidRPr="00580C0D">
        <w:rPr>
          <w:rStyle w:val="kursiv"/>
        </w:rPr>
        <w:t>Revidert nasjonalbudsjett 2023</w:t>
      </w:r>
      <w:r w:rsidRPr="00580C0D">
        <w:t xml:space="preserve">, jf. </w:t>
      </w:r>
      <w:proofErr w:type="spellStart"/>
      <w:r w:rsidRPr="00580C0D">
        <w:t>Innst</w:t>
      </w:r>
      <w:proofErr w:type="spellEnd"/>
      <w:r w:rsidRPr="00580C0D">
        <w:t>. 490 S (2022–2023).</w:t>
      </w:r>
    </w:p>
    <w:p w14:paraId="0C1C6B9C" w14:textId="77777777" w:rsidR="00F7113A" w:rsidRPr="00580C0D" w:rsidRDefault="00142E5B" w:rsidP="00580C0D">
      <w:r w:rsidRPr="00580C0D">
        <w:t>Stortinget har vedtatt å utvide garantiandelen til Eksportfinansiering Norge i Garantiordningen for byggelån til skip, fartøy og innretninger til havs fra maksimalt 50 til 75 pst. Endringen er innarbeidet i Regelverk for Eksfin sine ordninger og tredde i kraft fra 1. juli 2023.</w:t>
      </w:r>
    </w:p>
    <w:p w14:paraId="3958F7A5" w14:textId="77777777" w:rsidR="00F7113A" w:rsidRPr="00580C0D" w:rsidRDefault="00142E5B" w:rsidP="00580C0D">
      <w:r w:rsidRPr="00580C0D">
        <w:t>Vedtaket anses med dette som fulgt opp.</w:t>
      </w:r>
    </w:p>
    <w:p w14:paraId="252142B8" w14:textId="77777777" w:rsidR="00F7113A" w:rsidRPr="00580C0D" w:rsidRDefault="00142E5B" w:rsidP="00580C0D">
      <w:pPr>
        <w:pStyle w:val="avsnitt-tittel"/>
      </w:pPr>
      <w:r w:rsidRPr="00580C0D">
        <w:t>Redegjørelse av regjeringen om handel og eksportfremme</w:t>
      </w:r>
    </w:p>
    <w:p w14:paraId="08095527" w14:textId="77777777" w:rsidR="00F7113A" w:rsidRPr="00580C0D" w:rsidRDefault="00142E5B" w:rsidP="00580C0D">
      <w:pPr>
        <w:pStyle w:val="avsnitt-undertittel"/>
      </w:pPr>
      <w:r w:rsidRPr="00580C0D">
        <w:t>Vedtak nr. 932, 16. juni 2023</w:t>
      </w:r>
    </w:p>
    <w:p w14:paraId="69147782" w14:textId="77777777" w:rsidR="00F7113A" w:rsidRPr="00580C0D" w:rsidRDefault="00142E5B" w:rsidP="00580C0D">
      <w:pPr>
        <w:pStyle w:val="blokksit"/>
        <w:rPr>
          <w:rStyle w:val="kursiv"/>
        </w:rPr>
      </w:pPr>
      <w:r w:rsidRPr="00580C0D">
        <w:rPr>
          <w:rStyle w:val="kursiv"/>
        </w:rPr>
        <w:t>«Stortinget ber regjeringen holde en årlig redegjørelse i Stortinget om handelspolitikk, der første redegjørelse holdes i løpet av høsten 2023.»</w:t>
      </w:r>
    </w:p>
    <w:p w14:paraId="513994DC" w14:textId="77777777" w:rsidR="00F7113A" w:rsidRPr="00580C0D" w:rsidRDefault="00142E5B" w:rsidP="00580C0D">
      <w:r w:rsidRPr="00580C0D">
        <w:t xml:space="preserve">Vedtaket ble truffet under behandlingen av Meld. St. 2 (2022–2023) </w:t>
      </w:r>
      <w:r w:rsidRPr="00580C0D">
        <w:rPr>
          <w:rStyle w:val="kursiv"/>
        </w:rPr>
        <w:t>Revidert nasjonalbudsjett 2023</w:t>
      </w:r>
      <w:r w:rsidRPr="00580C0D">
        <w:t xml:space="preserve">, jf. </w:t>
      </w:r>
      <w:proofErr w:type="spellStart"/>
      <w:r w:rsidRPr="00580C0D">
        <w:t>Innst</w:t>
      </w:r>
      <w:proofErr w:type="spellEnd"/>
      <w:r w:rsidRPr="00580C0D">
        <w:t>. 490 S (2022–2023).</w:t>
      </w:r>
    </w:p>
    <w:p w14:paraId="2910A593" w14:textId="77777777" w:rsidR="00F7113A" w:rsidRPr="00580C0D" w:rsidRDefault="00142E5B" w:rsidP="00580C0D">
      <w:r w:rsidRPr="00580C0D">
        <w:t>Regjeringen vil følge opp vedtaket, og næringsministeren vil holde en slik redegjørelse i løpet av fjerde kvartal 2023. Vedtaket anses med det å ville bli fulgt opp.</w:t>
      </w:r>
    </w:p>
    <w:p w14:paraId="7EACB038" w14:textId="77777777" w:rsidR="00F7113A" w:rsidRPr="00580C0D" w:rsidRDefault="00142E5B" w:rsidP="00580C0D">
      <w:pPr>
        <w:pStyle w:val="avsnitt-tittel"/>
      </w:pPr>
      <w:r w:rsidRPr="00580C0D">
        <w:t>Krav om nullutslipp for alle nye servicefartøy i havbruksnæringen fra 1. juli 2024</w:t>
      </w:r>
    </w:p>
    <w:p w14:paraId="41F160E9" w14:textId="77777777" w:rsidR="00F7113A" w:rsidRPr="00580C0D" w:rsidRDefault="00142E5B" w:rsidP="00580C0D">
      <w:pPr>
        <w:pStyle w:val="avsnitt-undertittel"/>
      </w:pPr>
      <w:r w:rsidRPr="00580C0D">
        <w:t>Vedtak nr. 933, 16. juni 2023</w:t>
      </w:r>
    </w:p>
    <w:p w14:paraId="641F9B31" w14:textId="77777777" w:rsidR="00F7113A" w:rsidRPr="00580C0D" w:rsidRDefault="00142E5B" w:rsidP="00580C0D">
      <w:pPr>
        <w:pStyle w:val="blokksit"/>
        <w:rPr>
          <w:rStyle w:val="kursiv"/>
        </w:rPr>
      </w:pPr>
      <w:r w:rsidRPr="00580C0D">
        <w:rPr>
          <w:rStyle w:val="kursiv"/>
        </w:rPr>
        <w:t>«Stortinget ber regjeringen fremme forslag om krav om nullutslipp for alle nye servicefartøy i havbruksnæringen fra 1. juli 2024. Det må tas hensyn til at lokale forhold knyttet til energiforsyning kan vanskeliggjøre nullutslipp.»</w:t>
      </w:r>
    </w:p>
    <w:p w14:paraId="2B918AC2" w14:textId="77777777" w:rsidR="00F7113A" w:rsidRPr="00580C0D" w:rsidRDefault="00142E5B" w:rsidP="00580C0D">
      <w:r w:rsidRPr="00580C0D">
        <w:t xml:space="preserve">Vedtaket ble truffet under behandlingen av Meld. St. 2 (2022–2023) </w:t>
      </w:r>
      <w:r w:rsidRPr="00580C0D">
        <w:rPr>
          <w:rStyle w:val="kursiv"/>
        </w:rPr>
        <w:t>Revidert nasjonalbudsjett 2023</w:t>
      </w:r>
      <w:r w:rsidRPr="00580C0D">
        <w:t xml:space="preserve">, jf. </w:t>
      </w:r>
      <w:proofErr w:type="spellStart"/>
      <w:r w:rsidRPr="00580C0D">
        <w:t>Innst</w:t>
      </w:r>
      <w:proofErr w:type="spellEnd"/>
      <w:r w:rsidRPr="00580C0D">
        <w:t>. 490 S (2022–2023).</w:t>
      </w:r>
    </w:p>
    <w:p w14:paraId="0984F3CB" w14:textId="77777777" w:rsidR="00F7113A" w:rsidRPr="00580C0D" w:rsidRDefault="00142E5B" w:rsidP="00580C0D">
      <w:r w:rsidRPr="00580C0D">
        <w:t xml:space="preserve">I tråd med bestilling fra Klima- og miljødepartementet har Sjøfartsdirektoratet, innen fristen 30. juni 2023, levert utredning med tittel </w:t>
      </w:r>
      <w:r w:rsidRPr="00580C0D">
        <w:rPr>
          <w:rStyle w:val="kursiv"/>
        </w:rPr>
        <w:t>Oppdrag om utarbeidelse av lav- og nullutslippskrav til servicefartøy i havbruksnæringen.</w:t>
      </w:r>
      <w:r w:rsidRPr="00580C0D">
        <w:t xml:space="preserve"> Oppdraget er løst i samarbeid med Miljødirektoratet og gir anbefalinger til hvordan et eventuelt krav kan utformes.</w:t>
      </w:r>
    </w:p>
    <w:p w14:paraId="4C8978E1" w14:textId="77777777" w:rsidR="00F7113A" w:rsidRPr="00580C0D" w:rsidRDefault="00142E5B" w:rsidP="00580C0D">
      <w:r w:rsidRPr="00580C0D">
        <w:t>Regjeringen vil følge opp vedtaket og komme tilbake til Stortinget på egnet måte.</w:t>
      </w:r>
    </w:p>
    <w:p w14:paraId="50EF2A2D" w14:textId="77777777" w:rsidR="00F7113A" w:rsidRPr="00580C0D" w:rsidRDefault="00142E5B" w:rsidP="00580C0D">
      <w:pPr>
        <w:pStyle w:val="Overskrift2"/>
      </w:pPr>
      <w:r w:rsidRPr="00580C0D">
        <w:t>Stortingssesjon 2021–2022</w:t>
      </w:r>
    </w:p>
    <w:p w14:paraId="0231E368" w14:textId="77777777" w:rsidR="00F7113A" w:rsidRPr="00580C0D" w:rsidRDefault="00142E5B" w:rsidP="00580C0D">
      <w:pPr>
        <w:pStyle w:val="avsnitt-tittel"/>
      </w:pPr>
      <w:r w:rsidRPr="00580C0D">
        <w:t>Nullutslippsløsninger for servicefartøy i havbruksnæringen</w:t>
      </w:r>
    </w:p>
    <w:p w14:paraId="4EEDC534" w14:textId="77777777" w:rsidR="00F7113A" w:rsidRPr="00580C0D" w:rsidRDefault="00142E5B" w:rsidP="00580C0D">
      <w:pPr>
        <w:pStyle w:val="avsnitt-undertittel"/>
      </w:pPr>
      <w:r w:rsidRPr="00580C0D">
        <w:t>Vedtak nr. 35, punkt 12, 2. desember 2021</w:t>
      </w:r>
    </w:p>
    <w:p w14:paraId="12B32D1E" w14:textId="77777777" w:rsidR="00F7113A" w:rsidRPr="00580C0D" w:rsidRDefault="00142E5B" w:rsidP="00580C0D">
      <w:pPr>
        <w:pStyle w:val="blokksit"/>
        <w:rPr>
          <w:rStyle w:val="kursiv"/>
        </w:rPr>
      </w:pPr>
      <w:r w:rsidRPr="00580C0D">
        <w:rPr>
          <w:rStyle w:val="kursiv"/>
        </w:rPr>
        <w:t>«Stortinget ber regjeringen utrede et påbud om nullutslippsløsninger for servicefartøy i havbruksnæringen.»</w:t>
      </w:r>
    </w:p>
    <w:p w14:paraId="7ED69E7A" w14:textId="77777777" w:rsidR="00F7113A" w:rsidRPr="00580C0D" w:rsidRDefault="00142E5B" w:rsidP="00580C0D">
      <w:r w:rsidRPr="00580C0D">
        <w:t xml:space="preserve">Vedtaket ble truffet under behandlingen av </w:t>
      </w:r>
      <w:proofErr w:type="spellStart"/>
      <w:r w:rsidRPr="00580C0D">
        <w:t>Innst</w:t>
      </w:r>
      <w:proofErr w:type="spellEnd"/>
      <w:r w:rsidRPr="00580C0D">
        <w:t xml:space="preserve">. 2 S (2021–2022) </w:t>
      </w:r>
      <w:r w:rsidRPr="00580C0D">
        <w:rPr>
          <w:rStyle w:val="kursiv"/>
        </w:rPr>
        <w:t>Finansinnstillingen – nasjonalbudsjettet og statsbudsjettet 2022</w:t>
      </w:r>
      <w:r w:rsidRPr="00580C0D">
        <w:t>, jf. Meld. St. 1 (2021–2022).</w:t>
      </w:r>
    </w:p>
    <w:p w14:paraId="0A8AB293" w14:textId="77777777" w:rsidR="00F7113A" w:rsidRPr="00580C0D" w:rsidRDefault="00142E5B" w:rsidP="00580C0D">
      <w:r w:rsidRPr="00580C0D">
        <w:t xml:space="preserve">Regjeringen viser til nytt anmodningsvedtak nr. 933 (2022–2023) truffet under behandlingen av Meld. St. 2 (2022–2023) </w:t>
      </w:r>
      <w:r w:rsidRPr="00580C0D">
        <w:rPr>
          <w:rStyle w:val="kursiv"/>
        </w:rPr>
        <w:t>Revidert nasjonalbudsjett 2023</w:t>
      </w:r>
      <w:r w:rsidRPr="00580C0D">
        <w:t xml:space="preserve">, jf. </w:t>
      </w:r>
      <w:proofErr w:type="spellStart"/>
      <w:r w:rsidRPr="00580C0D">
        <w:t>Innst</w:t>
      </w:r>
      <w:proofErr w:type="spellEnd"/>
      <w:r w:rsidRPr="00580C0D">
        <w:t>. 490 S (2022–2023). Dette vedtaket er omtalt over og gjelder samme tema.</w:t>
      </w:r>
    </w:p>
    <w:p w14:paraId="05F15572" w14:textId="77777777" w:rsidR="00F7113A" w:rsidRPr="00580C0D" w:rsidRDefault="00142E5B" w:rsidP="00580C0D">
      <w:r w:rsidRPr="00580C0D">
        <w:t>Vedtakspunktet anses med dette som oppfylt.</w:t>
      </w:r>
    </w:p>
    <w:p w14:paraId="1667B80E" w14:textId="77777777" w:rsidR="00F7113A" w:rsidRPr="00580C0D" w:rsidRDefault="00142E5B" w:rsidP="00580C0D">
      <w:pPr>
        <w:pStyle w:val="avsnitt-tittel"/>
      </w:pPr>
      <w:r w:rsidRPr="00580C0D">
        <w:t>Nullvisjon for næringer til havs</w:t>
      </w:r>
    </w:p>
    <w:p w14:paraId="240CA90F" w14:textId="77777777" w:rsidR="00F7113A" w:rsidRPr="00580C0D" w:rsidRDefault="00142E5B" w:rsidP="00580C0D">
      <w:pPr>
        <w:pStyle w:val="avsnitt-undertittel"/>
      </w:pPr>
      <w:r w:rsidRPr="00580C0D">
        <w:t>Vedtak nr. 481, 8. april 2022</w:t>
      </w:r>
    </w:p>
    <w:p w14:paraId="14BE723A" w14:textId="77777777" w:rsidR="00F7113A" w:rsidRPr="00580C0D" w:rsidRDefault="00142E5B" w:rsidP="00580C0D">
      <w:pPr>
        <w:pStyle w:val="blokksit"/>
        <w:rPr>
          <w:rStyle w:val="kursiv"/>
        </w:rPr>
      </w:pPr>
      <w:r w:rsidRPr="00580C0D">
        <w:rPr>
          <w:rStyle w:val="kursiv"/>
        </w:rPr>
        <w:t xml:space="preserve">«Stortinget stiller seg positiv til </w:t>
      </w:r>
      <w:proofErr w:type="spellStart"/>
      <w:r w:rsidRPr="00580C0D">
        <w:rPr>
          <w:rStyle w:val="kursiv"/>
        </w:rPr>
        <w:t>ein</w:t>
      </w:r>
      <w:proofErr w:type="spellEnd"/>
      <w:r w:rsidRPr="00580C0D">
        <w:rPr>
          <w:rStyle w:val="kursiv"/>
        </w:rPr>
        <w:t xml:space="preserve"> nullvisjon for </w:t>
      </w:r>
      <w:proofErr w:type="spellStart"/>
      <w:r w:rsidRPr="00580C0D">
        <w:rPr>
          <w:rStyle w:val="kursiv"/>
        </w:rPr>
        <w:t>næringane</w:t>
      </w:r>
      <w:proofErr w:type="spellEnd"/>
      <w:r w:rsidRPr="00580C0D">
        <w:rPr>
          <w:rStyle w:val="kursiv"/>
        </w:rPr>
        <w:t xml:space="preserve"> til havs, og ber om at regjeringa kjem tilbake til Stortinget på eigna måte, slik statsråden har gjort greie for i svaret sitt.»</w:t>
      </w:r>
    </w:p>
    <w:p w14:paraId="6930E360" w14:textId="77777777" w:rsidR="00F7113A" w:rsidRPr="00580C0D" w:rsidRDefault="00142E5B" w:rsidP="00580C0D">
      <w:r w:rsidRPr="00580C0D">
        <w:t xml:space="preserve">Vedtaket ble truffet under behandlingen av Dokument 8:86 S (2021–2022) </w:t>
      </w:r>
      <w:r w:rsidRPr="00580C0D">
        <w:rPr>
          <w:rStyle w:val="kursiv"/>
        </w:rPr>
        <w:t xml:space="preserve">Representantforslag fra stortingsrepresentantene Olve Grotle, Linda Hofstad Helleland og Lene Westgaard-Halle om </w:t>
      </w:r>
      <w:proofErr w:type="spellStart"/>
      <w:r w:rsidRPr="00580C0D">
        <w:rPr>
          <w:rStyle w:val="kursiv"/>
        </w:rPr>
        <w:t>ein</w:t>
      </w:r>
      <w:proofErr w:type="spellEnd"/>
      <w:r w:rsidRPr="00580C0D">
        <w:rPr>
          <w:rStyle w:val="kursiv"/>
        </w:rPr>
        <w:t xml:space="preserve"> visjon om at ingen </w:t>
      </w:r>
      <w:proofErr w:type="spellStart"/>
      <w:r w:rsidRPr="00580C0D">
        <w:rPr>
          <w:rStyle w:val="kursiv"/>
        </w:rPr>
        <w:t>fiskarar</w:t>
      </w:r>
      <w:proofErr w:type="spellEnd"/>
      <w:r w:rsidRPr="00580C0D">
        <w:rPr>
          <w:rStyle w:val="kursiv"/>
        </w:rPr>
        <w:t xml:space="preserve"> skal </w:t>
      </w:r>
      <w:proofErr w:type="spellStart"/>
      <w:r w:rsidRPr="00580C0D">
        <w:rPr>
          <w:rStyle w:val="kursiv"/>
        </w:rPr>
        <w:t>omkome</w:t>
      </w:r>
      <w:proofErr w:type="spellEnd"/>
      <w:r w:rsidRPr="00580C0D">
        <w:rPr>
          <w:rStyle w:val="kursiv"/>
        </w:rPr>
        <w:t xml:space="preserve"> på havet i framtida</w:t>
      </w:r>
      <w:r w:rsidRPr="00580C0D">
        <w:t xml:space="preserve">, jf. </w:t>
      </w:r>
      <w:proofErr w:type="spellStart"/>
      <w:r w:rsidRPr="00580C0D">
        <w:t>Innst</w:t>
      </w:r>
      <w:proofErr w:type="spellEnd"/>
      <w:r w:rsidRPr="00580C0D">
        <w:t>. 224 S (2021–2022).</w:t>
      </w:r>
    </w:p>
    <w:p w14:paraId="138FBE95" w14:textId="77777777" w:rsidR="00F7113A" w:rsidRPr="00580C0D" w:rsidRDefault="00142E5B" w:rsidP="00580C0D">
      <w:r w:rsidRPr="00580C0D">
        <w:t>Regjeringen har etablert en nullvisjon om ingen omkomne eller hardt skadde på fartøy og innretninger underlagt Sjøfartsdirektoratets forvaltnings- og tilsynsansvar. Dette omfatter blant annet passasjerskip, fiskefartøy, lasteskip og fritidsfartøy. Sjøfartsdirektoratet har fått i oppdrag å utarbeide en handlingsplan, som skal inneholde konkrete tiltak som skal være gjennomførbare og virkningsfulle.</w:t>
      </w:r>
    </w:p>
    <w:p w14:paraId="0C8F1267" w14:textId="77777777" w:rsidR="00F7113A" w:rsidRPr="00580C0D" w:rsidRDefault="00142E5B" w:rsidP="00580C0D">
      <w:r w:rsidRPr="00580C0D">
        <w:t>Vedtaket anses med dette som fulgt opp.</w:t>
      </w:r>
    </w:p>
    <w:p w14:paraId="67C1BCB4" w14:textId="77777777" w:rsidR="00F7113A" w:rsidRPr="00580C0D" w:rsidRDefault="00142E5B" w:rsidP="00580C0D">
      <w:pPr>
        <w:pStyle w:val="avsnitt-tittel"/>
      </w:pPr>
      <w:r w:rsidRPr="00580C0D">
        <w:t>Grensekryssende fiske i Skagerrak</w:t>
      </w:r>
    </w:p>
    <w:p w14:paraId="0E712394" w14:textId="77777777" w:rsidR="00F7113A" w:rsidRPr="00580C0D" w:rsidRDefault="00142E5B" w:rsidP="00580C0D">
      <w:pPr>
        <w:pStyle w:val="avsnitt-undertittel"/>
      </w:pPr>
      <w:r w:rsidRPr="00580C0D">
        <w:t>Vedtak nr. 562, 24. mai 2022</w:t>
      </w:r>
    </w:p>
    <w:p w14:paraId="256EA49B" w14:textId="77777777" w:rsidR="00F7113A" w:rsidRPr="00580C0D" w:rsidRDefault="00142E5B" w:rsidP="00580C0D">
      <w:pPr>
        <w:pStyle w:val="blokksit"/>
        <w:rPr>
          <w:rStyle w:val="kursiv"/>
        </w:rPr>
      </w:pPr>
      <w:r w:rsidRPr="00580C0D">
        <w:rPr>
          <w:rStyle w:val="kursiv"/>
        </w:rPr>
        <w:t>«Stortinget ber regjeringen arbeide opp mot danske myndigheter for å sikre at det ikke forekommer to-sonefiske av kveite i Norges økonomiske sone sør for 62° nord og i Skagerrak mellom 20. november og 31. mars.»</w:t>
      </w:r>
    </w:p>
    <w:p w14:paraId="20AD9EDC" w14:textId="77777777" w:rsidR="00F7113A" w:rsidRPr="00580C0D" w:rsidRDefault="00142E5B" w:rsidP="00580C0D">
      <w:r w:rsidRPr="00580C0D">
        <w:t xml:space="preserve">Vedtaket ble truffet under behandlingen av den årlige stortingsmeldingen om Norges fiskeriavtaler. Meld. St. 8 (2021–2022) </w:t>
      </w:r>
      <w:proofErr w:type="spellStart"/>
      <w:r w:rsidRPr="00580C0D">
        <w:rPr>
          <w:rStyle w:val="kursiv"/>
        </w:rPr>
        <w:t>Noregs</w:t>
      </w:r>
      <w:proofErr w:type="spellEnd"/>
      <w:r w:rsidRPr="00580C0D">
        <w:rPr>
          <w:rStyle w:val="kursiv"/>
        </w:rPr>
        <w:t xml:space="preserve"> </w:t>
      </w:r>
      <w:proofErr w:type="spellStart"/>
      <w:r w:rsidRPr="00580C0D">
        <w:rPr>
          <w:rStyle w:val="kursiv"/>
        </w:rPr>
        <w:t>fiskeriavtalar</w:t>
      </w:r>
      <w:proofErr w:type="spellEnd"/>
      <w:r w:rsidRPr="00580C0D">
        <w:rPr>
          <w:rStyle w:val="kursiv"/>
        </w:rPr>
        <w:t xml:space="preserve"> for 2022 og fisket etter </w:t>
      </w:r>
      <w:proofErr w:type="spellStart"/>
      <w:r w:rsidRPr="00580C0D">
        <w:rPr>
          <w:rStyle w:val="kursiv"/>
        </w:rPr>
        <w:t>avtalane</w:t>
      </w:r>
      <w:proofErr w:type="spellEnd"/>
      <w:r w:rsidRPr="00580C0D">
        <w:rPr>
          <w:rStyle w:val="kursiv"/>
        </w:rPr>
        <w:t xml:space="preserve"> i 2020 og 2021</w:t>
      </w:r>
      <w:r w:rsidRPr="00580C0D">
        <w:t xml:space="preserve">, jf. </w:t>
      </w:r>
      <w:proofErr w:type="spellStart"/>
      <w:r w:rsidRPr="00580C0D">
        <w:t>Innst</w:t>
      </w:r>
      <w:proofErr w:type="spellEnd"/>
      <w:r w:rsidRPr="00580C0D">
        <w:t>. 293 S (2021–2022).</w:t>
      </w:r>
    </w:p>
    <w:p w14:paraId="3FB41B83" w14:textId="77777777" w:rsidR="00F7113A" w:rsidRPr="00580C0D" w:rsidRDefault="00142E5B" w:rsidP="00580C0D">
      <w:r w:rsidRPr="00580C0D">
        <w:t xml:space="preserve">Fiskeri- og havministeren har tatt saken opp med EU-kommissæren for miljø, hav og fiskeri, den svenske landsbygdsministeren og den danske ministeren for fødevarer, </w:t>
      </w:r>
      <w:proofErr w:type="spellStart"/>
      <w:r w:rsidRPr="00580C0D">
        <w:t>landbrug</w:t>
      </w:r>
      <w:proofErr w:type="spellEnd"/>
      <w:r w:rsidRPr="00580C0D">
        <w:t xml:space="preserve"> og fiskeri. Det er gledelig at EU som følge av samtalene tar sikte på å innføre tilsvarende reguleringer for vern av kveite i gyteperioden som i Norge. Regelverksharmonisering sikrer imidlertid ikke utfordringene med håndheving og kontroll ved grensekryssende fiske i Skagerrak. Grensekryssende fiske innebærer at norske, danske og svenske fartøy fritt kan krysse grenser uten å heve trålen og uten å rapportere om planlagt grensepassering, fiskestart og -stopp. Praksisen medfører at norske myndigheter ikke kan håndheve overtredelser av fiskeriregelverket ved grensekryssende fiske. Fiskeri- og havministeren har derfor besluttet at ordningen med grensekryssende fiske opphører fra 1. januar 2024, slik at trålen må heves før grensepassering. Videre vil det etableres et system for rapportering av fangst for norske, danske og svenske fartøy tilsvarende som i Nordsjøen, før fartøy krysser grensen til de respektive landenes økonomiske soner. Dette sikrer et godt grunnlag for effektiv håndheving og kontroll av alle fartøy som fisker i norsk sone i Skagerrak.</w:t>
      </w:r>
    </w:p>
    <w:p w14:paraId="7B905644" w14:textId="77777777" w:rsidR="00F7113A" w:rsidRPr="00580C0D" w:rsidRDefault="00142E5B" w:rsidP="00580C0D">
      <w:r w:rsidRPr="00580C0D">
        <w:t>Vedtaket anses med dette som fulgt opp.</w:t>
      </w:r>
    </w:p>
    <w:p w14:paraId="6B4A5B32" w14:textId="77777777" w:rsidR="00F7113A" w:rsidRPr="00580C0D" w:rsidRDefault="00142E5B" w:rsidP="00580C0D">
      <w:pPr>
        <w:pStyle w:val="avsnitt-tittel"/>
      </w:pPr>
      <w:r w:rsidRPr="00580C0D">
        <w:t>Dagligvare – hvordan aktører uten stor kapitaltilgang kan få innpass</w:t>
      </w:r>
    </w:p>
    <w:p w14:paraId="1E998DF8" w14:textId="77777777" w:rsidR="00F7113A" w:rsidRPr="00580C0D" w:rsidRDefault="00142E5B" w:rsidP="00580C0D">
      <w:pPr>
        <w:pStyle w:val="avsnitt-undertittel"/>
      </w:pPr>
      <w:r w:rsidRPr="00580C0D">
        <w:t>Vedtak nr. 601, 31. mai 2022</w:t>
      </w:r>
    </w:p>
    <w:p w14:paraId="03E81FDD" w14:textId="77777777" w:rsidR="00F7113A" w:rsidRPr="00580C0D" w:rsidRDefault="00142E5B" w:rsidP="00580C0D">
      <w:pPr>
        <w:pStyle w:val="blokksit"/>
        <w:rPr>
          <w:rStyle w:val="kursiv"/>
        </w:rPr>
      </w:pPr>
      <w:r w:rsidRPr="00580C0D">
        <w:rPr>
          <w:rStyle w:val="kursiv"/>
        </w:rPr>
        <w:t>«Stortinget ber regjeringen vurdere hvordan også aktører uten stor kapitaltilgang kan få innpass i dagligvarehandelen.»</w:t>
      </w:r>
    </w:p>
    <w:p w14:paraId="7B1B20AC" w14:textId="77777777" w:rsidR="00F7113A" w:rsidRPr="00580C0D" w:rsidRDefault="00142E5B" w:rsidP="00580C0D">
      <w:r w:rsidRPr="00580C0D">
        <w:t xml:space="preserve">Vedtaket ble truffet under behandlingen av Dokument 8:161 S (2021–2022) </w:t>
      </w:r>
      <w:r w:rsidRPr="00580C0D">
        <w:rPr>
          <w:rStyle w:val="kursiv"/>
        </w:rPr>
        <w:t>Representantforslag fra stortingsrepresentantene Alfred Jens Bjørlo, Grunde Almeland og André N. Skjelstad om å sikre like konkurransevilkår for uavhengige merkevarer og kjedenes egne merkevarer (EMV) i dagligvaremarkedet</w:t>
      </w:r>
      <w:r w:rsidRPr="00580C0D">
        <w:t xml:space="preserve">, Dokument 8:170 S (2021–2022) </w:t>
      </w:r>
      <w:r w:rsidRPr="00580C0D">
        <w:rPr>
          <w:rStyle w:val="kursiv"/>
        </w:rPr>
        <w:t xml:space="preserve">Representantforslag fra stortingsrepresentantene Torgeir </w:t>
      </w:r>
      <w:proofErr w:type="spellStart"/>
      <w:r w:rsidRPr="00580C0D">
        <w:rPr>
          <w:rStyle w:val="kursiv"/>
        </w:rPr>
        <w:t>Knag</w:t>
      </w:r>
      <w:proofErr w:type="spellEnd"/>
      <w:r w:rsidRPr="00580C0D">
        <w:rPr>
          <w:rStyle w:val="kursiv"/>
        </w:rPr>
        <w:t xml:space="preserve"> Fylkesnes og Andreas </w:t>
      </w:r>
      <w:proofErr w:type="spellStart"/>
      <w:r w:rsidRPr="00580C0D">
        <w:rPr>
          <w:rStyle w:val="kursiv"/>
        </w:rPr>
        <w:t>Sjalg</w:t>
      </w:r>
      <w:proofErr w:type="spellEnd"/>
      <w:r w:rsidRPr="00580C0D">
        <w:rPr>
          <w:rStyle w:val="kursiv"/>
        </w:rPr>
        <w:t xml:space="preserve"> Unneland om rettferdige konkurransevilkår i norsk dagligvarehandel</w:t>
      </w:r>
      <w:r w:rsidRPr="00580C0D">
        <w:t xml:space="preserve"> og Dokument 8:191 S (2021–2022) </w:t>
      </w:r>
      <w:r w:rsidRPr="00580C0D">
        <w:rPr>
          <w:rStyle w:val="kursiv"/>
        </w:rPr>
        <w:t xml:space="preserve">Representantforslag fra stortingsrepresentant Torgeir </w:t>
      </w:r>
      <w:proofErr w:type="spellStart"/>
      <w:r w:rsidRPr="00580C0D">
        <w:rPr>
          <w:rStyle w:val="kursiv"/>
        </w:rPr>
        <w:t>Knag</w:t>
      </w:r>
      <w:proofErr w:type="spellEnd"/>
      <w:r w:rsidRPr="00580C0D">
        <w:rPr>
          <w:rStyle w:val="kursiv"/>
        </w:rPr>
        <w:t xml:space="preserve"> Fylkesnes om å begrense maktkonsentrasjon i norsk dagligvare</w:t>
      </w:r>
      <w:r w:rsidRPr="00580C0D">
        <w:t xml:space="preserve">, jf. </w:t>
      </w:r>
      <w:proofErr w:type="spellStart"/>
      <w:r w:rsidRPr="00580C0D">
        <w:t>Innst</w:t>
      </w:r>
      <w:proofErr w:type="spellEnd"/>
      <w:r w:rsidRPr="00580C0D">
        <w:t>. 322 S (2021–2022).</w:t>
      </w:r>
    </w:p>
    <w:p w14:paraId="5AC159F3" w14:textId="77777777" w:rsidR="00F7113A" w:rsidRPr="00580C0D" w:rsidRDefault="00142E5B" w:rsidP="00580C0D">
      <w:r w:rsidRPr="00580C0D">
        <w:t>Regjeringen har iverksatt en rekke tiltak som blant annet har til hensikt å senke etableringshindringene i dagligvarebransjen. Lavere etableringshindringer vil gjøre det lettere for aktører uten stor kapitaltilgang å etablere seg i dagligvarebransjen.</w:t>
      </w:r>
    </w:p>
    <w:p w14:paraId="46A495AB" w14:textId="77777777" w:rsidR="00F7113A" w:rsidRPr="00580C0D" w:rsidRDefault="00142E5B" w:rsidP="00580C0D">
      <w:r w:rsidRPr="00580C0D">
        <w:t>For å bidra til en mer effektiv konkurransesituasjon tar regjeringen sikte på ny høring om forskjeller i innkjøpspriser i løpet av høsten 2023. Se anmodningsvedtak nr. 612 av 31. mai 2022 for en nærmere omtale av dette tiltaket.</w:t>
      </w:r>
    </w:p>
    <w:p w14:paraId="330EAB85" w14:textId="77777777" w:rsidR="00F7113A" w:rsidRPr="00580C0D" w:rsidRDefault="00142E5B" w:rsidP="00580C0D">
      <w:r w:rsidRPr="00580C0D">
        <w:t>For å bedre tilgangen på egnede butikklokaler har regjeringen besluttet å forby dagligvareaktørers bruk av negative servitutter som hindrer dagligvarevirksomhet. Forskriften skal etter planen tre i kraft 1. januar 2024. Se rapportering på anmodningsvedtak 609 for en nærmere omtale av forbudet mot negative servitutter.</w:t>
      </w:r>
    </w:p>
    <w:p w14:paraId="54D6E475" w14:textId="77777777" w:rsidR="00F7113A" w:rsidRPr="00580C0D" w:rsidRDefault="00142E5B" w:rsidP="00580C0D">
      <w:r w:rsidRPr="00580C0D">
        <w:t>Regjeringen vil følge opp vedtaket og komme tilbake til Stortinget på egnet måte.</w:t>
      </w:r>
    </w:p>
    <w:p w14:paraId="53073FDC" w14:textId="77777777" w:rsidR="00F7113A" w:rsidRPr="00580C0D" w:rsidRDefault="00142E5B" w:rsidP="00580C0D">
      <w:pPr>
        <w:pStyle w:val="avsnitt-tittel"/>
      </w:pPr>
      <w:r w:rsidRPr="00580C0D">
        <w:t>Dagligvare – rettferdig andel av verdiskapinga i verdikjeden for mat</w:t>
      </w:r>
    </w:p>
    <w:p w14:paraId="5829AF37" w14:textId="77777777" w:rsidR="00F7113A" w:rsidRPr="00580C0D" w:rsidRDefault="00142E5B" w:rsidP="00580C0D">
      <w:pPr>
        <w:pStyle w:val="avsnitt-undertittel"/>
      </w:pPr>
      <w:r w:rsidRPr="00580C0D">
        <w:t>Vedtak nr. 602, 31. mai 2022</w:t>
      </w:r>
    </w:p>
    <w:p w14:paraId="5233B815" w14:textId="77777777" w:rsidR="00F7113A" w:rsidRPr="00580C0D" w:rsidRDefault="00142E5B" w:rsidP="00580C0D">
      <w:pPr>
        <w:pStyle w:val="blokksit"/>
        <w:rPr>
          <w:rStyle w:val="kursiv"/>
        </w:rPr>
      </w:pPr>
      <w:r w:rsidRPr="00580C0D">
        <w:rPr>
          <w:rStyle w:val="kursiv"/>
        </w:rPr>
        <w:t>«Stortinget ber regjeringen vurdere tiltak som bidrar til at matprodusentene får en rettferdig andel av verdiskapinga i verdikjeden for mat.»</w:t>
      </w:r>
    </w:p>
    <w:p w14:paraId="2529D512"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322 S (2021–2022).</w:t>
      </w:r>
    </w:p>
    <w:p w14:paraId="50DFEC67" w14:textId="77777777" w:rsidR="00F7113A" w:rsidRPr="00580C0D" w:rsidRDefault="00142E5B" w:rsidP="00580C0D">
      <w:r w:rsidRPr="00580C0D">
        <w:t>Regjeringen vil følge opp vedtaket og komme tilbake til Stortinget på egnet måte.</w:t>
      </w:r>
    </w:p>
    <w:p w14:paraId="397D1598" w14:textId="77777777" w:rsidR="00F7113A" w:rsidRPr="00580C0D" w:rsidRDefault="00142E5B" w:rsidP="00580C0D">
      <w:pPr>
        <w:pStyle w:val="avsnitt-tittel"/>
      </w:pPr>
      <w:r w:rsidRPr="00580C0D">
        <w:t>Dagligvare – felles merkeordning for kjedenes egne merkevarer (EMV)</w:t>
      </w:r>
    </w:p>
    <w:p w14:paraId="0EB22A75" w14:textId="77777777" w:rsidR="00F7113A" w:rsidRPr="00580C0D" w:rsidRDefault="00142E5B" w:rsidP="00580C0D">
      <w:pPr>
        <w:pStyle w:val="avsnitt-undertittel"/>
      </w:pPr>
      <w:r w:rsidRPr="00580C0D">
        <w:t>Vedtak nr. 606, 31. mai 2022</w:t>
      </w:r>
    </w:p>
    <w:p w14:paraId="641393DB" w14:textId="77777777" w:rsidR="00F7113A" w:rsidRPr="00580C0D" w:rsidRDefault="00142E5B" w:rsidP="00580C0D">
      <w:pPr>
        <w:pStyle w:val="blokksit"/>
        <w:rPr>
          <w:rStyle w:val="kursiv"/>
        </w:rPr>
      </w:pPr>
      <w:r w:rsidRPr="00580C0D">
        <w:rPr>
          <w:rStyle w:val="kursiv"/>
        </w:rPr>
        <w:t>«Stortinget ber regjeringen utarbeide et regelverk som pålegger kjedene en felles merkeordning for EMV, med kjedenavn, produsent og produktets opprinnelsesland, slik at forbrukerne kan gjøre opplyste valg.»</w:t>
      </w:r>
    </w:p>
    <w:p w14:paraId="5E1C3217"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322 S (2021–2022).</w:t>
      </w:r>
    </w:p>
    <w:p w14:paraId="7ABA8E05" w14:textId="77777777" w:rsidR="00F7113A" w:rsidRPr="00580C0D" w:rsidRDefault="00142E5B" w:rsidP="00580C0D">
      <w:r w:rsidRPr="00580C0D">
        <w:t>Nærings- og fiskeridepartementet har lyst ut to oppdrag om henholdsvis omfang, og virkningene på konkurransen, av kjedenes egne merkevarer. Samfunnsøkonomisk Analyse AS ble tildelt oppdragene. Kartleggingsrapporten fra Samfunnsøkonomisk Analyse AS inneholder en kartlegging av hvordan egne merkevarer er regulert i relevante lovverk i Norge og andre europeiske land. Deretter beskriver rapporten hvilke krav som gjelder for merking av matvarer i Norge, og hvordan de tre største handelsaktørene merker sine EMV-produkter.</w:t>
      </w:r>
    </w:p>
    <w:p w14:paraId="61E744B5" w14:textId="77777777" w:rsidR="00F7113A" w:rsidRPr="00580C0D" w:rsidRDefault="00142E5B" w:rsidP="00580C0D">
      <w:r w:rsidRPr="00580C0D">
        <w:t>Samfunnsøkonomisk Analyse AS viser til at merking av varer er knyttet til en rekke hensyn ved produktene, for eksempel opplysning til forbrukere, profilering av varen, eventuelt profilering av eieren av merket og leverandøren. Merking av varer generelt, og matvarer spesifikt, er regulert i en rekke lover og spesifisert ytterligere i forskrifter. For matvarer er det særlig matloven med forskrifter som fastsetter krav til hvordan matvarer skal merkes.</w:t>
      </w:r>
    </w:p>
    <w:p w14:paraId="0043CD5E" w14:textId="77777777" w:rsidR="00F7113A" w:rsidRPr="00580C0D" w:rsidRDefault="00142E5B" w:rsidP="00580C0D">
      <w:r w:rsidRPr="00580C0D">
        <w:t>I rapporten framgår det at dagligvareaktørene oppgir at de til enhver tid forholder seg til gjeldende regelverk om merking av varer generelt og for EMV-produktene spesielt. Videre framgår det at forbrukernes ønske om og behov for utfyllende informasjon om varer er sentralt i hvilken informasjon som oppgis, noe som innebærer at flere produkter er merket med mer informasjon enn lovverket tilsier. For annen merking som går ut over de lovpålagte minimumskravene varierer praksisen mellom ulike varegrupper. Det har blant annet sammenheng med hvilken informasjon forbrukerne etterspør, og hvilken informasjon dagligvareaktørene vurderer som hensiktsmessig å oppgi. Det handler for eksempel om opprinnelsesingrediens for blant annet stivelse, fiber, fett mv., som er viktig for veganske eller andre dietter og av religionsrelaterte hensyn.</w:t>
      </w:r>
    </w:p>
    <w:p w14:paraId="442A3B0E" w14:textId="77777777" w:rsidR="00F7113A" w:rsidRPr="00580C0D" w:rsidRDefault="00142E5B" w:rsidP="00580C0D">
      <w:r w:rsidRPr="00580C0D">
        <w:t>En stor del av dagligvarene er næringsmidler. Merkingen av produktene må derfor følge gjeldende regler for merking av næringsmidler. Strengere krav til merking i Norge enn i andre land kan være konkurransevridende og til ulempe for norskproduserte varer. Vurderingen som er gjort så langt tilsier at det er lite rom for å gi egne nasjonale regler for EMV-produkter, særlig når det gjelder egne krav til merking for EMV-produkter og det ikke stilles samme krav til øvrige produkter. Gjennom EØS-avtalen er Norge bundet av EUs regelverk om merking av næringsmidler, som er gjennomført i matinformasjonsforskriften. Regelverket bygger i stor grad på forbrukerhensynet. Etter regelverket skal næringsmidler merkes med for eksempel opprinnelsesland dersom fravær av slik merking kan medføre at forbrukeren blir villedet. Dette gjelder også EMV-produkter. Produsentene kan uansett velge selv å merke sine varer med opprinnelsessted og/eller -land, produsent, kjedenavn osv. Det er det flere aktører som gjør. Det pågår også prosesser knyttet til utvikling av regelverk om opprinnelsesmerking i EU som kan påvirke framtidige regler i Norge.</w:t>
      </w:r>
    </w:p>
    <w:p w14:paraId="232872DD" w14:textId="77777777" w:rsidR="00F7113A" w:rsidRPr="00580C0D" w:rsidRDefault="00142E5B" w:rsidP="00580C0D">
      <w:r w:rsidRPr="00580C0D">
        <w:t>Samfunnsøkonomisk Analyses endelige rapport med analyse av virkningene av EMV på konkurransen og vurdering av eventuelle tiltak skal etter planen foreligge i slutten av september 2023. Regjeringen vil vurdere videre oppfølging av anmodningsvedtaket i forbindelse med dette arbeidet. Det vises til omtale under vedtak nr. 607, 31. mai 2022.</w:t>
      </w:r>
    </w:p>
    <w:p w14:paraId="61CB43ED" w14:textId="77777777" w:rsidR="00F7113A" w:rsidRPr="00580C0D" w:rsidRDefault="00142E5B" w:rsidP="00580C0D">
      <w:r w:rsidRPr="00580C0D">
        <w:t>Regjeringen vil følge opp vedtaket og komme tilbake til Stortinget på egnet måte.</w:t>
      </w:r>
    </w:p>
    <w:p w14:paraId="4DF9CB6A" w14:textId="77777777" w:rsidR="00F7113A" w:rsidRPr="00580C0D" w:rsidRDefault="00142E5B" w:rsidP="00580C0D">
      <w:pPr>
        <w:pStyle w:val="avsnitt-tittel"/>
      </w:pPr>
      <w:r w:rsidRPr="00580C0D">
        <w:t>Dagligvare – utrede virkningene av egne merkevarer på konkurransesituasjonen</w:t>
      </w:r>
    </w:p>
    <w:p w14:paraId="02FD8611" w14:textId="77777777" w:rsidR="00F7113A" w:rsidRPr="00580C0D" w:rsidRDefault="00142E5B" w:rsidP="00580C0D">
      <w:pPr>
        <w:pStyle w:val="avsnitt-undertittel"/>
      </w:pPr>
      <w:r w:rsidRPr="00580C0D">
        <w:t>Vedtak nr. 607, 31. mai 2022</w:t>
      </w:r>
    </w:p>
    <w:p w14:paraId="530CE482" w14:textId="77777777" w:rsidR="00F7113A" w:rsidRPr="00580C0D" w:rsidRDefault="00142E5B" w:rsidP="00580C0D">
      <w:pPr>
        <w:pStyle w:val="blokksit"/>
        <w:rPr>
          <w:rStyle w:val="kursiv"/>
        </w:rPr>
      </w:pPr>
      <w:r w:rsidRPr="00580C0D">
        <w:rPr>
          <w:rStyle w:val="kursiv"/>
        </w:rPr>
        <w:t>«Stortinget ber regjeringen om å utrede og fremme sak til Stortinget på egnet måte om virkningene som vertikal integrasjon og EMV har på konkurransesituasjonen, prisene og utvalget. En slik sak må omfatte mulig utvidelse av kjedenes meldeplikt til Konkurransetilsynet til å omfatte kjøp eller leie av produksjonskapasitet, en begrunnelsesplikt ved forskjeller i påslag mellom EMV og uavhengige merkevarer og en hjemmel for Konkurransetilsynet eller Dagligvaretilsynet for å føre tilsyn med bruken av EMV i dagligvaremarkedet.»</w:t>
      </w:r>
    </w:p>
    <w:p w14:paraId="30A7411F"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322 S (2021–2022).</w:t>
      </w:r>
    </w:p>
    <w:p w14:paraId="1B7A1057" w14:textId="77777777" w:rsidR="00F7113A" w:rsidRPr="00580C0D" w:rsidRDefault="00142E5B" w:rsidP="00580C0D">
      <w:r w:rsidRPr="00580C0D">
        <w:t>Nærings- og fiskeridepartementet har lyst ut to oppdrag om henholdsvis omfanget, og virkningene på konkurransen, av kjedenes egne merkevarer og vertikal integrasjon. Samfunnsøkonomisk Analyse AS fikk tildelt oppdragene. Endelig rapport med analyse av virkningene på konkurransen og vurdering av eventuelle tiltak skal etter planen foreligge i slutten av september 2023. Departementet vil vurdere eventuelle tiltak knyttet til egne merkevarer og vertikal integrasjon når endelig rapport foreligger.</w:t>
      </w:r>
    </w:p>
    <w:p w14:paraId="34D1976C" w14:textId="77777777" w:rsidR="00F7113A" w:rsidRPr="00580C0D" w:rsidRDefault="00142E5B" w:rsidP="00580C0D">
      <w:r w:rsidRPr="00580C0D">
        <w:t>Regjeringen vil følge opp vedtaket og komme tilbake til Stortinget på egnet måte</w:t>
      </w:r>
    </w:p>
    <w:p w14:paraId="67AADE74" w14:textId="77777777" w:rsidR="00F7113A" w:rsidRPr="00580C0D" w:rsidRDefault="00142E5B" w:rsidP="00580C0D">
      <w:pPr>
        <w:pStyle w:val="avsnitt-tittel"/>
      </w:pPr>
      <w:r w:rsidRPr="00580C0D">
        <w:t>Dagligvare – vertikal integrasjon og egne merkevarer i dagligvarebransjen</w:t>
      </w:r>
    </w:p>
    <w:p w14:paraId="2124E847" w14:textId="77777777" w:rsidR="00F7113A" w:rsidRPr="00580C0D" w:rsidRDefault="00142E5B" w:rsidP="00580C0D">
      <w:pPr>
        <w:pStyle w:val="avsnitt-undertittel"/>
      </w:pPr>
      <w:r w:rsidRPr="00580C0D">
        <w:t>Vedtak nr. 608, 31. mai 2022</w:t>
      </w:r>
    </w:p>
    <w:p w14:paraId="1FEFA0FF" w14:textId="77777777" w:rsidR="00F7113A" w:rsidRPr="00580C0D" w:rsidRDefault="00142E5B" w:rsidP="00580C0D">
      <w:pPr>
        <w:pStyle w:val="blokksit"/>
        <w:rPr>
          <w:rStyle w:val="kursiv"/>
        </w:rPr>
      </w:pPr>
      <w:r w:rsidRPr="00580C0D">
        <w:rPr>
          <w:rStyle w:val="kursiv"/>
        </w:rPr>
        <w:t>«Stortinget ber regjeringen raskest mulig komme tilbake til Stortinget med en konkret plan for oppfølging av stortingsvedtak nr. 577 og 578 (2020 -2021) om vertikal integrasjon og egne merkevarer i dagligvarebransjen.»</w:t>
      </w:r>
    </w:p>
    <w:p w14:paraId="470008C3"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xml:space="preserve">. 322 S (2021–2022). Vedtak nr. 577 og 578 (2020–2021) ble fattet under behandlingen av Meld. St. 27 (2019–2020) </w:t>
      </w:r>
      <w:proofErr w:type="spellStart"/>
      <w:r w:rsidRPr="00580C0D">
        <w:rPr>
          <w:rStyle w:val="kursiv"/>
        </w:rPr>
        <w:t>Daglegvare</w:t>
      </w:r>
      <w:proofErr w:type="spellEnd"/>
      <w:r w:rsidRPr="00580C0D">
        <w:rPr>
          <w:rStyle w:val="kursiv"/>
        </w:rPr>
        <w:t xml:space="preserve"> og konkurranse – kampen om </w:t>
      </w:r>
      <w:proofErr w:type="spellStart"/>
      <w:r w:rsidRPr="00580C0D">
        <w:rPr>
          <w:rStyle w:val="kursiv"/>
        </w:rPr>
        <w:t>kundane</w:t>
      </w:r>
      <w:proofErr w:type="spellEnd"/>
      <w:r w:rsidRPr="00580C0D">
        <w:t xml:space="preserve">, jf. </w:t>
      </w:r>
      <w:proofErr w:type="spellStart"/>
      <w:r w:rsidRPr="00580C0D">
        <w:t>Innst</w:t>
      </w:r>
      <w:proofErr w:type="spellEnd"/>
      <w:r w:rsidRPr="00580C0D">
        <w:t>. 185 S (2020–2021).</w:t>
      </w:r>
    </w:p>
    <w:p w14:paraId="675D0E88" w14:textId="77777777" w:rsidR="00F7113A" w:rsidRPr="00580C0D" w:rsidRDefault="00142E5B" w:rsidP="00580C0D">
      <w:r w:rsidRPr="00580C0D">
        <w:t>Nærings- og fiskeridepartementet har lyst ut to oppdrag om henholdsvis omfanget av og virkningene på konkurransen av kjedenes egne merkevarer og vertikal integrasjon. Samfunnsøkonomisk Analyse AS fikk tildelt oppdragene. Endelig rapport med analyse av virkningene på konkurransen og vurdering av eventuelle tiltak skal etter planen foreligge i slutten av september 2023. Anmodningsvedtakene det vises til vil følges opp i den forbindelse. Det vises til omtale under vedtak nr. 607 og 611, 31. mai 2022.</w:t>
      </w:r>
    </w:p>
    <w:p w14:paraId="7803749C" w14:textId="77777777" w:rsidR="00F7113A" w:rsidRPr="00580C0D" w:rsidRDefault="00142E5B" w:rsidP="00580C0D">
      <w:r w:rsidRPr="00580C0D">
        <w:t>Departementet har også sendt forslag om innføring av et nytt fleksibelt markedsetterforskningsverktøy i konkurranseloven på høring med frist 30. juni. Verktøyet er særlig rettet mot markeder med store og sammensatte konkurranseproblemer. Det vises til omtale under vedtak nr. 694, 23. mai 2023.</w:t>
      </w:r>
    </w:p>
    <w:p w14:paraId="379D7285" w14:textId="77777777" w:rsidR="00F7113A" w:rsidRPr="00580C0D" w:rsidRDefault="00142E5B" w:rsidP="00580C0D">
      <w:r w:rsidRPr="00580C0D">
        <w:t>Regjeringen vil følge opp vedtaket og komme tilbake til Stortinget på egnet måte.</w:t>
      </w:r>
    </w:p>
    <w:p w14:paraId="2E3F16E2" w14:textId="77777777" w:rsidR="00F7113A" w:rsidRPr="00580C0D" w:rsidRDefault="00142E5B" w:rsidP="00580C0D">
      <w:pPr>
        <w:pStyle w:val="avsnitt-tittel"/>
      </w:pPr>
      <w:r w:rsidRPr="00580C0D">
        <w:t>Dagligvare – hindre bruk av negative servitutter</w:t>
      </w:r>
    </w:p>
    <w:p w14:paraId="455DA947" w14:textId="77777777" w:rsidR="00F7113A" w:rsidRPr="00580C0D" w:rsidRDefault="00142E5B" w:rsidP="00580C0D">
      <w:pPr>
        <w:pStyle w:val="avsnitt-undertittel"/>
      </w:pPr>
      <w:r w:rsidRPr="00580C0D">
        <w:t>Vedtak nr. 609, 31. mai 2022</w:t>
      </w:r>
    </w:p>
    <w:p w14:paraId="3533E614" w14:textId="77777777" w:rsidR="00F7113A" w:rsidRPr="00580C0D" w:rsidRDefault="00142E5B" w:rsidP="00580C0D">
      <w:pPr>
        <w:pStyle w:val="blokksit"/>
        <w:rPr>
          <w:rStyle w:val="kursiv"/>
        </w:rPr>
      </w:pPr>
      <w:r w:rsidRPr="00580C0D">
        <w:rPr>
          <w:rStyle w:val="kursiv"/>
        </w:rPr>
        <w:t>«Stortinget ber regjeringen om å vurdere hvordan en kan hindre bruken av negative servitutter på næringsareal, som hindrer etablering av nye dagligvareaktører.»</w:t>
      </w:r>
    </w:p>
    <w:p w14:paraId="230E6C94"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322 S (2021–2022).</w:t>
      </w:r>
    </w:p>
    <w:p w14:paraId="7B681F09" w14:textId="77777777" w:rsidR="00F7113A" w:rsidRPr="00580C0D" w:rsidRDefault="00142E5B" w:rsidP="00580C0D">
      <w:r w:rsidRPr="00580C0D">
        <w:t>Nærings- og fiskeridepartementet sendte på høring utkast til forskrift om forbud mot negative servitutter og eksklusive leiekontrakter i dagligvaremarkedet 5. juli 2022, med høringsfrist 5. oktober 2022. Regjeringen har besluttet å forby dagligvareaktørers bruk av negative servitutter som hindrer dagligvarevirksomhet, under forutsetning av at servitutter anses som en ensidig handling. Forskriften skal etter planen tre i kraft 1. januar 2024.</w:t>
      </w:r>
    </w:p>
    <w:p w14:paraId="647BA217" w14:textId="77777777" w:rsidR="00F7113A" w:rsidRPr="00580C0D" w:rsidRDefault="00142E5B" w:rsidP="00580C0D">
      <w:r w:rsidRPr="00580C0D">
        <w:t>Vedtaket anses med dette som fulgt opp.</w:t>
      </w:r>
    </w:p>
    <w:p w14:paraId="76063614" w14:textId="77777777" w:rsidR="00F7113A" w:rsidRPr="00580C0D" w:rsidRDefault="00142E5B" w:rsidP="00580C0D">
      <w:pPr>
        <w:pStyle w:val="avsnitt-tittel"/>
      </w:pPr>
      <w:r w:rsidRPr="00580C0D">
        <w:t>Dagligvare – konkurranse og mer åpenhet innenfor grossist- og distribusjonsleddet</w:t>
      </w:r>
    </w:p>
    <w:p w14:paraId="6755826B" w14:textId="77777777" w:rsidR="00F7113A" w:rsidRPr="00580C0D" w:rsidRDefault="00142E5B" w:rsidP="00580C0D">
      <w:pPr>
        <w:pStyle w:val="avsnitt-undertittel"/>
      </w:pPr>
      <w:r w:rsidRPr="00580C0D">
        <w:t>Vedtak nr. 610, 31. mai 2022</w:t>
      </w:r>
    </w:p>
    <w:p w14:paraId="5679251A" w14:textId="77777777" w:rsidR="00F7113A" w:rsidRPr="00580C0D" w:rsidRDefault="00142E5B" w:rsidP="00580C0D">
      <w:pPr>
        <w:pStyle w:val="blokksit"/>
        <w:rPr>
          <w:rStyle w:val="kursiv"/>
        </w:rPr>
      </w:pPr>
      <w:r w:rsidRPr="00580C0D">
        <w:rPr>
          <w:rStyle w:val="kursiv"/>
        </w:rPr>
        <w:t>«Stortinget ber regjeringen utrede tiltak for å sikre konkurranse og mer åpenhet innenfor grossist- og distributørleddet i dagligvarehandelen, herunder tilsyn med priskalkylene for distribusjonstjenester.»</w:t>
      </w:r>
    </w:p>
    <w:p w14:paraId="0091354F"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322 S (2021–2022).</w:t>
      </w:r>
    </w:p>
    <w:p w14:paraId="5DB6C986" w14:textId="77777777" w:rsidR="00F7113A" w:rsidRPr="00580C0D" w:rsidRDefault="00142E5B" w:rsidP="00580C0D">
      <w:r w:rsidRPr="00580C0D">
        <w:t>Regjeringen har iverksatt flere tiltak som har betydning for den videre oppfølgingen av tiltaket. Nærings- og fiskeridepartementet har bedt Konkurransetilsynet om å undersøke lønnsomhet og marginer for aktører i ulike ledd av verdikjeden for mat og dagligvarer. Tilsynet skal også undersøke hvilke virkninger ordningen med to faste tidspunkt for leverandørenes prisjusteringer har for prisdannelsen og konkurransen i dagligvarebransjen. Undersøkelsene skal gjennomføres i løpet av 2023. Undersøkelsene vil kunne bidra til økt kunnskap og åpenhet i verdikjeden for mat og dagligvarer.</w:t>
      </w:r>
    </w:p>
    <w:p w14:paraId="485E11DE" w14:textId="77777777" w:rsidR="00F7113A" w:rsidRPr="00580C0D" w:rsidRDefault="00142E5B" w:rsidP="00580C0D">
      <w:r w:rsidRPr="00580C0D">
        <w:t>Det eksisterer allerede reguleringer som skal sikre åpenhet mellom kontraktsparter, og overfor tilsynsmyndigheter, i verdikjeden for mat og dagligvarer. Lov om god handelsskikk pålegger kontraktsparter å legge fram opplysninger som de kjenner til, og som de har grunn til å tro at har betydning for den annen part, både i forbindelse med forhandlinger om, og gjennomføring av, en kontrakt. Lov om god handelsskikk og konkurranseloven gir henholdsvis Dagligvaretilsynet og Konkurransetilsynet bred tilgang til å innhente den informasjonen de mener er nødvendig for å utføre de oppgavene de er satt til å gjøre.</w:t>
      </w:r>
    </w:p>
    <w:p w14:paraId="5BE03E13" w14:textId="77777777" w:rsidR="00F7113A" w:rsidRPr="00580C0D" w:rsidRDefault="00142E5B" w:rsidP="00580C0D">
      <w:r w:rsidRPr="00580C0D">
        <w:t>Departementet har sendt på høring et forslag om et nytt markedsetterforskningsverktøy. Det foreslåtte verktøyet vil kunne brukes i markeder med strukturelle konkurranseutfordringer, slik som dagligvarebransjen. Et markedsetterforskningsverktøy vil gi Konkurransetilsynet mulighet til å gjennomføre en markedsetterforskning, og på bakgrunn av funn i markedsetterforskningen treffe målrettede tiltak for å styrke konkurransen. Verktøyet vil kunne bidra til økt konkurranse og mer kunnskap om verdikjeden for mat og dagligvarer.</w:t>
      </w:r>
    </w:p>
    <w:p w14:paraId="44BA433B" w14:textId="77777777" w:rsidR="00F7113A" w:rsidRPr="00580C0D" w:rsidRDefault="00142E5B" w:rsidP="00580C0D">
      <w:r w:rsidRPr="00580C0D">
        <w:t>Regjeringen vil følge opp vedtaket og komme tilbake til Stortinget på egnet måte.</w:t>
      </w:r>
    </w:p>
    <w:p w14:paraId="38B21097" w14:textId="77777777" w:rsidR="00F7113A" w:rsidRPr="00580C0D" w:rsidRDefault="00142E5B" w:rsidP="00580C0D">
      <w:pPr>
        <w:pStyle w:val="avsnitt-tittel"/>
      </w:pPr>
      <w:r w:rsidRPr="00580C0D">
        <w:t>Dagligvare – definisjon av kjedenes egne merkevarer (EMV)</w:t>
      </w:r>
    </w:p>
    <w:p w14:paraId="223348C0" w14:textId="77777777" w:rsidR="00F7113A" w:rsidRPr="00580C0D" w:rsidRDefault="00142E5B" w:rsidP="00580C0D">
      <w:pPr>
        <w:pStyle w:val="avsnitt-undertittel"/>
      </w:pPr>
      <w:r w:rsidRPr="00580C0D">
        <w:t>Vedtak nr. 611, 31. mai 2022</w:t>
      </w:r>
    </w:p>
    <w:p w14:paraId="247AA3B3" w14:textId="77777777" w:rsidR="00F7113A" w:rsidRPr="00580C0D" w:rsidRDefault="00142E5B" w:rsidP="00580C0D">
      <w:pPr>
        <w:pStyle w:val="blokksit"/>
        <w:rPr>
          <w:rStyle w:val="kursiv"/>
        </w:rPr>
      </w:pPr>
      <w:r w:rsidRPr="00580C0D">
        <w:rPr>
          <w:rStyle w:val="kursiv"/>
        </w:rPr>
        <w:t>«Stortinget ber regjeringen utarbeide en mer presis definisjon på hva som regnes som kjedenes egne merkevarer (EMV), for å få en bedre oversikt over totalandelen i dagligvaremarkedet.»</w:t>
      </w:r>
    </w:p>
    <w:p w14:paraId="0FE6DB7A"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322 S (2021–2022).</w:t>
      </w:r>
    </w:p>
    <w:p w14:paraId="267E9BCF" w14:textId="77777777" w:rsidR="00F7113A" w:rsidRPr="00580C0D" w:rsidRDefault="00142E5B" w:rsidP="00580C0D">
      <w:r w:rsidRPr="00580C0D">
        <w:t>Samfunnsøkonomisk Analyse AS har, på vegne av Nærings- og fiskeridepartementet, utredet og foreslått en definisjon av egne merkevarer. I utredningen foreslås det at alle varemerkene innen dagligvare deles inn i fire kategorier:</w:t>
      </w:r>
    </w:p>
    <w:p w14:paraId="622C086C" w14:textId="77777777" w:rsidR="00F7113A" w:rsidRPr="00580C0D" w:rsidRDefault="00142E5B" w:rsidP="00580C0D">
      <w:pPr>
        <w:pStyle w:val="friliste"/>
      </w:pPr>
      <w:r w:rsidRPr="00580C0D">
        <w:t>1.</w:t>
      </w:r>
      <w:r w:rsidRPr="00580C0D">
        <w:tab/>
        <w:t>Generiske varer (GV) er generiske produkter som selges uten noen form for varemerking. Dette vil for eksempel være noen produkter i løsvekt og i ferskvaredisken.</w:t>
      </w:r>
    </w:p>
    <w:p w14:paraId="4E4C083A" w14:textId="77777777" w:rsidR="00F7113A" w:rsidRPr="00580C0D" w:rsidRDefault="00142E5B" w:rsidP="00580C0D">
      <w:pPr>
        <w:pStyle w:val="friliste"/>
      </w:pPr>
      <w:r w:rsidRPr="00580C0D">
        <w:t>2.</w:t>
      </w:r>
      <w:r w:rsidRPr="00580C0D">
        <w:tab/>
        <w:t>Handelsaktørenes egne merkevarer (EMV) er produkter med varemerker som eies av handelsaktører med detaljistsalg, og som hovedsakelig selges gjennom handelsaktørenes egne utsalgssteder.</w:t>
      </w:r>
    </w:p>
    <w:p w14:paraId="55E46F9D" w14:textId="77777777" w:rsidR="00F7113A" w:rsidRPr="00580C0D" w:rsidRDefault="00142E5B" w:rsidP="00580C0D">
      <w:pPr>
        <w:pStyle w:val="friliste"/>
      </w:pPr>
      <w:r w:rsidRPr="00580C0D">
        <w:t>3.</w:t>
      </w:r>
      <w:r w:rsidRPr="00580C0D">
        <w:tab/>
        <w:t>Leverandørenes merkevarer (LMV) er produkter med varemerker som eies av leverandører som er uavhengige av handelsaktørene. Leverandøren er uavhengig når ingen handelsaktør eier mer enn 20 pst. av foretaket. Produkter med varemerker der mesteparten av produktsortimentet er omfattet av juridisk bindende eksklusivitetsavtale mellom en handelsaktør med detaljistsalg og en uavhengig leverandør holdes utenfor kategorien.</w:t>
      </w:r>
    </w:p>
    <w:p w14:paraId="379AAC02" w14:textId="77777777" w:rsidR="00F7113A" w:rsidRPr="00580C0D" w:rsidRDefault="00142E5B" w:rsidP="00580C0D">
      <w:pPr>
        <w:pStyle w:val="friliste"/>
      </w:pPr>
      <w:r w:rsidRPr="00580C0D">
        <w:t>4.</w:t>
      </w:r>
      <w:r w:rsidRPr="00580C0D">
        <w:tab/>
        <w:t>Tilknyttede merkevarer (TMV) er en restkategori for alle produkter med varemerker som ikke passer inn i de andre definisjonene.</w:t>
      </w:r>
    </w:p>
    <w:p w14:paraId="43C597A0" w14:textId="77777777" w:rsidR="00F7113A" w:rsidRPr="00580C0D" w:rsidRDefault="00142E5B" w:rsidP="00580C0D">
      <w:r w:rsidRPr="00580C0D">
        <w:t>Kartleggingsrapporten fra Samfunnsøkonomisk Analyse AS gir en oversikt over totalandelen EMV i dagligvaremarkedet, basert på ovennevnte definisjon. Den viser at om lag 20 pst. av produktene hos de tre store handelsaktørene (NorgesGruppen, Coop og Rema 1000) utgjorde EMV i 2022. I 2017 var tilsvarende andel 17 pst. Også andelen TMV har økt, fra 7,8 pst. i 2017 til 8,4 pst. i 2022. Andelen generiske varer (GV), har falt fra 7,3 til 5,5 pst. Det skyldes ifølge Samfunnsøkonomisk Analyse antakelig at en større andel av ferskvarer er innpakket. Totalt sett er det leverandørenes merkevarer som utgjør den største andelen av dagligvaremarkedet i Norge, basert på den foreslåtte definisjonen. Andelen LMV var 66 pst. i 2022, men har falt fra 68 pst. i 2017.</w:t>
      </w:r>
    </w:p>
    <w:p w14:paraId="0E56B93C" w14:textId="77777777" w:rsidR="00F7113A" w:rsidRPr="00580C0D" w:rsidRDefault="00142E5B" w:rsidP="00580C0D">
      <w:r w:rsidRPr="00580C0D">
        <w:t>Vedtaket anses med dette som fulgt opp.</w:t>
      </w:r>
    </w:p>
    <w:p w14:paraId="300CD9B0" w14:textId="77777777" w:rsidR="00F7113A" w:rsidRPr="00580C0D" w:rsidRDefault="00142E5B" w:rsidP="00580C0D">
      <w:pPr>
        <w:pStyle w:val="avsnitt-tittel"/>
      </w:pPr>
      <w:r w:rsidRPr="00580C0D">
        <w:t>Dagligvare – midlertidig forskrift om usaklig prisdiskriminering</w:t>
      </w:r>
    </w:p>
    <w:p w14:paraId="7807F2D3" w14:textId="77777777" w:rsidR="00F7113A" w:rsidRPr="00580C0D" w:rsidRDefault="00142E5B" w:rsidP="00580C0D">
      <w:pPr>
        <w:pStyle w:val="avsnitt-undertittel"/>
      </w:pPr>
      <w:r w:rsidRPr="00580C0D">
        <w:t>Vedtak nr. 612, 31. mai 2022</w:t>
      </w:r>
    </w:p>
    <w:p w14:paraId="63FB8A34" w14:textId="77777777" w:rsidR="00F7113A" w:rsidRPr="00580C0D" w:rsidRDefault="00142E5B" w:rsidP="00580C0D">
      <w:pPr>
        <w:pStyle w:val="blokksit"/>
        <w:rPr>
          <w:rStyle w:val="kursiv"/>
        </w:rPr>
      </w:pPr>
      <w:r w:rsidRPr="00580C0D">
        <w:rPr>
          <w:rStyle w:val="kursiv"/>
        </w:rPr>
        <w:t xml:space="preserve">«Stortinget ber regjeringen sende på høring en midlertidig forskrift i </w:t>
      </w:r>
      <w:proofErr w:type="gramStart"/>
      <w:r w:rsidRPr="00580C0D">
        <w:rPr>
          <w:rStyle w:val="kursiv"/>
        </w:rPr>
        <w:t>medhold av</w:t>
      </w:r>
      <w:proofErr w:type="gramEnd"/>
      <w:r w:rsidRPr="00580C0D">
        <w:rPr>
          <w:rStyle w:val="kursiv"/>
        </w:rPr>
        <w:t xml:space="preserve"> konkurranseloven A § 14 om usaklig prisdiskriminering, og eventuelt andre bestemmelser om usaklig prisdiskriminering. Følgende hensyn bør være en del av høringsutkastet:</w:t>
      </w:r>
    </w:p>
    <w:p w14:paraId="43F1C8FA" w14:textId="77777777" w:rsidR="00F7113A" w:rsidRPr="00580C0D" w:rsidRDefault="00142E5B" w:rsidP="00580C0D">
      <w:pPr>
        <w:pStyle w:val="friliste2"/>
        <w:rPr>
          <w:rStyle w:val="kursiv"/>
        </w:rPr>
      </w:pPr>
      <w:r w:rsidRPr="00580C0D">
        <w:rPr>
          <w:rStyle w:val="kursiv"/>
        </w:rPr>
        <w:t>a.</w:t>
      </w:r>
      <w:r w:rsidRPr="00580C0D">
        <w:rPr>
          <w:rStyle w:val="kursiv"/>
        </w:rPr>
        <w:tab/>
        <w:t>En operasjonell definisjon av vesentlig markedsmakt</w:t>
      </w:r>
    </w:p>
    <w:p w14:paraId="2DB801BA" w14:textId="77777777" w:rsidR="00F7113A" w:rsidRPr="00580C0D" w:rsidRDefault="00142E5B" w:rsidP="00580C0D">
      <w:pPr>
        <w:pStyle w:val="friliste2"/>
        <w:rPr>
          <w:rStyle w:val="kursiv"/>
        </w:rPr>
      </w:pPr>
      <w:r w:rsidRPr="00580C0D">
        <w:rPr>
          <w:rStyle w:val="kursiv"/>
        </w:rPr>
        <w:t>b.</w:t>
      </w:r>
      <w:r w:rsidRPr="00580C0D">
        <w:rPr>
          <w:rStyle w:val="kursiv"/>
        </w:rPr>
        <w:tab/>
        <w:t>En operasjonell definisjon av hva som utgjør en varekategori</w:t>
      </w:r>
    </w:p>
    <w:p w14:paraId="07270D6C" w14:textId="77777777" w:rsidR="00F7113A" w:rsidRPr="00580C0D" w:rsidRDefault="00142E5B" w:rsidP="00580C0D">
      <w:pPr>
        <w:pStyle w:val="friliste2"/>
        <w:rPr>
          <w:rStyle w:val="kursiv"/>
        </w:rPr>
      </w:pPr>
      <w:r w:rsidRPr="00580C0D">
        <w:rPr>
          <w:rStyle w:val="kursiv"/>
        </w:rPr>
        <w:t>c.</w:t>
      </w:r>
      <w:r w:rsidRPr="00580C0D">
        <w:rPr>
          <w:rStyle w:val="kursiv"/>
        </w:rPr>
        <w:tab/>
        <w:t>En operasjonell definisjon av ulike innkjøpsbetingelser</w:t>
      </w:r>
    </w:p>
    <w:p w14:paraId="003A9B57" w14:textId="77777777" w:rsidR="00F7113A" w:rsidRPr="00580C0D" w:rsidRDefault="00142E5B" w:rsidP="00580C0D">
      <w:pPr>
        <w:pStyle w:val="friliste2"/>
        <w:rPr>
          <w:rStyle w:val="kursiv"/>
        </w:rPr>
      </w:pPr>
      <w:r w:rsidRPr="00580C0D">
        <w:rPr>
          <w:rStyle w:val="kursiv"/>
        </w:rPr>
        <w:t>d.</w:t>
      </w:r>
      <w:r w:rsidRPr="00580C0D">
        <w:rPr>
          <w:rStyle w:val="kursiv"/>
        </w:rPr>
        <w:tab/>
        <w:t xml:space="preserve">At dersom leverandører med vesentlig markedsmakt skal tilby dagligvarekjeder og grossister ulike innkjøpsbetingelser, skal leverandøren kunne begrunne ulikheten saklig. Det vises til vedtak 572 (jf. </w:t>
      </w:r>
      <w:proofErr w:type="spellStart"/>
      <w:r w:rsidRPr="00580C0D">
        <w:rPr>
          <w:rStyle w:val="kursiv"/>
        </w:rPr>
        <w:t>Innst</w:t>
      </w:r>
      <w:proofErr w:type="spellEnd"/>
      <w:r w:rsidRPr="00580C0D">
        <w:rPr>
          <w:rStyle w:val="kursiv"/>
        </w:rPr>
        <w:t>. 185 S (2020–2021) for definisjon og konsekvenser av forskjeller i innkjøpsbetingelser som ikke kan begrunnes saklig.</w:t>
      </w:r>
    </w:p>
    <w:p w14:paraId="6366076F" w14:textId="77777777" w:rsidR="00F7113A" w:rsidRPr="00580C0D" w:rsidRDefault="00142E5B" w:rsidP="00580C0D">
      <w:pPr>
        <w:pStyle w:val="blokksit"/>
        <w:rPr>
          <w:rStyle w:val="kursiv"/>
        </w:rPr>
      </w:pPr>
      <w:r w:rsidRPr="00580C0D">
        <w:rPr>
          <w:rStyle w:val="kursiv"/>
        </w:rPr>
        <w:t>Regjeringen bes komme tilbake til Stortinget innen utgangen av 2022 med resultatene av høringen, og forslag til videre oppfølging. Det bør inngå i høringsgrunnlaget at forskriftene skal evalueres etter 3 år, og at evalueringen skal fremlegges for Stortinget.»</w:t>
      </w:r>
    </w:p>
    <w:p w14:paraId="5C381B52" w14:textId="77777777" w:rsidR="00F7113A" w:rsidRPr="00580C0D" w:rsidRDefault="00142E5B" w:rsidP="00580C0D">
      <w:r w:rsidRPr="00580C0D">
        <w:t xml:space="preserve">Vedtaket ble truffet under behandlingen av Dokument 8:161 S (2021–2022), Dokument 8:170 S (2021–2022) og Dokument 8:191 S (2021–2022), jf. </w:t>
      </w:r>
      <w:proofErr w:type="spellStart"/>
      <w:r w:rsidRPr="00580C0D">
        <w:t>Innst</w:t>
      </w:r>
      <w:proofErr w:type="spellEnd"/>
      <w:r w:rsidRPr="00580C0D">
        <w:t>. 322 S (2021–2022).</w:t>
      </w:r>
    </w:p>
    <w:p w14:paraId="6F7CF386" w14:textId="77777777" w:rsidR="00F7113A" w:rsidRPr="00580C0D" w:rsidRDefault="00142E5B" w:rsidP="00580C0D">
      <w:r w:rsidRPr="00580C0D">
        <w:t xml:space="preserve">Den 25. oktober 2022 sendte Nærings- og fiskeridepartementet på offentlig høring to alternative forslag til forskrift om forbud mot usaklige forskjeller i innkjøpsbetingelser i verdikjeden for mat og dagligvarer. De hensyn som Stortinget viser til i vedtak nr. 612 av 31. mai 2022, jf. vedtak nr. 572 av 4. februar 2021, inngår i det første alternativet. Dette alternativet innebærer forbud mot at leverandører med vesentlig markedsmakt </w:t>
      </w:r>
      <w:proofErr w:type="spellStart"/>
      <w:r w:rsidRPr="00580C0D">
        <w:t>prisdiskriminerer</w:t>
      </w:r>
      <w:proofErr w:type="spellEnd"/>
      <w:r w:rsidRPr="00580C0D">
        <w:t xml:space="preserve"> uten at det kan begrunnes saklig. Det andre forskriftsalternativet forbyr slik usaklig prisdiskriminering dersom det begrenser eller er egnet til å begrense konkurransen. Begge forslagene har til formål å legge til rette for mer effektiv konkurranse i verdikjeden for mat og dagligvarer.</w:t>
      </w:r>
    </w:p>
    <w:p w14:paraId="27975A9C" w14:textId="77777777" w:rsidR="00F7113A" w:rsidRPr="00580C0D" w:rsidRDefault="00142E5B" w:rsidP="00580C0D">
      <w:r w:rsidRPr="00580C0D">
        <w:t>I brev av 21. desember 2022 til Stortingets næringskomité redegjorde næringsministeren for resultatene av høringen, samt videre oppfølging. På bakgrunn av innspill i høringen og oppdaterte vurderinger av det EØS-rettslige handlerommet for nasjonale konkurranseregler vil regjeringen gjøre en ytterligere vurdering av hvordan et eventuelt forbud mot forskjeller i innkjøpspriser i dagligvarebransjen kan utformes, og det tas sikte på ny høring i løpet av høsten 2023.</w:t>
      </w:r>
    </w:p>
    <w:p w14:paraId="747BE11E" w14:textId="77777777" w:rsidR="00F7113A" w:rsidRPr="00580C0D" w:rsidRDefault="00142E5B" w:rsidP="00580C0D">
      <w:r w:rsidRPr="00580C0D">
        <w:t>Vedtaket anses med dette som fulgt opp.</w:t>
      </w:r>
    </w:p>
    <w:p w14:paraId="4F7842EB" w14:textId="77777777" w:rsidR="00F7113A" w:rsidRPr="00580C0D" w:rsidRDefault="00142E5B" w:rsidP="00580C0D">
      <w:pPr>
        <w:pStyle w:val="avsnitt-tittel"/>
      </w:pPr>
      <w:r w:rsidRPr="00580C0D">
        <w:t>Tilrettelegging for testsentre for flytende havvind</w:t>
      </w:r>
    </w:p>
    <w:p w14:paraId="53AC177F" w14:textId="77777777" w:rsidR="00F7113A" w:rsidRPr="00580C0D" w:rsidRDefault="00142E5B" w:rsidP="00580C0D">
      <w:pPr>
        <w:pStyle w:val="avsnitt-undertittel"/>
      </w:pPr>
      <w:r w:rsidRPr="00580C0D">
        <w:t>Vedtak nr. 719, 10. juni 2022,</w:t>
      </w:r>
    </w:p>
    <w:p w14:paraId="0C0E5315" w14:textId="77777777" w:rsidR="00F7113A" w:rsidRPr="00580C0D" w:rsidRDefault="00142E5B" w:rsidP="00580C0D">
      <w:pPr>
        <w:pStyle w:val="blokksit"/>
        <w:rPr>
          <w:rStyle w:val="kursiv"/>
        </w:rPr>
      </w:pPr>
      <w:r w:rsidRPr="00580C0D">
        <w:rPr>
          <w:rStyle w:val="kursiv"/>
        </w:rPr>
        <w:t>«Stortinget ber regjeringen fortsette å legge til rette for at Norge skal ha ledende testsentre for flytende havvind, som Marine Energy Test Centre (</w:t>
      </w:r>
      <w:proofErr w:type="spellStart"/>
      <w:r w:rsidRPr="00580C0D">
        <w:rPr>
          <w:rStyle w:val="kursiv"/>
        </w:rPr>
        <w:t>Metcentre</w:t>
      </w:r>
      <w:proofErr w:type="spellEnd"/>
      <w:r w:rsidRPr="00580C0D">
        <w:rPr>
          <w:rStyle w:val="kursiv"/>
        </w:rPr>
        <w:t>), for å utvikle verdensledende kompetanse i norsk industri.»</w:t>
      </w:r>
    </w:p>
    <w:p w14:paraId="1C960E58"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 xml:space="preserve">Tilleggsmelding til Meld. St. 36 (2020–2021) </w:t>
      </w:r>
      <w:r w:rsidRPr="00580C0D">
        <w:t xml:space="preserve">og seks representantforslag som også omhandler energispørsmål, jf. </w:t>
      </w:r>
      <w:proofErr w:type="spellStart"/>
      <w:r w:rsidRPr="00580C0D">
        <w:t>Innst</w:t>
      </w:r>
      <w:proofErr w:type="spellEnd"/>
      <w:r w:rsidRPr="00580C0D">
        <w:t>. 446 S (2021–2022).</w:t>
      </w:r>
    </w:p>
    <w:p w14:paraId="43B104E9" w14:textId="77777777" w:rsidR="00F7113A" w:rsidRPr="00580C0D" w:rsidRDefault="00142E5B" w:rsidP="00580C0D">
      <w:r w:rsidRPr="00580C0D">
        <w:t xml:space="preserve">I </w:t>
      </w:r>
      <w:proofErr w:type="spellStart"/>
      <w:r w:rsidRPr="00580C0D">
        <w:t>Innst</w:t>
      </w:r>
      <w:proofErr w:type="spellEnd"/>
      <w:r w:rsidRPr="00580C0D">
        <w:t>. 186 S (2022–2023) uttaler kontroll- og konstitusjonskomiteen følgende om vedtak nr. 719. 10. juni 2022:</w:t>
      </w:r>
    </w:p>
    <w:p w14:paraId="7916284C" w14:textId="77777777" w:rsidR="00F7113A" w:rsidRPr="00580C0D" w:rsidRDefault="00142E5B" w:rsidP="00580C0D">
      <w:pPr>
        <w:pStyle w:val="blokksit"/>
        <w:rPr>
          <w:rStyle w:val="kursiv"/>
        </w:rPr>
      </w:pPr>
      <w:r w:rsidRPr="00580C0D">
        <w:rPr>
          <w:rStyle w:val="kursiv"/>
        </w:rPr>
        <w:t>«Komiteens flertall, medlemmene fra Høyre, Fremskrittspartiet, Sosialistisk Venstreparti, Rødt og Venstre, viser til at regjeringen i statsbudsjettet kuttet i bevilgningen til Katapultsentrene, som testsenteret for flytende havvind er en del av. Sett i lys av redusert ambisjonsnivå for Grønn plattform i årene fremover og en skjerping av skattebyrden for FoU-sektoren vil dette svekke arbeidet med å tilrettelegge for at Norge skal ha et ledende testsenter for flytende havvind. Flertallet er derfor ikke enig i at vedtaket i tilstrekkelig grad er fulgt opp. Flertallet ber om at rapporteringen ikke avsluttes.»</w:t>
      </w:r>
    </w:p>
    <w:p w14:paraId="6214DAA7" w14:textId="77777777" w:rsidR="00F7113A" w:rsidRPr="00580C0D" w:rsidRDefault="00142E5B" w:rsidP="00580C0D">
      <w:r w:rsidRPr="00580C0D">
        <w:t>Regjeringen prioriterer satsinger som bidrar til grønn omstilling og industriutvikling. I veikart for Grønt industriløft, som ble lagt fram i juni 2022, beskrives regjeringens ambisjoner, virkemidler og tiltak. Havvind er ett av satsingsområdene som presenteres i veikartet.</w:t>
      </w:r>
    </w:p>
    <w:p w14:paraId="55151A00" w14:textId="77777777" w:rsidR="00F7113A" w:rsidRPr="00580C0D" w:rsidRDefault="00142E5B" w:rsidP="00580C0D">
      <w:r w:rsidRPr="00580C0D">
        <w:t xml:space="preserve">I tillegg til en grønn dreining av de generelle ordningene i virkemiddelapparatet videreføres arbeidet med Grønn plattform, der Forskningsrådet, Innovasjon Norge og Siva samarbeider om å støtte store prosjekter gjennom hele løpet fra forskning til markedsintroduksjon. I 2024 foreslår regjeringen å styrke Katapultordningen, slik at etablerte katapultsentrene fortsatt kan bidra til utvikling og testing av ny teknologi og nye løsninger i samarbeid med næringslivet. Dette er viktig for videre innovasjon og teknologiutvikling innenfor områder der Norge har sterk kompetanse, som flytende havvind. Flere av katapultsentrene har også deltatt i </w:t>
      </w:r>
      <w:proofErr w:type="spellStart"/>
      <w:r w:rsidRPr="00580C0D">
        <w:t>konsortieprosjekter</w:t>
      </w:r>
      <w:proofErr w:type="spellEnd"/>
      <w:r w:rsidRPr="00580C0D">
        <w:t xml:space="preserve"> med finansiering fra Grønn plattform. Ordninger under Horisont Europa og den sterke satsingen gjennom EUs grønne strategi for et klimanøytralt Europa representerer dessuten store muligheter for finansiering av prosjekter som bidrar til det grønne skiftet.</w:t>
      </w:r>
    </w:p>
    <w:p w14:paraId="259349F8" w14:textId="77777777" w:rsidR="00F7113A" w:rsidRPr="00580C0D" w:rsidRDefault="00142E5B" w:rsidP="00580C0D">
      <w:r w:rsidRPr="00580C0D">
        <w:t>Vedtaket anses med dette som oppfylt.</w:t>
      </w:r>
    </w:p>
    <w:p w14:paraId="1E896C03" w14:textId="77777777" w:rsidR="00F7113A" w:rsidRPr="00580C0D" w:rsidRDefault="00142E5B" w:rsidP="00580C0D">
      <w:pPr>
        <w:pStyle w:val="avsnitt-tittel"/>
      </w:pPr>
      <w:r w:rsidRPr="00580C0D">
        <w:t>Offentlige innkjøp – krav til bærekraftig produksjon av batterier ved offentlige innkjøp</w:t>
      </w:r>
    </w:p>
    <w:p w14:paraId="19017C6B" w14:textId="77777777" w:rsidR="00F7113A" w:rsidRPr="00580C0D" w:rsidRDefault="00142E5B" w:rsidP="00580C0D">
      <w:pPr>
        <w:pStyle w:val="avsnitt-undertittel"/>
      </w:pPr>
      <w:r w:rsidRPr="00580C0D">
        <w:t>Vedtak nr. 725, 10. juni 2022</w:t>
      </w:r>
    </w:p>
    <w:p w14:paraId="690ED9BA" w14:textId="77777777" w:rsidR="00F7113A" w:rsidRPr="00580C0D" w:rsidRDefault="00142E5B" w:rsidP="00580C0D">
      <w:pPr>
        <w:pStyle w:val="blokksit"/>
        <w:rPr>
          <w:rStyle w:val="kursiv"/>
        </w:rPr>
      </w:pPr>
      <w:r w:rsidRPr="00580C0D">
        <w:rPr>
          <w:rStyle w:val="kursiv"/>
        </w:rPr>
        <w:t>«Stortinget ber regjeringen gjennom offentlige innkjøp om å trinnvis innføre krav til bærekraftig produksjon av batterier for elektrisk transport kjøpt inn gjennom offentlige innkjøp. Dette skal skje så raskt som mulig i forbindelse med regjeringens arbeid med grønne anskaffelser.»</w:t>
      </w:r>
    </w:p>
    <w:p w14:paraId="79C3B1FF"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og seks representantforslag som også omhandler energispørsmål, jf. </w:t>
      </w:r>
      <w:proofErr w:type="spellStart"/>
      <w:r w:rsidRPr="00580C0D">
        <w:t>Innst</w:t>
      </w:r>
      <w:proofErr w:type="spellEnd"/>
      <w:r w:rsidRPr="00580C0D">
        <w:t>. 446 S (2021–2022).</w:t>
      </w:r>
    </w:p>
    <w:p w14:paraId="63908662" w14:textId="77777777" w:rsidR="00F7113A" w:rsidRPr="00580C0D" w:rsidRDefault="00142E5B" w:rsidP="00580C0D">
      <w:r w:rsidRPr="00580C0D">
        <w:t>EU vedtok 10. juli 2023 en ny batteriforordning. Forordningen regulerer hele livssyklusen til batterier fra produksjon til gjenbruk og resirkulering. Batterier er en viktig faktor i det grønne skiftet og nullutslippssamfunnet. Europakommisjonens ambisjon er at det nye batteriregelverket skal legge rammene for en europeisk batterisatsing som samtidig skaper en sirkulær økonomi, nye arbeidsplasser og sikrer anstendige vilkår knyttet til utvinning av mineraler.</w:t>
      </w:r>
    </w:p>
    <w:p w14:paraId="3A805C75" w14:textId="77777777" w:rsidR="00F7113A" w:rsidRPr="00580C0D" w:rsidRDefault="00142E5B" w:rsidP="00580C0D">
      <w:r w:rsidRPr="00580C0D">
        <w:t xml:space="preserve">Forordningen gir Europakommisjonen hjemmel til å vedta regler om klima- og miljøkrav ved offentlige anskaffelser av batterier, for eksempel obligatoriske minimumskrav som skal ivareta </w:t>
      </w:r>
      <w:proofErr w:type="spellStart"/>
      <w:r w:rsidRPr="00580C0D">
        <w:t>bærekraftshensyn</w:t>
      </w:r>
      <w:proofErr w:type="spellEnd"/>
      <w:r w:rsidRPr="00580C0D">
        <w:t xml:space="preserve"> i anskaffelser av batterier. Regelverket vil dermed ivareta hensynet til bærekraftig produksjon av batterier i offentlige anskaffelser. Kravene vil sannsynligvis gjelde alle batterier, ikke bare batterier for elektrisk transport.</w:t>
      </w:r>
    </w:p>
    <w:p w14:paraId="6967BBD5" w14:textId="77777777" w:rsidR="00F7113A" w:rsidRPr="00580C0D" w:rsidRDefault="00142E5B" w:rsidP="00580C0D">
      <w:r w:rsidRPr="00580C0D">
        <w:t>Klima- og miljødepartementet sendte 30. juni 2023 forslag til en ny «Lov om bærekraftige produkter og verdikjeder» på høring. Forslaget inneholder blant annet hjemmel for a kunne gjennomføre EUs batteriforordning i norsk rett. Høringsfristen er 1. oktober. Målet er å fremme en lovproposisjon for Stortinget til våren. Arbeidet med underliggende rettsakter til batteriforordningen følges opp av Miljødirektoratet i relevante ekspertgrupper i EU. Gjennomføring av rettsaktene avhenger av at ny lovhjemmel er på plass og vil deretter gjennomføres i norsk rett sa raskt som mulig.</w:t>
      </w:r>
    </w:p>
    <w:p w14:paraId="4B9DD795" w14:textId="77777777" w:rsidR="00F7113A" w:rsidRPr="00580C0D" w:rsidRDefault="00142E5B" w:rsidP="00580C0D">
      <w:r w:rsidRPr="00580C0D">
        <w:t>Vedtaket anses med dette som fulgt opp.</w:t>
      </w:r>
    </w:p>
    <w:p w14:paraId="01645CFA" w14:textId="77777777" w:rsidR="00F7113A" w:rsidRPr="00580C0D" w:rsidRDefault="00142E5B" w:rsidP="00580C0D">
      <w:pPr>
        <w:pStyle w:val="avsnitt-tittel"/>
      </w:pPr>
      <w:r w:rsidRPr="00580C0D">
        <w:t>Batteritoll – handels- og samarbeidsavtalen mellom EU og Storbritannia</w:t>
      </w:r>
    </w:p>
    <w:p w14:paraId="024FA13D" w14:textId="77777777" w:rsidR="00F7113A" w:rsidRPr="00580C0D" w:rsidRDefault="00142E5B" w:rsidP="00580C0D">
      <w:pPr>
        <w:pStyle w:val="avsnitt-undertittel"/>
      </w:pPr>
      <w:r w:rsidRPr="00580C0D">
        <w:t>Vedtak nr. 732, 10. juni 2022</w:t>
      </w:r>
    </w:p>
    <w:p w14:paraId="43E96067" w14:textId="77777777" w:rsidR="00F7113A" w:rsidRPr="00580C0D" w:rsidRDefault="00142E5B" w:rsidP="00580C0D">
      <w:pPr>
        <w:pStyle w:val="blokksit"/>
        <w:rPr>
          <w:rStyle w:val="kursiv"/>
        </w:rPr>
      </w:pPr>
      <w:r w:rsidRPr="00580C0D">
        <w:rPr>
          <w:rStyle w:val="kursiv"/>
        </w:rPr>
        <w:t>«Stortinget ber regjeringen sikre norske batteriaktørers internasjonale konkurransedyktighet, blant annet ved å arbeide for at norske aktører ikke blir pålagt den varslede batteritollen som følge av handelsavtalen mellom Storbritannia og EU.»</w:t>
      </w:r>
    </w:p>
    <w:p w14:paraId="6B241A14"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og seks representantforslag som også omhandler energispørsmål.</w:t>
      </w:r>
    </w:p>
    <w:p w14:paraId="63096DDF" w14:textId="77777777" w:rsidR="00F7113A" w:rsidRPr="00580C0D" w:rsidRDefault="00142E5B" w:rsidP="00580C0D">
      <w:r w:rsidRPr="00580C0D">
        <w:t>Opprinnelsesreglene i frihandels- og samarbeidsavtalen mellom EU og Storbritannia (TCA) er gjennomgående strenge og setter klare begrensninger for bruk av innsatsmaterialer fra tredjeland for at en ferdigvare skal defineres som å ha opprinnelse i EU eller Storbritannia, og være berettiget til tollfri handel mellom de to områdene. Norge er i denne sammenhengen et tredjeland.</w:t>
      </w:r>
    </w:p>
    <w:p w14:paraId="7BC8E08B" w14:textId="77777777" w:rsidR="00F7113A" w:rsidRPr="00580C0D" w:rsidRDefault="00142E5B" w:rsidP="00580C0D">
      <w:r w:rsidRPr="00580C0D">
        <w:t>Opprinnelsesreglene i TCA er en utfordring for norske batteriprodusenter og produsenter av batterimaterialer.</w:t>
      </w:r>
    </w:p>
    <w:p w14:paraId="645B4136" w14:textId="77777777" w:rsidR="00F7113A" w:rsidRPr="00580C0D" w:rsidRDefault="00142E5B" w:rsidP="00580C0D">
      <w:r w:rsidRPr="00580C0D">
        <w:t>For å oppnå tollfrihet for selve elbilen må elbilens batteripakke fra 1. januar 2027 være produsert (dvs. ha opprinnelse) i EU eller Storbritannia. Dette kravet kommer i tillegg til kravet om at verdien av tredjelandsmateriale brukt i elbilen maksimalt kan utgjøre 45 pst. av elbilens «pris fra fabrikk». Som et resultat vil bruk av norskproduserte batterier i elbiler produsert i EU eller Storbritannia – og som eksporteres til den andre parten – ilegges 10 pst. toll fra og med 1. januar 2027. Det antas at dette vil gjøre det mindre attraktivt for britisk og EUs bilindustri å benytte seg av norske batteripakker i elbiler som sådan.</w:t>
      </w:r>
    </w:p>
    <w:p w14:paraId="1BE19341" w14:textId="77777777" w:rsidR="00F7113A" w:rsidRPr="00580C0D" w:rsidRDefault="00142E5B" w:rsidP="00580C0D">
      <w:r w:rsidRPr="00580C0D">
        <w:t>Opprinnelsesreglene for batterier til elbiler legger betydelige begrensninger på hvor mye norske batterimaterialer som kan anvendes. Fra 1. januar 2027 tillates kun inntil 35 pst. tredjelandsmaterialer (i verdi) for at batterier produsert i EU eller Storbritannia kan handles tollfritt seg imellom. Produsenter kan også anvende en annen opprinnelsesregel (posisjonsskifte) men her er det unntak for aktive katodematerialer. TCA-avtalen legger opp til at partene kan gjennomgå opprinnelsesreglene for batterier (men ikke elbiler) i 2025 og endre dem, dersom reglene ikke fungerer hensiktsmessig.</w:t>
      </w:r>
    </w:p>
    <w:p w14:paraId="37DAE7E6" w14:textId="77777777" w:rsidR="00F7113A" w:rsidRPr="00580C0D" w:rsidRDefault="00142E5B" w:rsidP="00580C0D">
      <w:r w:rsidRPr="00580C0D">
        <w:t xml:space="preserve">Det har blitt gjennomført flere møter med EU og Storbritannia, både på politisk nivå og embetsnivå, for å diskutere saken. Norge ønsker at opprinnelsesreglene i TCA-avtalen for elbiler og elbilbatterier endres, men samtidig er det slik at en endring av TCA-avtalen er noe som avtalepartene EU og Storbritannia må bli enige om. I felleserklæringen om et nytt industripartnerskap mellom Norge og EU fra næringsminister Jan Christian Vestre og EU-kommisjonens visepresident </w:t>
      </w:r>
      <w:proofErr w:type="spellStart"/>
      <w:r w:rsidRPr="00580C0D">
        <w:t>Maroš</w:t>
      </w:r>
      <w:proofErr w:type="spellEnd"/>
      <w:r w:rsidRPr="00580C0D">
        <w:t xml:space="preserve"> </w:t>
      </w:r>
      <w:proofErr w:type="spellStart"/>
      <w:r w:rsidRPr="00580C0D">
        <w:t>Šefčovič</w:t>
      </w:r>
      <w:proofErr w:type="spellEnd"/>
      <w:r w:rsidRPr="00580C0D">
        <w:t xml:space="preserve"> 27. juni 2022, er å diskutere bruken av opprinnelsesreglene i TCA på norske batterier utpekt som et særlig fokusområde i arbeidet med styrket samarbeid på batteri- og råvarer framover. Norge vil fortsette å ta opp saken regelmessig og fremme norske interesser.</w:t>
      </w:r>
    </w:p>
    <w:p w14:paraId="63FF40BD" w14:textId="77777777" w:rsidR="00F7113A" w:rsidRPr="00580C0D" w:rsidRDefault="00142E5B" w:rsidP="00580C0D">
      <w:r w:rsidRPr="00580C0D">
        <w:t>Vedtaket anses med dette som oppfylt.</w:t>
      </w:r>
    </w:p>
    <w:p w14:paraId="526378DD" w14:textId="77777777" w:rsidR="00F7113A" w:rsidRPr="00580C0D" w:rsidRDefault="00142E5B" w:rsidP="00580C0D">
      <w:pPr>
        <w:pStyle w:val="avsnitt-tittel"/>
      </w:pPr>
      <w:r w:rsidRPr="00580C0D">
        <w:t>Produksjon og resirkulering av batterier</w:t>
      </w:r>
    </w:p>
    <w:p w14:paraId="4D2086D5" w14:textId="77777777" w:rsidR="00F7113A" w:rsidRPr="00580C0D" w:rsidRDefault="00142E5B" w:rsidP="00580C0D">
      <w:pPr>
        <w:pStyle w:val="avsnitt-undertittel"/>
      </w:pPr>
      <w:r w:rsidRPr="00580C0D">
        <w:t>Vedtak nr. 733, 10. juni 2022</w:t>
      </w:r>
    </w:p>
    <w:p w14:paraId="73E17D55" w14:textId="77777777" w:rsidR="00F7113A" w:rsidRPr="00580C0D" w:rsidRDefault="00142E5B" w:rsidP="00580C0D">
      <w:pPr>
        <w:pStyle w:val="blokksit"/>
        <w:rPr>
          <w:rStyle w:val="kursiv"/>
        </w:rPr>
      </w:pPr>
      <w:r w:rsidRPr="00580C0D">
        <w:rPr>
          <w:rStyle w:val="kursiv"/>
        </w:rPr>
        <w:t>«Stortinget ber regjeringen legge til rette for en helhetlig verdikjede for batteriproduksjon og resirkulering av batteri i Norge.»</w:t>
      </w:r>
    </w:p>
    <w:p w14:paraId="2C920B8F"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og seks representantforslag som også omhandler energispørsmål, jf. </w:t>
      </w:r>
      <w:proofErr w:type="spellStart"/>
      <w:r w:rsidRPr="00580C0D">
        <w:t>Innst</w:t>
      </w:r>
      <w:proofErr w:type="spellEnd"/>
      <w:r w:rsidRPr="00580C0D">
        <w:t>. 446 S (2021–2022).</w:t>
      </w:r>
    </w:p>
    <w:p w14:paraId="79D23327" w14:textId="77777777" w:rsidR="00F7113A" w:rsidRPr="00580C0D" w:rsidRDefault="00142E5B" w:rsidP="00580C0D">
      <w:r w:rsidRPr="00580C0D">
        <w:t>Regjeringen lanserte i juni 2022 dokumentet «Norges batteristrategi». Verdikjeden for batterier er ett av de syv innsatsområdene i regjeringens initiativ Grønt industriløft og kan bidra til reduserte globale klimagassutslipp, omstilling til fornybarsamfunnet og etablering av lønnsomme, grønne arbeidsplasser i Norge.</w:t>
      </w:r>
    </w:p>
    <w:p w14:paraId="100166F1" w14:textId="77777777" w:rsidR="00F7113A" w:rsidRPr="00580C0D" w:rsidRDefault="00142E5B" w:rsidP="00580C0D">
      <w:r w:rsidRPr="00580C0D">
        <w:t>Batteristrategien oppsummerer eksisterende kunnskapsgrunnlag og konkretiserer regjeringens ambisjoner. Den viser hva som skal til for å bidra til å realisere det norske verdiskapingspotensialet i batteriverdikjeden på en miljømessig, bærekraftig måte.</w:t>
      </w:r>
    </w:p>
    <w:p w14:paraId="20D6E420" w14:textId="77777777" w:rsidR="00F7113A" w:rsidRPr="00580C0D" w:rsidRDefault="00142E5B" w:rsidP="00580C0D">
      <w:r w:rsidRPr="00580C0D">
        <w:t>Norge har gode forutsetninger for økt verdiskaping i flere deler av batteriverdikjeden i form av fornybar kraft, kritiske råvarer og industriell kompetanse. Sistnevnte særlig innenfor storskala industrialisering i prosessindustrien, maritim industriell kompetanse og mer generelt i forbindelse med utnyttelse av digital teknologi og materialkompetanse/resirkulering av materialer.</w:t>
      </w:r>
    </w:p>
    <w:p w14:paraId="6EFA586B" w14:textId="77777777" w:rsidR="00F7113A" w:rsidRPr="00580C0D" w:rsidRDefault="00142E5B" w:rsidP="00580C0D">
      <w:r w:rsidRPr="00580C0D">
        <w:t xml:space="preserve">I Norges batteristrategi framgår det at regjeringen vil arbeide for at Norge utvikler en bærekraftig europeisk batteriverdikjede med høy ytelse, høy ressursutnyttelse og </w:t>
      </w:r>
      <w:proofErr w:type="spellStart"/>
      <w:r w:rsidRPr="00580C0D">
        <w:t>miljønytte</w:t>
      </w:r>
      <w:proofErr w:type="spellEnd"/>
      <w:r w:rsidRPr="00580C0D">
        <w:t xml:space="preserve"> og lave klimafotavtrykk. Regjeringen vil videre vurdere ny regulering og forbedret informasjonsdeling om produktinnhold i industrien. Oppfølging av EUs strategi for sirkulærøkonomi er en viktig del av dette.</w:t>
      </w:r>
    </w:p>
    <w:p w14:paraId="151EF4F0" w14:textId="77777777" w:rsidR="00F7113A" w:rsidRPr="00580C0D" w:rsidRDefault="00142E5B" w:rsidP="00580C0D">
      <w:r w:rsidRPr="00580C0D">
        <w:t>Vedtaket anses med dette som fulgt opp.</w:t>
      </w:r>
    </w:p>
    <w:p w14:paraId="5FA75C99" w14:textId="77777777" w:rsidR="00F7113A" w:rsidRPr="00580C0D" w:rsidRDefault="00142E5B" w:rsidP="00580C0D">
      <w:pPr>
        <w:pStyle w:val="avsnitt-tittel"/>
      </w:pPr>
      <w:r w:rsidRPr="00580C0D">
        <w:t>Satsing på utvikling og produksjon av batterier og andre nye grønne næringer</w:t>
      </w:r>
    </w:p>
    <w:p w14:paraId="32984960" w14:textId="77777777" w:rsidR="00F7113A" w:rsidRPr="00580C0D" w:rsidRDefault="00142E5B" w:rsidP="00580C0D">
      <w:pPr>
        <w:pStyle w:val="avsnitt-undertittel"/>
      </w:pPr>
      <w:r w:rsidRPr="00580C0D">
        <w:t>Vedtak nr. 734, 10. juni 2022</w:t>
      </w:r>
    </w:p>
    <w:p w14:paraId="1743C204" w14:textId="77777777" w:rsidR="00F7113A" w:rsidRPr="00580C0D" w:rsidRDefault="00142E5B" w:rsidP="00580C0D">
      <w:pPr>
        <w:pStyle w:val="blokksit"/>
        <w:rPr>
          <w:rStyle w:val="kursiv"/>
        </w:rPr>
      </w:pPr>
      <w:r w:rsidRPr="00580C0D">
        <w:rPr>
          <w:rStyle w:val="kursiv"/>
        </w:rPr>
        <w:t>«Stortinget ber regjeringen, senest i forbindelse med statsbudsjettet for 2023, legge til rette for en industriell storsatsing på utvikling og produksjon av batterier og andre nye grønne næringer.»</w:t>
      </w:r>
    </w:p>
    <w:p w14:paraId="1D76DAA3"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og seks representantforslag som også omhandler energispørsmål, jf. </w:t>
      </w:r>
      <w:proofErr w:type="spellStart"/>
      <w:r w:rsidRPr="00580C0D">
        <w:t>Innst</w:t>
      </w:r>
      <w:proofErr w:type="spellEnd"/>
      <w:r w:rsidRPr="00580C0D">
        <w:t>. 446 S (2021–2022).</w:t>
      </w:r>
    </w:p>
    <w:p w14:paraId="73AE681E" w14:textId="77777777" w:rsidR="00F7113A" w:rsidRPr="00580C0D" w:rsidRDefault="00142E5B" w:rsidP="00580C0D">
      <w:r w:rsidRPr="00580C0D">
        <w:t>Verdikjeden for batterier er ett av de syv innsatsområdene i regjeringens initiativ Grønt industriløft og kan bidra til reduserte globale klimagassutslipp og omstilling til fornybarsamfunnet samtidig som det kan skape nye grønne, lønnsomme arbeidsplasser i hele Norge, øke investeringene og eksporten og kutte utslipp.</w:t>
      </w:r>
    </w:p>
    <w:p w14:paraId="04DD3CFD" w14:textId="77777777" w:rsidR="00F7113A" w:rsidRPr="00580C0D" w:rsidRDefault="00142E5B" w:rsidP="00580C0D">
      <w:r w:rsidRPr="00580C0D">
        <w:t>Regjeringen lanserte i juni 2022 dokumentet «Norges batteristrategi». Av den framgår det at Norge skal videreutvikle en sammenhengende og lønnsom batteriverdikjede, som spenner fra bærekraftig mineralutvinning til resirkulering av batterier. Norge skal være et attraktivt vertsland for lønnsom aktivitet i hele batteriverdikjeden og tiltrekke seg de store batteriinvesteringene og gigafabrikkene.</w:t>
      </w:r>
    </w:p>
    <w:p w14:paraId="36797394" w14:textId="77777777" w:rsidR="00F7113A" w:rsidRPr="00580C0D" w:rsidRDefault="00142E5B" w:rsidP="00580C0D">
      <w:r w:rsidRPr="00580C0D">
        <w:t>Batteristrategien oppsummerer eksisterende kunnskapsgrunnlag og konkretiserer regjeringens ambisjoner. Den viser hva som skal til for å bidra til å realisere det norske verdiskapingspotensialet i batteriverdikjeden på en miljømessig, bærekraftig måte.</w:t>
      </w:r>
    </w:p>
    <w:p w14:paraId="6C53BB0C" w14:textId="77777777" w:rsidR="00F7113A" w:rsidRPr="00580C0D" w:rsidRDefault="00142E5B" w:rsidP="00580C0D">
      <w:r w:rsidRPr="00580C0D">
        <w:t xml:space="preserve">I Norges batteristrategi framgår det at regjeringen vil arbeide for at Norge utvikler en bærekraftig europeisk batteriverdikjede med høy ytelse, høy ressursutnyttelse og </w:t>
      </w:r>
      <w:proofErr w:type="spellStart"/>
      <w:r w:rsidRPr="00580C0D">
        <w:t>miljønytte</w:t>
      </w:r>
      <w:proofErr w:type="spellEnd"/>
      <w:r w:rsidRPr="00580C0D">
        <w:t xml:space="preserve"> og lave klimafotavtrykk. I strategien framgår det også at regjeringen vil dimensjonere virkemiddelapparatet for å kunne møte det økende behovet for garantier og lån til grønne industriprosjekter og stille opp med målrettet risikoavlastning, primært gjennom garantier og lån til gode, bedriftsøkonomiske lønnsomme prosjekter innenfor de syv satsingsområdene i Grønt industriløft. Dette kan omfatte ulike varianter av lån, garantier og egenkapital. Regjeringen vil komme tilbake til innretningen i de årlige statsbudsjettene. Økt statlig risikoavlastning forutsetter at det er gode prosjekter og privat investeringsvilje.</w:t>
      </w:r>
    </w:p>
    <w:p w14:paraId="633BA3BC" w14:textId="77777777" w:rsidR="00F7113A" w:rsidRPr="00580C0D" w:rsidRDefault="00142E5B" w:rsidP="00580C0D">
      <w:r w:rsidRPr="00580C0D">
        <w:t>Etter at veikartet for Grønt industriløft og batteristrategien ble lagt fram, er flere tiltak iverksatt.</w:t>
      </w:r>
    </w:p>
    <w:p w14:paraId="02053E30" w14:textId="77777777" w:rsidR="00F7113A" w:rsidRPr="00580C0D" w:rsidRDefault="00142E5B" w:rsidP="00580C0D">
      <w:r w:rsidRPr="00580C0D">
        <w:t xml:space="preserve">Styrkingen av </w:t>
      </w:r>
      <w:proofErr w:type="spellStart"/>
      <w:r w:rsidRPr="00580C0D">
        <w:t>Enova</w:t>
      </w:r>
      <w:proofErr w:type="spellEnd"/>
      <w:r w:rsidRPr="00580C0D">
        <w:t xml:space="preserve"> var blant de mest sentrale satsingene for Grønt industriløft i fjorårets budsjett. I 2023 fikk </w:t>
      </w:r>
      <w:proofErr w:type="spellStart"/>
      <w:r w:rsidRPr="00580C0D">
        <w:t>Enova</w:t>
      </w:r>
      <w:proofErr w:type="spellEnd"/>
      <w:r w:rsidRPr="00580C0D">
        <w:t xml:space="preserve"> 1,4 mrd. kroner mer enn året før og totalt 5,6 mrd. kroner, som er mer enn 30 pst. økning fra 2022. Dette er midler som vil utløse mer teknologiutvikling og markedsintroduksjon av klimavennlige løsninger. Dette treffer særlig satsingene på prosessindustri, hydrogen, batterier, havvind og maritim næring.</w:t>
      </w:r>
    </w:p>
    <w:p w14:paraId="1E2F7794" w14:textId="77777777" w:rsidR="00F7113A" w:rsidRPr="00580C0D" w:rsidRDefault="00142E5B" w:rsidP="00580C0D">
      <w:r w:rsidRPr="00580C0D">
        <w:t>Når det gjelder kapitalvirkemidler og det næringsrettede virkemiddelapparatet har regjeringen gjennomgått virkemiddelapparatet og spisset innsatsen ytterligere mot grønn omstilling i næringslivet. Dreiningen støtter også opp om Grønt industriløft.</w:t>
      </w:r>
    </w:p>
    <w:p w14:paraId="1E0B2ED4" w14:textId="77777777" w:rsidR="00F7113A" w:rsidRPr="00580C0D" w:rsidRDefault="00142E5B" w:rsidP="00580C0D">
      <w:r w:rsidRPr="00580C0D">
        <w:t>Eksfin har blant annet fått utvidet mandat til å finansiere klimavennlige investeringer i Norge. I tillegg styrker regjeringen i 2024 Eksfin med en fullmakt til å kunne øke garantirammen under Alminnelig garantiordning med 10 mrd. kroner.</w:t>
      </w:r>
    </w:p>
    <w:p w14:paraId="2E103F20" w14:textId="77777777" w:rsidR="00F7113A" w:rsidRPr="00580C0D" w:rsidRDefault="00142E5B" w:rsidP="00580C0D">
      <w:r w:rsidRPr="00580C0D">
        <w:t>Som en oppfølging av Grønt industriløft og batteristrategien, vil regjeringen legge til rette for at det kan ytes et innovasjonstilskudd i Innovasjon Norge til store batteriprosjekter av felleseuropeisk interesse. Tilskuddet vil ha en øvre ramme på 1 mrd. kroner over fem år.</w:t>
      </w:r>
    </w:p>
    <w:p w14:paraId="40528CBC" w14:textId="77777777" w:rsidR="00F7113A" w:rsidRPr="00580C0D" w:rsidRDefault="00142E5B" w:rsidP="00580C0D">
      <w:r w:rsidRPr="00580C0D">
        <w:t>Vedtaket anses med dette som fulgt opp.</w:t>
      </w:r>
    </w:p>
    <w:p w14:paraId="39EDE788" w14:textId="77777777" w:rsidR="00F7113A" w:rsidRPr="00580C0D" w:rsidRDefault="00142E5B" w:rsidP="00580C0D">
      <w:pPr>
        <w:pStyle w:val="avsnitt-tittel"/>
      </w:pPr>
      <w:r w:rsidRPr="00580C0D">
        <w:t xml:space="preserve">Batterispesifikke utdanningsløp, herunder etablere flere </w:t>
      </w:r>
      <w:proofErr w:type="spellStart"/>
      <w:r w:rsidRPr="00580C0D">
        <w:t>treparts</w:t>
      </w:r>
      <w:proofErr w:type="spellEnd"/>
      <w:r w:rsidRPr="00580C0D">
        <w:t xml:space="preserve"> bransjeprogram</w:t>
      </w:r>
    </w:p>
    <w:p w14:paraId="76D82112" w14:textId="77777777" w:rsidR="00F7113A" w:rsidRPr="00580C0D" w:rsidRDefault="00142E5B" w:rsidP="00580C0D">
      <w:pPr>
        <w:pStyle w:val="avsnitt-undertittel"/>
      </w:pPr>
      <w:r w:rsidRPr="00580C0D">
        <w:t>Vedtak nr. 735, 10. juni 2022</w:t>
      </w:r>
    </w:p>
    <w:p w14:paraId="5C79B97B" w14:textId="77777777" w:rsidR="00F7113A" w:rsidRPr="00580C0D" w:rsidRDefault="00142E5B" w:rsidP="00580C0D">
      <w:pPr>
        <w:pStyle w:val="blokksit"/>
        <w:rPr>
          <w:rStyle w:val="kursiv"/>
        </w:rPr>
      </w:pPr>
      <w:r w:rsidRPr="00580C0D">
        <w:rPr>
          <w:rStyle w:val="kursiv"/>
        </w:rPr>
        <w:t xml:space="preserve">«Stortinget ber regjeringen legge til rette for å tiltrekke kompetent arbeidskraft og starte arbeidet med å etablere batterispesifikke utdanningsløp i Norge, herunder etablere flere </w:t>
      </w:r>
      <w:proofErr w:type="spellStart"/>
      <w:r w:rsidRPr="00580C0D">
        <w:rPr>
          <w:rStyle w:val="kursiv"/>
        </w:rPr>
        <w:t>treparts</w:t>
      </w:r>
      <w:proofErr w:type="spellEnd"/>
      <w:r w:rsidRPr="00580C0D">
        <w:rPr>
          <w:rStyle w:val="kursiv"/>
        </w:rPr>
        <w:t xml:space="preserve"> bransjeprogram.»</w:t>
      </w:r>
    </w:p>
    <w:p w14:paraId="44CD8CF5"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og seks representantforslag som også omhandler energispørsmål, jf. </w:t>
      </w:r>
      <w:proofErr w:type="spellStart"/>
      <w:r w:rsidRPr="00580C0D">
        <w:t>Innst</w:t>
      </w:r>
      <w:proofErr w:type="spellEnd"/>
      <w:r w:rsidRPr="00580C0D">
        <w:t>. 446 S (2021–2022).</w:t>
      </w:r>
    </w:p>
    <w:p w14:paraId="1CA574B6" w14:textId="77777777" w:rsidR="00F7113A" w:rsidRPr="00580C0D" w:rsidRDefault="00142E5B" w:rsidP="00580C0D">
      <w:r w:rsidRPr="00580C0D">
        <w:t>Regjeringen lanserte i juni 2022 dokumentet «Norges batteristrategi». I strategien understrekes det at norsk industri skal ha tilgang til kompetent arbeidskraft. Gjennom trepartssamarbeidet skal det legges til rette for kontinuerlig kompetanseutvikling, og regjeringen fører en aktiv politikk for å inkludere flere i arbeidslivet. Norge har rike naturressurser, men det er arbeidskraft med rett kompetanse som er vår viktigste ressurs. Tilgang på tilstrekkelig mengde arbeidskraft med rett kompetanse vil være en sentral faktor å realisere regjeringens ambisjoner for batteriverdikjeden i Norge. Kompetansen må kontinuerlig vedlikeholdes og utvikles i bedriftene. For å opprettholde god konkurranseevne over tid er det sentralt å ha gode norske forskningsmiljøer og fagmiljøer innen batteriverdikjeden, i samarbeid med andre aktører i særlig Norden og Europa.</w:t>
      </w:r>
    </w:p>
    <w:p w14:paraId="127B3E91" w14:textId="77777777" w:rsidR="00F7113A" w:rsidRPr="00580C0D" w:rsidRDefault="00142E5B" w:rsidP="00580C0D">
      <w:r w:rsidRPr="00580C0D">
        <w:t>Batteriaktørene vil ha behov for mange typer kompetanse. De fleste ansatte i batteriverdikjeden er forventet å ha en yrkesfaglig bakgrunn, men det er også behov for teknologer med dyp innsikt innen batteriteknologi og tilhørende produksjonsteknologier. I tillegg vil aktivitet i batteriverdikjeden medføre etterspørsel etter underleverandører, servicefunksjoner og ulike tjenester lokalt, som hver for seg innebærer særskilte kompetansebehov.</w:t>
      </w:r>
    </w:p>
    <w:p w14:paraId="1D1BE8FD" w14:textId="77777777" w:rsidR="00F7113A" w:rsidRPr="00580C0D" w:rsidRDefault="00142E5B" w:rsidP="00580C0D">
      <w:r w:rsidRPr="00580C0D">
        <w:t xml:space="preserve">Partene i arbeidslivet ved LO og Norsk Industri (leder), samt Prosess21, har satt i gang prosjektet </w:t>
      </w:r>
      <w:proofErr w:type="spellStart"/>
      <w:r w:rsidRPr="00580C0D">
        <w:t>BattKOMP</w:t>
      </w:r>
      <w:proofErr w:type="spellEnd"/>
      <w:r w:rsidRPr="00580C0D">
        <w:t xml:space="preserve"> for å kartlegge og analysere kompetansebehov forbundet med en storskala satsing på batteriindustri i Norge. Prosjektet er delt i tre: Del 1 har kartlagt det forventede</w:t>
      </w:r>
      <w:r w:rsidRPr="00580C0D">
        <w:rPr>
          <w:rStyle w:val="kursiv"/>
        </w:rPr>
        <w:t xml:space="preserve"> kompetansebehovet </w:t>
      </w:r>
      <w:r w:rsidRPr="00580C0D">
        <w:t xml:space="preserve">til aktørene på ulike utdanningsnivå i batteriverdikjeden i Norge. Del 2 har kartlagt </w:t>
      </w:r>
      <w:r w:rsidRPr="00580C0D">
        <w:rPr>
          <w:rStyle w:val="kursiv"/>
        </w:rPr>
        <w:t>eksisterende tilbud og kompetanse som utdanningsinstitusjonene har i dag</w:t>
      </w:r>
      <w:r w:rsidRPr="00580C0D">
        <w:t>, fra fagbrev til høyere utdanning, og har sammenstilt dette og erfaringer fra Del 1 i form av en «gap-analyse». Del 3 har sett på utdanning og rekruttering, og er gjennomført ved bruk av workshops med eksperter.</w:t>
      </w:r>
    </w:p>
    <w:p w14:paraId="52C6011C" w14:textId="77777777" w:rsidR="00F7113A" w:rsidRPr="00580C0D" w:rsidRDefault="00142E5B" w:rsidP="00580C0D">
      <w:r w:rsidRPr="00580C0D">
        <w:t xml:space="preserve">Regjeringen vil vurdere anbefalingene fra </w:t>
      </w:r>
      <w:proofErr w:type="spellStart"/>
      <w:r w:rsidRPr="00580C0D">
        <w:t>BattKOMP</w:t>
      </w:r>
      <w:proofErr w:type="spellEnd"/>
      <w:r w:rsidRPr="00580C0D">
        <w:t>-prosjektet når del 3 er ferdigstilt. Dette vil utgjøre et viktig underlag for å vurdere kompetansegrunnlag, kompetansebehov og hvilket tilbud av ulike former for utdannings- og kompetansetilbud lokalt, regionalt og nasjonalt som er nødvendig for å understøtte regjeringens målsettinger for batteriverdikjeden.</w:t>
      </w:r>
    </w:p>
    <w:p w14:paraId="112568CA" w14:textId="77777777" w:rsidR="00F7113A" w:rsidRPr="00580C0D" w:rsidRDefault="00142E5B" w:rsidP="00580C0D">
      <w:r w:rsidRPr="00580C0D">
        <w:t xml:space="preserve">Regjeringen har videreført </w:t>
      </w:r>
      <w:proofErr w:type="spellStart"/>
      <w:r w:rsidRPr="00580C0D">
        <w:t>treparts</w:t>
      </w:r>
      <w:proofErr w:type="spellEnd"/>
      <w:r w:rsidRPr="00580C0D">
        <w:t xml:space="preserve"> bransjeprogram for kompetanseutvikling for industri- og byggenæringen. Gjennom dette bransjeprogrammet har Fagskolen Viken mottatt støtte til «Batterifagskolen» som er et videreutdanningstilbud rettet mot fagarbeidere som ønsker å jobbe i batteriindustrien. Dette er tilbud som er utviklet i samarbeid mellom fagskolene og industrien.</w:t>
      </w:r>
    </w:p>
    <w:p w14:paraId="6331CA26" w14:textId="77777777" w:rsidR="00F7113A" w:rsidRPr="00580C0D" w:rsidRDefault="00142E5B" w:rsidP="00580C0D">
      <w:r w:rsidRPr="00580C0D">
        <w:t xml:space="preserve">Regjeringen la fram Meld. St. 14 (2022–2023) </w:t>
      </w:r>
      <w:r w:rsidRPr="00580C0D">
        <w:rPr>
          <w:rStyle w:val="kursiv"/>
        </w:rPr>
        <w:t>Utsyn over kompetansebehovet i Norge</w:t>
      </w:r>
      <w:r w:rsidRPr="00580C0D">
        <w:t xml:space="preserve"> våren 2023. I Utsynsmeldingen skriver regjeringen at den ønsker å prioritere kompetanse som er nødvendig for det grønne skiftet.</w:t>
      </w:r>
    </w:p>
    <w:p w14:paraId="0824F990" w14:textId="77777777" w:rsidR="00F7113A" w:rsidRPr="00580C0D" w:rsidRDefault="00142E5B" w:rsidP="00580C0D">
      <w:r w:rsidRPr="00580C0D">
        <w:t>Vedtaket anses med dette som fulgt opp.</w:t>
      </w:r>
    </w:p>
    <w:p w14:paraId="0D86B00E" w14:textId="77777777" w:rsidR="00F7113A" w:rsidRPr="00580C0D" w:rsidRDefault="00142E5B" w:rsidP="00580C0D">
      <w:pPr>
        <w:pStyle w:val="avsnitt-tittel"/>
      </w:pPr>
      <w:r w:rsidRPr="00580C0D">
        <w:t>Bransjeavtaler – råstoff til biogassproduksjon</w:t>
      </w:r>
    </w:p>
    <w:p w14:paraId="031CB90B" w14:textId="77777777" w:rsidR="00F7113A" w:rsidRPr="00580C0D" w:rsidRDefault="00142E5B" w:rsidP="00580C0D">
      <w:pPr>
        <w:pStyle w:val="avsnitt-undertittel"/>
      </w:pPr>
      <w:r w:rsidRPr="00580C0D">
        <w:t>Vedtak nr. 754, 10. juni 2022</w:t>
      </w:r>
    </w:p>
    <w:p w14:paraId="7FF3980F" w14:textId="77777777" w:rsidR="00F7113A" w:rsidRPr="00580C0D" w:rsidRDefault="00142E5B" w:rsidP="00580C0D">
      <w:pPr>
        <w:pStyle w:val="blokksit"/>
        <w:rPr>
          <w:rStyle w:val="kursiv"/>
        </w:rPr>
      </w:pPr>
      <w:r w:rsidRPr="00580C0D">
        <w:rPr>
          <w:rStyle w:val="kursiv"/>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sidRPr="00580C0D">
        <w:rPr>
          <w:rStyle w:val="kursiv"/>
        </w:rPr>
        <w:t>bionæringene</w:t>
      </w:r>
      <w:proofErr w:type="spellEnd"/>
      <w:r w:rsidRPr="00580C0D">
        <w:rPr>
          <w:rStyle w:val="kursiv"/>
        </w:rPr>
        <w:t xml:space="preserve"> vil spille en viktig rolle i dette arbeidet.»</w:t>
      </w:r>
    </w:p>
    <w:p w14:paraId="3F1D7914"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og seks representantforslag som også omhandler energispørsmål, jf. </w:t>
      </w:r>
      <w:proofErr w:type="spellStart"/>
      <w:r w:rsidRPr="00580C0D">
        <w:t>Innst</w:t>
      </w:r>
      <w:proofErr w:type="spellEnd"/>
      <w:r w:rsidRPr="00580C0D">
        <w:t>. 446 S (2021–2022).</w:t>
      </w:r>
    </w:p>
    <w:p w14:paraId="68BAC7F5" w14:textId="77777777" w:rsidR="00F7113A" w:rsidRPr="00580C0D" w:rsidRDefault="00142E5B" w:rsidP="00580C0D">
      <w:r w:rsidRPr="00580C0D">
        <w:t>Regjeringen vil følge opp vedtaket og komme tilbake til Stortinget på egnet måte.</w:t>
      </w:r>
    </w:p>
    <w:p w14:paraId="6095FE15" w14:textId="77777777" w:rsidR="00F7113A" w:rsidRPr="00580C0D" w:rsidRDefault="00142E5B" w:rsidP="00580C0D">
      <w:pPr>
        <w:pStyle w:val="avsnitt-tittel"/>
      </w:pPr>
      <w:r w:rsidRPr="00580C0D">
        <w:t>Sirkulær økonomi i virkemiddelapparatet</w:t>
      </w:r>
    </w:p>
    <w:p w14:paraId="75416409" w14:textId="77777777" w:rsidR="00F7113A" w:rsidRPr="00580C0D" w:rsidRDefault="00142E5B" w:rsidP="00580C0D">
      <w:pPr>
        <w:pStyle w:val="avsnitt-undertittel"/>
      </w:pPr>
      <w:r w:rsidRPr="00580C0D">
        <w:t>Vedtak nr. 755, 10. juni 2022</w:t>
      </w:r>
    </w:p>
    <w:p w14:paraId="68A7A980" w14:textId="77777777" w:rsidR="00F7113A" w:rsidRPr="00580C0D" w:rsidRDefault="00142E5B" w:rsidP="00580C0D">
      <w:pPr>
        <w:pStyle w:val="blokksit"/>
        <w:rPr>
          <w:rStyle w:val="kursiv"/>
        </w:rPr>
      </w:pPr>
      <w:r w:rsidRPr="00580C0D">
        <w:rPr>
          <w:rStyle w:val="kursiv"/>
        </w:rPr>
        <w:t>«Stortinget ber regjeringen sørge for at sirkulær økonomi er et tverrgående satsingsområde for virkemiddelapparatet</w:t>
      </w:r>
      <w:r w:rsidRPr="00580C0D">
        <w:t>.»</w:t>
      </w:r>
    </w:p>
    <w:p w14:paraId="031E73A3" w14:textId="77777777" w:rsidR="00F7113A" w:rsidRPr="00580C0D" w:rsidRDefault="00142E5B" w:rsidP="00580C0D">
      <w:r w:rsidRPr="00580C0D">
        <w:t xml:space="preserve">Vedtaket ble truffet under behandlingen av innstilling fra energi- og miljøkomiteen om Meld. St. 36 (2020–2021) </w:t>
      </w:r>
      <w:r w:rsidRPr="00580C0D">
        <w:rPr>
          <w:rStyle w:val="kursiv"/>
        </w:rPr>
        <w:t>Energi til arbeid – langsiktig verdiskaping fra norske energiressurser</w:t>
      </w:r>
      <w:r w:rsidRPr="00580C0D">
        <w:t xml:space="preserve">, Meld. St. 11 (2021–2022) </w:t>
      </w:r>
      <w:r w:rsidRPr="00580C0D">
        <w:rPr>
          <w:rStyle w:val="kursiv"/>
        </w:rPr>
        <w:t>Tilleggsmelding til Meld. St. 36 (2020–2021)</w:t>
      </w:r>
      <w:r w:rsidRPr="00580C0D">
        <w:t xml:space="preserve"> og seks representantforslag som også omhandler energispørsmål, jf. </w:t>
      </w:r>
      <w:proofErr w:type="spellStart"/>
      <w:r w:rsidRPr="00580C0D">
        <w:t>Innst</w:t>
      </w:r>
      <w:proofErr w:type="spellEnd"/>
      <w:r w:rsidRPr="00580C0D">
        <w:t>. 446 S (2021–2022).</w:t>
      </w:r>
    </w:p>
    <w:p w14:paraId="4246E96A" w14:textId="77777777" w:rsidR="00F7113A" w:rsidRPr="00580C0D" w:rsidRDefault="00142E5B" w:rsidP="00580C0D">
      <w:r w:rsidRPr="00580C0D">
        <w:t xml:space="preserve">I </w:t>
      </w:r>
      <w:proofErr w:type="spellStart"/>
      <w:r w:rsidRPr="00580C0D">
        <w:t>Innst</w:t>
      </w:r>
      <w:proofErr w:type="spellEnd"/>
      <w:r w:rsidRPr="00580C0D">
        <w:t>. 186 S (2022–2023) uttaler kontroll- og konstitusjonskomiteen følgende om vedtak nr. 755:</w:t>
      </w:r>
    </w:p>
    <w:p w14:paraId="35756000" w14:textId="77777777" w:rsidR="00F7113A" w:rsidRPr="00580C0D" w:rsidRDefault="00142E5B" w:rsidP="00580C0D">
      <w:pPr>
        <w:pStyle w:val="blokksit"/>
        <w:rPr>
          <w:rStyle w:val="kursiv"/>
        </w:rPr>
      </w:pPr>
      <w:r w:rsidRPr="00580C0D">
        <w:rPr>
          <w:rStyle w:val="kursiv"/>
        </w:rPr>
        <w:t>«Komiteens flertall, medlemmene fra Høyre, Fremskrittspartiet, Sosialistisk venstreparti, Rødt og Venstre, viser til at avtalen om grønn vekst mellom Forskningsrådet, Innovasjon Norge, Siva og Gassnova ikke tydelig nevner sirkulærøkonomi som en viktig del av avtalen. Videre har FoU-andelen blitt redusert i statsbudsjettet for 2023, og sirkulærøkonomi er ikke definert som en hoveddel av Grønn plattform på regjeringens nettsider. Flertallet er derfor ikke enig i at vedtaket i tilstrekkelig grad er fulgt opp, og at rapporteringen kan avsluttes.»</w:t>
      </w:r>
    </w:p>
    <w:p w14:paraId="72F0BE55" w14:textId="77777777" w:rsidR="00F7113A" w:rsidRPr="00580C0D" w:rsidRDefault="00142E5B" w:rsidP="00580C0D">
      <w:r w:rsidRPr="00580C0D">
        <w:t>Det næringsrettede virkemiddelapparatet har en rekke tverrgående satsinger hvor sirkulær økonomi er omfattet.</w:t>
      </w:r>
    </w:p>
    <w:p w14:paraId="18C2B705" w14:textId="77777777" w:rsidR="00F7113A" w:rsidRPr="00580C0D" w:rsidRDefault="00142E5B" w:rsidP="00580C0D">
      <w:r w:rsidRPr="00580C0D">
        <w:t>Vedtaket er blant annet fulgt opp ved at det i tildelings- og oppdragsbrevene til de næringsrettede virkemiddelaktørene (Innovasjon Norge, Norges forskningsråd og Siva) fra Nærings- og fiskeridepartementet fra og med 2023 er lagt inn en føring om at virkemiddelaktørene skal styrke innsatsen og koordinere det tverrgående arbeidet innenfor sirkulærøkonomi med utgangspunkt i virkemiddelaktørenes samarbeidsavtale om grønn vekst. Føringen vil videreføres i kommende års tildelings- og oppdragsbrev og følges opp i den formelle styringsdialogen med virkemiddelaktørene.</w:t>
      </w:r>
    </w:p>
    <w:p w14:paraId="00F40347" w14:textId="77777777" w:rsidR="00F7113A" w:rsidRPr="00580C0D" w:rsidRDefault="00142E5B" w:rsidP="00580C0D">
      <w:r w:rsidRPr="00580C0D">
        <w:t xml:space="preserve">Samarbeidsavtalen om grønn vekst ble inngått i 2022 mellom Forskningsrådet, Innovasjon Norge, Siva, </w:t>
      </w:r>
      <w:proofErr w:type="spellStart"/>
      <w:r w:rsidRPr="00580C0D">
        <w:t>Enova</w:t>
      </w:r>
      <w:proofErr w:type="spellEnd"/>
      <w:r w:rsidRPr="00580C0D">
        <w:t xml:space="preserve"> og Gassnova. Avtalen viderefører et mangeårig samarbeid mellom aktørene og er en rammeavtale for aktiviteter knyttet til grønn omstilling. Intensjonen bak initiativet er å styrke samarbeid på områder som gir merverdi for brukerne, og som bidrar til økt måloppnåelse for den enkelte virkemiddelaktør. Avtalen regulerer hvordan samarbeid om virkemidler, mobilisering, systemutvikling og digitalisering best kan rigges.</w:t>
      </w:r>
    </w:p>
    <w:p w14:paraId="2C2E60B5" w14:textId="77777777" w:rsidR="00F7113A" w:rsidRPr="00580C0D" w:rsidRDefault="00142E5B" w:rsidP="00580C0D">
      <w:r w:rsidRPr="00580C0D">
        <w:t>Når det gjelder Forskningsrådet, har det vært en satsing siden 2020 for å styrke forskning og innovasjon på sirkulær økonomi. Forskningsrådets totale innsats på sirkulær økonomi nær doblet seg fra drøye 100 mill. kroner i 2020 til snaue 200 mill. kroner i 2021. Satsingen ble noe redusert i 2022 på grunn av tiltak for å redusere Forskningsrådets negative avsetninger, men de hadde en utlysning på 72 mill. kroner i juni 2022. Forskningsrådet har også opprettet et eget budsjettformål for å synliggjøre tverrgående satsinger på sirkulær økonomi, og flere av Forskningsrådets porteføljer bidrar med midler til budsjettformålet.</w:t>
      </w:r>
    </w:p>
    <w:p w14:paraId="0A40D627" w14:textId="77777777" w:rsidR="00F7113A" w:rsidRPr="00580C0D" w:rsidRDefault="00142E5B" w:rsidP="00580C0D">
      <w:pPr>
        <w:rPr>
          <w:rStyle w:val="kursiv"/>
        </w:rPr>
      </w:pPr>
      <w:r w:rsidRPr="00580C0D">
        <w:rPr>
          <w:rStyle w:val="kursiv"/>
        </w:rPr>
        <w:t>Grønn plattform</w:t>
      </w:r>
      <w:r w:rsidRPr="00580C0D">
        <w:t xml:space="preserve"> er en felles konkurransearena i regi av Norges forskningsråd, Innovasjon Norge og Siva. Formålet med ordningen er å skape samfunnsøkonomisk lønnsomt og bærekraftig næringsliv som bidrar til grønn omstilling. Ordningen gir støtte til store, ambisiøse prosjekter som gjennomføres av et konsortium, og bygger på etablerte ordninger med veldefinerte kriterier for støtte. Gjennom plattformen kan bedrifter og forskningsinstitutter få støtte gjennom tre år til å gjennomføre forsknings- og innovasjonsdrevet grønn vekst og omstilling. I Grønn plattform er det ønskelig å se hele løpet fra forskning til kommersialisering og markedsintroduksjon i sammenheng, og på tvers av de involverte virkemiddelaktørene. For årene 2020-2023 er det utlyst til sammen 2,475 mrd. kroner gjennom ordningen, og i alt 23 prosjekter er tildelt støtte gjennom utlysningene i 2021 og 2022. Blant prosjektene som har fått finansiering, er prosjektet </w:t>
      </w:r>
      <w:proofErr w:type="spellStart"/>
      <w:r w:rsidRPr="00580C0D">
        <w:t>SirkTRE</w:t>
      </w:r>
      <w:proofErr w:type="spellEnd"/>
      <w:r w:rsidRPr="00580C0D">
        <w:t>, som i 2021 ble tildelt 106 mill. kroner i støtte for å utvikle en sirkulær verdikjede for trevirke.</w:t>
      </w:r>
    </w:p>
    <w:p w14:paraId="74643F57" w14:textId="77777777" w:rsidR="00F7113A" w:rsidRPr="00580C0D" w:rsidRDefault="00142E5B" w:rsidP="00580C0D">
      <w:pPr>
        <w:rPr>
          <w:rStyle w:val="kursiv"/>
        </w:rPr>
      </w:pPr>
      <w:r w:rsidRPr="00580C0D">
        <w:rPr>
          <w:rStyle w:val="kursiv"/>
        </w:rPr>
        <w:t>Bionova</w:t>
      </w:r>
      <w:r w:rsidRPr="00580C0D">
        <w:t xml:space="preserve"> ble etablert i 2023 og er blant annet et verktøy for økt verdiskaping gjennom overgang til en mer sirkulær bioøkonomi basert på fornybare biologiske ressurser fra land og hav. I tillegg er det et verktøy for å nå Norges klimamål for 2030 og målet om å være et lavutslippssamfunn i 2050. Bionova er organisert som en enhet i Innovasjon Norge og virkemidlene i Bionova samspiller med andre virkemidler.</w:t>
      </w:r>
    </w:p>
    <w:p w14:paraId="44DED265" w14:textId="77777777" w:rsidR="00F7113A" w:rsidRPr="00580C0D" w:rsidRDefault="00142E5B" w:rsidP="00580C0D">
      <w:pPr>
        <w:rPr>
          <w:rStyle w:val="kursiv"/>
        </w:rPr>
      </w:pPr>
      <w:r w:rsidRPr="00580C0D">
        <w:rPr>
          <w:rStyle w:val="kursiv"/>
        </w:rPr>
        <w:t>Europas grønne giv</w:t>
      </w:r>
      <w:r w:rsidRPr="00580C0D">
        <w:t>, som er EUs grønne vekststrategi for et klimanøytralt Europa, åpner opp nye muligheter for norsk næringsliv på det europeiske markedet. Strategien skal bringe EU mot klimanøytralitet i 2050 og gi et EU med mer sirkulær økonomi, mindre forurensning og bedre beskyttelse og restaurering av økosystemer og naturmangfold. Grønn omstilling og sirkulærøkonomi står også sentralt i flere av EU-programmene med norsk deltakelse, inkludert EUs rammeprogram for forskning og innovasjon (Horisont Europa) og EUs investeringsprogram (</w:t>
      </w:r>
      <w:proofErr w:type="spellStart"/>
      <w:r w:rsidRPr="00580C0D">
        <w:t>InvestEU</w:t>
      </w:r>
      <w:proofErr w:type="spellEnd"/>
      <w:r w:rsidRPr="00580C0D">
        <w:t>). Det er også et nordisk samarbeid om sirkulær økonomi hvor Norge deltar aktivt.</w:t>
      </w:r>
    </w:p>
    <w:p w14:paraId="333A5092" w14:textId="77777777" w:rsidR="00F7113A" w:rsidRPr="00580C0D" w:rsidRDefault="00142E5B" w:rsidP="00580C0D">
      <w:r w:rsidRPr="00580C0D">
        <w:t>Vedtaket anses med dette som fulgt opp.</w:t>
      </w:r>
    </w:p>
    <w:p w14:paraId="5F31CFBF" w14:textId="77777777" w:rsidR="00F7113A" w:rsidRPr="00580C0D" w:rsidRDefault="00142E5B" w:rsidP="00580C0D">
      <w:pPr>
        <w:pStyle w:val="avsnitt-tittel"/>
      </w:pPr>
      <w:r w:rsidRPr="00580C0D">
        <w:t>Kystfiske – rapportering av posisjon og fangstmeldinger over mobilnettet</w:t>
      </w:r>
    </w:p>
    <w:p w14:paraId="14FBC302" w14:textId="77777777" w:rsidR="00F7113A" w:rsidRPr="00580C0D" w:rsidRDefault="00142E5B" w:rsidP="00580C0D">
      <w:pPr>
        <w:pStyle w:val="avsnitt-undertittel"/>
      </w:pPr>
      <w:r w:rsidRPr="00580C0D">
        <w:t>Vedtak nr. 841, 17. juni 2022</w:t>
      </w:r>
    </w:p>
    <w:p w14:paraId="1974D76E" w14:textId="77777777" w:rsidR="00F7113A" w:rsidRPr="00580C0D" w:rsidRDefault="00142E5B" w:rsidP="00580C0D">
      <w:pPr>
        <w:pStyle w:val="blokksit"/>
        <w:rPr>
          <w:rStyle w:val="kursiv"/>
        </w:rPr>
      </w:pPr>
      <w:r w:rsidRPr="00580C0D">
        <w:rPr>
          <w:rStyle w:val="kursiv"/>
        </w:rPr>
        <w:t>«Stortinget ber regjeringen frita fartøy med fartsområde kystfiske eller mindre fra kravet om å ha satellittabonnement, slik at disse fartøyene kun rapporterer posisjon og fangstmeldinger over mobilnettet.»</w:t>
      </w:r>
    </w:p>
    <w:p w14:paraId="3279572D" w14:textId="77777777" w:rsidR="00F7113A" w:rsidRPr="00580C0D" w:rsidRDefault="00142E5B" w:rsidP="00580C0D">
      <w:r w:rsidRPr="00580C0D">
        <w:t xml:space="preserve">Vedtaket ble truffet under behandlingen av Meld. St. 2 (2021–2022) </w:t>
      </w:r>
      <w:r w:rsidRPr="00580C0D">
        <w:rPr>
          <w:rStyle w:val="kursiv"/>
        </w:rPr>
        <w:t>Revidert nasjonalbudsjett 2022</w:t>
      </w:r>
      <w:r w:rsidRPr="00580C0D">
        <w:t xml:space="preserve">, jf. </w:t>
      </w:r>
      <w:proofErr w:type="spellStart"/>
      <w:r w:rsidRPr="00580C0D">
        <w:t>Innst</w:t>
      </w:r>
      <w:proofErr w:type="spellEnd"/>
      <w:r w:rsidRPr="00580C0D">
        <w:t>. 450 S (2021–2022).</w:t>
      </w:r>
    </w:p>
    <w:p w14:paraId="7412265F" w14:textId="77777777" w:rsidR="00F7113A" w:rsidRPr="00580C0D" w:rsidRDefault="00142E5B" w:rsidP="00580C0D">
      <w:r w:rsidRPr="00580C0D">
        <w:t xml:space="preserve">Vedtaket ble fulgt opp ved forskriftsendring 1. juli 2022, jf. FOR-2022-07-01-1289 Forskrift om endring i forskrift om posisjonsrapportering og elektronisk rapportering for norske fiske- og fangstfartøy (ERS-forskriften). Ved behandling av Meld. St. 4 (2022–2023) </w:t>
      </w:r>
      <w:r w:rsidRPr="00580C0D">
        <w:rPr>
          <w:rStyle w:val="kursiv"/>
        </w:rPr>
        <w:t>Anmodnings- og utredningsvedtak i stortingssesjonen 2021–2022,</w:t>
      </w:r>
      <w:r w:rsidRPr="00580C0D">
        <w:t xml:space="preserve"> jf. </w:t>
      </w:r>
      <w:proofErr w:type="spellStart"/>
      <w:r w:rsidRPr="00580C0D">
        <w:t>Innst</w:t>
      </w:r>
      <w:proofErr w:type="spellEnd"/>
      <w:r w:rsidRPr="00580C0D">
        <w:t>. 186 S (2022–2023), uttalte kontroll- og konstitusjonskomiteen:</w:t>
      </w:r>
    </w:p>
    <w:p w14:paraId="77570039" w14:textId="77777777" w:rsidR="00F7113A" w:rsidRPr="00580C0D" w:rsidRDefault="00142E5B" w:rsidP="00580C0D">
      <w:pPr>
        <w:pStyle w:val="blokksit"/>
      </w:pPr>
      <w:r w:rsidRPr="00580C0D">
        <w:t xml:space="preserve">«Komiteens flertall, medlemmene fra Arbeiderpartiet, Senterpartiet, Fremskrittspartiet, Sosialistisk Venstreparti og Rødt, viser til at man er enig om å be regjeringen be Fiskeridirektoratet akseptere større fleksibilitet ved å akseptere korte tidsperioder uten dekning på mobilnettet, uten at det utløser krav om </w:t>
      </w:r>
      <w:proofErr w:type="spellStart"/>
      <w:r w:rsidRPr="00580C0D">
        <w:t>satellittilgang</w:t>
      </w:r>
      <w:proofErr w:type="spellEnd"/>
      <w:r w:rsidRPr="00580C0D">
        <w:t xml:space="preserve">. Det kan vurderes for eksempel sammenhengende perioder på inntil 4 timer, og flere perioder på til sammen 12 timer i løpet av et døgn, så lenge data lagres og sendes når mobildekning gjenopptas. F l e r t a l e t viser også til at partiene i forliket ber regjeringen utsette innføringen av krav om sporing og rapportering for flåtegruppa mellom 10 og 11 meter til 1. april 2023, slik at disse endringene kan utformes. F l e r t a l e t mener anmodningsvedtaket ikke kan </w:t>
      </w:r>
      <w:proofErr w:type="spellStart"/>
      <w:r w:rsidRPr="00580C0D">
        <w:t>utkvitteres</w:t>
      </w:r>
      <w:proofErr w:type="spellEnd"/>
      <w:r w:rsidRPr="00580C0D">
        <w:t xml:space="preserve"> før dette er gjennomført.»</w:t>
      </w:r>
    </w:p>
    <w:p w14:paraId="5FB07255" w14:textId="77777777" w:rsidR="00F7113A" w:rsidRPr="00580C0D" w:rsidRDefault="00142E5B" w:rsidP="00580C0D">
      <w:r w:rsidRPr="00580C0D">
        <w:t>Regjeringen viser til at kravene om sporing og rapportering for de minste flåtegruppene ble vesentlig forenklet gjennom forskriftsendring 14. april 2023, jf. FOR-2023-04-14-539, og at innføringen av kravene for fartøy mellom 10 og 11 meter først trådte i kraft 1. juli 2023. Regjeringen viser videre til at det for fartøy under 15 meter, som fisker innenfor 12 nautiske mil, ikke er et krav om bruk av satellittmeldinger ved bortfall av mobildekning.</w:t>
      </w:r>
    </w:p>
    <w:p w14:paraId="0F1F08D0" w14:textId="77777777" w:rsidR="00F7113A" w:rsidRPr="00580C0D" w:rsidRDefault="00142E5B" w:rsidP="00580C0D">
      <w:r w:rsidRPr="00580C0D">
        <w:t>Vedtaket anses med dette som fulgt opp.</w:t>
      </w:r>
    </w:p>
    <w:p w14:paraId="34A1D68D" w14:textId="77777777" w:rsidR="00F7113A" w:rsidRPr="00580C0D" w:rsidRDefault="00142E5B" w:rsidP="00580C0D">
      <w:pPr>
        <w:pStyle w:val="Overskrift2"/>
      </w:pPr>
      <w:r w:rsidRPr="00580C0D">
        <w:t>Stortingssesjon 2020–2021</w:t>
      </w:r>
    </w:p>
    <w:p w14:paraId="3FB0A189" w14:textId="77777777" w:rsidR="00F7113A" w:rsidRPr="00580C0D" w:rsidRDefault="00142E5B" w:rsidP="00580C0D">
      <w:pPr>
        <w:pStyle w:val="avsnitt-tittel"/>
      </w:pPr>
      <w:r w:rsidRPr="00580C0D">
        <w:t>Sikre egenproduksjon – ordning med utleie av akvakulturtillatelser</w:t>
      </w:r>
    </w:p>
    <w:p w14:paraId="7631D517" w14:textId="77777777" w:rsidR="00F7113A" w:rsidRPr="00580C0D" w:rsidRDefault="00142E5B" w:rsidP="00580C0D">
      <w:pPr>
        <w:pStyle w:val="avsnitt-undertittel"/>
      </w:pPr>
      <w:r w:rsidRPr="00580C0D">
        <w:t>Vedtak nr. 71, 12. november 2020</w:t>
      </w:r>
    </w:p>
    <w:p w14:paraId="70C8C8C4" w14:textId="77777777" w:rsidR="00F7113A" w:rsidRPr="00580C0D" w:rsidRDefault="00142E5B" w:rsidP="00580C0D">
      <w:pPr>
        <w:pStyle w:val="blokksit"/>
        <w:rPr>
          <w:rStyle w:val="kursiv"/>
        </w:rPr>
      </w:pPr>
      <w:r w:rsidRPr="00580C0D">
        <w:rPr>
          <w:rStyle w:val="kursiv"/>
        </w:rPr>
        <w:t>«Stortinget ber regjeringen om å utrede en ordning med utleie av tidsbegrensede akvakulturtillatelser for å sikre egenproduksjon i fiskeindustrien.»</w:t>
      </w:r>
    </w:p>
    <w:p w14:paraId="61CAF951" w14:textId="77777777" w:rsidR="00F7113A" w:rsidRPr="00580C0D" w:rsidRDefault="00142E5B" w:rsidP="00580C0D">
      <w:r w:rsidRPr="00580C0D">
        <w:t xml:space="preserve">Vedtaket ble truffet ved behandlingen av Dokument 8:122 S (2019–2020) </w:t>
      </w:r>
      <w:r w:rsidRPr="00580C0D">
        <w:rPr>
          <w:rStyle w:val="kursiv"/>
        </w:rPr>
        <w:t xml:space="preserve">Representantforslag fra stortingsrepresentantene Cecilie Myrseth, Terje Aasland og </w:t>
      </w:r>
      <w:proofErr w:type="spellStart"/>
      <w:r w:rsidRPr="00580C0D">
        <w:rPr>
          <w:rStyle w:val="kursiv"/>
        </w:rPr>
        <w:t>Åsunn</w:t>
      </w:r>
      <w:proofErr w:type="spellEnd"/>
      <w:r w:rsidRPr="00580C0D">
        <w:rPr>
          <w:rStyle w:val="kursiv"/>
        </w:rPr>
        <w:t xml:space="preserve"> </w:t>
      </w:r>
      <w:proofErr w:type="spellStart"/>
      <w:r w:rsidRPr="00580C0D">
        <w:rPr>
          <w:rStyle w:val="kursiv"/>
        </w:rPr>
        <w:t>Lyngedal</w:t>
      </w:r>
      <w:proofErr w:type="spellEnd"/>
      <w:r w:rsidRPr="00580C0D">
        <w:rPr>
          <w:rStyle w:val="kursiv"/>
        </w:rPr>
        <w:t xml:space="preserve"> om utleie av oppdrettstillatelser til egenproduksjon i fiskeindustrien</w:t>
      </w:r>
      <w:r w:rsidRPr="00580C0D">
        <w:t xml:space="preserve">, jf. </w:t>
      </w:r>
      <w:proofErr w:type="spellStart"/>
      <w:r w:rsidRPr="00580C0D">
        <w:t>Innst</w:t>
      </w:r>
      <w:proofErr w:type="spellEnd"/>
      <w:r w:rsidRPr="00580C0D">
        <w:t>. 65 S (2020–2021).</w:t>
      </w:r>
    </w:p>
    <w:p w14:paraId="42CB8AD7" w14:textId="77777777" w:rsidR="00F7113A" w:rsidRPr="00580C0D" w:rsidRDefault="00142E5B" w:rsidP="00580C0D">
      <w:r w:rsidRPr="00580C0D">
        <w:t>Nærings- og fiskeridepartementet arbeider med å vurdere vedtaket.</w:t>
      </w:r>
    </w:p>
    <w:p w14:paraId="159A41F6" w14:textId="77777777" w:rsidR="00F7113A" w:rsidRPr="00580C0D" w:rsidRDefault="00142E5B" w:rsidP="00580C0D">
      <w:r w:rsidRPr="00580C0D">
        <w:t>Regjeringen vil komme tilbake til Stortinget på egnet måte.</w:t>
      </w:r>
    </w:p>
    <w:p w14:paraId="59E12467" w14:textId="77777777" w:rsidR="00F7113A" w:rsidRPr="00580C0D" w:rsidRDefault="00142E5B" w:rsidP="00580C0D">
      <w:pPr>
        <w:pStyle w:val="avsnitt-tittel"/>
      </w:pPr>
      <w:r w:rsidRPr="00580C0D">
        <w:t>Oppfølging av kvotesystemet i kyst- og havfiske</w:t>
      </w:r>
    </w:p>
    <w:p w14:paraId="2D3E5970" w14:textId="77777777" w:rsidR="00F7113A" w:rsidRPr="00580C0D" w:rsidRDefault="00142E5B" w:rsidP="00580C0D">
      <w:pPr>
        <w:pStyle w:val="avsnitt-undertittel"/>
      </w:pPr>
      <w:r w:rsidRPr="00580C0D">
        <w:t>Vedtak nr. 98, 24. november 2020</w:t>
      </w:r>
    </w:p>
    <w:p w14:paraId="4BF9E53E" w14:textId="77777777" w:rsidR="00F7113A" w:rsidRPr="00580C0D" w:rsidRDefault="00142E5B" w:rsidP="00580C0D">
      <w:pPr>
        <w:pStyle w:val="blokksit"/>
        <w:rPr>
          <w:rStyle w:val="kursiv"/>
        </w:rPr>
      </w:pPr>
      <w:r w:rsidRPr="00580C0D">
        <w:rPr>
          <w:rStyle w:val="kursiv"/>
        </w:rPr>
        <w:t>«Stortinget ber regjeringen komme tilbake med forslag til hvordan anbefalingene i Riksrevisjonens undersøkelse av kvotesystemet i kyst- og havfisket skal følges opp på en måte som ivaretar det tredelte formålet i havressursloven og sikrer en forsvarlig forvaltning av kvotesystemet som skaper tillit hos alle aktører i fiskerinæringen.»</w:t>
      </w:r>
    </w:p>
    <w:p w14:paraId="4CDC6745" w14:textId="77777777" w:rsidR="00F7113A" w:rsidRPr="00580C0D" w:rsidRDefault="00142E5B" w:rsidP="00580C0D">
      <w:r w:rsidRPr="00580C0D">
        <w:t xml:space="preserve">Vedtaket ble truffet under behandlingen av Dokument 3:6 (2019–2020) </w:t>
      </w:r>
      <w:r w:rsidRPr="00580C0D">
        <w:rPr>
          <w:rStyle w:val="kursiv"/>
        </w:rPr>
        <w:t xml:space="preserve">Riksrevisjonens undersøkelse av kvotesystemet i kyst- og havfisket, </w:t>
      </w:r>
      <w:r w:rsidRPr="00580C0D">
        <w:t xml:space="preserve">jf. </w:t>
      </w:r>
      <w:proofErr w:type="spellStart"/>
      <w:r w:rsidRPr="00580C0D">
        <w:t>Innst</w:t>
      </w:r>
      <w:proofErr w:type="spellEnd"/>
      <w:r w:rsidRPr="00580C0D">
        <w:t>. 80 S (2020–2021).</w:t>
      </w:r>
    </w:p>
    <w:p w14:paraId="3E72A38C" w14:textId="77777777" w:rsidR="00F7113A" w:rsidRPr="00580C0D" w:rsidRDefault="00142E5B" w:rsidP="00580C0D">
      <w:r w:rsidRPr="00580C0D">
        <w:t>Nærings- og fiskeridepartementet arbeider med å vurdere vedtaket.</w:t>
      </w:r>
    </w:p>
    <w:p w14:paraId="4EF917C3" w14:textId="77777777" w:rsidR="00F7113A" w:rsidRPr="00580C0D" w:rsidRDefault="00142E5B" w:rsidP="00580C0D">
      <w:r w:rsidRPr="00580C0D">
        <w:t>Regjeringen vil komme tilbake til Stortinget på egnet måte.</w:t>
      </w:r>
    </w:p>
    <w:p w14:paraId="45116EE1" w14:textId="77777777" w:rsidR="00F7113A" w:rsidRPr="00580C0D" w:rsidRDefault="00142E5B" w:rsidP="00580C0D">
      <w:pPr>
        <w:pStyle w:val="avsnitt-tittel"/>
      </w:pPr>
      <w:r w:rsidRPr="00580C0D">
        <w:t>Mineralloven – forbedringer og forenklinger</w:t>
      </w:r>
    </w:p>
    <w:p w14:paraId="48D77BD0" w14:textId="77777777" w:rsidR="00F7113A" w:rsidRPr="00580C0D" w:rsidRDefault="00142E5B" w:rsidP="00580C0D">
      <w:pPr>
        <w:pStyle w:val="avsnitt-undertittel"/>
      </w:pPr>
      <w:r w:rsidRPr="00580C0D">
        <w:t>Vedtak nr. 172, 3. desember 2020</w:t>
      </w:r>
    </w:p>
    <w:p w14:paraId="0DB5BEBF" w14:textId="77777777" w:rsidR="00F7113A" w:rsidRPr="00580C0D" w:rsidRDefault="00142E5B" w:rsidP="00580C0D">
      <w:pPr>
        <w:pStyle w:val="blokksit"/>
        <w:rPr>
          <w:rStyle w:val="kursiv"/>
        </w:rPr>
      </w:pPr>
      <w:r w:rsidRPr="00580C0D">
        <w:rPr>
          <w:rStyle w:val="kursiv"/>
        </w:rPr>
        <w:t>«Stortinget ber regjeringen følge opp minerallovutvalget gjennom å foreslå forbedringer og forenklinger i mineralloven, herunder i avgrensningene mot annet regelverk, blant annet for å sikre at koordineringen er god og tidsbruken så lav som mulig. Regjeringen bes komme tilbake til Stortinget på egnet måte.»</w:t>
      </w:r>
    </w:p>
    <w:p w14:paraId="1063533F" w14:textId="77777777" w:rsidR="00F7113A" w:rsidRPr="00580C0D" w:rsidRDefault="00142E5B" w:rsidP="00580C0D">
      <w:r w:rsidRPr="00580C0D">
        <w:t xml:space="preserve">Vedtaket ble truffet ved behandlingen av Meld. St. 1 (2020–2021) </w:t>
      </w:r>
      <w:r w:rsidRPr="00580C0D">
        <w:rPr>
          <w:rStyle w:val="kursiv"/>
        </w:rPr>
        <w:t xml:space="preserve">Nasjonalbudsjettet 2021 </w:t>
      </w:r>
      <w:r w:rsidRPr="00580C0D">
        <w:t xml:space="preserve">og </w:t>
      </w:r>
      <w:proofErr w:type="spellStart"/>
      <w:r w:rsidRPr="00580C0D">
        <w:t>Prop</w:t>
      </w:r>
      <w:proofErr w:type="spellEnd"/>
      <w:r w:rsidRPr="00580C0D">
        <w:t xml:space="preserve">. 1 S (2020–2021) </w:t>
      </w:r>
      <w:r w:rsidRPr="00580C0D">
        <w:rPr>
          <w:rStyle w:val="kursiv"/>
        </w:rPr>
        <w:t>Statsbudsjettet 2021</w:t>
      </w:r>
      <w:r w:rsidRPr="00580C0D">
        <w:t xml:space="preserve">, jf. </w:t>
      </w:r>
      <w:proofErr w:type="spellStart"/>
      <w:r w:rsidRPr="00580C0D">
        <w:t>Innst</w:t>
      </w:r>
      <w:proofErr w:type="spellEnd"/>
      <w:r w:rsidRPr="00580C0D">
        <w:t>. 2 S (2020–2021).</w:t>
      </w:r>
    </w:p>
    <w:p w14:paraId="4D7D51A8" w14:textId="77777777" w:rsidR="00F7113A" w:rsidRPr="00580C0D" w:rsidRDefault="00142E5B" w:rsidP="00580C0D">
      <w:r w:rsidRPr="00580C0D">
        <w:t>Mineralloven ble evaluert i 2018 av et utvalg som anbefalte at det ble vurdert endringer i loven på flere områder. Oppfølgingen av evalueringen har vært todelt.</w:t>
      </w:r>
    </w:p>
    <w:p w14:paraId="5BB27598" w14:textId="77777777" w:rsidR="00F7113A" w:rsidRPr="00580C0D" w:rsidRDefault="00142E5B" w:rsidP="00580C0D">
      <w:proofErr w:type="spellStart"/>
      <w:r w:rsidRPr="00580C0D">
        <w:t>Prop</w:t>
      </w:r>
      <w:proofErr w:type="spellEnd"/>
      <w:r w:rsidRPr="00580C0D">
        <w:t xml:space="preserve">. L 124 (2020–2021) </w:t>
      </w:r>
      <w:r w:rsidRPr="00580C0D">
        <w:rPr>
          <w:rStyle w:val="kursiv"/>
        </w:rPr>
        <w:t>Endringer i mineralloven (kvalifikasjonskrav, rekkefølgekrav, overdragelse av driftskonsesjon m.m.)</w:t>
      </w:r>
      <w:r w:rsidRPr="00580C0D">
        <w:t xml:space="preserve"> ble behandlet i Stortinget 4. juni 2021 (behandlet andre gang 7. juni), og forslagene ble vedtatt med unntak av forslag om rekkefølgekrav som ble oversendt Minerallovutvalget for vurdering, jf. vedtak 1136.</w:t>
      </w:r>
    </w:p>
    <w:p w14:paraId="685620B5" w14:textId="77777777" w:rsidR="00F7113A" w:rsidRPr="00580C0D" w:rsidRDefault="00142E5B" w:rsidP="00580C0D">
      <w:r w:rsidRPr="00580C0D">
        <w:t>Regjeringen oppnevnte 23. juni 2020 et offentlig utvalg (Minerallovutvalget) som har fått et bredt mandat til å foreslå endringer i mineralloven. Utvalget leverte sin innstilling 1. juli 2022, og utvalgets rapport ble sendt på høring med frist 30. november 2022. Nærings- og fiskeridepartementet har gjennomgått og sammenstilt alle høringsinnspillene og er nå i gang med oppfølgingen av utvalgets anbefalinger. I arbeidet vil vi legge stor vekt på god dialog og jevnlige konsultasjoner med Sametinget og samiske rettighetshavere, samt ansvarlige for tilgrensende regelverk.</w:t>
      </w:r>
    </w:p>
    <w:p w14:paraId="4B31AD73" w14:textId="77777777" w:rsidR="00F7113A" w:rsidRPr="00580C0D" w:rsidRDefault="00142E5B" w:rsidP="00580C0D">
      <w:r w:rsidRPr="00580C0D">
        <w:t>Regjeringen følger opp saken og vil komme tilbake til Stortinget på egnet måte.</w:t>
      </w:r>
    </w:p>
    <w:p w14:paraId="4BD7EB9E" w14:textId="77777777" w:rsidR="00F7113A" w:rsidRPr="00580C0D" w:rsidRDefault="00142E5B" w:rsidP="00580C0D">
      <w:pPr>
        <w:pStyle w:val="avsnitt-tittel"/>
      </w:pPr>
      <w:r w:rsidRPr="00580C0D">
        <w:t>Innkjøpspriser i dagligvaremarkedet</w:t>
      </w:r>
    </w:p>
    <w:p w14:paraId="3576FA3F" w14:textId="77777777" w:rsidR="00F7113A" w:rsidRPr="00580C0D" w:rsidRDefault="00142E5B" w:rsidP="00580C0D">
      <w:pPr>
        <w:pStyle w:val="avsnitt-undertittel"/>
      </w:pPr>
      <w:r w:rsidRPr="00580C0D">
        <w:t>Vedtak nr. 572, 4. februar 2021</w:t>
      </w:r>
    </w:p>
    <w:p w14:paraId="306B014E" w14:textId="77777777" w:rsidR="00F7113A" w:rsidRPr="00580C0D" w:rsidRDefault="00142E5B" w:rsidP="00580C0D">
      <w:pPr>
        <w:pStyle w:val="blokksit"/>
        <w:rPr>
          <w:rStyle w:val="kursiv"/>
        </w:rPr>
      </w:pPr>
      <w:r w:rsidRPr="00580C0D">
        <w:rPr>
          <w:rStyle w:val="kursiv"/>
        </w:rPr>
        <w:t xml:space="preserve">«Stortinget ber regjeringen klargjøre overfor Konkurransetilsynet at tilsynet i sitt arbeid må legge til grunn at leverandører med en dominerende stilling har et særlig ansvar for å vise at forskjeller i innkjøpsbetingelser er saklig begrunnet og ikke skader konkurransen. Det må legges til grunn at forskjeller i innkjøpspris fra dominerende leverandører, som ikke har en saklig begrunnelse gjennom forskjeller mellom kjedene i produksjons- eller distribusjonskostnader, eller ulik verdi på konkrete motytelser, skader konkurransen mellom kjedene. Det bør formidles til de ulike aktørene i bransjen, både på leverandør- og </w:t>
      </w:r>
      <w:proofErr w:type="spellStart"/>
      <w:r w:rsidRPr="00580C0D">
        <w:rPr>
          <w:rStyle w:val="kursiv"/>
        </w:rPr>
        <w:t>kjedeleddet</w:t>
      </w:r>
      <w:proofErr w:type="spellEnd"/>
      <w:r w:rsidRPr="00580C0D">
        <w:rPr>
          <w:rStyle w:val="kursiv"/>
        </w:rPr>
        <w:t>, at selv om bevisbyrden ligger på leverandørene, er kjedene i like stor grad ansvarlige for å etterleve regelverket.»</w:t>
      </w:r>
    </w:p>
    <w:p w14:paraId="141DCC94" w14:textId="77777777" w:rsidR="00F7113A" w:rsidRPr="00580C0D" w:rsidRDefault="00142E5B" w:rsidP="00580C0D">
      <w:r w:rsidRPr="00580C0D">
        <w:t xml:space="preserve">Vedtaket ble truffet under behandlingen av Meld. St. 27 (2019–2020) </w:t>
      </w:r>
      <w:proofErr w:type="spellStart"/>
      <w:r w:rsidRPr="00580C0D">
        <w:rPr>
          <w:rStyle w:val="kursiv"/>
        </w:rPr>
        <w:t>Daglegvare</w:t>
      </w:r>
      <w:proofErr w:type="spellEnd"/>
      <w:r w:rsidRPr="00580C0D">
        <w:rPr>
          <w:rStyle w:val="kursiv"/>
        </w:rPr>
        <w:t xml:space="preserve"> og konkurranse – kampen om </w:t>
      </w:r>
      <w:proofErr w:type="spellStart"/>
      <w:r w:rsidRPr="00580C0D">
        <w:rPr>
          <w:rStyle w:val="kursiv"/>
        </w:rPr>
        <w:t>kundane</w:t>
      </w:r>
      <w:proofErr w:type="spellEnd"/>
      <w:r w:rsidRPr="00580C0D">
        <w:t xml:space="preserve">, jf. </w:t>
      </w:r>
      <w:proofErr w:type="spellStart"/>
      <w:r w:rsidRPr="00580C0D">
        <w:t>Innst</w:t>
      </w:r>
      <w:proofErr w:type="spellEnd"/>
      <w:r w:rsidRPr="00580C0D">
        <w:t>. 185 S (2020–2021).</w:t>
      </w:r>
    </w:p>
    <w:p w14:paraId="563E08EE" w14:textId="77777777" w:rsidR="00F7113A" w:rsidRPr="00580C0D" w:rsidRDefault="00142E5B" w:rsidP="00580C0D">
      <w:r w:rsidRPr="00580C0D">
        <w:t>Konkurransetilsynet er et uavhengig forvaltningsorgan jf. konkurranseloven § 8 annet ledd. Hverken departementet eller regjeringen har mulighet til å instruere Konkurransetilsynet i enkeltsaker (jf. konkurranseloven § 8 tredje ledd). Regjeringen kan følgelig ikke bestemme at Konkurransetilsynet, i sin håndheving av konkurranseloven, skal legge til grunn at det foreligger skade på konkurransen dersom prisdiskrimineringen ikke kan begrunnes med forskjeller mellom kjedene i produksjons- eller distribusjonskostnader, eller ulik verdi på konkrete motytelser. Regjeringen og departementet kan imidlertid gi generelle konkurransepolitiske føringer og forskrifter som supplerer konkurranseloven.</w:t>
      </w:r>
    </w:p>
    <w:p w14:paraId="24E97106" w14:textId="77777777" w:rsidR="00F7113A" w:rsidRPr="00580C0D" w:rsidRDefault="00142E5B" w:rsidP="00580C0D">
      <w:r w:rsidRPr="00580C0D">
        <w:t>Nærings- og fiskeridepartementet sendte to alternative forslag til forskriftsregulering av usaklige forskjeller i innkjøpsbetingelser i verdikjeden for mat og dagligvarer på høring den 25. oktober 2022. Det første forskriftsalternativet er en oppfølging av vedtak nr. 612 av 31. mai 2022, jf. vedtak nr. 572 av 4. februar 2021. I høringsnotatet stilles det spørsmål til høringsinstansene om hvordan dagligvarekjedene i større grad kan holdes ansvarlig for å etterleve regelverket. Det vises til nærmere omtale under vedtak nr. 612 av 31. mai 2022.</w:t>
      </w:r>
    </w:p>
    <w:p w14:paraId="2AA1AF80" w14:textId="77777777" w:rsidR="00F7113A" w:rsidRPr="00580C0D" w:rsidRDefault="00142E5B" w:rsidP="00580C0D">
      <w:r w:rsidRPr="00580C0D">
        <w:t>Vedtaket anses med dette som fulgt opp.</w:t>
      </w:r>
    </w:p>
    <w:p w14:paraId="17D67D72" w14:textId="77777777" w:rsidR="00F7113A" w:rsidRPr="00580C0D" w:rsidRDefault="00142E5B" w:rsidP="00580C0D">
      <w:pPr>
        <w:pStyle w:val="avsnitt-tittel"/>
      </w:pPr>
      <w:r w:rsidRPr="00580C0D">
        <w:t xml:space="preserve">Dagligvaremarkedet – regnskaps- og </w:t>
      </w:r>
      <w:proofErr w:type="spellStart"/>
      <w:r w:rsidRPr="00580C0D">
        <w:t>funksjonsmessig</w:t>
      </w:r>
      <w:proofErr w:type="spellEnd"/>
      <w:r w:rsidRPr="00580C0D">
        <w:t xml:space="preserve"> skille mellom leddene</w:t>
      </w:r>
    </w:p>
    <w:p w14:paraId="1A973DE2" w14:textId="77777777" w:rsidR="00F7113A" w:rsidRPr="00580C0D" w:rsidRDefault="00142E5B" w:rsidP="00580C0D">
      <w:pPr>
        <w:pStyle w:val="avsnitt-undertittel"/>
      </w:pPr>
      <w:r w:rsidRPr="00580C0D">
        <w:t>Vedtak nr. 573, 4. februar 2021</w:t>
      </w:r>
    </w:p>
    <w:p w14:paraId="372DB4CF" w14:textId="77777777" w:rsidR="00F7113A" w:rsidRPr="00580C0D" w:rsidRDefault="00142E5B" w:rsidP="00580C0D">
      <w:pPr>
        <w:pStyle w:val="blokksit"/>
        <w:rPr>
          <w:rStyle w:val="kursiv"/>
        </w:rPr>
      </w:pPr>
      <w:r w:rsidRPr="00580C0D">
        <w:rPr>
          <w:rStyle w:val="kursiv"/>
        </w:rPr>
        <w:t xml:space="preserve">«Stortinget ber regjeringen stille regnskapsmessig og </w:t>
      </w:r>
      <w:proofErr w:type="spellStart"/>
      <w:r w:rsidRPr="00580C0D">
        <w:rPr>
          <w:rStyle w:val="kursiv"/>
        </w:rPr>
        <w:t>funksjonsmessig</w:t>
      </w:r>
      <w:proofErr w:type="spellEnd"/>
      <w:r w:rsidRPr="00580C0D">
        <w:rPr>
          <w:rStyle w:val="kursiv"/>
        </w:rPr>
        <w:t xml:space="preserve"> skille mellom leddene i verdikjeden i dagligvarebransjen.»</w:t>
      </w:r>
    </w:p>
    <w:p w14:paraId="6F7E3B65" w14:textId="77777777" w:rsidR="00F7113A" w:rsidRPr="00580C0D" w:rsidRDefault="00142E5B" w:rsidP="00580C0D">
      <w:r w:rsidRPr="00580C0D">
        <w:t xml:space="preserve">Vedtaket ble truffet under behandlingen av Meld. St. 27 (2019–2020) </w:t>
      </w:r>
      <w:proofErr w:type="spellStart"/>
      <w:r w:rsidRPr="00580C0D">
        <w:rPr>
          <w:rStyle w:val="kursiv"/>
        </w:rPr>
        <w:t>Daglegvare</w:t>
      </w:r>
      <w:proofErr w:type="spellEnd"/>
      <w:r w:rsidRPr="00580C0D">
        <w:rPr>
          <w:rStyle w:val="kursiv"/>
        </w:rPr>
        <w:t xml:space="preserve"> og konkurranse – kampen om </w:t>
      </w:r>
      <w:proofErr w:type="spellStart"/>
      <w:r w:rsidRPr="00580C0D">
        <w:rPr>
          <w:rStyle w:val="kursiv"/>
        </w:rPr>
        <w:t>kundane</w:t>
      </w:r>
      <w:proofErr w:type="spellEnd"/>
      <w:r w:rsidRPr="00580C0D">
        <w:t xml:space="preserve">, jf. </w:t>
      </w:r>
      <w:proofErr w:type="spellStart"/>
      <w:r w:rsidRPr="00580C0D">
        <w:t>Innst</w:t>
      </w:r>
      <w:proofErr w:type="spellEnd"/>
      <w:r w:rsidRPr="00580C0D">
        <w:t>. 185 S (2020–2021).</w:t>
      </w:r>
    </w:p>
    <w:p w14:paraId="58B9757F" w14:textId="77777777" w:rsidR="00F7113A" w:rsidRPr="00580C0D" w:rsidRDefault="00142E5B" w:rsidP="00580C0D">
      <w:r w:rsidRPr="00580C0D">
        <w:t xml:space="preserve">Regnskapsmessig skille innebærer at det stilles krav om regnskap, revisjon og rapportering for hvert ledd i verdikjeden. Et krav om </w:t>
      </w:r>
      <w:proofErr w:type="spellStart"/>
      <w:r w:rsidRPr="00580C0D">
        <w:t>funksjonsmessig</w:t>
      </w:r>
      <w:proofErr w:type="spellEnd"/>
      <w:r w:rsidRPr="00580C0D">
        <w:t xml:space="preserve"> skille går normalt ut på at et selskap eller et virksomhetsområde driftes uavhengig av konsernets øvrige virksomhet. Dagligvareaktørenes virksomheter på leverandør-, grossist- og detaljistleddet er normalt organisert i egne, separate selskaper. En slik organisering innebærer som regel at det eksisterer et regnskapsmessig skille.</w:t>
      </w:r>
    </w:p>
    <w:p w14:paraId="5DDD60E0" w14:textId="77777777" w:rsidR="00F7113A" w:rsidRPr="00580C0D" w:rsidRDefault="00142E5B" w:rsidP="00580C0D">
      <w:r w:rsidRPr="00580C0D">
        <w:t xml:space="preserve">Vertikal integrasjon i verdikjeden for mat og dagligvarer kan ha ulike konkurransemessige virkninger. Det vil derfor være risiko for utilsiktede virkninger ved innføring av et generelt krav om regnskaps- og </w:t>
      </w:r>
      <w:proofErr w:type="spellStart"/>
      <w:r w:rsidRPr="00580C0D">
        <w:t>funksjonsmessig</w:t>
      </w:r>
      <w:proofErr w:type="spellEnd"/>
      <w:r w:rsidRPr="00580C0D">
        <w:t xml:space="preserve"> skille i verdikjeden for mat og dagligvarer. Slike krav kan blant annet svekke dagligvareaktørenes mulighet til å realisere stor- og samdriftsfordeler og lavere transaksjonskostnader. Det kan også medføre økte administrasjons- og transaksjonskostnader for markedsaktørene. Mindre effektiv drift og høyere kostnader kan igjen føre til høyere priser for forbrukerne.</w:t>
      </w:r>
    </w:p>
    <w:p w14:paraId="10DA661E" w14:textId="77777777" w:rsidR="00F7113A" w:rsidRPr="00580C0D" w:rsidRDefault="00142E5B" w:rsidP="00580C0D">
      <w:r w:rsidRPr="00580C0D">
        <w:t>Regjeringen har iverksatt flere utredninger som skal gi mer kunnskap om prisdannelsen i verdikjeden og om virkninger av vertikal integrasjon og dagligvarekjedenes egne merkevarer.</w:t>
      </w:r>
    </w:p>
    <w:p w14:paraId="258C403A" w14:textId="77777777" w:rsidR="00F7113A" w:rsidRPr="00580C0D" w:rsidRDefault="00142E5B" w:rsidP="00580C0D">
      <w:r w:rsidRPr="00580C0D">
        <w:t>Nærings- og fiskeridepartementet har i tillegg bedt Konkurransetilsynet om å undersøke lønnsomhet og marginer for aktører i ulike ledd i verdikjeden for mat og dagligvarer, inkludert grossistleddet. Tilsynet skal også undersøke hvilke virkninger ordningen med to faste tidspunkt for leverandørenes prisjusteringer har for prisdannelsen og konkurransen i dagligvarebransjen. Undersøkelsene skal gjennomføres i løpet av 2023, se også nærmere omtale under vedtak nr. 610, 31. mai 2022. Undersøkelsene vil kunne bidra til økt kunnskap og åpenhet i verdikjeden for mat og dagligvarer.</w:t>
      </w:r>
    </w:p>
    <w:p w14:paraId="1088B4CF" w14:textId="77777777" w:rsidR="00F7113A" w:rsidRPr="00580C0D" w:rsidRDefault="00142E5B" w:rsidP="00580C0D">
      <w:r w:rsidRPr="00580C0D">
        <w:t>Forslag om å innføre et nytt markedsetterforskningsverktøy i konkurranseloven har vært på høring, med frist 30. juni. Ifølge forslaget vil Konkurransetilsynet, etter nærmere regler, kunne gjennomføre en markedsetterforskning i et aktuelt marked/sektor, og dersom kartleggingen avdekker vesentlige konkurranseproblemer, treffe egnede tiltak for å fjerne eller redusere disse. Tiltakene kan være av både strukturell og adferdsmessig art. Markedsetterforskningsverktøyet er myntet på markeder med sammensatte og alvorlige konkurranseutfordringer. Det arbeides videre med forslaget blant annet på bakgrunn av mottatte høringsinnspill.</w:t>
      </w:r>
    </w:p>
    <w:p w14:paraId="678D2477" w14:textId="77777777" w:rsidR="00F7113A" w:rsidRPr="00580C0D" w:rsidRDefault="00142E5B" w:rsidP="00580C0D">
      <w:r w:rsidRPr="00580C0D">
        <w:t>Det er også slik at lov om god handelsskikk og konkurranseloven gir Dagligvaretilsynet og Konkurransetilsynet vid adgang til å innhente opplysninger som er nødvendige for å gjennomføre sine oppgaver fra markedsaktørene.</w:t>
      </w:r>
    </w:p>
    <w:p w14:paraId="2CBCDD12" w14:textId="77777777" w:rsidR="00F7113A" w:rsidRPr="00580C0D" w:rsidRDefault="00142E5B" w:rsidP="00580C0D">
      <w:r w:rsidRPr="00580C0D">
        <w:t>Den videre oppfølgingen av anmodningsvedtak 573 vil vurderes i lys av de pågående prosessene knyttet til konkurranseforholdene i dagligvarebransjen.</w:t>
      </w:r>
    </w:p>
    <w:p w14:paraId="6479CE55" w14:textId="77777777" w:rsidR="00F7113A" w:rsidRPr="00580C0D" w:rsidRDefault="00142E5B" w:rsidP="00580C0D">
      <w:r w:rsidRPr="00580C0D">
        <w:t>Regjeringen vil på egnet måte komme tilbake til hvordan Stortingets vedtak følges opp.</w:t>
      </w:r>
    </w:p>
    <w:p w14:paraId="2FED8811" w14:textId="77777777" w:rsidR="00F7113A" w:rsidRPr="00580C0D" w:rsidRDefault="00142E5B" w:rsidP="00580C0D">
      <w:pPr>
        <w:pStyle w:val="avsnitt-tittel"/>
      </w:pPr>
      <w:r w:rsidRPr="00580C0D">
        <w:t>Dagligvare – rabatter skal i større grad følge varen</w:t>
      </w:r>
    </w:p>
    <w:p w14:paraId="4689D150" w14:textId="77777777" w:rsidR="00F7113A" w:rsidRPr="00580C0D" w:rsidRDefault="00142E5B" w:rsidP="00580C0D">
      <w:pPr>
        <w:pStyle w:val="avsnitt-undertittel"/>
      </w:pPr>
      <w:r w:rsidRPr="00580C0D">
        <w:t>Vedtak nr. 574, 4. februar 2021</w:t>
      </w:r>
    </w:p>
    <w:p w14:paraId="302FBB70" w14:textId="77777777" w:rsidR="00F7113A" w:rsidRPr="00580C0D" w:rsidRDefault="00142E5B" w:rsidP="00580C0D">
      <w:pPr>
        <w:pStyle w:val="blokksit"/>
        <w:rPr>
          <w:rStyle w:val="kursiv"/>
        </w:rPr>
      </w:pPr>
      <w:r w:rsidRPr="00580C0D">
        <w:rPr>
          <w:rStyle w:val="kursiv"/>
        </w:rPr>
        <w:t>«Stortinget ber regjeringen komme tilbake til Stortinget med egen sak med forslag om hvordan man i dagligvarebransjen kan tilrettelegge for at rabatter som oppnås i forhandlingene mellom leverandører og kjeder, i større grad følger varen.»</w:t>
      </w:r>
    </w:p>
    <w:p w14:paraId="32367534" w14:textId="77777777" w:rsidR="00F7113A" w:rsidRPr="00580C0D" w:rsidRDefault="00142E5B" w:rsidP="00580C0D">
      <w:r w:rsidRPr="00580C0D">
        <w:t xml:space="preserve">Vedtaket ble truffet under behandlingen av Meld. St. 27 (2019–2020) </w:t>
      </w:r>
      <w:proofErr w:type="spellStart"/>
      <w:r w:rsidRPr="00580C0D">
        <w:rPr>
          <w:rStyle w:val="kursiv"/>
        </w:rPr>
        <w:t>Daglegvare</w:t>
      </w:r>
      <w:proofErr w:type="spellEnd"/>
      <w:r w:rsidRPr="00580C0D">
        <w:rPr>
          <w:rStyle w:val="kursiv"/>
        </w:rPr>
        <w:t xml:space="preserve"> og konkurranse – kampen om </w:t>
      </w:r>
      <w:proofErr w:type="spellStart"/>
      <w:r w:rsidRPr="00580C0D">
        <w:rPr>
          <w:rStyle w:val="kursiv"/>
        </w:rPr>
        <w:t>kundane</w:t>
      </w:r>
      <w:proofErr w:type="spellEnd"/>
      <w:r w:rsidRPr="00580C0D">
        <w:t xml:space="preserve">, jf. </w:t>
      </w:r>
      <w:proofErr w:type="spellStart"/>
      <w:r w:rsidRPr="00580C0D">
        <w:t>Innst</w:t>
      </w:r>
      <w:proofErr w:type="spellEnd"/>
      <w:r w:rsidRPr="00580C0D">
        <w:t>. 185 S (2020–2021).</w:t>
      </w:r>
    </w:p>
    <w:p w14:paraId="6E3B2A99" w14:textId="77777777" w:rsidR="00F7113A" w:rsidRPr="00580C0D" w:rsidRDefault="00142E5B" w:rsidP="00580C0D">
      <w:r w:rsidRPr="00580C0D">
        <w:t>Formålet med at rabatter i større grad skal følge varen, er å styrke konkurransen til fordel for forbrukerne. Tiltak som griper inn i forhandlingene mellom dagligvarekjeder og leverandører, for eksempel krav som binder dagligvareaktørene til å videreføre rabatter på enkeltvarer eller varekategorier nedover i distribusjonslinjen, kan få effekter som er vanskelige å overskue.</w:t>
      </w:r>
    </w:p>
    <w:p w14:paraId="6EDE2032" w14:textId="77777777" w:rsidR="00F7113A" w:rsidRPr="00580C0D" w:rsidRDefault="00142E5B" w:rsidP="00580C0D">
      <w:r w:rsidRPr="00580C0D">
        <w:t>Det er ikke gitt at slike tiltak vil bidra til mer effektiv konkurranse og lavere priser. Det er risiko for at kontraktene mellom dagligvareaktørene blir mindre effektive sammenliknet med dagens situasjon, blant annet fordi forhandlingsfrihet mellom markedsaktører som regel er det som fører til de mest effektive resultatene. Et eventuelt tiltak må derfor utformes slik at forhandlingene mellom aktørene og fastsettelsen av priser ikke påvirkes på en måte som fører til mindre effektive kontrakter mellom aktørene eller utilsiktede tilpasninger fra aktørenes side.</w:t>
      </w:r>
    </w:p>
    <w:p w14:paraId="5A861EAA" w14:textId="77777777" w:rsidR="00F7113A" w:rsidRPr="00580C0D" w:rsidRDefault="00142E5B" w:rsidP="00580C0D">
      <w:r w:rsidRPr="00580C0D">
        <w:t>Regjeringen har iverksatt flere tiltak som vil gi mer informasjon om prisfastsettelsen i verdikjeden. Nærings- og fiskeridepartementet har bedt Konkurransetilsynet om å undersøke lønnsomhet og marginer for aktører i ulike ledd i verdikjeden for mat og dagligvarer, inkludert grossistleddet. Tilsynet skal også undersøke hvilke virkninger ordningen med to faste tidspunkt for leverandørenes prisjusteringer har for prisdannelsen og konkurransen i dagligvarebransjen. Undersøkelsene skal gjennomføres i løpet av 2023, se også nærmere omtale under vedtak nr. 610, 31. mai 2022. Undersøkelsene vil kunne bidra til økt kunnskap og åpenhet i verdikjeden for mat og dagligvarer.</w:t>
      </w:r>
    </w:p>
    <w:p w14:paraId="66534D60" w14:textId="77777777" w:rsidR="00F7113A" w:rsidRPr="00580C0D" w:rsidRDefault="00142E5B" w:rsidP="00580C0D">
      <w:r w:rsidRPr="00580C0D">
        <w:t>De ovennevnte undersøkelsene vil gi informasjon som er viktig i den videre vurderingen i forbindelse med oppfølgingen av vedtak nr. 574. Mulige tiltak knyttet til hvordan man i dagligvarebransjen kan tilrettelegge for at rabatter som oppnås i forhandlingene mellom leverandører og kjeder, i større grad følger varen, vil derfor vurderes nærmere når resultatene fra disse undersøkelsene foreligger.</w:t>
      </w:r>
    </w:p>
    <w:p w14:paraId="24CC521D" w14:textId="77777777" w:rsidR="00F7113A" w:rsidRPr="00580C0D" w:rsidRDefault="00142E5B" w:rsidP="00580C0D">
      <w:r w:rsidRPr="00580C0D">
        <w:t>Regjeringen vil på egnet måte komme tilbake til hvordan Stortingets vedtak følges opp.</w:t>
      </w:r>
    </w:p>
    <w:p w14:paraId="4D76EE23" w14:textId="77777777" w:rsidR="00F7113A" w:rsidRPr="00580C0D" w:rsidRDefault="00142E5B" w:rsidP="00580C0D">
      <w:pPr>
        <w:pStyle w:val="avsnitt-tittel"/>
      </w:pPr>
      <w:r w:rsidRPr="00580C0D">
        <w:t>Fiskeflåten – strategi for fornyelse</w:t>
      </w:r>
    </w:p>
    <w:p w14:paraId="669A991E" w14:textId="77777777" w:rsidR="00F7113A" w:rsidRPr="00580C0D" w:rsidRDefault="00142E5B" w:rsidP="00580C0D">
      <w:pPr>
        <w:pStyle w:val="avsnitt-undertittel"/>
      </w:pPr>
      <w:r w:rsidRPr="00580C0D">
        <w:t>Vedtak nr. 829, 22. april 2021</w:t>
      </w:r>
    </w:p>
    <w:p w14:paraId="53F0FD06" w14:textId="77777777" w:rsidR="00F7113A" w:rsidRPr="00580C0D" w:rsidRDefault="00142E5B" w:rsidP="00580C0D">
      <w:pPr>
        <w:pStyle w:val="blokksit"/>
        <w:rPr>
          <w:rStyle w:val="kursiv"/>
        </w:rPr>
      </w:pPr>
      <w:r w:rsidRPr="00580C0D">
        <w:rPr>
          <w:rStyle w:val="kursiv"/>
        </w:rPr>
        <w:t>«Stortinget ber regjeringen komme tilbake til Stortinget med en strategi for å fornye fiskeflåten, som utformes i samarbeid med næringen (etter modell av klimaavtalen med landbruket.»</w:t>
      </w:r>
    </w:p>
    <w:p w14:paraId="5F27A2F3" w14:textId="77777777" w:rsidR="00F7113A" w:rsidRPr="00580C0D" w:rsidRDefault="00142E5B" w:rsidP="00580C0D">
      <w:r w:rsidRPr="00580C0D">
        <w:t xml:space="preserve">Vedtaket ble truffet under behandlingen av Meld. St. 10 (2020–2021) </w:t>
      </w:r>
      <w:r w:rsidRPr="00580C0D">
        <w:rPr>
          <w:rStyle w:val="kursiv"/>
        </w:rPr>
        <w:t>Grønnere og smartere – morgendagens maritime næring</w:t>
      </w:r>
      <w:r w:rsidRPr="00580C0D">
        <w:t xml:space="preserve">, jf. </w:t>
      </w:r>
      <w:proofErr w:type="spellStart"/>
      <w:r w:rsidRPr="00580C0D">
        <w:t>Innst</w:t>
      </w:r>
      <w:proofErr w:type="spellEnd"/>
      <w:r w:rsidRPr="00580C0D">
        <w:t>. 338 S (2020–2021).</w:t>
      </w:r>
    </w:p>
    <w:p w14:paraId="0EA320F8" w14:textId="77777777" w:rsidR="00F7113A" w:rsidRPr="00580C0D" w:rsidRDefault="00142E5B" w:rsidP="00580C0D">
      <w:r w:rsidRPr="00580C0D">
        <w:t>Arbeidet med grønn omstilling i fiskeflåten er tatt inn som en del av regjeringens arbeid med grønn skipsfart. Regjeringen ønsker et tettere samarbeid med næringen om å kutte utslipp i innenriks sjøfart og fiske, og er i dialog med næringen om å inngå et maritimt klimapartnerskap. Klimapartnerskapet skal fornye og forberede fiskeflåten for det grønne skiftet.</w:t>
      </w:r>
    </w:p>
    <w:p w14:paraId="233471A8" w14:textId="77777777" w:rsidR="00F7113A" w:rsidRPr="00580C0D" w:rsidRDefault="00142E5B" w:rsidP="00580C0D">
      <w:r w:rsidRPr="00580C0D">
        <w:t>Regjeringen vil følge opp saken og komme tilbake til Stortinget på egnet måte.</w:t>
      </w:r>
    </w:p>
    <w:p w14:paraId="2DF91046" w14:textId="77777777" w:rsidR="00F7113A" w:rsidRPr="00580C0D" w:rsidRDefault="00142E5B" w:rsidP="00580C0D">
      <w:pPr>
        <w:pStyle w:val="avsnitt-tittel"/>
      </w:pPr>
      <w:r w:rsidRPr="00580C0D">
        <w:t>Styrke og lovfeste tilskuddsordningen for sysselsetting av sjøfolk</w:t>
      </w:r>
    </w:p>
    <w:p w14:paraId="46F229E4" w14:textId="77777777" w:rsidR="00F7113A" w:rsidRPr="00580C0D" w:rsidRDefault="00142E5B" w:rsidP="00580C0D">
      <w:pPr>
        <w:pStyle w:val="avsnitt-undertittel"/>
      </w:pPr>
      <w:r w:rsidRPr="00580C0D">
        <w:t>Vedtak nr. 839, 22. april 2021</w:t>
      </w:r>
    </w:p>
    <w:p w14:paraId="533DEF36" w14:textId="77777777" w:rsidR="00F7113A" w:rsidRPr="00580C0D" w:rsidRDefault="00142E5B" w:rsidP="00580C0D">
      <w:pPr>
        <w:pStyle w:val="blokksit"/>
        <w:rPr>
          <w:rStyle w:val="kursiv"/>
        </w:rPr>
      </w:pPr>
      <w:r w:rsidRPr="00580C0D">
        <w:rPr>
          <w:rStyle w:val="kursiv"/>
        </w:rPr>
        <w:t>«Stortinget ber regjeringen fremme forslag som bidrar til at tilskuddsordningen for norske sjøfolk styrkes og blir mer forutsigbar gjennom lovfesting.»</w:t>
      </w:r>
    </w:p>
    <w:p w14:paraId="0A0ECD3A" w14:textId="77777777" w:rsidR="00F7113A" w:rsidRPr="00580C0D" w:rsidRDefault="00142E5B" w:rsidP="00580C0D">
      <w:r w:rsidRPr="00580C0D">
        <w:t xml:space="preserve">Vedtaket ble truffet under behandlingen av Meld. St. 10 (2020–2021) </w:t>
      </w:r>
      <w:r w:rsidRPr="00580C0D">
        <w:rPr>
          <w:rStyle w:val="kursiv"/>
        </w:rPr>
        <w:t>Grønnere og smartere – morgendagens maritime næring</w:t>
      </w:r>
      <w:r w:rsidRPr="00580C0D">
        <w:t xml:space="preserve">, jf. </w:t>
      </w:r>
      <w:proofErr w:type="spellStart"/>
      <w:r w:rsidRPr="00580C0D">
        <w:t>Innst</w:t>
      </w:r>
      <w:proofErr w:type="spellEnd"/>
      <w:r w:rsidRPr="00580C0D">
        <w:t>. 338 S (2020–2021).</w:t>
      </w:r>
    </w:p>
    <w:p w14:paraId="74E3DF0B" w14:textId="77777777" w:rsidR="00F7113A" w:rsidRPr="00580C0D" w:rsidRDefault="00142E5B" w:rsidP="00580C0D">
      <w:r w:rsidRPr="00580C0D">
        <w:t>Tilskuddsordningen for sysselsetting av sjøfolk ble lovfestet i 2017. Regjeringen har mottatt en ekstern studie for å kartlegge omfanget og effekten av kompetanseoverføringen blant sjøfolkene i tilskuddsordningen for sysselsetting av sjøfolk.</w:t>
      </w:r>
    </w:p>
    <w:p w14:paraId="64F092F1" w14:textId="77777777" w:rsidR="00F7113A" w:rsidRPr="00580C0D" w:rsidRDefault="00142E5B" w:rsidP="00580C0D">
      <w:r w:rsidRPr="00580C0D">
        <w:t>Regjeringen har hatt på høring et lovforslag om å innføre norske lønns- og arbeidsvilkår i norske farvann og på norsk sokkel. Regjeringen vil vurdere tilskuddsordningen opp mot eventuell innføring av norske lønns- og arbeidsvilkår.</w:t>
      </w:r>
    </w:p>
    <w:p w14:paraId="7C4221C1" w14:textId="77777777" w:rsidR="00F7113A" w:rsidRPr="00580C0D" w:rsidRDefault="00142E5B" w:rsidP="00580C0D">
      <w:r w:rsidRPr="00580C0D">
        <w:t>Regjeringen vil på egnet måte komme tilbake til Stortinget om hvordan vedtaket følges opp.</w:t>
      </w:r>
    </w:p>
    <w:p w14:paraId="1015F322" w14:textId="77777777" w:rsidR="00F7113A" w:rsidRPr="00580C0D" w:rsidRDefault="00142E5B" w:rsidP="00580C0D">
      <w:pPr>
        <w:pStyle w:val="avsnitt-tittel"/>
      </w:pPr>
      <w:r w:rsidRPr="00580C0D">
        <w:t>Utrede handlingsrommet innenfor EØS-avtalen for å plassere offentlig oppdrag hos norske verft</w:t>
      </w:r>
    </w:p>
    <w:p w14:paraId="351D294F" w14:textId="77777777" w:rsidR="00F7113A" w:rsidRPr="00580C0D" w:rsidRDefault="00142E5B" w:rsidP="00580C0D">
      <w:pPr>
        <w:pStyle w:val="avsnitt-undertittel"/>
      </w:pPr>
      <w:r w:rsidRPr="00580C0D">
        <w:t>Vedtak nr. 841, 22. april 2021</w:t>
      </w:r>
    </w:p>
    <w:p w14:paraId="3AC679E4" w14:textId="77777777" w:rsidR="00F7113A" w:rsidRPr="00580C0D" w:rsidRDefault="00142E5B" w:rsidP="00580C0D">
      <w:pPr>
        <w:pStyle w:val="blokksit"/>
        <w:rPr>
          <w:rStyle w:val="kursiv"/>
        </w:rPr>
      </w:pPr>
      <w:r w:rsidRPr="00580C0D">
        <w:rPr>
          <w:rStyle w:val="kursiv"/>
        </w:rPr>
        <w:t>«Stortinget ber regjeringen utrede handlingsrommet innenfor EØS-avtalen for å plassere offentlige oppdrag hos norske verft. Utredningen bør særlig se på norske krav til standarder for utforming, utstyr, arbeidsspråk, lærlinger og HMS, samt krav om lokalt nærvær eller responstid.»</w:t>
      </w:r>
    </w:p>
    <w:p w14:paraId="6B3EF086" w14:textId="77777777" w:rsidR="00F7113A" w:rsidRPr="00580C0D" w:rsidRDefault="00142E5B" w:rsidP="00580C0D">
      <w:r w:rsidRPr="00580C0D">
        <w:t xml:space="preserve">Vedtaket ble truffet under behandlingen av Meld. St. 10 (2020–2021) </w:t>
      </w:r>
      <w:r w:rsidRPr="00580C0D">
        <w:rPr>
          <w:rStyle w:val="kursiv"/>
        </w:rPr>
        <w:t>Grønnere og smartere – morgendagens maritime næring</w:t>
      </w:r>
      <w:r w:rsidRPr="00580C0D">
        <w:t xml:space="preserve">, jf. </w:t>
      </w:r>
      <w:proofErr w:type="spellStart"/>
      <w:r w:rsidRPr="00580C0D">
        <w:t>Innst</w:t>
      </w:r>
      <w:proofErr w:type="spellEnd"/>
      <w:r w:rsidRPr="00580C0D">
        <w:t>. 338 S (2020–2021).</w:t>
      </w:r>
    </w:p>
    <w:p w14:paraId="689E3692" w14:textId="77777777" w:rsidR="00F7113A" w:rsidRPr="00580C0D" w:rsidRDefault="00142E5B" w:rsidP="00580C0D">
      <w:r w:rsidRPr="00580C0D">
        <w:t>Nærings- og fiskeridepartementet har igangsatt en ekstern utredning av handlingsrommet innenfor EØS-avtalen for å plassere offentlige oppdrag hos norske verft.</w:t>
      </w:r>
    </w:p>
    <w:p w14:paraId="18A05C7A" w14:textId="77777777" w:rsidR="00F7113A" w:rsidRPr="00580C0D" w:rsidRDefault="00142E5B" w:rsidP="00580C0D">
      <w:r w:rsidRPr="00580C0D">
        <w:t>Regjeringen har mottatt en ekstern utredning av det EØS-rettslige handlingsrommet for å stille kvalitetskrav i anskaffelser av fartøy, og vil se nærmere på krav og kriterier knyttet til språk, lærlinger, HMS og miljø.</w:t>
      </w:r>
    </w:p>
    <w:p w14:paraId="5B087B33" w14:textId="77777777" w:rsidR="00F7113A" w:rsidRPr="00580C0D" w:rsidRDefault="00142E5B" w:rsidP="00580C0D">
      <w:r w:rsidRPr="00580C0D">
        <w:t>Vedtaket anses med dette som fulgt opp.</w:t>
      </w:r>
    </w:p>
    <w:p w14:paraId="6F6B4D49" w14:textId="77777777" w:rsidR="00F7113A" w:rsidRPr="00580C0D" w:rsidRDefault="00142E5B" w:rsidP="00580C0D">
      <w:pPr>
        <w:pStyle w:val="avsnitt-tittel"/>
      </w:pPr>
      <w:r w:rsidRPr="00580C0D">
        <w:t>Representantforslag om å sikre en mer helhetlig havbruksforvaltning</w:t>
      </w:r>
    </w:p>
    <w:p w14:paraId="0280C9BB" w14:textId="77777777" w:rsidR="00F7113A" w:rsidRPr="00580C0D" w:rsidRDefault="00142E5B" w:rsidP="00580C0D">
      <w:pPr>
        <w:pStyle w:val="avsnitt-undertittel"/>
      </w:pPr>
      <w:r w:rsidRPr="00580C0D">
        <w:t>Vedtak nr. 980, 25. mai 2021</w:t>
      </w:r>
    </w:p>
    <w:p w14:paraId="21C7C71A" w14:textId="77777777" w:rsidR="00F7113A" w:rsidRPr="00580C0D" w:rsidRDefault="00142E5B" w:rsidP="00580C0D">
      <w:pPr>
        <w:pStyle w:val="blokksit"/>
        <w:rPr>
          <w:rStyle w:val="kursiv"/>
        </w:rPr>
      </w:pPr>
      <w:r w:rsidRPr="00580C0D">
        <w:rPr>
          <w:rStyle w:val="kursiv"/>
        </w:rPr>
        <w:t>«Stortinget ber regjeringen fremme forslag om å sikre en mer helhetlig og effektiv havbruksforvaltning.»</w:t>
      </w:r>
    </w:p>
    <w:p w14:paraId="082E04D2" w14:textId="77777777" w:rsidR="00F7113A" w:rsidRPr="00580C0D" w:rsidRDefault="00142E5B" w:rsidP="00580C0D">
      <w:r w:rsidRPr="00580C0D">
        <w:t xml:space="preserve">Vedtaket ble truffet under behandlingen av Dokument 8:185 S (2020–2021) </w:t>
      </w:r>
      <w:r w:rsidRPr="00580C0D">
        <w:rPr>
          <w:rStyle w:val="kursiv"/>
        </w:rPr>
        <w:t xml:space="preserve">Representantforslag fra stortingsrepresentantene Bengt Rune </w:t>
      </w:r>
      <w:proofErr w:type="spellStart"/>
      <w:r w:rsidRPr="00580C0D">
        <w:rPr>
          <w:rStyle w:val="kursiv"/>
        </w:rPr>
        <w:t>Strifeldt</w:t>
      </w:r>
      <w:proofErr w:type="spellEnd"/>
      <w:r w:rsidRPr="00580C0D">
        <w:rPr>
          <w:rStyle w:val="kursiv"/>
        </w:rPr>
        <w:t>, Helge André Njåstad, Roy Steffensen, Sivert Bjørnstad og Terje Halleland om å sikre en mer helhetlig havbruksforvaltning</w:t>
      </w:r>
      <w:r w:rsidRPr="00580C0D">
        <w:t xml:space="preserve">, jf. </w:t>
      </w:r>
      <w:proofErr w:type="spellStart"/>
      <w:r w:rsidRPr="00580C0D">
        <w:t>Innst</w:t>
      </w:r>
      <w:proofErr w:type="spellEnd"/>
      <w:r w:rsidRPr="00580C0D">
        <w:t>. 428 S (2020–2021).</w:t>
      </w:r>
    </w:p>
    <w:p w14:paraId="687BA4A2" w14:textId="77777777" w:rsidR="00F7113A" w:rsidRPr="00580C0D" w:rsidRDefault="00142E5B" w:rsidP="00580C0D">
      <w:r w:rsidRPr="00580C0D">
        <w:t>Nærings- og fiskeridepartementet har satt ned et offentlig utvalg der en del av mandatet går ut på å vurdere hvordan en kunnskapsorientert forvaltning av havbruksnæringen kan foregå på en effektiv og samordnet måte. Utvalget skal levere sitt arbeid innen september 2023.</w:t>
      </w:r>
    </w:p>
    <w:p w14:paraId="6A67CB77" w14:textId="77777777" w:rsidR="00F7113A" w:rsidRPr="00580C0D" w:rsidRDefault="00142E5B" w:rsidP="00580C0D">
      <w:r w:rsidRPr="00580C0D">
        <w:t>Regjeringen vil på egnet måte komme tilbake til Stortinget om hvordan vedtaket følges opp.</w:t>
      </w:r>
    </w:p>
    <w:p w14:paraId="2AF594A9" w14:textId="77777777" w:rsidR="00F7113A" w:rsidRPr="00580C0D" w:rsidRDefault="00142E5B" w:rsidP="00580C0D">
      <w:pPr>
        <w:pStyle w:val="avsnitt-tittel"/>
      </w:pPr>
      <w:r w:rsidRPr="00580C0D">
        <w:t>Mineralstrategi</w:t>
      </w:r>
    </w:p>
    <w:p w14:paraId="2A54D79C" w14:textId="77777777" w:rsidR="00F7113A" w:rsidRPr="00580C0D" w:rsidRDefault="00142E5B" w:rsidP="00580C0D">
      <w:pPr>
        <w:pStyle w:val="avsnitt-undertittel"/>
      </w:pPr>
      <w:r w:rsidRPr="00580C0D">
        <w:t>Vedtak nr. 1137, 4. juni 2021</w:t>
      </w:r>
    </w:p>
    <w:p w14:paraId="13E048B4" w14:textId="77777777" w:rsidR="00F7113A" w:rsidRPr="00580C0D" w:rsidRDefault="00142E5B" w:rsidP="00580C0D">
      <w:pPr>
        <w:pStyle w:val="blokksit"/>
        <w:rPr>
          <w:rStyle w:val="kursiv"/>
        </w:rPr>
      </w:pPr>
      <w:r w:rsidRPr="00580C0D">
        <w:rPr>
          <w:rStyle w:val="kursiv"/>
        </w:rPr>
        <w:t>«Stortinget ber regjeringen utarbeide en norsk mineralstrategi, der den norske mineralnæringen ses i sammenheng med EUs arbeid med å sikre tilgang på kritiske mineraler og metaller.»</w:t>
      </w:r>
    </w:p>
    <w:p w14:paraId="1E51CA61" w14:textId="77777777" w:rsidR="00F7113A" w:rsidRPr="00580C0D" w:rsidRDefault="00142E5B" w:rsidP="00580C0D">
      <w:r w:rsidRPr="00580C0D">
        <w:t xml:space="preserve">Vedtaket ble truffet ved behandlingen av </w:t>
      </w:r>
      <w:proofErr w:type="spellStart"/>
      <w:r w:rsidRPr="00580C0D">
        <w:t>Prop</w:t>
      </w:r>
      <w:proofErr w:type="spellEnd"/>
      <w:r w:rsidRPr="00580C0D">
        <w:t xml:space="preserve">. 124 L (2020–2021) </w:t>
      </w:r>
      <w:r w:rsidRPr="00580C0D">
        <w:rPr>
          <w:rStyle w:val="kursiv"/>
        </w:rPr>
        <w:t xml:space="preserve">Endringer i mineralloven (kvalifikasjonskrav, rekkefølgekrav, overdragelse av driftskonsesjon m.m.), </w:t>
      </w:r>
      <w:r w:rsidRPr="00580C0D">
        <w:t xml:space="preserve">jf., </w:t>
      </w:r>
      <w:proofErr w:type="spellStart"/>
      <w:r w:rsidRPr="00580C0D">
        <w:t>Innst</w:t>
      </w:r>
      <w:proofErr w:type="spellEnd"/>
      <w:r w:rsidRPr="00580C0D">
        <w:t>. 611 L (2020–2021) og Lovvedtak 156 (2020–2021).</w:t>
      </w:r>
    </w:p>
    <w:p w14:paraId="42CDAC6D" w14:textId="77777777" w:rsidR="00F7113A" w:rsidRPr="00580C0D" w:rsidRDefault="00142E5B" w:rsidP="00580C0D">
      <w:r w:rsidRPr="00580C0D">
        <w:t>Regjeringen la fram sin mineralstrategi 21. juni 2023.</w:t>
      </w:r>
    </w:p>
    <w:p w14:paraId="675CAC7C" w14:textId="77777777" w:rsidR="00F7113A" w:rsidRPr="00580C0D" w:rsidRDefault="00142E5B" w:rsidP="00580C0D">
      <w:r w:rsidRPr="00580C0D">
        <w:t>Vedtaket anses med dette som fulgt opp.</w:t>
      </w:r>
    </w:p>
    <w:p w14:paraId="6951F78C" w14:textId="77777777" w:rsidR="00F7113A" w:rsidRPr="00580C0D" w:rsidRDefault="00142E5B" w:rsidP="00580C0D">
      <w:pPr>
        <w:pStyle w:val="avsnitt-tittel"/>
      </w:pPr>
      <w:r w:rsidRPr="00580C0D">
        <w:t>Løse utfordringene Svinesundtersklene har for innseilingen til Halden</w:t>
      </w:r>
    </w:p>
    <w:p w14:paraId="0892A249" w14:textId="77777777" w:rsidR="00F7113A" w:rsidRPr="00580C0D" w:rsidRDefault="00142E5B" w:rsidP="00580C0D">
      <w:pPr>
        <w:pStyle w:val="avsnitt-undertittel"/>
      </w:pPr>
      <w:r w:rsidRPr="00580C0D">
        <w:t>Vedtak nr. 1231, 15. juni 2021</w:t>
      </w:r>
    </w:p>
    <w:p w14:paraId="7C68779F" w14:textId="77777777" w:rsidR="00F7113A" w:rsidRPr="00580C0D" w:rsidRDefault="00142E5B" w:rsidP="00580C0D">
      <w:pPr>
        <w:pStyle w:val="blokksit"/>
        <w:rPr>
          <w:rStyle w:val="kursiv"/>
        </w:rPr>
      </w:pPr>
      <w:r w:rsidRPr="00580C0D">
        <w:rPr>
          <w:rStyle w:val="kursiv"/>
        </w:rPr>
        <w:t>«Stortinget ber regjeringen få fortgang i prosjektet med å slipe og løse utfordringene Svinesundtersklene har for innseilingen til Halden.»</w:t>
      </w:r>
    </w:p>
    <w:p w14:paraId="4EC21C4D" w14:textId="77777777" w:rsidR="00F7113A" w:rsidRPr="00580C0D" w:rsidRDefault="00142E5B" w:rsidP="00580C0D">
      <w:r w:rsidRPr="00580C0D">
        <w:t xml:space="preserve">Vedtaket ble truffet ved behandlingen av Meld. St. 20 (2020–2021) </w:t>
      </w:r>
      <w:r w:rsidRPr="00580C0D">
        <w:rPr>
          <w:rStyle w:val="kursiv"/>
        </w:rPr>
        <w:t>Nasjonal transportplan 2022–2033</w:t>
      </w:r>
      <w:r w:rsidRPr="00580C0D">
        <w:t xml:space="preserve">, jf. </w:t>
      </w:r>
      <w:proofErr w:type="spellStart"/>
      <w:r w:rsidRPr="00580C0D">
        <w:t>Innst</w:t>
      </w:r>
      <w:proofErr w:type="spellEnd"/>
      <w:r w:rsidRPr="00580C0D">
        <w:t>. 653 S (2020–2021).</w:t>
      </w:r>
    </w:p>
    <w:p w14:paraId="07C49476" w14:textId="77777777" w:rsidR="00F7113A" w:rsidRPr="00580C0D" w:rsidRDefault="00142E5B" w:rsidP="00580C0D">
      <w:r w:rsidRPr="00580C0D">
        <w:t xml:space="preserve">Dette farledstiltaket vil innebære inngrep både på norsk og svensk side av Ringdalsfjorden, og det krever derfor tillatelse fra myndigheter på begge sider av grensen. Uten en slik avklaring har det ikke vært grunnlag for å legge prosjektet inn i planrammen og investeringsporteføljen, som den går fram av Meld. St. 20 (2020–2021) </w:t>
      </w:r>
      <w:r w:rsidRPr="00580C0D">
        <w:rPr>
          <w:rStyle w:val="kursiv"/>
        </w:rPr>
        <w:t>Nasjonal transportplan 2022–2033</w:t>
      </w:r>
      <w:r w:rsidRPr="00580C0D">
        <w:t>.</w:t>
      </w:r>
    </w:p>
    <w:p w14:paraId="1B802838" w14:textId="77777777" w:rsidR="00F7113A" w:rsidRPr="00580C0D" w:rsidRDefault="00142E5B" w:rsidP="00580C0D">
      <w:r w:rsidRPr="00580C0D">
        <w:t>På bakgrunn av tidligere korrespondanse mellom norske og svenske myndigheter fikk Kystverket i 2017 i oppdrag å gjennomføre de undersøkelser og prosesser som er nødvendige for å få behandlet en tiltakssøknad på svensk side av grensen. Etaten har så langt gjennomført flere forundersøkelser og vært i kontakt med berørte svenske lokale og statlige myndigheter for å få avklart utredningskrav og videre søknadsprosess.</w:t>
      </w:r>
    </w:p>
    <w:p w14:paraId="1E93AC69" w14:textId="77777777" w:rsidR="00F7113A" w:rsidRPr="00580C0D" w:rsidRDefault="00142E5B" w:rsidP="00580C0D">
      <w:r w:rsidRPr="00580C0D">
        <w:t xml:space="preserve">De undersøkelser som er gjennomført, har vist at Kystverket vil være avhengig av kunne inngå en samarbeidsavtale med </w:t>
      </w:r>
      <w:proofErr w:type="spellStart"/>
      <w:r w:rsidRPr="00580C0D">
        <w:t>Sjöfartsverket</w:t>
      </w:r>
      <w:proofErr w:type="spellEnd"/>
      <w:r w:rsidRPr="00580C0D">
        <w:t xml:space="preserve"> i Sverige for å kunne få fullført en søknadsprosess etter svensk regelverk. Norske myndigheter har på denne bakgrunn tatt kontakt med svenske myndigheter på overordnet nivå, med anmodning om en klarering på at et slikt samarbeid kan etableres. Videre håndtering og fremdrift for det planlagte tiltaket i innseilingen til Halden vil avhenge av tilbakemeldingen fra svenske myndigheter.</w:t>
      </w:r>
    </w:p>
    <w:p w14:paraId="2249F73C" w14:textId="77777777" w:rsidR="00F7113A" w:rsidRPr="00580C0D" w:rsidRDefault="00142E5B" w:rsidP="00580C0D">
      <w:r w:rsidRPr="00580C0D">
        <w:t>Regjeringen vil komme tilbake til Stortinget på egnet måte.</w:t>
      </w:r>
    </w:p>
    <w:p w14:paraId="0A9E9064" w14:textId="77777777" w:rsidR="00F7113A" w:rsidRPr="00580C0D" w:rsidRDefault="00142E5B" w:rsidP="00580C0D">
      <w:pPr>
        <w:pStyle w:val="Overskrift2"/>
      </w:pPr>
      <w:r w:rsidRPr="00580C0D">
        <w:t>Stortingssesjon 2019–2020</w:t>
      </w:r>
    </w:p>
    <w:p w14:paraId="00160CC5" w14:textId="77777777" w:rsidR="00F7113A" w:rsidRPr="00580C0D" w:rsidRDefault="00142E5B" w:rsidP="00580C0D">
      <w:pPr>
        <w:pStyle w:val="avsnitt-tittel"/>
      </w:pPr>
      <w:r w:rsidRPr="00580C0D">
        <w:t>Kvotemeldingen – fordeling mellom flåtegruppene</w:t>
      </w:r>
    </w:p>
    <w:p w14:paraId="68F49D22" w14:textId="77777777" w:rsidR="00F7113A" w:rsidRPr="00580C0D" w:rsidRDefault="00142E5B" w:rsidP="00580C0D">
      <w:pPr>
        <w:pStyle w:val="avsnitt-undertittel"/>
      </w:pPr>
      <w:r w:rsidRPr="00580C0D">
        <w:t>Vedtak nr. 549, 7. mai 2020</w:t>
      </w:r>
    </w:p>
    <w:p w14:paraId="0B3D0AB5" w14:textId="77777777" w:rsidR="00F7113A" w:rsidRPr="00580C0D" w:rsidRDefault="00142E5B" w:rsidP="00580C0D">
      <w:pPr>
        <w:pStyle w:val="blokksit"/>
        <w:rPr>
          <w:rStyle w:val="kursiv"/>
        </w:rPr>
      </w:pPr>
      <w:r w:rsidRPr="00580C0D">
        <w:rPr>
          <w:rStyle w:val="kursiv"/>
        </w:rPr>
        <w:t>«Stortinget ber regjeringen sørge for at fordelingen av kvoter mellom flåtegruppene ikke endres vesentlig.»</w:t>
      </w:r>
    </w:p>
    <w:p w14:paraId="3FD06B57" w14:textId="77777777" w:rsidR="00F7113A" w:rsidRPr="00580C0D" w:rsidRDefault="00142E5B" w:rsidP="00580C0D">
      <w:r w:rsidRPr="00580C0D">
        <w:t xml:space="preserve">Vedtaket ble truffet ved behandlingen av Meld. St. 32 (2018–2019) </w:t>
      </w:r>
      <w:r w:rsidRPr="00580C0D">
        <w:rPr>
          <w:rStyle w:val="kursiv"/>
        </w:rPr>
        <w:t xml:space="preserve">Et kvotesystem for økt verdiskaping – En fremtidsrettet fiskerinæring, </w:t>
      </w:r>
      <w:r w:rsidRPr="00580C0D">
        <w:t xml:space="preserve">jf. </w:t>
      </w:r>
      <w:proofErr w:type="spellStart"/>
      <w:r w:rsidRPr="00580C0D">
        <w:t>Innst</w:t>
      </w:r>
      <w:proofErr w:type="spellEnd"/>
      <w:r w:rsidRPr="00580C0D">
        <w:t>. 243 S (2019–2020).</w:t>
      </w:r>
    </w:p>
    <w:p w14:paraId="39B2BB2D" w14:textId="77777777" w:rsidR="00F7113A" w:rsidRPr="00580C0D" w:rsidRDefault="00142E5B" w:rsidP="00580C0D">
      <w:r w:rsidRPr="00580C0D">
        <w:t>Regjeringen har fulgt opp vedtaket i arbeidet med innfasingen av et nytt kvotesystem. Regjeringen vil vurdere å komme tilbake til Stortinget med mulige alternative tilnærminger til dette i forbindelse med en ny Stortingsmelding om kvotesystemet.</w:t>
      </w:r>
    </w:p>
    <w:p w14:paraId="18C38DA2" w14:textId="77777777" w:rsidR="00F7113A" w:rsidRPr="00580C0D" w:rsidRDefault="00142E5B" w:rsidP="00580C0D">
      <w:r w:rsidRPr="00580C0D">
        <w:t>Anmodningsvedtaket anses med dette som fulgt opp.</w:t>
      </w:r>
    </w:p>
    <w:p w14:paraId="211D42FD" w14:textId="77777777" w:rsidR="00F7113A" w:rsidRPr="00580C0D" w:rsidRDefault="00142E5B" w:rsidP="00580C0D">
      <w:pPr>
        <w:pStyle w:val="avsnitt-tittel"/>
      </w:pPr>
      <w:r w:rsidRPr="00580C0D">
        <w:t>Kvotemeldingen – fordeling av strukturgevinst</w:t>
      </w:r>
    </w:p>
    <w:p w14:paraId="7A9FB428" w14:textId="77777777" w:rsidR="00F7113A" w:rsidRPr="00580C0D" w:rsidRDefault="00142E5B" w:rsidP="00580C0D">
      <w:pPr>
        <w:pStyle w:val="avsnitt-undertittel"/>
      </w:pPr>
      <w:r w:rsidRPr="00580C0D">
        <w:t>Vedtak nr. 551, 7. mai 2020</w:t>
      </w:r>
    </w:p>
    <w:p w14:paraId="5BCF50F9" w14:textId="77777777" w:rsidR="00F7113A" w:rsidRPr="00580C0D" w:rsidRDefault="00142E5B" w:rsidP="00580C0D">
      <w:pPr>
        <w:pStyle w:val="blokksit"/>
        <w:rPr>
          <w:rStyle w:val="kursiv"/>
        </w:rPr>
      </w:pPr>
      <w:r w:rsidRPr="00580C0D">
        <w:rPr>
          <w:rStyle w:val="kursiv"/>
        </w:rPr>
        <w:t>«Stortinget ber regjeringen sørge for at ved utløp av tidsbegrensningen for strukturkvoter fordeles strukturgevinsten til den fartøygruppen fartøyet tilhører når tidsbegrensningen inntrer, og fordeles relativt etter grunnkvote. Ved opprettelse av strukturkvote fordeles strukturgevinsten som oppstår ved avkortning, til den fartøygruppen fartøyet tilhører, og fordeles relativt etter grunnkvote. For ringnotgruppen og pelagisk trål fordeles strukturgevinsten når tidsbegrensingen inntrer etter dagens gruppetilhørighet.»</w:t>
      </w:r>
    </w:p>
    <w:p w14:paraId="3B6256C5" w14:textId="77777777" w:rsidR="00F7113A" w:rsidRPr="00580C0D" w:rsidRDefault="00142E5B" w:rsidP="00580C0D">
      <w:r w:rsidRPr="00580C0D">
        <w:t xml:space="preserve">Vedtaket ble truffet ved behandlingen av Meld. St. 32 (2018–2019) </w:t>
      </w:r>
      <w:r w:rsidRPr="00580C0D">
        <w:rPr>
          <w:rStyle w:val="kursiv"/>
        </w:rPr>
        <w:t>Et kvotesystem for økt verdiskaping – En fremtidsrettet fiskerinæring,</w:t>
      </w:r>
      <w:r w:rsidRPr="00580C0D">
        <w:t xml:space="preserve"> jf. </w:t>
      </w:r>
      <w:proofErr w:type="spellStart"/>
      <w:r w:rsidRPr="00580C0D">
        <w:t>Innst</w:t>
      </w:r>
      <w:proofErr w:type="spellEnd"/>
      <w:r w:rsidRPr="00580C0D">
        <w:t>. 243 S (2019–2020).</w:t>
      </w:r>
    </w:p>
    <w:p w14:paraId="46A79623" w14:textId="77777777" w:rsidR="00F7113A" w:rsidRPr="00580C0D" w:rsidRDefault="00142E5B" w:rsidP="00580C0D">
      <w:r w:rsidRPr="00580C0D">
        <w:t>Regjeringen følger opp vedtaket i arbeidet med ny melding til Stortinget om kvotesystemet.</w:t>
      </w:r>
    </w:p>
    <w:p w14:paraId="26379D00" w14:textId="77777777" w:rsidR="00F7113A" w:rsidRPr="00580C0D" w:rsidRDefault="00142E5B" w:rsidP="00580C0D">
      <w:pPr>
        <w:pStyle w:val="avsnitt-tittel"/>
      </w:pPr>
      <w:r w:rsidRPr="00580C0D">
        <w:t>Kvotemeldingen – kvotefleksibilitet i fisket etter torsk, hyse og sei nord for 62° N</w:t>
      </w:r>
    </w:p>
    <w:p w14:paraId="3E8ECC23" w14:textId="77777777" w:rsidR="00F7113A" w:rsidRPr="00580C0D" w:rsidRDefault="00142E5B" w:rsidP="00580C0D">
      <w:pPr>
        <w:pStyle w:val="avsnitt-undertittel"/>
      </w:pPr>
      <w:r w:rsidRPr="00580C0D">
        <w:t>Vedtak nr. 553, 7. mai 2020</w:t>
      </w:r>
    </w:p>
    <w:p w14:paraId="073A2AF8" w14:textId="77777777" w:rsidR="00F7113A" w:rsidRPr="00580C0D" w:rsidRDefault="00142E5B" w:rsidP="00580C0D">
      <w:pPr>
        <w:pStyle w:val="blokksit"/>
        <w:rPr>
          <w:rStyle w:val="kursiv"/>
        </w:rPr>
      </w:pPr>
      <w:r w:rsidRPr="00580C0D">
        <w:rPr>
          <w:rStyle w:val="kursiv"/>
        </w:rPr>
        <w:t xml:space="preserve">«Stortinget ber regjeringen legge til rette for at det i fisket etter torsk, hyse og sei nord for 62° N etableres kvotefleksibilitet over årsskiftet på fartøynivå, slik at et fartøy kan utnytte sitt kvotegrunnlag best mulig innenfor et </w:t>
      </w:r>
      <w:proofErr w:type="spellStart"/>
      <w:r w:rsidRPr="00580C0D">
        <w:rPr>
          <w:rStyle w:val="kursiv"/>
        </w:rPr>
        <w:t>kvoteår</w:t>
      </w:r>
      <w:proofErr w:type="spellEnd"/>
      <w:r w:rsidRPr="00580C0D">
        <w:rPr>
          <w:rStyle w:val="kursiv"/>
        </w:rPr>
        <w:t>, på samme måte som i pelagiske fiskerier.»</w:t>
      </w:r>
    </w:p>
    <w:p w14:paraId="5D8F0DCF" w14:textId="77777777" w:rsidR="00F7113A" w:rsidRPr="00580C0D" w:rsidRDefault="00142E5B" w:rsidP="00580C0D">
      <w:r w:rsidRPr="00580C0D">
        <w:t xml:space="preserve">Vedtaket ble truffet ved behandlingen av Meld. St. 32 (2018–2019) </w:t>
      </w:r>
      <w:r w:rsidRPr="00580C0D">
        <w:rPr>
          <w:rStyle w:val="kursiv"/>
        </w:rPr>
        <w:t>Et kvotesystem for økt verdiskaping – En fremtidsrettet fiskerinæring</w:t>
      </w:r>
      <w:r w:rsidRPr="00580C0D">
        <w:t xml:space="preserve">, jf. </w:t>
      </w:r>
      <w:proofErr w:type="spellStart"/>
      <w:r w:rsidRPr="00580C0D">
        <w:t>Innst</w:t>
      </w:r>
      <w:proofErr w:type="spellEnd"/>
      <w:r w:rsidRPr="00580C0D">
        <w:t>. 243 S (2019–2020).</w:t>
      </w:r>
    </w:p>
    <w:p w14:paraId="5411B45C" w14:textId="77777777" w:rsidR="00F7113A" w:rsidRPr="00580C0D" w:rsidRDefault="00142E5B" w:rsidP="00580C0D">
      <w:r w:rsidRPr="00580C0D">
        <w:t>Nærings- og fiskeridepartementet ga i 2020 adgang til kvotefleksibilitet på fartøynivå i fisket etter torsk nord for 62° nord, fra 2020 til 2021. Ordningen er videreført til 2022 og 2023. Vedtaket er med dette delvis fulgt opp. Fiskeridirektoratet arbeider med å få på plass et nytt kvoteregister, som er en forutsetning for å kunne innføre kvotefleksibilitet også for sei og hyse.</w:t>
      </w:r>
    </w:p>
    <w:p w14:paraId="4641186B" w14:textId="77777777" w:rsidR="00F7113A" w:rsidRPr="00580C0D" w:rsidRDefault="00142E5B" w:rsidP="00580C0D">
      <w:r w:rsidRPr="00580C0D">
        <w:t>Regjeringen vil på egnet måte komme tilbake til Stortinget om hvordan vedtaket følges opp.</w:t>
      </w:r>
    </w:p>
    <w:p w14:paraId="4A52A965" w14:textId="77777777" w:rsidR="00F7113A" w:rsidRPr="00580C0D" w:rsidRDefault="00142E5B" w:rsidP="00580C0D">
      <w:pPr>
        <w:pStyle w:val="avsnitt-tittel"/>
      </w:pPr>
      <w:r w:rsidRPr="00580C0D">
        <w:t>Kvotemeldingen – om faktisk lengde og hjemmelslengde</w:t>
      </w:r>
    </w:p>
    <w:p w14:paraId="60397071" w14:textId="77777777" w:rsidR="00F7113A" w:rsidRPr="00580C0D" w:rsidRDefault="00142E5B" w:rsidP="00580C0D">
      <w:pPr>
        <w:pStyle w:val="avsnitt-undertittel"/>
      </w:pPr>
      <w:r w:rsidRPr="00580C0D">
        <w:t>Vedtak nr. 555, 7. mai 2020</w:t>
      </w:r>
    </w:p>
    <w:p w14:paraId="169B7658" w14:textId="77777777" w:rsidR="00F7113A" w:rsidRPr="00580C0D" w:rsidRDefault="00142E5B" w:rsidP="00580C0D">
      <w:pPr>
        <w:pStyle w:val="blokksit"/>
        <w:rPr>
          <w:rStyle w:val="kursiv"/>
        </w:rPr>
      </w:pPr>
      <w:r w:rsidRPr="00580C0D">
        <w:rPr>
          <w:rStyle w:val="kursiv"/>
        </w:rPr>
        <w:t>«Det gis en overgangsperiode der fartøy med annen faktisk lengde enn hjemmelslengde kan velge å bringe fartøyets faktiske lengde i tråd med hjemmelslengde. Den faktiske utformingen må være gjennomført innen 31. desember 2023. Regjeringen bes komme tilbake til Stortinget på egnet måte med en konkret utforming av et slikt alternativ.»</w:t>
      </w:r>
    </w:p>
    <w:p w14:paraId="6517D8E5" w14:textId="77777777" w:rsidR="00F7113A" w:rsidRPr="00580C0D" w:rsidRDefault="00142E5B" w:rsidP="00580C0D">
      <w:r w:rsidRPr="00580C0D">
        <w:t xml:space="preserve">Vedtaket ble truffet ved behandlingen av Meld. St. 32 (2018–2019) </w:t>
      </w:r>
      <w:r w:rsidRPr="00580C0D">
        <w:rPr>
          <w:rStyle w:val="kursiv"/>
        </w:rPr>
        <w:t xml:space="preserve">Et kvotesystem for økt verdiskaping – En fremtidsrettet fiskerinæring, </w:t>
      </w:r>
      <w:r w:rsidRPr="00580C0D">
        <w:t xml:space="preserve">jf. </w:t>
      </w:r>
      <w:proofErr w:type="spellStart"/>
      <w:r w:rsidRPr="00580C0D">
        <w:t>Innst</w:t>
      </w:r>
      <w:proofErr w:type="spellEnd"/>
      <w:r w:rsidRPr="00580C0D">
        <w:t>. 243 S (2019–2020).</w:t>
      </w:r>
    </w:p>
    <w:p w14:paraId="5EE8BB9B" w14:textId="77777777" w:rsidR="00F7113A" w:rsidRPr="00580C0D" w:rsidRDefault="00142E5B" w:rsidP="00580C0D">
      <w:r w:rsidRPr="00580C0D">
        <w:t>Regjeringen vil følge opp vedtaket i forbindelse med at ny melding om kvotesystemet legges fram for Stortinget.</w:t>
      </w:r>
    </w:p>
    <w:p w14:paraId="21721129" w14:textId="77777777" w:rsidR="00F7113A" w:rsidRPr="00580C0D" w:rsidRDefault="00142E5B" w:rsidP="00580C0D">
      <w:pPr>
        <w:pStyle w:val="avsnitt-tittel"/>
      </w:pPr>
      <w:r w:rsidRPr="00580C0D">
        <w:t>Kvotemeldingen – avvikling av «samfiske med seg selv»</w:t>
      </w:r>
    </w:p>
    <w:p w14:paraId="3009224B" w14:textId="77777777" w:rsidR="00F7113A" w:rsidRPr="00580C0D" w:rsidRDefault="00142E5B" w:rsidP="00580C0D">
      <w:pPr>
        <w:pStyle w:val="avsnitt-undertittel"/>
      </w:pPr>
      <w:r w:rsidRPr="00580C0D">
        <w:t>Vedtak nr. 556, 7. mai 2020</w:t>
      </w:r>
    </w:p>
    <w:p w14:paraId="69756D43" w14:textId="77777777" w:rsidR="00F7113A" w:rsidRPr="00580C0D" w:rsidRDefault="00142E5B" w:rsidP="00580C0D">
      <w:pPr>
        <w:pStyle w:val="blokksit"/>
        <w:rPr>
          <w:rStyle w:val="kursiv"/>
        </w:rPr>
      </w:pPr>
      <w:r w:rsidRPr="00580C0D">
        <w:rPr>
          <w:rStyle w:val="kursiv"/>
        </w:rPr>
        <w:t>«Stortinget ber regjeringen sørge for at eksisterende ordning med «samfiske med seg selv» i torskefisket avvikles innen 31. desember 2025.»</w:t>
      </w:r>
    </w:p>
    <w:p w14:paraId="58ED9142" w14:textId="77777777" w:rsidR="00F7113A" w:rsidRPr="00580C0D" w:rsidRDefault="00142E5B" w:rsidP="00580C0D">
      <w:r w:rsidRPr="00580C0D">
        <w:t xml:space="preserve">Vedtaket ble truffet ved behandlingen av Meld. St. 32 (2018–2019) </w:t>
      </w:r>
      <w:r w:rsidRPr="00580C0D">
        <w:rPr>
          <w:rStyle w:val="kursiv"/>
        </w:rPr>
        <w:t>Et kvotesystem for økt verdiskaping – En fremtidsrettet fiskerinæring,</w:t>
      </w:r>
      <w:r w:rsidRPr="00580C0D">
        <w:t xml:space="preserve"> jf. </w:t>
      </w:r>
      <w:proofErr w:type="spellStart"/>
      <w:r w:rsidRPr="00580C0D">
        <w:t>Innst</w:t>
      </w:r>
      <w:proofErr w:type="spellEnd"/>
      <w:r w:rsidRPr="00580C0D">
        <w:t>. 243 S (2019–2020).</w:t>
      </w:r>
    </w:p>
    <w:p w14:paraId="2CEA7CBA" w14:textId="77777777" w:rsidR="00F7113A" w:rsidRPr="00580C0D" w:rsidRDefault="00142E5B" w:rsidP="00580C0D">
      <w:r w:rsidRPr="00580C0D">
        <w:t>Regjeringen vil følge opp vedtaket i forbindelse med at ny melding om kvotesystemet legges fram for Stortinget.</w:t>
      </w:r>
    </w:p>
    <w:p w14:paraId="3ABFA6B0" w14:textId="77777777" w:rsidR="00F7113A" w:rsidRPr="00580C0D" w:rsidRDefault="00142E5B" w:rsidP="00580C0D">
      <w:pPr>
        <w:pStyle w:val="avsnitt-tittel"/>
      </w:pPr>
      <w:r w:rsidRPr="00580C0D">
        <w:t>Kvotemeldingen – om konsekvensutredninger</w:t>
      </w:r>
    </w:p>
    <w:p w14:paraId="656A93D7" w14:textId="77777777" w:rsidR="00F7113A" w:rsidRPr="00580C0D" w:rsidRDefault="00142E5B" w:rsidP="00580C0D">
      <w:pPr>
        <w:pStyle w:val="avsnitt-undertittel"/>
      </w:pPr>
      <w:r w:rsidRPr="00580C0D">
        <w:t>Vedtak nr. 558, 7. mai 2020</w:t>
      </w:r>
    </w:p>
    <w:p w14:paraId="44B67A25" w14:textId="77777777" w:rsidR="00F7113A" w:rsidRPr="00580C0D" w:rsidRDefault="00142E5B" w:rsidP="00580C0D">
      <w:pPr>
        <w:pStyle w:val="blokksit"/>
        <w:rPr>
          <w:rStyle w:val="kursiv"/>
        </w:rPr>
      </w:pPr>
      <w:r w:rsidRPr="00580C0D">
        <w:rPr>
          <w:rStyle w:val="kursiv"/>
        </w:rPr>
        <w:t xml:space="preserve">«Stortinget ber regjeringen – før iverksettelse – foreta konsekvensutredning av eventuelle elementer i beslutningene ved behandlingen av </w:t>
      </w:r>
      <w:proofErr w:type="spellStart"/>
      <w:r w:rsidRPr="00580C0D">
        <w:rPr>
          <w:rStyle w:val="kursiv"/>
        </w:rPr>
        <w:t>lnnst</w:t>
      </w:r>
      <w:proofErr w:type="spellEnd"/>
      <w:r w:rsidRPr="00580C0D">
        <w:rPr>
          <w:rStyle w:val="kursiv"/>
        </w:rPr>
        <w:t xml:space="preserve">. 243 S (2019–2020) som ikke er </w:t>
      </w:r>
      <w:proofErr w:type="spellStart"/>
      <w:r w:rsidRPr="00580C0D">
        <w:rPr>
          <w:rStyle w:val="kursiv"/>
        </w:rPr>
        <w:t>konsekvensutredet</w:t>
      </w:r>
      <w:proofErr w:type="spellEnd"/>
      <w:r w:rsidRPr="00580C0D">
        <w:rPr>
          <w:rStyle w:val="kursiv"/>
        </w:rPr>
        <w:t xml:space="preserve"> gjennom meldingen.»</w:t>
      </w:r>
    </w:p>
    <w:p w14:paraId="2778AB85" w14:textId="77777777" w:rsidR="00F7113A" w:rsidRPr="00580C0D" w:rsidRDefault="00142E5B" w:rsidP="00580C0D">
      <w:r w:rsidRPr="00580C0D">
        <w:t xml:space="preserve">Vedtaket ble truffet ved behandlingen av Meld. St. 32 (2018–2019) </w:t>
      </w:r>
      <w:r w:rsidRPr="00580C0D">
        <w:rPr>
          <w:rStyle w:val="kursiv"/>
        </w:rPr>
        <w:t>Et kvotesystem for økt verdiskaping – En fremtidsrettet fiskerinæring,</w:t>
      </w:r>
      <w:r w:rsidRPr="00580C0D">
        <w:t xml:space="preserve"> jf. </w:t>
      </w:r>
      <w:proofErr w:type="spellStart"/>
      <w:r w:rsidRPr="00580C0D">
        <w:t>Innst</w:t>
      </w:r>
      <w:proofErr w:type="spellEnd"/>
      <w:r w:rsidRPr="00580C0D">
        <w:t>. 243 S (2019–2020).</w:t>
      </w:r>
    </w:p>
    <w:p w14:paraId="5B58CB22" w14:textId="77777777" w:rsidR="00F7113A" w:rsidRPr="00580C0D" w:rsidRDefault="00142E5B" w:rsidP="00580C0D">
      <w:r w:rsidRPr="00580C0D">
        <w:t>Fiskeridirektoratet har utarbeidet en rapport som viser forventet utvikling som følge av Stortingets vedtak nr. 551 om fordeling av strukturgevinst når tidsbegrensningene i strukturkvoteordningene utløper.</w:t>
      </w:r>
    </w:p>
    <w:p w14:paraId="7875AB91" w14:textId="77777777" w:rsidR="00F7113A" w:rsidRPr="00580C0D" w:rsidRDefault="00142E5B" w:rsidP="00580C0D">
      <w:r w:rsidRPr="00580C0D">
        <w:t>Regjeringen vil følge opp vedtaket videre der det er aktuelt og i forbindelse med at ny melding om kvotesystemet legges fram for Stortinget.</w:t>
      </w:r>
    </w:p>
    <w:p w14:paraId="5543E02C" w14:textId="77777777" w:rsidR="00F7113A" w:rsidRPr="00580C0D" w:rsidRDefault="00142E5B" w:rsidP="00580C0D">
      <w:pPr>
        <w:pStyle w:val="Overskrift2"/>
      </w:pPr>
      <w:r w:rsidRPr="00580C0D">
        <w:t>Stortingssesjon 2016–2017</w:t>
      </w:r>
    </w:p>
    <w:p w14:paraId="27FBD3A0" w14:textId="77777777" w:rsidR="00F7113A" w:rsidRPr="00580C0D" w:rsidRDefault="00142E5B" w:rsidP="00580C0D">
      <w:pPr>
        <w:pStyle w:val="avsnitt-tittel"/>
      </w:pPr>
      <w:r w:rsidRPr="00580C0D">
        <w:t>Registrering av firmaer og selskap i Norge uten fysisk tilstedeværelse</w:t>
      </w:r>
    </w:p>
    <w:p w14:paraId="02F25A39" w14:textId="77777777" w:rsidR="00F7113A" w:rsidRPr="00580C0D" w:rsidRDefault="00142E5B" w:rsidP="00580C0D">
      <w:pPr>
        <w:pStyle w:val="avsnitt-undertittel"/>
      </w:pPr>
      <w:r w:rsidRPr="00580C0D">
        <w:t>Vedtak nr. 108, punkt 35, 5. desember 2016</w:t>
      </w:r>
    </w:p>
    <w:p w14:paraId="267BFFEB" w14:textId="77777777" w:rsidR="00F7113A" w:rsidRPr="00580C0D" w:rsidRDefault="00142E5B" w:rsidP="00580C0D">
      <w:pPr>
        <w:pStyle w:val="blokksit"/>
        <w:rPr>
          <w:rStyle w:val="kursiv"/>
        </w:rPr>
      </w:pPr>
      <w:r w:rsidRPr="00580C0D">
        <w:rPr>
          <w:rStyle w:val="kursiv"/>
        </w:rPr>
        <w:t>«Stortinget ber regjeringen vurdere en ordning med mulighet for registrering av firmaer og selskap i Norge uten fysisk tilstedeværelse etter modell fra Estland.»</w:t>
      </w:r>
    </w:p>
    <w:p w14:paraId="7E15B196" w14:textId="77777777" w:rsidR="00F7113A" w:rsidRPr="00580C0D" w:rsidRDefault="00142E5B" w:rsidP="00580C0D">
      <w:r w:rsidRPr="00580C0D">
        <w:t xml:space="preserve">Vedtaket ble truffet ved behandlingen av Meld. St. 1 (2016–2017) </w:t>
      </w:r>
      <w:r w:rsidRPr="00580C0D">
        <w:rPr>
          <w:rStyle w:val="kursiv"/>
        </w:rPr>
        <w:t>Nasjonalbudsjettet 2017</w:t>
      </w:r>
      <w:r w:rsidRPr="00580C0D">
        <w:t xml:space="preserve">, </w:t>
      </w:r>
      <w:proofErr w:type="spellStart"/>
      <w:r w:rsidRPr="00580C0D">
        <w:t>Prop</w:t>
      </w:r>
      <w:proofErr w:type="spellEnd"/>
      <w:r w:rsidRPr="00580C0D">
        <w:t xml:space="preserve">. 1 S (2016–2017) og </w:t>
      </w:r>
      <w:proofErr w:type="spellStart"/>
      <w:r w:rsidRPr="00580C0D">
        <w:t>Prop</w:t>
      </w:r>
      <w:proofErr w:type="spellEnd"/>
      <w:r w:rsidRPr="00580C0D">
        <w:t xml:space="preserve">. 1 S Tillegg 1-5 (2016–2017), jf. </w:t>
      </w:r>
      <w:proofErr w:type="spellStart"/>
      <w:r w:rsidRPr="00580C0D">
        <w:t>Innst</w:t>
      </w:r>
      <w:proofErr w:type="spellEnd"/>
      <w:r w:rsidRPr="00580C0D">
        <w:t>. 2 S (2016–2017).</w:t>
      </w:r>
    </w:p>
    <w:p w14:paraId="214AC8D2" w14:textId="77777777" w:rsidR="00F7113A" w:rsidRPr="00580C0D" w:rsidRDefault="00142E5B" w:rsidP="00580C0D">
      <w:r w:rsidRPr="00580C0D">
        <w:t>Vedtaket refererer til Estland der det gis mulighet for såkalte e-</w:t>
      </w:r>
      <w:proofErr w:type="spellStart"/>
      <w:r w:rsidRPr="00580C0D">
        <w:t>Residency</w:t>
      </w:r>
      <w:proofErr w:type="spellEnd"/>
      <w:r w:rsidRPr="00580C0D">
        <w:t>, som gir anledning til å stifte og administrere virksomhet uavhengig av opphold i landet. Estlands løsning bygger på sikker elektronisk identifisering av utenlandske statsborgere.</w:t>
      </w:r>
    </w:p>
    <w:p w14:paraId="4D06E78C" w14:textId="77777777" w:rsidR="00F7113A" w:rsidRPr="00580C0D" w:rsidRDefault="00142E5B" w:rsidP="00580C0D">
      <w:r w:rsidRPr="00580C0D">
        <w:t>En sikker elektronisk identifisering av utenlandske statsborgere, både ved rekvirering av d-nummer og ved bruk av digital ID, er nødvendig for å innføre en lignende modell i Norge. Per i dag ligger ikke nødvendig funksjonalitet i ID-kort som utstedes til utenlandske statsborgere uten norsk fødselsnummer.</w:t>
      </w:r>
    </w:p>
    <w:p w14:paraId="1CEDB5BC" w14:textId="77777777" w:rsidR="00F7113A" w:rsidRPr="00580C0D" w:rsidRDefault="00142E5B" w:rsidP="00580C0D">
      <w:r w:rsidRPr="00580C0D">
        <w:t>Departementet viser til at EU har flere pågående prosjekter for å få på plass felleseuropeiske løsninger for digital ID («</w:t>
      </w:r>
      <w:proofErr w:type="spellStart"/>
      <w:r w:rsidRPr="00580C0D">
        <w:t>eID</w:t>
      </w:r>
      <w:proofErr w:type="spellEnd"/>
      <w:r w:rsidRPr="00580C0D">
        <w:t xml:space="preserve">»). Blant annet er </w:t>
      </w:r>
      <w:proofErr w:type="spellStart"/>
      <w:r w:rsidRPr="00580C0D">
        <w:t>eIDAS</w:t>
      </w:r>
      <w:proofErr w:type="spellEnd"/>
      <w:r w:rsidRPr="00580C0D">
        <w:t xml:space="preserve">-forordningen under revisjon i EU, og det foreligger forslag fra Europakommisjonen om en europeisk </w:t>
      </w:r>
      <w:proofErr w:type="spellStart"/>
      <w:r w:rsidRPr="00580C0D">
        <w:t>eID</w:t>
      </w:r>
      <w:proofErr w:type="spellEnd"/>
      <w:r w:rsidRPr="00580C0D">
        <w:t xml:space="preserve"> (en lommebokløsning), der hensikten er å løse de utfordringene man har møtt på hittil i arbeidet med europeisk </w:t>
      </w:r>
      <w:proofErr w:type="spellStart"/>
      <w:r w:rsidRPr="00580C0D">
        <w:t>eID</w:t>
      </w:r>
      <w:proofErr w:type="spellEnd"/>
      <w:r w:rsidRPr="00580C0D">
        <w:t>. Disse mekanismene kan bidra til å sikre tilgang til sikker verifisering av utenlandske personers identitet.</w:t>
      </w:r>
    </w:p>
    <w:p w14:paraId="6661B8E6" w14:textId="77777777" w:rsidR="00F7113A" w:rsidRPr="00580C0D" w:rsidRDefault="00142E5B" w:rsidP="00580C0D">
      <w:r w:rsidRPr="00580C0D">
        <w:t xml:space="preserve">Departementet viser også til «Nasjonal strategi for </w:t>
      </w:r>
      <w:proofErr w:type="spellStart"/>
      <w:r w:rsidRPr="00580C0D">
        <w:t>eID</w:t>
      </w:r>
      <w:proofErr w:type="spellEnd"/>
      <w:r w:rsidRPr="00580C0D">
        <w:t xml:space="preserve"> i offentlig sektor», som var på offentlig høring sommeren 2022. I strategiens punkt 3.1 er forholdet til utenlandske personer uten norsk fødselsnummer eller d-nummer problematisert:</w:t>
      </w:r>
    </w:p>
    <w:p w14:paraId="4DFF33F5" w14:textId="77777777" w:rsidR="00F7113A" w:rsidRPr="00580C0D" w:rsidRDefault="00142E5B" w:rsidP="00580C0D">
      <w:pPr>
        <w:pStyle w:val="blokksit"/>
      </w:pPr>
      <w:r w:rsidRPr="00580C0D">
        <w:t xml:space="preserve">«Mangelen på tilgang til det digitale Norge med </w:t>
      </w:r>
      <w:proofErr w:type="spellStart"/>
      <w:r w:rsidRPr="00580C0D">
        <w:t>eID</w:t>
      </w:r>
      <w:proofErr w:type="spellEnd"/>
      <w:r w:rsidRPr="00580C0D">
        <w:t xml:space="preserve"> for EØS-borgere med d-nummer kan være til hinder for fri bevegelse. ‘</w:t>
      </w:r>
      <w:proofErr w:type="spellStart"/>
      <w:r w:rsidRPr="00580C0D">
        <w:t>MinID</w:t>
      </w:r>
      <w:proofErr w:type="spellEnd"/>
      <w:r w:rsidRPr="00580C0D">
        <w:t xml:space="preserve"> Passport’ er et viktig steg på veien for å løse disse utfordringene, men er ikke en permanent løsning for behovene til EØS-borgere. </w:t>
      </w:r>
      <w:proofErr w:type="spellStart"/>
      <w:r w:rsidRPr="00580C0D">
        <w:t>eIDAS</w:t>
      </w:r>
      <w:proofErr w:type="spellEnd"/>
      <w:r w:rsidRPr="00580C0D">
        <w:t xml:space="preserve">-noden i Norge har gjort det mulig å benytte en </w:t>
      </w:r>
      <w:proofErr w:type="spellStart"/>
      <w:r w:rsidRPr="00580C0D">
        <w:t>eID</w:t>
      </w:r>
      <w:proofErr w:type="spellEnd"/>
      <w:r w:rsidRPr="00580C0D">
        <w:t xml:space="preserve"> fra andre europeiske land til å logge seg på til digitale tjenester i Norge. Grunnet utfordringer knyttet til regelverk og tekniske løsninger for å koble utenlandske identiteter til identiteter i Folkeregisteret, er dette imidlertid ikke tatt i bruk av tjenesteeiere. Når identitetsmatching er på plass, vil det kunne bli enklere for en EØS-borger å benytte en </w:t>
      </w:r>
      <w:proofErr w:type="spellStart"/>
      <w:r w:rsidRPr="00580C0D">
        <w:t>eID</w:t>
      </w:r>
      <w:proofErr w:type="spellEnd"/>
      <w:r w:rsidRPr="00580C0D">
        <w:t xml:space="preserve"> fra sitt hjemland for tilgang til digitale offentlige tjenester i Norge.»</w:t>
      </w:r>
    </w:p>
    <w:p w14:paraId="52792721" w14:textId="77777777" w:rsidR="00F7113A" w:rsidRPr="00580C0D" w:rsidRDefault="00142E5B" w:rsidP="00580C0D">
      <w:r w:rsidRPr="00580C0D">
        <w:t xml:space="preserve">Etter departementets syn er det hensiktsmessig å avvente de ovennevnte arbeidene før en løsning tilsvarende den estiske vurderes. Departementet viser særlig til hensynet til registerkvalitet og riktige opplysninger. Registrering av foretak i Norge skjer på bakgrunn av det som meldes inn av enkeltpersoner. Registerfører skal sørge for at registrerte data i størst mulig grad og til enhver tid er sikre og korrekte. Det innebærer også at registerdataene skal være korrekte, beskyttet mot uautorisert bruk og/eller endring, gjengis korrekt og er tilgjengelig for de som trenger dem. Dette forutsetter at identiteten til de som sender inn opplysninger er verifisert, blant annet for å sikre at vedkommende har kompetanse til å registrere opplysninger for foretaket. Når utenlandske </w:t>
      </w:r>
      <w:proofErr w:type="spellStart"/>
      <w:r w:rsidRPr="00580C0D">
        <w:t>eID</w:t>
      </w:r>
      <w:proofErr w:type="spellEnd"/>
      <w:r w:rsidRPr="00580C0D">
        <w:t xml:space="preserve">-er per nå ikke kan verifiseres uten fysisk oppmøte på norsk utenriksstasjon e.l., kan ikke departementet se at anmodningsvedtaket kan følges opp på nåværende tidspunkt. Dersom EUs arbeider med en felleseuropeisk digital </w:t>
      </w:r>
      <w:proofErr w:type="spellStart"/>
      <w:r w:rsidRPr="00580C0D">
        <w:t>eID</w:t>
      </w:r>
      <w:proofErr w:type="spellEnd"/>
      <w:r w:rsidRPr="00580C0D">
        <w:t xml:space="preserve"> fører fram eller det på annen måte oppstår løsninger for å verifisere utenlandske personers identitet uten fysisk oppmøte, vil regjeringen på egnet måte komme tilbake til Stortinget om hvordan vedtaket kan følges opp.</w:t>
      </w:r>
    </w:p>
    <w:p w14:paraId="0CDEF0C3" w14:textId="77777777" w:rsidR="00F7113A" w:rsidRPr="00580C0D" w:rsidRDefault="00142E5B" w:rsidP="00580C0D">
      <w:pPr>
        <w:pStyle w:val="Overskrift2"/>
      </w:pPr>
      <w:r w:rsidRPr="00580C0D">
        <w:t>Stortingssesjon 2013–2014</w:t>
      </w:r>
    </w:p>
    <w:p w14:paraId="5FC71F29" w14:textId="77777777" w:rsidR="00F7113A" w:rsidRPr="00580C0D" w:rsidRDefault="00142E5B" w:rsidP="00580C0D">
      <w:pPr>
        <w:pStyle w:val="avsnitt-tittel"/>
      </w:pPr>
      <w:r w:rsidRPr="00580C0D">
        <w:t>Informasjon om eiere av aksjeselskaper</w:t>
      </w:r>
    </w:p>
    <w:p w14:paraId="75035C2E" w14:textId="77777777" w:rsidR="00F7113A" w:rsidRPr="00580C0D" w:rsidRDefault="00142E5B" w:rsidP="00580C0D">
      <w:pPr>
        <w:pStyle w:val="avsnitt-undertittel"/>
      </w:pPr>
      <w:r w:rsidRPr="00580C0D">
        <w:t>Vedtak nr. 496, 16. juni 2014</w:t>
      </w:r>
    </w:p>
    <w:p w14:paraId="1CF44D52" w14:textId="77777777" w:rsidR="00F7113A" w:rsidRPr="00580C0D" w:rsidRDefault="00142E5B" w:rsidP="00580C0D">
      <w:pPr>
        <w:pStyle w:val="blokksit"/>
        <w:rPr>
          <w:rStyle w:val="kursiv"/>
        </w:rPr>
      </w:pPr>
      <w:r w:rsidRPr="00580C0D">
        <w:rPr>
          <w:rStyle w:val="kursiv"/>
        </w:rPr>
        <w:t>«Stortinget ber regjeringen etablere en offentlig løsning med informasjon om eiere av aksjeselskaper som sikrer større åpenhet, med etablering i løpet av 2015.»</w:t>
      </w:r>
    </w:p>
    <w:p w14:paraId="6346F8F6" w14:textId="77777777" w:rsidR="00F7113A" w:rsidRPr="00580C0D" w:rsidRDefault="00142E5B" w:rsidP="00580C0D">
      <w:r w:rsidRPr="00580C0D">
        <w:t xml:space="preserve">Vedtaket ble truffet ved behandlingen av </w:t>
      </w:r>
      <w:proofErr w:type="spellStart"/>
      <w:r w:rsidRPr="00580C0D">
        <w:t>Prop</w:t>
      </w:r>
      <w:proofErr w:type="spellEnd"/>
      <w:r w:rsidRPr="00580C0D">
        <w:t>. 94 LS (2013–2014</w:t>
      </w:r>
      <w:r w:rsidRPr="00580C0D">
        <w:rPr>
          <w:rStyle w:val="kursiv"/>
        </w:rPr>
        <w:t xml:space="preserve">) </w:t>
      </w:r>
      <w:proofErr w:type="spellStart"/>
      <w:r w:rsidRPr="00580C0D">
        <w:rPr>
          <w:rStyle w:val="kursiv"/>
        </w:rPr>
        <w:t>Endringar</w:t>
      </w:r>
      <w:proofErr w:type="spellEnd"/>
      <w:r w:rsidRPr="00580C0D">
        <w:rPr>
          <w:rStyle w:val="kursiv"/>
        </w:rPr>
        <w:t xml:space="preserve"> i skatte-, avgifts- og </w:t>
      </w:r>
      <w:proofErr w:type="spellStart"/>
      <w:r w:rsidRPr="00580C0D">
        <w:rPr>
          <w:rStyle w:val="kursiv"/>
        </w:rPr>
        <w:t>tollovgivinga</w:t>
      </w:r>
      <w:proofErr w:type="spellEnd"/>
      <w:r w:rsidRPr="00580C0D">
        <w:t xml:space="preserve">, jf. </w:t>
      </w:r>
      <w:proofErr w:type="spellStart"/>
      <w:r w:rsidRPr="00580C0D">
        <w:t>Innst</w:t>
      </w:r>
      <w:proofErr w:type="spellEnd"/>
      <w:r w:rsidRPr="00580C0D">
        <w:t>. 261 L (2013–2014).</w:t>
      </w:r>
    </w:p>
    <w:p w14:paraId="34C9DBB8" w14:textId="77777777" w:rsidR="00F7113A" w:rsidRPr="00580C0D" w:rsidRDefault="00142E5B" w:rsidP="00580C0D">
      <w:r w:rsidRPr="00580C0D">
        <w:t>Brønnøysundregistrene er gitt i oppdrag å etablere et register over reelle rettighetshavere, dvs. personer med bestemmende innflytelse i selskaper og andre juridiske personer. Registeret skal bidra til økt åpenhet om eierskap i norske selskaper og styrke innsatsen mot skattekriminalitet, korrupsjon og hvitvasking. Norge er pålagt å opprette et slikt register via EUs fjerde hvitvaskingsdirektiv, som er tatt inn i EØS-avtalen. Et offentlig digitalt register vil både gjøre det enklere å rapportere og få tilgang til opplysninger om reelle rettighetshavere.</w:t>
      </w:r>
    </w:p>
    <w:p w14:paraId="3EFF0054" w14:textId="77777777" w:rsidR="00F7113A" w:rsidRPr="00580C0D" w:rsidRDefault="00142E5B" w:rsidP="00580C0D">
      <w:r w:rsidRPr="00580C0D">
        <w:t xml:space="preserve">Brønnøysundregistrene og Skatteetaten har vurdert alternative løsninger for en helhetlig og forenklet rapportering og tilgjengeliggjøring av eierskapsinformasjon i norske aksje- og </w:t>
      </w:r>
      <w:proofErr w:type="spellStart"/>
      <w:r w:rsidRPr="00580C0D">
        <w:t>allmennaksjeselskaper</w:t>
      </w:r>
      <w:proofErr w:type="spellEnd"/>
      <w:r w:rsidRPr="00580C0D">
        <w:t>. Brønnøysundregistrenes og Skatteetatens vurderinger ble oversendt Nærings- og fiskeridepartementet og Finansdepartementet 28. juni 2021. Utviklingen av en løsning for informasjon om aksjeeiere må bygge på et solid rettslig fundament som støtter opp under regjeringens politiske målsettinger. Departementene arbeider nå med å gjennomgå utredningen og vurdere videre arbeid. Departementet vurderer også arbeidet i sammenheng med andre behov og prosesser, for å sikre at løsningen som velges vil bidra til å redusere rapporteringsbyrder og -kostnader for næringslivet.</w:t>
      </w:r>
    </w:p>
    <w:p w14:paraId="57BC723A" w14:textId="77777777" w:rsidR="00F7113A" w:rsidRPr="00580C0D" w:rsidRDefault="00142E5B" w:rsidP="00580C0D">
      <w:r w:rsidRPr="00580C0D">
        <w:t>Regjeringen vil på egnet måte komme tilbake til Stortinget om hvordan vedtaket følges opp.</w:t>
      </w:r>
    </w:p>
    <w:p w14:paraId="7377017F" w14:textId="77777777" w:rsidR="00F7113A" w:rsidRPr="00580C0D" w:rsidRDefault="00142E5B" w:rsidP="00580C0D">
      <w:pPr>
        <w:pStyle w:val="Overskrift1"/>
      </w:pPr>
      <w:r w:rsidRPr="00580C0D">
        <w:t>Olje- og energidepartementet</w:t>
      </w:r>
    </w:p>
    <w:p w14:paraId="37814A97" w14:textId="4E7A9D91" w:rsidR="00F7113A" w:rsidRDefault="00142E5B" w:rsidP="00580C0D">
      <w:proofErr w:type="spellStart"/>
      <w:r w:rsidRPr="00580C0D">
        <w:t>Nedanfor</w:t>
      </w:r>
      <w:proofErr w:type="spellEnd"/>
      <w:r w:rsidRPr="00580C0D">
        <w:t xml:space="preserve"> blir det gitt </w:t>
      </w:r>
      <w:proofErr w:type="gramStart"/>
      <w:r w:rsidRPr="00580C0D">
        <w:t>ei oversikt</w:t>
      </w:r>
      <w:proofErr w:type="gramEnd"/>
      <w:r w:rsidRPr="00580C0D">
        <w:t xml:space="preserve"> over oppfølging av oppmodings- og utgreiingsvedtak under Olje- og energidepartementet. </w:t>
      </w:r>
      <w:proofErr w:type="spellStart"/>
      <w:r w:rsidRPr="00580C0D">
        <w:t>Oversikta</w:t>
      </w:r>
      <w:proofErr w:type="spellEnd"/>
      <w:r w:rsidRPr="00580C0D">
        <w:t xml:space="preserve"> inkluderer alle vedtak </w:t>
      </w:r>
      <w:proofErr w:type="spellStart"/>
      <w:r w:rsidRPr="00580C0D">
        <w:t>frå</w:t>
      </w:r>
      <w:proofErr w:type="spellEnd"/>
      <w:r w:rsidRPr="00580C0D">
        <w:t xml:space="preserve"> stortingssesjonen 2022–2023, i tillegg til </w:t>
      </w:r>
      <w:proofErr w:type="spellStart"/>
      <w:r w:rsidRPr="00580C0D">
        <w:t>dei</w:t>
      </w:r>
      <w:proofErr w:type="spellEnd"/>
      <w:r w:rsidRPr="00580C0D">
        <w:t xml:space="preserve"> vedtaka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stortingssesjonar</w:t>
      </w:r>
      <w:proofErr w:type="spellEnd"/>
      <w:r w:rsidRPr="00580C0D">
        <w:t xml:space="preserve"> som kontroll- og konstitusjonskomiteen i </w:t>
      </w:r>
      <w:proofErr w:type="spellStart"/>
      <w:r w:rsidRPr="00580C0D">
        <w:t>Innst</w:t>
      </w:r>
      <w:proofErr w:type="spellEnd"/>
      <w:r w:rsidRPr="00580C0D">
        <w:t xml:space="preserve">. 186 S (2022–2023) meinte </w:t>
      </w:r>
      <w:proofErr w:type="spellStart"/>
      <w:r w:rsidRPr="00580C0D">
        <w:t>ikkje</w:t>
      </w:r>
      <w:proofErr w:type="spellEnd"/>
      <w:r w:rsidRPr="00580C0D">
        <w:t xml:space="preserve"> var kvitterte ut. I tabellen under blir det angitt om departementet planlegg at rapporteringa knytt til oppmodings- og utgreiingsvedtaket </w:t>
      </w:r>
      <w:proofErr w:type="spellStart"/>
      <w:r w:rsidRPr="00580C0D">
        <w:t>no</w:t>
      </w:r>
      <w:proofErr w:type="spellEnd"/>
      <w:r w:rsidRPr="00580C0D">
        <w:t xml:space="preserve"> blir avslutta, eller om departementet vil rapportere konkret på vedtaket også i budsjettproposisjonen for neste år.</w:t>
      </w:r>
    </w:p>
    <w:p w14:paraId="50FBA18F" w14:textId="6071DBA4" w:rsidR="00BD6CF4" w:rsidRPr="00580C0D" w:rsidRDefault="00BD6CF4" w:rsidP="00BD6CF4">
      <w:pPr>
        <w:pStyle w:val="tabell-tittel"/>
      </w:pPr>
      <w:r w:rsidRPr="00580C0D">
        <w:t>Oversikt over oppmodings- og utgreiingsvedtak, ordna etter sesjon og nummer</w:t>
      </w:r>
    </w:p>
    <w:p w14:paraId="76175A98" w14:textId="77777777" w:rsidR="00F7113A" w:rsidRPr="00580C0D" w:rsidRDefault="00142E5B" w:rsidP="00580C0D">
      <w:pPr>
        <w:pStyle w:val="Tabellnavn"/>
      </w:pPr>
      <w:r w:rsidRPr="00580C0D">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180"/>
        <w:gridCol w:w="904"/>
        <w:gridCol w:w="5953"/>
        <w:gridCol w:w="1503"/>
      </w:tblGrid>
      <w:tr w:rsidR="00F7113A" w:rsidRPr="00580C0D" w14:paraId="7C2C2957" w14:textId="77777777" w:rsidTr="00BD6CF4">
        <w:trPr>
          <w:trHeight w:val="860"/>
        </w:trPr>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701537" w14:textId="77777777" w:rsidR="00F7113A" w:rsidRPr="00580C0D" w:rsidRDefault="00142E5B" w:rsidP="00BD6CF4">
            <w:r w:rsidRPr="00580C0D">
              <w:t>Sesjon</w:t>
            </w:r>
          </w:p>
        </w:tc>
        <w:tc>
          <w:tcPr>
            <w:tcW w:w="90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ABF57" w14:textId="77777777" w:rsidR="00F7113A" w:rsidRPr="00580C0D" w:rsidRDefault="00142E5B" w:rsidP="00BD6CF4">
            <w:pPr>
              <w:jc w:val="center"/>
            </w:pPr>
            <w:r w:rsidRPr="00580C0D">
              <w:t>Vedtak</w:t>
            </w:r>
          </w:p>
        </w:tc>
        <w:tc>
          <w:tcPr>
            <w:tcW w:w="59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B36B6" w14:textId="77777777" w:rsidR="00F7113A" w:rsidRPr="00580C0D" w:rsidRDefault="00142E5B" w:rsidP="00BD6CF4">
            <w:r w:rsidRPr="00580C0D">
              <w:t>Stikkord</w:t>
            </w:r>
          </w:p>
        </w:tc>
        <w:tc>
          <w:tcPr>
            <w:tcW w:w="15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2EB03E" w14:textId="77777777" w:rsidR="00F7113A" w:rsidRPr="00580C0D" w:rsidRDefault="00142E5B" w:rsidP="00BD6CF4">
            <w:pPr>
              <w:jc w:val="right"/>
            </w:pPr>
            <w:r w:rsidRPr="00580C0D">
              <w:t xml:space="preserve">Rapporteringa blir avslutta </w:t>
            </w:r>
            <w:r w:rsidRPr="00580C0D">
              <w:br/>
              <w:t>(Ja/Nei)</w:t>
            </w:r>
          </w:p>
        </w:tc>
      </w:tr>
      <w:tr w:rsidR="00F7113A" w:rsidRPr="00580C0D" w14:paraId="5BCCA920" w14:textId="77777777" w:rsidTr="00BD6CF4">
        <w:trPr>
          <w:trHeight w:val="640"/>
        </w:trPr>
        <w:tc>
          <w:tcPr>
            <w:tcW w:w="1180" w:type="dxa"/>
            <w:tcBorders>
              <w:top w:val="single" w:sz="4" w:space="0" w:color="000000"/>
              <w:left w:val="nil"/>
              <w:bottom w:val="nil"/>
              <w:right w:val="nil"/>
            </w:tcBorders>
            <w:tcMar>
              <w:top w:w="128" w:type="dxa"/>
              <w:left w:w="43" w:type="dxa"/>
              <w:bottom w:w="43" w:type="dxa"/>
              <w:right w:w="43" w:type="dxa"/>
            </w:tcMar>
          </w:tcPr>
          <w:p w14:paraId="453AE13F" w14:textId="77777777" w:rsidR="00F7113A" w:rsidRPr="00580C0D" w:rsidRDefault="00142E5B" w:rsidP="00BD6CF4">
            <w:r w:rsidRPr="00580C0D">
              <w:t>2022–2023</w:t>
            </w:r>
          </w:p>
        </w:tc>
        <w:tc>
          <w:tcPr>
            <w:tcW w:w="904" w:type="dxa"/>
            <w:tcBorders>
              <w:top w:val="single" w:sz="4" w:space="0" w:color="000000"/>
              <w:left w:val="nil"/>
              <w:bottom w:val="nil"/>
              <w:right w:val="nil"/>
            </w:tcBorders>
            <w:tcMar>
              <w:top w:w="128" w:type="dxa"/>
              <w:left w:w="43" w:type="dxa"/>
              <w:bottom w:w="43" w:type="dxa"/>
              <w:right w:w="43" w:type="dxa"/>
            </w:tcMar>
          </w:tcPr>
          <w:p w14:paraId="7EE0046D" w14:textId="77777777" w:rsidR="00F7113A" w:rsidRPr="00580C0D" w:rsidRDefault="00142E5B" w:rsidP="00BD6CF4">
            <w:pPr>
              <w:ind w:right="284"/>
              <w:jc w:val="right"/>
            </w:pPr>
            <w:r w:rsidRPr="00580C0D">
              <w:t>13</w:t>
            </w:r>
          </w:p>
        </w:tc>
        <w:tc>
          <w:tcPr>
            <w:tcW w:w="5953" w:type="dxa"/>
            <w:tcBorders>
              <w:top w:val="single" w:sz="4" w:space="0" w:color="000000"/>
              <w:left w:val="nil"/>
              <w:bottom w:val="nil"/>
              <w:right w:val="nil"/>
            </w:tcBorders>
            <w:tcMar>
              <w:top w:w="128" w:type="dxa"/>
              <w:left w:w="43" w:type="dxa"/>
              <w:bottom w:w="43" w:type="dxa"/>
              <w:right w:w="43" w:type="dxa"/>
            </w:tcMar>
          </w:tcPr>
          <w:p w14:paraId="7316C1EE" w14:textId="636A231C" w:rsidR="00F7113A" w:rsidRPr="00580C0D" w:rsidRDefault="00142E5B" w:rsidP="00BD6CF4">
            <w:r w:rsidRPr="00580C0D">
              <w:t xml:space="preserve">Kartlegging av potensialet for solenergiproduksjon på </w:t>
            </w:r>
            <w:r w:rsidR="00E13315">
              <w:br/>
            </w:r>
            <w:proofErr w:type="spellStart"/>
            <w:r w:rsidRPr="00580C0D">
              <w:t>eksisterande</w:t>
            </w:r>
            <w:proofErr w:type="spellEnd"/>
            <w:r w:rsidRPr="00580C0D">
              <w:t xml:space="preserve"> infrastruktur</w:t>
            </w:r>
          </w:p>
        </w:tc>
        <w:tc>
          <w:tcPr>
            <w:tcW w:w="1503" w:type="dxa"/>
            <w:tcBorders>
              <w:top w:val="single" w:sz="4" w:space="0" w:color="000000"/>
              <w:left w:val="nil"/>
              <w:bottom w:val="nil"/>
              <w:right w:val="nil"/>
            </w:tcBorders>
            <w:tcMar>
              <w:top w:w="128" w:type="dxa"/>
              <w:left w:w="43" w:type="dxa"/>
              <w:bottom w:w="43" w:type="dxa"/>
              <w:right w:w="43" w:type="dxa"/>
            </w:tcMar>
            <w:vAlign w:val="bottom"/>
          </w:tcPr>
          <w:p w14:paraId="4B1ABCE0" w14:textId="77777777" w:rsidR="00F7113A" w:rsidRPr="00580C0D" w:rsidRDefault="00142E5B" w:rsidP="00BD6CF4">
            <w:pPr>
              <w:jc w:val="right"/>
            </w:pPr>
            <w:r w:rsidRPr="00580C0D">
              <w:t>Ja</w:t>
            </w:r>
          </w:p>
        </w:tc>
      </w:tr>
      <w:tr w:rsidR="00F7113A" w:rsidRPr="00580C0D" w14:paraId="03B6D484"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558122F7"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56273E9D" w14:textId="77777777" w:rsidR="00F7113A" w:rsidRPr="00580C0D" w:rsidRDefault="00142E5B" w:rsidP="00BD6CF4">
            <w:pPr>
              <w:ind w:right="284"/>
              <w:jc w:val="right"/>
            </w:pPr>
            <w:r w:rsidRPr="00580C0D">
              <w:t>16</w:t>
            </w:r>
          </w:p>
        </w:tc>
        <w:tc>
          <w:tcPr>
            <w:tcW w:w="5953" w:type="dxa"/>
            <w:tcBorders>
              <w:top w:val="nil"/>
              <w:left w:val="nil"/>
              <w:bottom w:val="nil"/>
              <w:right w:val="nil"/>
            </w:tcBorders>
            <w:tcMar>
              <w:top w:w="128" w:type="dxa"/>
              <w:left w:w="43" w:type="dxa"/>
              <w:bottom w:w="43" w:type="dxa"/>
              <w:right w:w="43" w:type="dxa"/>
            </w:tcMar>
          </w:tcPr>
          <w:p w14:paraId="3A99E18E" w14:textId="77777777" w:rsidR="00F7113A" w:rsidRPr="00580C0D" w:rsidRDefault="00142E5B" w:rsidP="00BD6CF4">
            <w:r w:rsidRPr="00580C0D">
              <w:t xml:space="preserve">Mellombels eller tidsavgrensa fritak </w:t>
            </w:r>
            <w:proofErr w:type="spellStart"/>
            <w:r w:rsidRPr="00580C0D">
              <w:t>frå</w:t>
            </w:r>
            <w:proofErr w:type="spellEnd"/>
            <w:r w:rsidRPr="00580C0D">
              <w:t xml:space="preserve"> konsesjonsplikt</w:t>
            </w:r>
          </w:p>
        </w:tc>
        <w:tc>
          <w:tcPr>
            <w:tcW w:w="1503" w:type="dxa"/>
            <w:tcBorders>
              <w:top w:val="nil"/>
              <w:left w:val="nil"/>
              <w:bottom w:val="nil"/>
              <w:right w:val="nil"/>
            </w:tcBorders>
            <w:tcMar>
              <w:top w:w="128" w:type="dxa"/>
              <w:left w:w="43" w:type="dxa"/>
              <w:bottom w:w="43" w:type="dxa"/>
              <w:right w:w="43" w:type="dxa"/>
            </w:tcMar>
            <w:vAlign w:val="bottom"/>
          </w:tcPr>
          <w:p w14:paraId="3C6EDA3B" w14:textId="77777777" w:rsidR="00F7113A" w:rsidRPr="00580C0D" w:rsidRDefault="00142E5B" w:rsidP="00BD6CF4">
            <w:pPr>
              <w:jc w:val="right"/>
            </w:pPr>
            <w:r w:rsidRPr="00580C0D">
              <w:t>Ja</w:t>
            </w:r>
          </w:p>
        </w:tc>
      </w:tr>
      <w:tr w:rsidR="00F7113A" w:rsidRPr="00580C0D" w14:paraId="2576483E"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18037F95"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5942305F" w14:textId="77777777" w:rsidR="00F7113A" w:rsidRPr="00580C0D" w:rsidRDefault="00142E5B" w:rsidP="00BD6CF4">
            <w:pPr>
              <w:ind w:right="284"/>
              <w:jc w:val="right"/>
            </w:pPr>
            <w:r w:rsidRPr="00580C0D">
              <w:t>17</w:t>
            </w:r>
          </w:p>
        </w:tc>
        <w:tc>
          <w:tcPr>
            <w:tcW w:w="5953" w:type="dxa"/>
            <w:tcBorders>
              <w:top w:val="nil"/>
              <w:left w:val="nil"/>
              <w:bottom w:val="nil"/>
              <w:right w:val="nil"/>
            </w:tcBorders>
            <w:tcMar>
              <w:top w:w="128" w:type="dxa"/>
              <w:left w:w="43" w:type="dxa"/>
              <w:bottom w:w="43" w:type="dxa"/>
              <w:right w:w="43" w:type="dxa"/>
            </w:tcMar>
          </w:tcPr>
          <w:p w14:paraId="5B46A405" w14:textId="77777777" w:rsidR="00F7113A" w:rsidRPr="00580C0D" w:rsidRDefault="00142E5B" w:rsidP="00BD6CF4">
            <w:r w:rsidRPr="00580C0D">
              <w:t xml:space="preserve">Fjerne fritaksgrensa på 500 kW for </w:t>
            </w:r>
            <w:proofErr w:type="spellStart"/>
            <w:r w:rsidRPr="00580C0D">
              <w:t>nettleige</w:t>
            </w:r>
            <w:proofErr w:type="spellEnd"/>
            <w:r w:rsidRPr="00580C0D">
              <w:t xml:space="preserve"> på </w:t>
            </w:r>
            <w:proofErr w:type="spellStart"/>
            <w:r w:rsidRPr="00580C0D">
              <w:t>straum</w:t>
            </w:r>
            <w:proofErr w:type="spellEnd"/>
            <w:r w:rsidRPr="00580C0D">
              <w:t xml:space="preserve"> mv.</w:t>
            </w:r>
          </w:p>
        </w:tc>
        <w:tc>
          <w:tcPr>
            <w:tcW w:w="1503" w:type="dxa"/>
            <w:tcBorders>
              <w:top w:val="nil"/>
              <w:left w:val="nil"/>
              <w:bottom w:val="nil"/>
              <w:right w:val="nil"/>
            </w:tcBorders>
            <w:tcMar>
              <w:top w:w="128" w:type="dxa"/>
              <w:left w:w="43" w:type="dxa"/>
              <w:bottom w:w="43" w:type="dxa"/>
              <w:right w:w="43" w:type="dxa"/>
            </w:tcMar>
            <w:vAlign w:val="bottom"/>
          </w:tcPr>
          <w:p w14:paraId="400F4928" w14:textId="77777777" w:rsidR="00F7113A" w:rsidRPr="00580C0D" w:rsidRDefault="00142E5B" w:rsidP="00BD6CF4">
            <w:pPr>
              <w:jc w:val="right"/>
            </w:pPr>
            <w:r w:rsidRPr="00580C0D">
              <w:t>Ja</w:t>
            </w:r>
          </w:p>
        </w:tc>
      </w:tr>
      <w:tr w:rsidR="00F7113A" w:rsidRPr="00580C0D" w14:paraId="4D6E7656"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45BE3BA7"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2E035A4C" w14:textId="77777777" w:rsidR="00F7113A" w:rsidRPr="00580C0D" w:rsidRDefault="00142E5B" w:rsidP="00BD6CF4">
            <w:pPr>
              <w:ind w:right="284"/>
              <w:jc w:val="right"/>
            </w:pPr>
            <w:r w:rsidRPr="00580C0D">
              <w:t>18</w:t>
            </w:r>
          </w:p>
        </w:tc>
        <w:tc>
          <w:tcPr>
            <w:tcW w:w="5953" w:type="dxa"/>
            <w:tcBorders>
              <w:top w:val="nil"/>
              <w:left w:val="nil"/>
              <w:bottom w:val="nil"/>
              <w:right w:val="nil"/>
            </w:tcBorders>
            <w:tcMar>
              <w:top w:w="128" w:type="dxa"/>
              <w:left w:w="43" w:type="dxa"/>
              <w:bottom w:w="43" w:type="dxa"/>
              <w:right w:w="43" w:type="dxa"/>
            </w:tcMar>
          </w:tcPr>
          <w:p w14:paraId="51ABED46" w14:textId="77777777" w:rsidR="00F7113A" w:rsidRPr="00580C0D" w:rsidRDefault="00142E5B" w:rsidP="00BD6CF4">
            <w:r w:rsidRPr="00580C0D">
              <w:t>Effektgrense for konsesjonsplikt for solenergianlegg</w:t>
            </w:r>
          </w:p>
        </w:tc>
        <w:tc>
          <w:tcPr>
            <w:tcW w:w="1503" w:type="dxa"/>
            <w:tcBorders>
              <w:top w:val="nil"/>
              <w:left w:val="nil"/>
              <w:bottom w:val="nil"/>
              <w:right w:val="nil"/>
            </w:tcBorders>
            <w:tcMar>
              <w:top w:w="128" w:type="dxa"/>
              <w:left w:w="43" w:type="dxa"/>
              <w:bottom w:w="43" w:type="dxa"/>
              <w:right w:w="43" w:type="dxa"/>
            </w:tcMar>
            <w:vAlign w:val="bottom"/>
          </w:tcPr>
          <w:p w14:paraId="4BBA8433" w14:textId="77777777" w:rsidR="00F7113A" w:rsidRPr="00580C0D" w:rsidRDefault="00142E5B" w:rsidP="00BD6CF4">
            <w:pPr>
              <w:jc w:val="right"/>
            </w:pPr>
            <w:r w:rsidRPr="00580C0D">
              <w:t>Nei</w:t>
            </w:r>
          </w:p>
        </w:tc>
      </w:tr>
      <w:tr w:rsidR="00F7113A" w:rsidRPr="00580C0D" w14:paraId="3FA8B812"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21BEAAF8"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2AB1AAE3" w14:textId="77777777" w:rsidR="00F7113A" w:rsidRPr="00580C0D" w:rsidRDefault="00142E5B" w:rsidP="00BD6CF4">
            <w:pPr>
              <w:ind w:right="284"/>
              <w:jc w:val="right"/>
            </w:pPr>
            <w:r w:rsidRPr="00580C0D">
              <w:t>19</w:t>
            </w:r>
          </w:p>
        </w:tc>
        <w:tc>
          <w:tcPr>
            <w:tcW w:w="5953" w:type="dxa"/>
            <w:tcBorders>
              <w:top w:val="nil"/>
              <w:left w:val="nil"/>
              <w:bottom w:val="nil"/>
              <w:right w:val="nil"/>
            </w:tcBorders>
            <w:tcMar>
              <w:top w:w="128" w:type="dxa"/>
              <w:left w:w="43" w:type="dxa"/>
              <w:bottom w:w="43" w:type="dxa"/>
              <w:right w:w="43" w:type="dxa"/>
            </w:tcMar>
          </w:tcPr>
          <w:p w14:paraId="7CF5822E" w14:textId="77777777" w:rsidR="00F7113A" w:rsidRPr="00580C0D" w:rsidRDefault="00142E5B" w:rsidP="00BD6CF4">
            <w:r w:rsidRPr="00580C0D">
              <w:t xml:space="preserve">Ny teknologi som </w:t>
            </w:r>
            <w:proofErr w:type="spellStart"/>
            <w:r w:rsidRPr="00580C0D">
              <w:t>aukar</w:t>
            </w:r>
            <w:proofErr w:type="spellEnd"/>
            <w:r w:rsidRPr="00580C0D">
              <w:t xml:space="preserve"> utnyttinga av </w:t>
            </w:r>
            <w:proofErr w:type="spellStart"/>
            <w:r w:rsidRPr="00580C0D">
              <w:t>eksisterande</w:t>
            </w:r>
            <w:proofErr w:type="spellEnd"/>
            <w:r w:rsidRPr="00580C0D">
              <w:t xml:space="preserve"> infrastruktur</w:t>
            </w:r>
          </w:p>
        </w:tc>
        <w:tc>
          <w:tcPr>
            <w:tcW w:w="1503" w:type="dxa"/>
            <w:tcBorders>
              <w:top w:val="nil"/>
              <w:left w:val="nil"/>
              <w:bottom w:val="nil"/>
              <w:right w:val="nil"/>
            </w:tcBorders>
            <w:tcMar>
              <w:top w:w="128" w:type="dxa"/>
              <w:left w:w="43" w:type="dxa"/>
              <w:bottom w:w="43" w:type="dxa"/>
              <w:right w:w="43" w:type="dxa"/>
            </w:tcMar>
            <w:vAlign w:val="bottom"/>
          </w:tcPr>
          <w:p w14:paraId="719015FE" w14:textId="77777777" w:rsidR="00F7113A" w:rsidRPr="00580C0D" w:rsidRDefault="00142E5B" w:rsidP="00BD6CF4">
            <w:pPr>
              <w:jc w:val="right"/>
            </w:pPr>
            <w:r w:rsidRPr="00580C0D">
              <w:t>Ja</w:t>
            </w:r>
          </w:p>
        </w:tc>
      </w:tr>
      <w:tr w:rsidR="00F7113A" w:rsidRPr="00580C0D" w14:paraId="3391B216"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46AA5BB0"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108C3DEA" w14:textId="77777777" w:rsidR="00F7113A" w:rsidRPr="00580C0D" w:rsidRDefault="00142E5B" w:rsidP="00BD6CF4">
            <w:pPr>
              <w:ind w:right="284"/>
              <w:jc w:val="right"/>
            </w:pPr>
            <w:r w:rsidRPr="00580C0D">
              <w:t>20</w:t>
            </w:r>
          </w:p>
        </w:tc>
        <w:tc>
          <w:tcPr>
            <w:tcW w:w="5953" w:type="dxa"/>
            <w:tcBorders>
              <w:top w:val="nil"/>
              <w:left w:val="nil"/>
              <w:bottom w:val="nil"/>
              <w:right w:val="nil"/>
            </w:tcBorders>
            <w:tcMar>
              <w:top w:w="128" w:type="dxa"/>
              <w:left w:w="43" w:type="dxa"/>
              <w:bottom w:w="43" w:type="dxa"/>
              <w:right w:w="43" w:type="dxa"/>
            </w:tcMar>
          </w:tcPr>
          <w:p w14:paraId="6F2FFEB7" w14:textId="77777777" w:rsidR="00F7113A" w:rsidRPr="00580C0D" w:rsidRDefault="00142E5B" w:rsidP="00BD6CF4">
            <w:r w:rsidRPr="00580C0D">
              <w:t>Straumstønadsordning for nærvarmeanlegg</w:t>
            </w:r>
          </w:p>
        </w:tc>
        <w:tc>
          <w:tcPr>
            <w:tcW w:w="1503" w:type="dxa"/>
            <w:tcBorders>
              <w:top w:val="nil"/>
              <w:left w:val="nil"/>
              <w:bottom w:val="nil"/>
              <w:right w:val="nil"/>
            </w:tcBorders>
            <w:tcMar>
              <w:top w:w="128" w:type="dxa"/>
              <w:left w:w="43" w:type="dxa"/>
              <w:bottom w:w="43" w:type="dxa"/>
              <w:right w:w="43" w:type="dxa"/>
            </w:tcMar>
            <w:vAlign w:val="bottom"/>
          </w:tcPr>
          <w:p w14:paraId="1F4BA1FA" w14:textId="77777777" w:rsidR="00F7113A" w:rsidRPr="00580C0D" w:rsidRDefault="00142E5B" w:rsidP="00BD6CF4">
            <w:pPr>
              <w:jc w:val="right"/>
            </w:pPr>
            <w:r w:rsidRPr="00580C0D">
              <w:t>Ja</w:t>
            </w:r>
          </w:p>
        </w:tc>
      </w:tr>
      <w:tr w:rsidR="00F7113A" w:rsidRPr="00580C0D" w14:paraId="3B83B2C8"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7769CDA8"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310393CD" w14:textId="77777777" w:rsidR="00F7113A" w:rsidRPr="00580C0D" w:rsidRDefault="00142E5B" w:rsidP="00BD6CF4">
            <w:pPr>
              <w:ind w:right="284"/>
              <w:jc w:val="right"/>
            </w:pPr>
            <w:r w:rsidRPr="00580C0D">
              <w:t>102</w:t>
            </w:r>
          </w:p>
        </w:tc>
        <w:tc>
          <w:tcPr>
            <w:tcW w:w="5953" w:type="dxa"/>
            <w:tcBorders>
              <w:top w:val="nil"/>
              <w:left w:val="nil"/>
              <w:bottom w:val="nil"/>
              <w:right w:val="nil"/>
            </w:tcBorders>
            <w:tcMar>
              <w:top w:w="128" w:type="dxa"/>
              <w:left w:w="43" w:type="dxa"/>
              <w:bottom w:w="43" w:type="dxa"/>
              <w:right w:w="43" w:type="dxa"/>
            </w:tcMar>
          </w:tcPr>
          <w:p w14:paraId="7149FD5B" w14:textId="77777777" w:rsidR="00F7113A" w:rsidRPr="00580C0D" w:rsidRDefault="00142E5B" w:rsidP="00BD6CF4">
            <w:proofErr w:type="spellStart"/>
            <w:r w:rsidRPr="00580C0D">
              <w:t>Ikkje</w:t>
            </w:r>
            <w:proofErr w:type="spellEnd"/>
            <w:r w:rsidRPr="00580C0D">
              <w:t xml:space="preserve"> lyse ut 26. konsesjonsrunde i denne stortingsperioden</w:t>
            </w:r>
          </w:p>
        </w:tc>
        <w:tc>
          <w:tcPr>
            <w:tcW w:w="1503" w:type="dxa"/>
            <w:tcBorders>
              <w:top w:val="nil"/>
              <w:left w:val="nil"/>
              <w:bottom w:val="nil"/>
              <w:right w:val="nil"/>
            </w:tcBorders>
            <w:tcMar>
              <w:top w:w="128" w:type="dxa"/>
              <w:left w:w="43" w:type="dxa"/>
              <w:bottom w:w="43" w:type="dxa"/>
              <w:right w:w="43" w:type="dxa"/>
            </w:tcMar>
            <w:vAlign w:val="bottom"/>
          </w:tcPr>
          <w:p w14:paraId="3E897CC0" w14:textId="77777777" w:rsidR="00F7113A" w:rsidRPr="00580C0D" w:rsidRDefault="00142E5B" w:rsidP="00BD6CF4">
            <w:pPr>
              <w:jc w:val="right"/>
            </w:pPr>
            <w:r w:rsidRPr="00580C0D">
              <w:t>Ja</w:t>
            </w:r>
          </w:p>
        </w:tc>
      </w:tr>
      <w:tr w:rsidR="00F7113A" w:rsidRPr="00580C0D" w14:paraId="463FCAD1"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466E851D"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18F576F0" w14:textId="77777777" w:rsidR="00F7113A" w:rsidRPr="00580C0D" w:rsidRDefault="00142E5B" w:rsidP="00BD6CF4">
            <w:pPr>
              <w:ind w:right="284"/>
              <w:jc w:val="right"/>
            </w:pPr>
            <w:r w:rsidRPr="00580C0D">
              <w:t>103</w:t>
            </w:r>
          </w:p>
        </w:tc>
        <w:tc>
          <w:tcPr>
            <w:tcW w:w="5953" w:type="dxa"/>
            <w:tcBorders>
              <w:top w:val="nil"/>
              <w:left w:val="nil"/>
              <w:bottom w:val="nil"/>
              <w:right w:val="nil"/>
            </w:tcBorders>
            <w:tcMar>
              <w:top w:w="128" w:type="dxa"/>
              <w:left w:w="43" w:type="dxa"/>
              <w:bottom w:w="43" w:type="dxa"/>
              <w:right w:w="43" w:type="dxa"/>
            </w:tcMar>
          </w:tcPr>
          <w:p w14:paraId="1BE0A104" w14:textId="77777777" w:rsidR="00F7113A" w:rsidRPr="00580C0D" w:rsidRDefault="00142E5B" w:rsidP="00BD6CF4">
            <w:proofErr w:type="spellStart"/>
            <w:r w:rsidRPr="00580C0D">
              <w:t>Ikkje</w:t>
            </w:r>
            <w:proofErr w:type="spellEnd"/>
            <w:r w:rsidRPr="00580C0D">
              <w:t xml:space="preserve"> ta inn tre angitte TFO-blokker i 2023</w:t>
            </w:r>
          </w:p>
        </w:tc>
        <w:tc>
          <w:tcPr>
            <w:tcW w:w="1503" w:type="dxa"/>
            <w:tcBorders>
              <w:top w:val="nil"/>
              <w:left w:val="nil"/>
              <w:bottom w:val="nil"/>
              <w:right w:val="nil"/>
            </w:tcBorders>
            <w:tcMar>
              <w:top w:w="128" w:type="dxa"/>
              <w:left w:w="43" w:type="dxa"/>
              <w:bottom w:w="43" w:type="dxa"/>
              <w:right w:w="43" w:type="dxa"/>
            </w:tcMar>
            <w:vAlign w:val="bottom"/>
          </w:tcPr>
          <w:p w14:paraId="138DE967" w14:textId="77777777" w:rsidR="00F7113A" w:rsidRPr="00580C0D" w:rsidRDefault="00142E5B" w:rsidP="00BD6CF4">
            <w:pPr>
              <w:jc w:val="right"/>
            </w:pPr>
            <w:r w:rsidRPr="00580C0D">
              <w:t>Ja</w:t>
            </w:r>
          </w:p>
        </w:tc>
      </w:tr>
      <w:tr w:rsidR="00F7113A" w:rsidRPr="00580C0D" w14:paraId="4771413B"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185488D3"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7E11B268" w14:textId="77777777" w:rsidR="00F7113A" w:rsidRPr="00580C0D" w:rsidRDefault="00142E5B" w:rsidP="00BD6CF4">
            <w:pPr>
              <w:ind w:right="284"/>
              <w:jc w:val="right"/>
            </w:pPr>
            <w:r w:rsidRPr="00580C0D">
              <w:t>106</w:t>
            </w:r>
          </w:p>
        </w:tc>
        <w:tc>
          <w:tcPr>
            <w:tcW w:w="5953" w:type="dxa"/>
            <w:tcBorders>
              <w:top w:val="nil"/>
              <w:left w:val="nil"/>
              <w:bottom w:val="nil"/>
              <w:right w:val="nil"/>
            </w:tcBorders>
            <w:tcMar>
              <w:top w:w="128" w:type="dxa"/>
              <w:left w:w="43" w:type="dxa"/>
              <w:bottom w:w="43" w:type="dxa"/>
              <w:right w:w="43" w:type="dxa"/>
            </w:tcMar>
          </w:tcPr>
          <w:p w14:paraId="07F642FC" w14:textId="77777777" w:rsidR="00F7113A" w:rsidRPr="00580C0D" w:rsidRDefault="00142E5B" w:rsidP="00BD6CF4">
            <w:proofErr w:type="spellStart"/>
            <w:r w:rsidRPr="00580C0D">
              <w:t>Differansekontraktar</w:t>
            </w:r>
            <w:proofErr w:type="spellEnd"/>
            <w:r w:rsidRPr="00580C0D">
              <w:t xml:space="preserve"> for hydrogen</w:t>
            </w:r>
          </w:p>
        </w:tc>
        <w:tc>
          <w:tcPr>
            <w:tcW w:w="1503" w:type="dxa"/>
            <w:tcBorders>
              <w:top w:val="nil"/>
              <w:left w:val="nil"/>
              <w:bottom w:val="nil"/>
              <w:right w:val="nil"/>
            </w:tcBorders>
            <w:tcMar>
              <w:top w:w="128" w:type="dxa"/>
              <w:left w:w="43" w:type="dxa"/>
              <w:bottom w:w="43" w:type="dxa"/>
              <w:right w:w="43" w:type="dxa"/>
            </w:tcMar>
            <w:vAlign w:val="bottom"/>
          </w:tcPr>
          <w:p w14:paraId="0D747320" w14:textId="77777777" w:rsidR="00F7113A" w:rsidRPr="00580C0D" w:rsidRDefault="00142E5B" w:rsidP="00BD6CF4">
            <w:pPr>
              <w:jc w:val="right"/>
            </w:pPr>
            <w:r w:rsidRPr="00580C0D">
              <w:t>Ja</w:t>
            </w:r>
          </w:p>
        </w:tc>
      </w:tr>
      <w:tr w:rsidR="00F7113A" w:rsidRPr="00580C0D" w14:paraId="0E69F629"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5EE04D86"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5E0AE665" w14:textId="77777777" w:rsidR="00F7113A" w:rsidRPr="00580C0D" w:rsidRDefault="00142E5B" w:rsidP="00BD6CF4">
            <w:pPr>
              <w:ind w:right="284"/>
              <w:jc w:val="right"/>
            </w:pPr>
            <w:r w:rsidRPr="00580C0D">
              <w:t>158</w:t>
            </w:r>
          </w:p>
        </w:tc>
        <w:tc>
          <w:tcPr>
            <w:tcW w:w="5953" w:type="dxa"/>
            <w:tcBorders>
              <w:top w:val="nil"/>
              <w:left w:val="nil"/>
              <w:bottom w:val="nil"/>
              <w:right w:val="nil"/>
            </w:tcBorders>
            <w:tcMar>
              <w:top w:w="128" w:type="dxa"/>
              <w:left w:w="43" w:type="dxa"/>
              <w:bottom w:w="43" w:type="dxa"/>
              <w:right w:w="43" w:type="dxa"/>
            </w:tcMar>
          </w:tcPr>
          <w:p w14:paraId="63358CED" w14:textId="77777777" w:rsidR="00F7113A" w:rsidRPr="00580C0D" w:rsidRDefault="00142E5B" w:rsidP="00BD6CF4">
            <w:r w:rsidRPr="00580C0D">
              <w:t>Straumstønad for mindre, private straumnett</w:t>
            </w:r>
          </w:p>
        </w:tc>
        <w:tc>
          <w:tcPr>
            <w:tcW w:w="1503" w:type="dxa"/>
            <w:tcBorders>
              <w:top w:val="nil"/>
              <w:left w:val="nil"/>
              <w:bottom w:val="nil"/>
              <w:right w:val="nil"/>
            </w:tcBorders>
            <w:tcMar>
              <w:top w:w="128" w:type="dxa"/>
              <w:left w:w="43" w:type="dxa"/>
              <w:bottom w:w="43" w:type="dxa"/>
              <w:right w:w="43" w:type="dxa"/>
            </w:tcMar>
            <w:vAlign w:val="bottom"/>
          </w:tcPr>
          <w:p w14:paraId="186C50F1" w14:textId="77777777" w:rsidR="00F7113A" w:rsidRPr="00580C0D" w:rsidRDefault="00142E5B" w:rsidP="00BD6CF4">
            <w:pPr>
              <w:jc w:val="right"/>
            </w:pPr>
            <w:r w:rsidRPr="00580C0D">
              <w:t xml:space="preserve">Ja </w:t>
            </w:r>
          </w:p>
        </w:tc>
      </w:tr>
      <w:tr w:rsidR="00F7113A" w:rsidRPr="00580C0D" w14:paraId="710A2019"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121536BF"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52E20B89" w14:textId="77777777" w:rsidR="00F7113A" w:rsidRPr="00580C0D" w:rsidRDefault="00142E5B" w:rsidP="00BD6CF4">
            <w:pPr>
              <w:ind w:right="284"/>
              <w:jc w:val="right"/>
            </w:pPr>
            <w:r w:rsidRPr="00580C0D">
              <w:t>159</w:t>
            </w:r>
          </w:p>
        </w:tc>
        <w:tc>
          <w:tcPr>
            <w:tcW w:w="5953" w:type="dxa"/>
            <w:tcBorders>
              <w:top w:val="nil"/>
              <w:left w:val="nil"/>
              <w:bottom w:val="nil"/>
              <w:right w:val="nil"/>
            </w:tcBorders>
            <w:tcMar>
              <w:top w:w="128" w:type="dxa"/>
              <w:left w:w="43" w:type="dxa"/>
              <w:bottom w:w="43" w:type="dxa"/>
              <w:right w:w="43" w:type="dxa"/>
            </w:tcMar>
          </w:tcPr>
          <w:p w14:paraId="44E171EB" w14:textId="77777777" w:rsidR="00F7113A" w:rsidRPr="00580C0D" w:rsidRDefault="00142E5B" w:rsidP="00BD6CF4">
            <w:r w:rsidRPr="00580C0D">
              <w:t>Straumstønadsordning for nærvarmeanlegg</w:t>
            </w:r>
          </w:p>
        </w:tc>
        <w:tc>
          <w:tcPr>
            <w:tcW w:w="1503" w:type="dxa"/>
            <w:tcBorders>
              <w:top w:val="nil"/>
              <w:left w:val="nil"/>
              <w:bottom w:val="nil"/>
              <w:right w:val="nil"/>
            </w:tcBorders>
            <w:tcMar>
              <w:top w:w="128" w:type="dxa"/>
              <w:left w:w="43" w:type="dxa"/>
              <w:bottom w:w="43" w:type="dxa"/>
              <w:right w:w="43" w:type="dxa"/>
            </w:tcMar>
            <w:vAlign w:val="bottom"/>
          </w:tcPr>
          <w:p w14:paraId="17DC1479" w14:textId="77777777" w:rsidR="00F7113A" w:rsidRPr="00580C0D" w:rsidRDefault="00142E5B" w:rsidP="00BD6CF4">
            <w:pPr>
              <w:jc w:val="right"/>
            </w:pPr>
            <w:r w:rsidRPr="00580C0D">
              <w:t>Ja</w:t>
            </w:r>
          </w:p>
        </w:tc>
      </w:tr>
      <w:tr w:rsidR="00F7113A" w:rsidRPr="00580C0D" w14:paraId="15AE97A5"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2C7E5D7D"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06D54860" w14:textId="77777777" w:rsidR="00F7113A" w:rsidRPr="00580C0D" w:rsidRDefault="00142E5B" w:rsidP="00BD6CF4">
            <w:pPr>
              <w:ind w:right="284"/>
              <w:jc w:val="right"/>
            </w:pPr>
            <w:r w:rsidRPr="00580C0D">
              <w:t>160</w:t>
            </w:r>
          </w:p>
        </w:tc>
        <w:tc>
          <w:tcPr>
            <w:tcW w:w="5953" w:type="dxa"/>
            <w:tcBorders>
              <w:top w:val="nil"/>
              <w:left w:val="nil"/>
              <w:bottom w:val="nil"/>
              <w:right w:val="nil"/>
            </w:tcBorders>
            <w:tcMar>
              <w:top w:w="128" w:type="dxa"/>
              <w:left w:w="43" w:type="dxa"/>
              <w:bottom w:w="43" w:type="dxa"/>
              <w:right w:w="43" w:type="dxa"/>
            </w:tcMar>
          </w:tcPr>
          <w:p w14:paraId="3F4634AF" w14:textId="77777777" w:rsidR="00F7113A" w:rsidRPr="00580C0D" w:rsidRDefault="00142E5B" w:rsidP="00BD6CF4">
            <w:r w:rsidRPr="00580C0D">
              <w:t xml:space="preserve">Straumstønad for </w:t>
            </w:r>
            <w:proofErr w:type="spellStart"/>
            <w:r w:rsidRPr="00580C0D">
              <w:t>fritidsbustader</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0360050E" w14:textId="77777777" w:rsidR="00F7113A" w:rsidRPr="00580C0D" w:rsidRDefault="00142E5B" w:rsidP="00BD6CF4">
            <w:pPr>
              <w:jc w:val="right"/>
            </w:pPr>
            <w:r w:rsidRPr="00580C0D">
              <w:t>Ja</w:t>
            </w:r>
          </w:p>
        </w:tc>
      </w:tr>
      <w:tr w:rsidR="00F7113A" w:rsidRPr="00580C0D" w14:paraId="7C0AEDB4"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65FC5933"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1CF6E594" w14:textId="77777777" w:rsidR="00F7113A" w:rsidRPr="00580C0D" w:rsidRDefault="00142E5B" w:rsidP="00BD6CF4">
            <w:pPr>
              <w:ind w:right="284"/>
              <w:jc w:val="right"/>
            </w:pPr>
            <w:r w:rsidRPr="00580C0D">
              <w:t>596</w:t>
            </w:r>
          </w:p>
        </w:tc>
        <w:tc>
          <w:tcPr>
            <w:tcW w:w="5953" w:type="dxa"/>
            <w:tcBorders>
              <w:top w:val="nil"/>
              <w:left w:val="nil"/>
              <w:bottom w:val="nil"/>
              <w:right w:val="nil"/>
            </w:tcBorders>
            <w:tcMar>
              <w:top w:w="128" w:type="dxa"/>
              <w:left w:w="43" w:type="dxa"/>
              <w:bottom w:w="43" w:type="dxa"/>
              <w:right w:w="43" w:type="dxa"/>
            </w:tcMar>
          </w:tcPr>
          <w:p w14:paraId="46D20F65" w14:textId="77777777" w:rsidR="00F7113A" w:rsidRPr="00580C0D" w:rsidRDefault="00142E5B" w:rsidP="00BD6CF4">
            <w:r w:rsidRPr="00580C0D">
              <w:t>Melkøya – CO</w:t>
            </w:r>
            <w:r w:rsidRPr="00580C0D">
              <w:rPr>
                <w:rStyle w:val="skrift-senket"/>
              </w:rPr>
              <w:t>2</w:t>
            </w:r>
            <w:r w:rsidRPr="00580C0D">
              <w:t>-handtering som alternativ til elektrifisering</w:t>
            </w:r>
          </w:p>
        </w:tc>
        <w:tc>
          <w:tcPr>
            <w:tcW w:w="1503" w:type="dxa"/>
            <w:tcBorders>
              <w:top w:val="nil"/>
              <w:left w:val="nil"/>
              <w:bottom w:val="nil"/>
              <w:right w:val="nil"/>
            </w:tcBorders>
            <w:tcMar>
              <w:top w:w="128" w:type="dxa"/>
              <w:left w:w="43" w:type="dxa"/>
              <w:bottom w:w="43" w:type="dxa"/>
              <w:right w:w="43" w:type="dxa"/>
            </w:tcMar>
            <w:vAlign w:val="bottom"/>
          </w:tcPr>
          <w:p w14:paraId="03A56B1D" w14:textId="77777777" w:rsidR="00F7113A" w:rsidRPr="00580C0D" w:rsidRDefault="00142E5B" w:rsidP="00BD6CF4">
            <w:pPr>
              <w:jc w:val="right"/>
            </w:pPr>
            <w:r w:rsidRPr="00580C0D">
              <w:t>Ja</w:t>
            </w:r>
          </w:p>
        </w:tc>
      </w:tr>
      <w:tr w:rsidR="00F7113A" w:rsidRPr="00580C0D" w14:paraId="6C11C3D1"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4A4E1F1B"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320C2D72" w14:textId="77777777" w:rsidR="00F7113A" w:rsidRPr="00580C0D" w:rsidRDefault="00142E5B" w:rsidP="00BD6CF4">
            <w:pPr>
              <w:ind w:right="284"/>
              <w:jc w:val="right"/>
            </w:pPr>
            <w:r w:rsidRPr="00580C0D">
              <w:t>764</w:t>
            </w:r>
          </w:p>
        </w:tc>
        <w:tc>
          <w:tcPr>
            <w:tcW w:w="5953" w:type="dxa"/>
            <w:tcBorders>
              <w:top w:val="nil"/>
              <w:left w:val="nil"/>
              <w:bottom w:val="nil"/>
              <w:right w:val="nil"/>
            </w:tcBorders>
            <w:tcMar>
              <w:top w:w="128" w:type="dxa"/>
              <w:left w:w="43" w:type="dxa"/>
              <w:bottom w:w="43" w:type="dxa"/>
              <w:right w:w="43" w:type="dxa"/>
            </w:tcMar>
          </w:tcPr>
          <w:p w14:paraId="183831B4" w14:textId="77777777" w:rsidR="00F7113A" w:rsidRPr="00580C0D" w:rsidRDefault="00142E5B" w:rsidP="00BD6CF4">
            <w:r w:rsidRPr="00580C0D">
              <w:t xml:space="preserve">Framtidige </w:t>
            </w:r>
            <w:proofErr w:type="spellStart"/>
            <w:r w:rsidRPr="00580C0D">
              <w:t>tildelingar</w:t>
            </w:r>
            <w:proofErr w:type="spellEnd"/>
            <w:r w:rsidRPr="00580C0D">
              <w:t xml:space="preserve"> knytte til CO</w:t>
            </w:r>
            <w:r w:rsidRPr="00580C0D">
              <w:rPr>
                <w:rStyle w:val="skrift-senket"/>
              </w:rPr>
              <w:t>2</w:t>
            </w:r>
            <w:r w:rsidRPr="00580C0D">
              <w:t>-lagring</w:t>
            </w:r>
          </w:p>
        </w:tc>
        <w:tc>
          <w:tcPr>
            <w:tcW w:w="1503" w:type="dxa"/>
            <w:tcBorders>
              <w:top w:val="nil"/>
              <w:left w:val="nil"/>
              <w:bottom w:val="nil"/>
              <w:right w:val="nil"/>
            </w:tcBorders>
            <w:tcMar>
              <w:top w:w="128" w:type="dxa"/>
              <w:left w:w="43" w:type="dxa"/>
              <w:bottom w:w="43" w:type="dxa"/>
              <w:right w:w="43" w:type="dxa"/>
            </w:tcMar>
            <w:vAlign w:val="bottom"/>
          </w:tcPr>
          <w:p w14:paraId="3ED77E36" w14:textId="77777777" w:rsidR="00F7113A" w:rsidRPr="00580C0D" w:rsidRDefault="00142E5B" w:rsidP="00BD6CF4">
            <w:pPr>
              <w:jc w:val="right"/>
            </w:pPr>
            <w:r w:rsidRPr="00580C0D">
              <w:t>Ja</w:t>
            </w:r>
          </w:p>
        </w:tc>
      </w:tr>
      <w:tr w:rsidR="00F7113A" w:rsidRPr="00580C0D" w14:paraId="01F14D3C" w14:textId="77777777" w:rsidTr="00BD6CF4">
        <w:trPr>
          <w:trHeight w:val="880"/>
        </w:trPr>
        <w:tc>
          <w:tcPr>
            <w:tcW w:w="1180" w:type="dxa"/>
            <w:tcBorders>
              <w:top w:val="nil"/>
              <w:left w:val="nil"/>
              <w:bottom w:val="nil"/>
              <w:right w:val="nil"/>
            </w:tcBorders>
            <w:tcMar>
              <w:top w:w="128" w:type="dxa"/>
              <w:left w:w="43" w:type="dxa"/>
              <w:bottom w:w="43" w:type="dxa"/>
              <w:right w:w="43" w:type="dxa"/>
            </w:tcMar>
          </w:tcPr>
          <w:p w14:paraId="00921FD7"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00DC38C7" w14:textId="77777777" w:rsidR="00F7113A" w:rsidRPr="00580C0D" w:rsidRDefault="00142E5B" w:rsidP="00BD6CF4">
            <w:pPr>
              <w:ind w:right="284"/>
              <w:jc w:val="right"/>
            </w:pPr>
            <w:r w:rsidRPr="00580C0D">
              <w:t>765</w:t>
            </w:r>
          </w:p>
        </w:tc>
        <w:tc>
          <w:tcPr>
            <w:tcW w:w="5953" w:type="dxa"/>
            <w:tcBorders>
              <w:top w:val="nil"/>
              <w:left w:val="nil"/>
              <w:bottom w:val="nil"/>
              <w:right w:val="nil"/>
            </w:tcBorders>
            <w:tcMar>
              <w:top w:w="128" w:type="dxa"/>
              <w:left w:w="43" w:type="dxa"/>
              <w:bottom w:w="43" w:type="dxa"/>
              <w:right w:w="43" w:type="dxa"/>
            </w:tcMar>
          </w:tcPr>
          <w:p w14:paraId="1B7ACA37" w14:textId="77777777" w:rsidR="00F7113A" w:rsidRPr="00580C0D" w:rsidRDefault="00142E5B" w:rsidP="00BD6CF4">
            <w:r w:rsidRPr="00580C0D">
              <w:t xml:space="preserve">Forslag til </w:t>
            </w:r>
            <w:proofErr w:type="spellStart"/>
            <w:r w:rsidRPr="00580C0D">
              <w:t>endringar</w:t>
            </w:r>
            <w:proofErr w:type="spellEnd"/>
            <w:r w:rsidRPr="00580C0D">
              <w:t xml:space="preserve"> som </w:t>
            </w:r>
            <w:proofErr w:type="spellStart"/>
            <w:r w:rsidRPr="00580C0D">
              <w:t>tillèt</w:t>
            </w:r>
            <w:proofErr w:type="spellEnd"/>
            <w:r w:rsidRPr="00580C0D">
              <w:t xml:space="preserve"> </w:t>
            </w:r>
            <w:proofErr w:type="spellStart"/>
            <w:r w:rsidRPr="00580C0D">
              <w:t>områdeløysingar</w:t>
            </w:r>
            <w:proofErr w:type="spellEnd"/>
            <w:r w:rsidRPr="00580C0D">
              <w:t xml:space="preserve"> og deling av lokalprodusert </w:t>
            </w:r>
            <w:proofErr w:type="spellStart"/>
            <w:r w:rsidRPr="00580C0D">
              <w:t>straum</w:t>
            </w:r>
            <w:proofErr w:type="spellEnd"/>
            <w:r w:rsidRPr="00580C0D">
              <w:t xml:space="preserve"> og energilagring mellom bygg med ulike gards- og bruksnummer</w:t>
            </w:r>
          </w:p>
        </w:tc>
        <w:tc>
          <w:tcPr>
            <w:tcW w:w="1503" w:type="dxa"/>
            <w:tcBorders>
              <w:top w:val="nil"/>
              <w:left w:val="nil"/>
              <w:bottom w:val="nil"/>
              <w:right w:val="nil"/>
            </w:tcBorders>
            <w:tcMar>
              <w:top w:w="128" w:type="dxa"/>
              <w:left w:w="43" w:type="dxa"/>
              <w:bottom w:w="43" w:type="dxa"/>
              <w:right w:w="43" w:type="dxa"/>
            </w:tcMar>
            <w:vAlign w:val="bottom"/>
          </w:tcPr>
          <w:p w14:paraId="50AC6D7E" w14:textId="77777777" w:rsidR="00F7113A" w:rsidRPr="00580C0D" w:rsidRDefault="00142E5B" w:rsidP="00BD6CF4">
            <w:pPr>
              <w:jc w:val="right"/>
            </w:pPr>
            <w:r w:rsidRPr="00580C0D">
              <w:t>Nei</w:t>
            </w:r>
          </w:p>
        </w:tc>
      </w:tr>
      <w:tr w:rsidR="00F7113A" w:rsidRPr="00580C0D" w14:paraId="2A094030" w14:textId="77777777" w:rsidTr="00BD6CF4">
        <w:trPr>
          <w:trHeight w:val="880"/>
        </w:trPr>
        <w:tc>
          <w:tcPr>
            <w:tcW w:w="1180" w:type="dxa"/>
            <w:tcBorders>
              <w:top w:val="nil"/>
              <w:left w:val="nil"/>
              <w:bottom w:val="nil"/>
              <w:right w:val="nil"/>
            </w:tcBorders>
            <w:tcMar>
              <w:top w:w="128" w:type="dxa"/>
              <w:left w:w="43" w:type="dxa"/>
              <w:bottom w:w="43" w:type="dxa"/>
              <w:right w:w="43" w:type="dxa"/>
            </w:tcMar>
          </w:tcPr>
          <w:p w14:paraId="212CB97C"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4BD496DA" w14:textId="77777777" w:rsidR="00F7113A" w:rsidRPr="00580C0D" w:rsidRDefault="00142E5B" w:rsidP="00BD6CF4">
            <w:pPr>
              <w:ind w:right="284"/>
              <w:jc w:val="right"/>
            </w:pPr>
            <w:r w:rsidRPr="00580C0D">
              <w:t>766</w:t>
            </w:r>
          </w:p>
        </w:tc>
        <w:tc>
          <w:tcPr>
            <w:tcW w:w="5953" w:type="dxa"/>
            <w:tcBorders>
              <w:top w:val="nil"/>
              <w:left w:val="nil"/>
              <w:bottom w:val="nil"/>
              <w:right w:val="nil"/>
            </w:tcBorders>
            <w:tcMar>
              <w:top w:w="128" w:type="dxa"/>
              <w:left w:w="43" w:type="dxa"/>
              <w:bottom w:w="43" w:type="dxa"/>
              <w:right w:w="43" w:type="dxa"/>
            </w:tcMar>
          </w:tcPr>
          <w:p w14:paraId="35ABFAA5" w14:textId="77777777" w:rsidR="00F7113A" w:rsidRPr="00580C0D" w:rsidRDefault="00142E5B" w:rsidP="00BD6CF4">
            <w:r w:rsidRPr="00580C0D">
              <w:t xml:space="preserve">Plan med mål og </w:t>
            </w:r>
            <w:proofErr w:type="spellStart"/>
            <w:r w:rsidRPr="00580C0D">
              <w:t>verkemiddel</w:t>
            </w:r>
            <w:proofErr w:type="spellEnd"/>
            <w:r w:rsidRPr="00580C0D">
              <w:t xml:space="preserve"> for å fremme utbygging av </w:t>
            </w:r>
            <w:r w:rsidRPr="00580C0D">
              <w:br/>
              <w:t xml:space="preserve">produksjon av fornybar kraft i næringsareal, langs </w:t>
            </w:r>
            <w:proofErr w:type="spellStart"/>
            <w:r w:rsidRPr="00580C0D">
              <w:t>motorvegar</w:t>
            </w:r>
            <w:proofErr w:type="spellEnd"/>
            <w:r w:rsidRPr="00580C0D">
              <w:t xml:space="preserve"> </w:t>
            </w:r>
            <w:r w:rsidRPr="00580C0D">
              <w:br/>
              <w:t>og i andre nedbygde areal</w:t>
            </w:r>
          </w:p>
        </w:tc>
        <w:tc>
          <w:tcPr>
            <w:tcW w:w="1503" w:type="dxa"/>
            <w:tcBorders>
              <w:top w:val="nil"/>
              <w:left w:val="nil"/>
              <w:bottom w:val="nil"/>
              <w:right w:val="nil"/>
            </w:tcBorders>
            <w:tcMar>
              <w:top w:w="128" w:type="dxa"/>
              <w:left w:w="43" w:type="dxa"/>
              <w:bottom w:w="43" w:type="dxa"/>
              <w:right w:w="43" w:type="dxa"/>
            </w:tcMar>
            <w:vAlign w:val="bottom"/>
          </w:tcPr>
          <w:p w14:paraId="21BB506E" w14:textId="77777777" w:rsidR="00F7113A" w:rsidRPr="00580C0D" w:rsidRDefault="00142E5B" w:rsidP="00BD6CF4">
            <w:pPr>
              <w:jc w:val="right"/>
            </w:pPr>
            <w:r w:rsidRPr="00580C0D">
              <w:t>Nei</w:t>
            </w:r>
          </w:p>
        </w:tc>
      </w:tr>
      <w:tr w:rsidR="00F7113A" w:rsidRPr="00580C0D" w14:paraId="74A64C7F"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3FF03C11"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7E3D2EB7" w14:textId="77777777" w:rsidR="00F7113A" w:rsidRPr="00580C0D" w:rsidRDefault="00142E5B" w:rsidP="00BD6CF4">
            <w:pPr>
              <w:ind w:right="284"/>
              <w:jc w:val="right"/>
            </w:pPr>
            <w:r w:rsidRPr="00580C0D">
              <w:t>767</w:t>
            </w:r>
          </w:p>
        </w:tc>
        <w:tc>
          <w:tcPr>
            <w:tcW w:w="5953" w:type="dxa"/>
            <w:tcBorders>
              <w:top w:val="nil"/>
              <w:left w:val="nil"/>
              <w:bottom w:val="nil"/>
              <w:right w:val="nil"/>
            </w:tcBorders>
            <w:tcMar>
              <w:top w:w="128" w:type="dxa"/>
              <w:left w:w="43" w:type="dxa"/>
              <w:bottom w:w="43" w:type="dxa"/>
              <w:right w:w="43" w:type="dxa"/>
            </w:tcMar>
          </w:tcPr>
          <w:p w14:paraId="0C361AD2" w14:textId="77777777" w:rsidR="00F7113A" w:rsidRPr="00580C0D" w:rsidRDefault="00142E5B" w:rsidP="00BD6CF4">
            <w:r w:rsidRPr="00580C0D">
              <w:t>Fjerne regulatoriske hinder for energiproduksjon på næringsareal og andre nedbygde areal</w:t>
            </w:r>
          </w:p>
        </w:tc>
        <w:tc>
          <w:tcPr>
            <w:tcW w:w="1503" w:type="dxa"/>
            <w:tcBorders>
              <w:top w:val="nil"/>
              <w:left w:val="nil"/>
              <w:bottom w:val="nil"/>
              <w:right w:val="nil"/>
            </w:tcBorders>
            <w:tcMar>
              <w:top w:w="128" w:type="dxa"/>
              <w:left w:w="43" w:type="dxa"/>
              <w:bottom w:w="43" w:type="dxa"/>
              <w:right w:w="43" w:type="dxa"/>
            </w:tcMar>
            <w:vAlign w:val="bottom"/>
          </w:tcPr>
          <w:p w14:paraId="12AF92FA" w14:textId="77777777" w:rsidR="00F7113A" w:rsidRPr="00580C0D" w:rsidRDefault="00142E5B" w:rsidP="00BD6CF4">
            <w:pPr>
              <w:jc w:val="right"/>
            </w:pPr>
            <w:r w:rsidRPr="00580C0D">
              <w:t>Nei</w:t>
            </w:r>
          </w:p>
        </w:tc>
      </w:tr>
      <w:tr w:rsidR="00F7113A" w:rsidRPr="00580C0D" w14:paraId="1D9CEA59"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2AD18F83"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447B534E" w14:textId="77777777" w:rsidR="00F7113A" w:rsidRPr="00580C0D" w:rsidRDefault="00142E5B" w:rsidP="00BD6CF4">
            <w:pPr>
              <w:ind w:right="284"/>
              <w:jc w:val="right"/>
            </w:pPr>
            <w:r w:rsidRPr="00580C0D">
              <w:t>768</w:t>
            </w:r>
          </w:p>
        </w:tc>
        <w:tc>
          <w:tcPr>
            <w:tcW w:w="5953" w:type="dxa"/>
            <w:tcBorders>
              <w:top w:val="nil"/>
              <w:left w:val="nil"/>
              <w:bottom w:val="nil"/>
              <w:right w:val="nil"/>
            </w:tcBorders>
            <w:tcMar>
              <w:top w:w="128" w:type="dxa"/>
              <w:left w:w="43" w:type="dxa"/>
              <w:bottom w:w="43" w:type="dxa"/>
              <w:right w:w="43" w:type="dxa"/>
            </w:tcMar>
          </w:tcPr>
          <w:p w14:paraId="4A37B273" w14:textId="77777777" w:rsidR="00F7113A" w:rsidRPr="00580C0D" w:rsidRDefault="00142E5B" w:rsidP="00BD6CF4">
            <w:r w:rsidRPr="00580C0D">
              <w:t xml:space="preserve">Heve grensa for kor </w:t>
            </w:r>
            <w:proofErr w:type="spellStart"/>
            <w:r w:rsidRPr="00580C0D">
              <w:t>mykje</w:t>
            </w:r>
            <w:proofErr w:type="spellEnd"/>
            <w:r w:rsidRPr="00580C0D">
              <w:t xml:space="preserve"> eigenprodusert, fornybar energi som kan </w:t>
            </w:r>
            <w:proofErr w:type="spellStart"/>
            <w:r w:rsidRPr="00580C0D">
              <w:t>delast</w:t>
            </w:r>
            <w:proofErr w:type="spellEnd"/>
            <w:r w:rsidRPr="00580C0D">
              <w:t xml:space="preserve"> </w:t>
            </w:r>
            <w:proofErr w:type="spellStart"/>
            <w:r w:rsidRPr="00580C0D">
              <w:t>frå</w:t>
            </w:r>
            <w:proofErr w:type="spellEnd"/>
            <w:r w:rsidRPr="00580C0D">
              <w:t xml:space="preserve"> næringsbygg</w:t>
            </w:r>
          </w:p>
        </w:tc>
        <w:tc>
          <w:tcPr>
            <w:tcW w:w="1503" w:type="dxa"/>
            <w:tcBorders>
              <w:top w:val="nil"/>
              <w:left w:val="nil"/>
              <w:bottom w:val="nil"/>
              <w:right w:val="nil"/>
            </w:tcBorders>
            <w:tcMar>
              <w:top w:w="128" w:type="dxa"/>
              <w:left w:w="43" w:type="dxa"/>
              <w:bottom w:w="43" w:type="dxa"/>
              <w:right w:w="43" w:type="dxa"/>
            </w:tcMar>
            <w:vAlign w:val="bottom"/>
          </w:tcPr>
          <w:p w14:paraId="55C5BAD2" w14:textId="77777777" w:rsidR="00F7113A" w:rsidRPr="00580C0D" w:rsidRDefault="00142E5B" w:rsidP="00BD6CF4">
            <w:pPr>
              <w:jc w:val="right"/>
            </w:pPr>
            <w:r w:rsidRPr="00580C0D">
              <w:t>Nei</w:t>
            </w:r>
          </w:p>
        </w:tc>
      </w:tr>
      <w:tr w:rsidR="00F7113A" w:rsidRPr="00580C0D" w14:paraId="67B914CA"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27D72CEE"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04E35CB7" w14:textId="77777777" w:rsidR="00F7113A" w:rsidRPr="00580C0D" w:rsidRDefault="00142E5B" w:rsidP="00BD6CF4">
            <w:pPr>
              <w:ind w:right="284"/>
              <w:jc w:val="right"/>
            </w:pPr>
            <w:r w:rsidRPr="00580C0D">
              <w:t>812</w:t>
            </w:r>
          </w:p>
        </w:tc>
        <w:tc>
          <w:tcPr>
            <w:tcW w:w="5953" w:type="dxa"/>
            <w:tcBorders>
              <w:top w:val="nil"/>
              <w:left w:val="nil"/>
              <w:bottom w:val="nil"/>
              <w:right w:val="nil"/>
            </w:tcBorders>
            <w:tcMar>
              <w:top w:w="128" w:type="dxa"/>
              <w:left w:w="43" w:type="dxa"/>
              <w:bottom w:w="43" w:type="dxa"/>
              <w:right w:w="43" w:type="dxa"/>
            </w:tcMar>
          </w:tcPr>
          <w:p w14:paraId="21687914" w14:textId="77777777" w:rsidR="00F7113A" w:rsidRPr="00580C0D" w:rsidRDefault="00142E5B" w:rsidP="00BD6CF4">
            <w:r w:rsidRPr="00580C0D">
              <w:t xml:space="preserve">Straumstønadsordninga – avgrensing for kjøp av </w:t>
            </w:r>
            <w:proofErr w:type="spellStart"/>
            <w:r w:rsidRPr="00580C0D">
              <w:t>rimeleg</w:t>
            </w:r>
            <w:proofErr w:type="spellEnd"/>
            <w:r w:rsidRPr="00580C0D">
              <w:t xml:space="preserve"> konsesjonskraft</w:t>
            </w:r>
          </w:p>
        </w:tc>
        <w:tc>
          <w:tcPr>
            <w:tcW w:w="1503" w:type="dxa"/>
            <w:tcBorders>
              <w:top w:val="nil"/>
              <w:left w:val="nil"/>
              <w:bottom w:val="nil"/>
              <w:right w:val="nil"/>
            </w:tcBorders>
            <w:tcMar>
              <w:top w:w="128" w:type="dxa"/>
              <w:left w:w="43" w:type="dxa"/>
              <w:bottom w:w="43" w:type="dxa"/>
              <w:right w:w="43" w:type="dxa"/>
            </w:tcMar>
            <w:vAlign w:val="bottom"/>
          </w:tcPr>
          <w:p w14:paraId="3FF9A844" w14:textId="77777777" w:rsidR="00F7113A" w:rsidRPr="00580C0D" w:rsidRDefault="00142E5B" w:rsidP="00BD6CF4">
            <w:pPr>
              <w:jc w:val="right"/>
            </w:pPr>
            <w:r w:rsidRPr="00580C0D">
              <w:t>Nei</w:t>
            </w:r>
          </w:p>
        </w:tc>
      </w:tr>
      <w:tr w:rsidR="00F7113A" w:rsidRPr="00580C0D" w14:paraId="2EC60AE2"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425F6C4A"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61CA23BB" w14:textId="77777777" w:rsidR="00F7113A" w:rsidRPr="00580C0D" w:rsidRDefault="00142E5B" w:rsidP="00BD6CF4">
            <w:pPr>
              <w:ind w:right="284"/>
              <w:jc w:val="right"/>
            </w:pPr>
            <w:r w:rsidRPr="00580C0D">
              <w:t>813</w:t>
            </w:r>
          </w:p>
        </w:tc>
        <w:tc>
          <w:tcPr>
            <w:tcW w:w="5953" w:type="dxa"/>
            <w:tcBorders>
              <w:top w:val="nil"/>
              <w:left w:val="nil"/>
              <w:bottom w:val="nil"/>
              <w:right w:val="nil"/>
            </w:tcBorders>
            <w:tcMar>
              <w:top w:w="128" w:type="dxa"/>
              <w:left w:w="43" w:type="dxa"/>
              <w:bottom w:w="43" w:type="dxa"/>
              <w:right w:w="43" w:type="dxa"/>
            </w:tcMar>
          </w:tcPr>
          <w:p w14:paraId="22C99666" w14:textId="77777777" w:rsidR="00F7113A" w:rsidRPr="00580C0D" w:rsidRDefault="00142E5B" w:rsidP="00BD6CF4">
            <w:r w:rsidRPr="00580C0D">
              <w:t>Inkludering av bakkemonterte solenergianlegg i plan- og bygningslova</w:t>
            </w:r>
          </w:p>
        </w:tc>
        <w:tc>
          <w:tcPr>
            <w:tcW w:w="1503" w:type="dxa"/>
            <w:tcBorders>
              <w:top w:val="nil"/>
              <w:left w:val="nil"/>
              <w:bottom w:val="nil"/>
              <w:right w:val="nil"/>
            </w:tcBorders>
            <w:tcMar>
              <w:top w:w="128" w:type="dxa"/>
              <w:left w:w="43" w:type="dxa"/>
              <w:bottom w:w="43" w:type="dxa"/>
              <w:right w:w="43" w:type="dxa"/>
            </w:tcMar>
            <w:vAlign w:val="bottom"/>
          </w:tcPr>
          <w:p w14:paraId="2A9B9C40" w14:textId="77777777" w:rsidR="00F7113A" w:rsidRPr="00580C0D" w:rsidRDefault="00142E5B" w:rsidP="00BD6CF4">
            <w:pPr>
              <w:jc w:val="right"/>
            </w:pPr>
            <w:r w:rsidRPr="00580C0D">
              <w:t>Nei</w:t>
            </w:r>
          </w:p>
        </w:tc>
      </w:tr>
      <w:tr w:rsidR="00F7113A" w:rsidRPr="00580C0D" w14:paraId="683F18F6"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7E9C4C73"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4D2DDB80" w14:textId="77777777" w:rsidR="00F7113A" w:rsidRPr="00580C0D" w:rsidRDefault="00142E5B" w:rsidP="00BD6CF4">
            <w:pPr>
              <w:ind w:right="284"/>
              <w:jc w:val="right"/>
            </w:pPr>
            <w:r w:rsidRPr="00580C0D">
              <w:t>836</w:t>
            </w:r>
          </w:p>
        </w:tc>
        <w:tc>
          <w:tcPr>
            <w:tcW w:w="5953" w:type="dxa"/>
            <w:tcBorders>
              <w:top w:val="nil"/>
              <w:left w:val="nil"/>
              <w:bottom w:val="nil"/>
              <w:right w:val="nil"/>
            </w:tcBorders>
            <w:tcMar>
              <w:top w:w="128" w:type="dxa"/>
              <w:left w:w="43" w:type="dxa"/>
              <w:bottom w:w="43" w:type="dxa"/>
              <w:right w:w="43" w:type="dxa"/>
            </w:tcMar>
          </w:tcPr>
          <w:p w14:paraId="734AA3ED" w14:textId="77777777" w:rsidR="00F7113A" w:rsidRPr="00580C0D" w:rsidRDefault="00142E5B" w:rsidP="00BD6CF4">
            <w:r w:rsidRPr="00580C0D">
              <w:t xml:space="preserve">Havvind – elektrifisering av </w:t>
            </w:r>
            <w:proofErr w:type="spellStart"/>
            <w:r w:rsidRPr="00580C0D">
              <w:t>oljeinstallasjonar</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117FA08E" w14:textId="77777777" w:rsidR="00F7113A" w:rsidRPr="00580C0D" w:rsidRDefault="00142E5B" w:rsidP="00BD6CF4">
            <w:pPr>
              <w:jc w:val="right"/>
            </w:pPr>
            <w:r w:rsidRPr="00580C0D">
              <w:t>Nei</w:t>
            </w:r>
          </w:p>
        </w:tc>
      </w:tr>
      <w:tr w:rsidR="00F7113A" w:rsidRPr="00580C0D" w14:paraId="41587170"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57AD8A1B"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37980780" w14:textId="77777777" w:rsidR="00F7113A" w:rsidRPr="00580C0D" w:rsidRDefault="00142E5B" w:rsidP="00BD6CF4">
            <w:pPr>
              <w:ind w:right="284"/>
              <w:jc w:val="right"/>
            </w:pPr>
            <w:r w:rsidRPr="00580C0D">
              <w:t>838</w:t>
            </w:r>
          </w:p>
        </w:tc>
        <w:tc>
          <w:tcPr>
            <w:tcW w:w="5953" w:type="dxa"/>
            <w:tcBorders>
              <w:top w:val="nil"/>
              <w:left w:val="nil"/>
              <w:bottom w:val="nil"/>
              <w:right w:val="nil"/>
            </w:tcBorders>
            <w:tcMar>
              <w:top w:w="128" w:type="dxa"/>
              <w:left w:w="43" w:type="dxa"/>
              <w:bottom w:w="43" w:type="dxa"/>
              <w:right w:w="43" w:type="dxa"/>
            </w:tcMar>
          </w:tcPr>
          <w:p w14:paraId="5E647D3C" w14:textId="77777777" w:rsidR="00F7113A" w:rsidRPr="00580C0D" w:rsidRDefault="00142E5B" w:rsidP="00BD6CF4">
            <w:r w:rsidRPr="00580C0D">
              <w:t>Havvind – kartlegging av havmiljø og sjøfugl</w:t>
            </w:r>
          </w:p>
        </w:tc>
        <w:tc>
          <w:tcPr>
            <w:tcW w:w="1503" w:type="dxa"/>
            <w:tcBorders>
              <w:top w:val="nil"/>
              <w:left w:val="nil"/>
              <w:bottom w:val="nil"/>
              <w:right w:val="nil"/>
            </w:tcBorders>
            <w:tcMar>
              <w:top w:w="128" w:type="dxa"/>
              <w:left w:w="43" w:type="dxa"/>
              <w:bottom w:w="43" w:type="dxa"/>
              <w:right w:w="43" w:type="dxa"/>
            </w:tcMar>
            <w:vAlign w:val="bottom"/>
          </w:tcPr>
          <w:p w14:paraId="5025486E" w14:textId="77777777" w:rsidR="00F7113A" w:rsidRPr="00580C0D" w:rsidRDefault="00142E5B" w:rsidP="00BD6CF4">
            <w:pPr>
              <w:jc w:val="right"/>
            </w:pPr>
            <w:r w:rsidRPr="00580C0D">
              <w:t>Ja</w:t>
            </w:r>
          </w:p>
        </w:tc>
      </w:tr>
      <w:tr w:rsidR="00F7113A" w:rsidRPr="00580C0D" w14:paraId="3D17D861"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7904A87B"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42C06BDF" w14:textId="77777777" w:rsidR="00F7113A" w:rsidRPr="00580C0D" w:rsidRDefault="00142E5B" w:rsidP="00BD6CF4">
            <w:pPr>
              <w:ind w:right="284"/>
              <w:jc w:val="right"/>
            </w:pPr>
            <w:r w:rsidRPr="00580C0D">
              <w:t>839</w:t>
            </w:r>
          </w:p>
        </w:tc>
        <w:tc>
          <w:tcPr>
            <w:tcW w:w="5953" w:type="dxa"/>
            <w:tcBorders>
              <w:top w:val="nil"/>
              <w:left w:val="nil"/>
              <w:bottom w:val="nil"/>
              <w:right w:val="nil"/>
            </w:tcBorders>
            <w:tcMar>
              <w:top w:w="128" w:type="dxa"/>
              <w:left w:w="43" w:type="dxa"/>
              <w:bottom w:w="43" w:type="dxa"/>
              <w:right w:w="43" w:type="dxa"/>
            </w:tcMar>
          </w:tcPr>
          <w:p w14:paraId="6AF72725" w14:textId="77777777" w:rsidR="00F7113A" w:rsidRPr="00580C0D" w:rsidRDefault="00142E5B" w:rsidP="00BD6CF4">
            <w:r w:rsidRPr="00580C0D">
              <w:t xml:space="preserve">Havvind – </w:t>
            </w:r>
            <w:proofErr w:type="spellStart"/>
            <w:r w:rsidRPr="00580C0D">
              <w:t>heilskapleg</w:t>
            </w:r>
            <w:proofErr w:type="spellEnd"/>
            <w:r w:rsidRPr="00580C0D">
              <w:t xml:space="preserve"> plan for naturkartlegging</w:t>
            </w:r>
          </w:p>
        </w:tc>
        <w:tc>
          <w:tcPr>
            <w:tcW w:w="1503" w:type="dxa"/>
            <w:tcBorders>
              <w:top w:val="nil"/>
              <w:left w:val="nil"/>
              <w:bottom w:val="nil"/>
              <w:right w:val="nil"/>
            </w:tcBorders>
            <w:tcMar>
              <w:top w:w="128" w:type="dxa"/>
              <w:left w:w="43" w:type="dxa"/>
              <w:bottom w:w="43" w:type="dxa"/>
              <w:right w:w="43" w:type="dxa"/>
            </w:tcMar>
            <w:vAlign w:val="bottom"/>
          </w:tcPr>
          <w:p w14:paraId="26A5AE2E" w14:textId="77777777" w:rsidR="00F7113A" w:rsidRPr="00580C0D" w:rsidRDefault="00142E5B" w:rsidP="00BD6CF4">
            <w:pPr>
              <w:jc w:val="right"/>
            </w:pPr>
            <w:r w:rsidRPr="00580C0D">
              <w:t>Ja</w:t>
            </w:r>
          </w:p>
        </w:tc>
      </w:tr>
      <w:tr w:rsidR="00F7113A" w:rsidRPr="00580C0D" w14:paraId="32C4A2B8"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56D4C785"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3BF721B1" w14:textId="77777777" w:rsidR="00F7113A" w:rsidRPr="00580C0D" w:rsidRDefault="00142E5B" w:rsidP="00BD6CF4">
            <w:pPr>
              <w:ind w:right="284"/>
              <w:jc w:val="right"/>
            </w:pPr>
            <w:r w:rsidRPr="00580C0D">
              <w:t>840</w:t>
            </w:r>
          </w:p>
        </w:tc>
        <w:tc>
          <w:tcPr>
            <w:tcW w:w="5953" w:type="dxa"/>
            <w:tcBorders>
              <w:top w:val="nil"/>
              <w:left w:val="nil"/>
              <w:bottom w:val="nil"/>
              <w:right w:val="nil"/>
            </w:tcBorders>
            <w:tcMar>
              <w:top w:w="128" w:type="dxa"/>
              <w:left w:w="43" w:type="dxa"/>
              <w:bottom w:w="43" w:type="dxa"/>
              <w:right w:w="43" w:type="dxa"/>
            </w:tcMar>
          </w:tcPr>
          <w:p w14:paraId="12D45E1E" w14:textId="77777777" w:rsidR="00F7113A" w:rsidRPr="00580C0D" w:rsidRDefault="00142E5B" w:rsidP="00BD6CF4">
            <w:r w:rsidRPr="00580C0D">
              <w:t xml:space="preserve">Havvind – følgeforsking i </w:t>
            </w:r>
            <w:proofErr w:type="spellStart"/>
            <w:r w:rsidRPr="00580C0D">
              <w:t>Sørlege</w:t>
            </w:r>
            <w:proofErr w:type="spellEnd"/>
            <w:r w:rsidRPr="00580C0D">
              <w:t xml:space="preserve"> </w:t>
            </w:r>
            <w:proofErr w:type="spellStart"/>
            <w:r w:rsidRPr="00580C0D">
              <w:t>Nordsjø</w:t>
            </w:r>
            <w:proofErr w:type="spellEnd"/>
            <w:r w:rsidRPr="00580C0D">
              <w:t xml:space="preserve"> II</w:t>
            </w:r>
          </w:p>
        </w:tc>
        <w:tc>
          <w:tcPr>
            <w:tcW w:w="1503" w:type="dxa"/>
            <w:tcBorders>
              <w:top w:val="nil"/>
              <w:left w:val="nil"/>
              <w:bottom w:val="nil"/>
              <w:right w:val="nil"/>
            </w:tcBorders>
            <w:tcMar>
              <w:top w:w="128" w:type="dxa"/>
              <w:left w:w="43" w:type="dxa"/>
              <w:bottom w:w="43" w:type="dxa"/>
              <w:right w:w="43" w:type="dxa"/>
            </w:tcMar>
            <w:vAlign w:val="bottom"/>
          </w:tcPr>
          <w:p w14:paraId="782B5E11" w14:textId="77777777" w:rsidR="00F7113A" w:rsidRPr="00580C0D" w:rsidRDefault="00142E5B" w:rsidP="00BD6CF4">
            <w:pPr>
              <w:jc w:val="right"/>
            </w:pPr>
            <w:r w:rsidRPr="00580C0D">
              <w:t>Ja</w:t>
            </w:r>
          </w:p>
        </w:tc>
      </w:tr>
      <w:tr w:rsidR="00F7113A" w:rsidRPr="00580C0D" w14:paraId="21276419"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3CA34017"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5DDE84A0" w14:textId="77777777" w:rsidR="00F7113A" w:rsidRPr="00580C0D" w:rsidRDefault="00142E5B" w:rsidP="00BD6CF4">
            <w:pPr>
              <w:ind w:right="284"/>
              <w:jc w:val="right"/>
            </w:pPr>
            <w:r w:rsidRPr="00580C0D">
              <w:t>841</w:t>
            </w:r>
          </w:p>
        </w:tc>
        <w:tc>
          <w:tcPr>
            <w:tcW w:w="5953" w:type="dxa"/>
            <w:tcBorders>
              <w:top w:val="nil"/>
              <w:left w:val="nil"/>
              <w:bottom w:val="nil"/>
              <w:right w:val="nil"/>
            </w:tcBorders>
            <w:tcMar>
              <w:top w:w="128" w:type="dxa"/>
              <w:left w:w="43" w:type="dxa"/>
              <w:bottom w:w="43" w:type="dxa"/>
              <w:right w:w="43" w:type="dxa"/>
            </w:tcMar>
          </w:tcPr>
          <w:p w14:paraId="3C92D8E6" w14:textId="77777777" w:rsidR="00F7113A" w:rsidRPr="00580C0D" w:rsidRDefault="00142E5B" w:rsidP="00BD6CF4">
            <w:r w:rsidRPr="00580C0D">
              <w:t xml:space="preserve">Havvind – </w:t>
            </w:r>
            <w:proofErr w:type="spellStart"/>
            <w:r w:rsidRPr="00580C0D">
              <w:t>auka</w:t>
            </w:r>
            <w:proofErr w:type="spellEnd"/>
            <w:r w:rsidRPr="00580C0D">
              <w:t xml:space="preserve"> vekting av </w:t>
            </w:r>
            <w:proofErr w:type="spellStart"/>
            <w:r w:rsidRPr="00580C0D">
              <w:t>berekraftskriteria</w:t>
            </w:r>
            <w:proofErr w:type="spellEnd"/>
            <w:r w:rsidRPr="00580C0D">
              <w:t xml:space="preserve"> og positive lokale ringverknader</w:t>
            </w:r>
          </w:p>
        </w:tc>
        <w:tc>
          <w:tcPr>
            <w:tcW w:w="1503" w:type="dxa"/>
            <w:tcBorders>
              <w:top w:val="nil"/>
              <w:left w:val="nil"/>
              <w:bottom w:val="nil"/>
              <w:right w:val="nil"/>
            </w:tcBorders>
            <w:tcMar>
              <w:top w:w="128" w:type="dxa"/>
              <w:left w:w="43" w:type="dxa"/>
              <w:bottom w:w="43" w:type="dxa"/>
              <w:right w:w="43" w:type="dxa"/>
            </w:tcMar>
            <w:vAlign w:val="bottom"/>
          </w:tcPr>
          <w:p w14:paraId="6897C32C" w14:textId="77777777" w:rsidR="00F7113A" w:rsidRPr="00580C0D" w:rsidRDefault="00142E5B" w:rsidP="00BD6CF4">
            <w:pPr>
              <w:jc w:val="right"/>
            </w:pPr>
            <w:r w:rsidRPr="00580C0D">
              <w:t>Nei</w:t>
            </w:r>
          </w:p>
        </w:tc>
      </w:tr>
      <w:tr w:rsidR="00F7113A" w:rsidRPr="00580C0D" w14:paraId="5A4CE02E"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7F37E93F"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1EFC11BF" w14:textId="77777777" w:rsidR="00F7113A" w:rsidRPr="00580C0D" w:rsidRDefault="00142E5B" w:rsidP="00BD6CF4">
            <w:pPr>
              <w:ind w:right="284"/>
              <w:jc w:val="right"/>
            </w:pPr>
            <w:r w:rsidRPr="00580C0D">
              <w:t>842</w:t>
            </w:r>
          </w:p>
        </w:tc>
        <w:tc>
          <w:tcPr>
            <w:tcW w:w="5953" w:type="dxa"/>
            <w:tcBorders>
              <w:top w:val="nil"/>
              <w:left w:val="nil"/>
              <w:bottom w:val="nil"/>
              <w:right w:val="nil"/>
            </w:tcBorders>
            <w:tcMar>
              <w:top w:w="128" w:type="dxa"/>
              <w:left w:w="43" w:type="dxa"/>
              <w:bottom w:w="43" w:type="dxa"/>
              <w:right w:w="43" w:type="dxa"/>
            </w:tcMar>
          </w:tcPr>
          <w:p w14:paraId="4741899A" w14:textId="77777777" w:rsidR="00F7113A" w:rsidRPr="00580C0D" w:rsidRDefault="00142E5B" w:rsidP="00BD6CF4">
            <w:r w:rsidRPr="00580C0D">
              <w:t xml:space="preserve">Havvind – vurdere andre og </w:t>
            </w:r>
            <w:proofErr w:type="spellStart"/>
            <w:r w:rsidRPr="00580C0D">
              <w:t>meir</w:t>
            </w:r>
            <w:proofErr w:type="spellEnd"/>
            <w:r w:rsidRPr="00580C0D">
              <w:t xml:space="preserve"> </w:t>
            </w:r>
            <w:proofErr w:type="spellStart"/>
            <w:r w:rsidRPr="00580C0D">
              <w:t>formålstenlege</w:t>
            </w:r>
            <w:proofErr w:type="spellEnd"/>
            <w:r w:rsidRPr="00580C0D">
              <w:t xml:space="preserve"> </w:t>
            </w:r>
            <w:proofErr w:type="spellStart"/>
            <w:r w:rsidRPr="00580C0D">
              <w:t>løyvingsløysingar</w:t>
            </w:r>
            <w:proofErr w:type="spellEnd"/>
            <w:r w:rsidRPr="00580C0D">
              <w:t xml:space="preserve"> for </w:t>
            </w:r>
            <w:proofErr w:type="spellStart"/>
            <w:r w:rsidRPr="00580C0D">
              <w:t>differansekontraktar</w:t>
            </w:r>
            <w:proofErr w:type="spellEnd"/>
            <w:r w:rsidRPr="00580C0D">
              <w:t xml:space="preserve"> enn OPS-rammeverket</w:t>
            </w:r>
          </w:p>
        </w:tc>
        <w:tc>
          <w:tcPr>
            <w:tcW w:w="1503" w:type="dxa"/>
            <w:tcBorders>
              <w:top w:val="nil"/>
              <w:left w:val="nil"/>
              <w:bottom w:val="nil"/>
              <w:right w:val="nil"/>
            </w:tcBorders>
            <w:tcMar>
              <w:top w:w="128" w:type="dxa"/>
              <w:left w:w="43" w:type="dxa"/>
              <w:bottom w:w="43" w:type="dxa"/>
              <w:right w:w="43" w:type="dxa"/>
            </w:tcMar>
            <w:vAlign w:val="bottom"/>
          </w:tcPr>
          <w:p w14:paraId="3848C225" w14:textId="77777777" w:rsidR="00F7113A" w:rsidRPr="00580C0D" w:rsidRDefault="00142E5B" w:rsidP="00BD6CF4">
            <w:pPr>
              <w:jc w:val="right"/>
            </w:pPr>
            <w:r w:rsidRPr="00580C0D">
              <w:t>Nei</w:t>
            </w:r>
          </w:p>
        </w:tc>
      </w:tr>
      <w:tr w:rsidR="00F7113A" w:rsidRPr="00580C0D" w14:paraId="5A3AAD89"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52411D46"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270CFB18" w14:textId="77777777" w:rsidR="00F7113A" w:rsidRPr="00580C0D" w:rsidRDefault="00142E5B" w:rsidP="00BD6CF4">
            <w:pPr>
              <w:ind w:right="284"/>
              <w:jc w:val="right"/>
            </w:pPr>
            <w:r w:rsidRPr="00580C0D">
              <w:t>914</w:t>
            </w:r>
          </w:p>
        </w:tc>
        <w:tc>
          <w:tcPr>
            <w:tcW w:w="5953" w:type="dxa"/>
            <w:tcBorders>
              <w:top w:val="nil"/>
              <w:left w:val="nil"/>
              <w:bottom w:val="nil"/>
              <w:right w:val="nil"/>
            </w:tcBorders>
            <w:tcMar>
              <w:top w:w="128" w:type="dxa"/>
              <w:left w:w="43" w:type="dxa"/>
              <w:bottom w:w="43" w:type="dxa"/>
              <w:right w:w="43" w:type="dxa"/>
            </w:tcMar>
          </w:tcPr>
          <w:p w14:paraId="38099A71" w14:textId="77777777" w:rsidR="00F7113A" w:rsidRPr="00580C0D" w:rsidRDefault="00142E5B" w:rsidP="00BD6CF4">
            <w:r w:rsidRPr="00580C0D">
              <w:t xml:space="preserve">Havvind – elektrifisering av </w:t>
            </w:r>
            <w:proofErr w:type="spellStart"/>
            <w:r w:rsidRPr="00580C0D">
              <w:t>offshoreinstallasjonar</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6376A8E8" w14:textId="77777777" w:rsidR="00F7113A" w:rsidRPr="00580C0D" w:rsidRDefault="00142E5B" w:rsidP="00BD6CF4">
            <w:pPr>
              <w:jc w:val="right"/>
            </w:pPr>
            <w:r w:rsidRPr="00580C0D">
              <w:t>Nei</w:t>
            </w:r>
          </w:p>
        </w:tc>
      </w:tr>
      <w:tr w:rsidR="00F7113A" w:rsidRPr="00580C0D" w14:paraId="3F446371"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18205822"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2BE1D164" w14:textId="77777777" w:rsidR="00F7113A" w:rsidRPr="00580C0D" w:rsidRDefault="00142E5B" w:rsidP="00BD6CF4">
            <w:pPr>
              <w:ind w:right="284"/>
              <w:jc w:val="right"/>
            </w:pPr>
            <w:r w:rsidRPr="00580C0D">
              <w:t>923</w:t>
            </w:r>
          </w:p>
        </w:tc>
        <w:tc>
          <w:tcPr>
            <w:tcW w:w="5953" w:type="dxa"/>
            <w:tcBorders>
              <w:top w:val="nil"/>
              <w:left w:val="nil"/>
              <w:bottom w:val="nil"/>
              <w:right w:val="nil"/>
            </w:tcBorders>
            <w:tcMar>
              <w:top w:w="128" w:type="dxa"/>
              <w:left w:w="43" w:type="dxa"/>
              <w:bottom w:w="43" w:type="dxa"/>
              <w:right w:w="43" w:type="dxa"/>
            </w:tcMar>
          </w:tcPr>
          <w:p w14:paraId="112AB648" w14:textId="77777777" w:rsidR="00F7113A" w:rsidRPr="00580C0D" w:rsidRDefault="00142E5B" w:rsidP="00BD6CF4">
            <w:r w:rsidRPr="00580C0D">
              <w:t xml:space="preserve">Solenergi – mål om 8 </w:t>
            </w:r>
            <w:proofErr w:type="spellStart"/>
            <w:r w:rsidRPr="00580C0D">
              <w:t>TWh</w:t>
            </w:r>
            <w:proofErr w:type="spellEnd"/>
            <w:r w:rsidRPr="00580C0D">
              <w:t xml:space="preserve"> </w:t>
            </w:r>
            <w:proofErr w:type="spellStart"/>
            <w:r w:rsidRPr="00580C0D">
              <w:t>innan</w:t>
            </w:r>
            <w:proofErr w:type="spellEnd"/>
            <w:r w:rsidRPr="00580C0D">
              <w:t xml:space="preserve"> 2030</w:t>
            </w:r>
          </w:p>
        </w:tc>
        <w:tc>
          <w:tcPr>
            <w:tcW w:w="1503" w:type="dxa"/>
            <w:tcBorders>
              <w:top w:val="nil"/>
              <w:left w:val="nil"/>
              <w:bottom w:val="nil"/>
              <w:right w:val="nil"/>
            </w:tcBorders>
            <w:tcMar>
              <w:top w:w="128" w:type="dxa"/>
              <w:left w:w="43" w:type="dxa"/>
              <w:bottom w:w="43" w:type="dxa"/>
              <w:right w:w="43" w:type="dxa"/>
            </w:tcMar>
            <w:vAlign w:val="bottom"/>
          </w:tcPr>
          <w:p w14:paraId="2E9FB08A" w14:textId="77777777" w:rsidR="00F7113A" w:rsidRPr="00580C0D" w:rsidRDefault="00142E5B" w:rsidP="00BD6CF4">
            <w:pPr>
              <w:jc w:val="right"/>
            </w:pPr>
            <w:r w:rsidRPr="00580C0D">
              <w:t>Nei</w:t>
            </w:r>
          </w:p>
        </w:tc>
      </w:tr>
      <w:tr w:rsidR="00F7113A" w:rsidRPr="00580C0D" w14:paraId="7EA44628"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3DA7C091"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67933E55" w14:textId="77777777" w:rsidR="00F7113A" w:rsidRPr="00580C0D" w:rsidRDefault="00142E5B" w:rsidP="00BD6CF4">
            <w:pPr>
              <w:ind w:right="284"/>
              <w:jc w:val="right"/>
            </w:pPr>
            <w:r w:rsidRPr="00580C0D">
              <w:t>924</w:t>
            </w:r>
          </w:p>
        </w:tc>
        <w:tc>
          <w:tcPr>
            <w:tcW w:w="5953" w:type="dxa"/>
            <w:tcBorders>
              <w:top w:val="nil"/>
              <w:left w:val="nil"/>
              <w:bottom w:val="nil"/>
              <w:right w:val="nil"/>
            </w:tcBorders>
            <w:tcMar>
              <w:top w:w="128" w:type="dxa"/>
              <w:left w:w="43" w:type="dxa"/>
              <w:bottom w:w="43" w:type="dxa"/>
              <w:right w:w="43" w:type="dxa"/>
            </w:tcMar>
          </w:tcPr>
          <w:p w14:paraId="16CB43E9" w14:textId="77777777" w:rsidR="00F7113A" w:rsidRPr="00580C0D" w:rsidRDefault="00142E5B" w:rsidP="00BD6CF4">
            <w:r w:rsidRPr="00580C0D">
              <w:t xml:space="preserve">Solkraft – deling med </w:t>
            </w:r>
            <w:proofErr w:type="spellStart"/>
            <w:r w:rsidRPr="00580C0D">
              <w:t>høgare</w:t>
            </w:r>
            <w:proofErr w:type="spellEnd"/>
            <w:r w:rsidRPr="00580C0D">
              <w:t xml:space="preserve"> grense enn 1 MW</w:t>
            </w:r>
          </w:p>
        </w:tc>
        <w:tc>
          <w:tcPr>
            <w:tcW w:w="1503" w:type="dxa"/>
            <w:tcBorders>
              <w:top w:val="nil"/>
              <w:left w:val="nil"/>
              <w:bottom w:val="nil"/>
              <w:right w:val="nil"/>
            </w:tcBorders>
            <w:tcMar>
              <w:top w:w="128" w:type="dxa"/>
              <w:left w:w="43" w:type="dxa"/>
              <w:bottom w:w="43" w:type="dxa"/>
              <w:right w:w="43" w:type="dxa"/>
            </w:tcMar>
            <w:vAlign w:val="bottom"/>
          </w:tcPr>
          <w:p w14:paraId="0EF8ECE2" w14:textId="77777777" w:rsidR="00F7113A" w:rsidRPr="00580C0D" w:rsidRDefault="00142E5B" w:rsidP="00BD6CF4">
            <w:pPr>
              <w:jc w:val="right"/>
            </w:pPr>
            <w:r w:rsidRPr="00580C0D">
              <w:t>Nei</w:t>
            </w:r>
          </w:p>
        </w:tc>
      </w:tr>
      <w:tr w:rsidR="00F7113A" w:rsidRPr="00580C0D" w14:paraId="050F5161"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7F24653D"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324CC6FA" w14:textId="77777777" w:rsidR="00F7113A" w:rsidRPr="00580C0D" w:rsidRDefault="00142E5B" w:rsidP="00BD6CF4">
            <w:pPr>
              <w:ind w:right="284"/>
              <w:jc w:val="right"/>
            </w:pPr>
            <w:r w:rsidRPr="00580C0D">
              <w:t>925</w:t>
            </w:r>
          </w:p>
        </w:tc>
        <w:tc>
          <w:tcPr>
            <w:tcW w:w="5953" w:type="dxa"/>
            <w:tcBorders>
              <w:top w:val="nil"/>
              <w:left w:val="nil"/>
              <w:bottom w:val="nil"/>
              <w:right w:val="nil"/>
            </w:tcBorders>
            <w:tcMar>
              <w:top w:w="128" w:type="dxa"/>
              <w:left w:w="43" w:type="dxa"/>
              <w:bottom w:w="43" w:type="dxa"/>
              <w:right w:w="43" w:type="dxa"/>
            </w:tcMar>
          </w:tcPr>
          <w:p w14:paraId="467A3B5D" w14:textId="77777777" w:rsidR="00F7113A" w:rsidRPr="00580C0D" w:rsidRDefault="00142E5B" w:rsidP="00BD6CF4">
            <w:proofErr w:type="spellStart"/>
            <w:r w:rsidRPr="00580C0D">
              <w:t>Solenergiparkar</w:t>
            </w:r>
            <w:proofErr w:type="spellEnd"/>
            <w:r w:rsidRPr="00580C0D">
              <w:t xml:space="preserve"> – fjerne konsesjonsplikt for enkeltprosjekt med lågt konfliktnivå</w:t>
            </w:r>
          </w:p>
        </w:tc>
        <w:tc>
          <w:tcPr>
            <w:tcW w:w="1503" w:type="dxa"/>
            <w:tcBorders>
              <w:top w:val="nil"/>
              <w:left w:val="nil"/>
              <w:bottom w:val="nil"/>
              <w:right w:val="nil"/>
            </w:tcBorders>
            <w:tcMar>
              <w:top w:w="128" w:type="dxa"/>
              <w:left w:w="43" w:type="dxa"/>
              <w:bottom w:w="43" w:type="dxa"/>
              <w:right w:w="43" w:type="dxa"/>
            </w:tcMar>
            <w:vAlign w:val="bottom"/>
          </w:tcPr>
          <w:p w14:paraId="5A4430C1" w14:textId="77777777" w:rsidR="00F7113A" w:rsidRPr="00580C0D" w:rsidRDefault="00142E5B" w:rsidP="00BD6CF4">
            <w:pPr>
              <w:jc w:val="right"/>
            </w:pPr>
            <w:r w:rsidRPr="00580C0D">
              <w:t>Nei</w:t>
            </w:r>
          </w:p>
        </w:tc>
      </w:tr>
      <w:tr w:rsidR="00F7113A" w:rsidRPr="00580C0D" w14:paraId="5A1BBFBA"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37B1B3FB" w14:textId="77777777" w:rsidR="00F7113A" w:rsidRPr="00580C0D" w:rsidRDefault="00142E5B" w:rsidP="00BD6CF4">
            <w:r w:rsidRPr="00580C0D">
              <w:t>2022–2023</w:t>
            </w:r>
          </w:p>
        </w:tc>
        <w:tc>
          <w:tcPr>
            <w:tcW w:w="904" w:type="dxa"/>
            <w:tcBorders>
              <w:top w:val="nil"/>
              <w:left w:val="nil"/>
              <w:bottom w:val="nil"/>
              <w:right w:val="nil"/>
            </w:tcBorders>
            <w:tcMar>
              <w:top w:w="128" w:type="dxa"/>
              <w:left w:w="43" w:type="dxa"/>
              <w:bottom w:w="43" w:type="dxa"/>
              <w:right w:w="43" w:type="dxa"/>
            </w:tcMar>
          </w:tcPr>
          <w:p w14:paraId="3752716F" w14:textId="77777777" w:rsidR="00F7113A" w:rsidRPr="00580C0D" w:rsidRDefault="00142E5B" w:rsidP="00BD6CF4">
            <w:pPr>
              <w:ind w:right="284"/>
              <w:jc w:val="right"/>
            </w:pPr>
            <w:r w:rsidRPr="00580C0D">
              <w:t>926</w:t>
            </w:r>
          </w:p>
        </w:tc>
        <w:tc>
          <w:tcPr>
            <w:tcW w:w="5953" w:type="dxa"/>
            <w:tcBorders>
              <w:top w:val="nil"/>
              <w:left w:val="nil"/>
              <w:bottom w:val="nil"/>
              <w:right w:val="nil"/>
            </w:tcBorders>
            <w:tcMar>
              <w:top w:w="128" w:type="dxa"/>
              <w:left w:w="43" w:type="dxa"/>
              <w:bottom w:w="43" w:type="dxa"/>
              <w:right w:w="43" w:type="dxa"/>
            </w:tcMar>
          </w:tcPr>
          <w:p w14:paraId="70D69393" w14:textId="77777777" w:rsidR="00F7113A" w:rsidRPr="00580C0D" w:rsidRDefault="00142E5B" w:rsidP="00BD6CF4">
            <w:proofErr w:type="spellStart"/>
            <w:r w:rsidRPr="00580C0D">
              <w:t>Solenergiparkar</w:t>
            </w:r>
            <w:proofErr w:type="spellEnd"/>
            <w:r w:rsidRPr="00580C0D">
              <w:t xml:space="preserve"> – fjerne konsesjonsplikt opp til 1 MW</w:t>
            </w:r>
          </w:p>
        </w:tc>
        <w:tc>
          <w:tcPr>
            <w:tcW w:w="1503" w:type="dxa"/>
            <w:tcBorders>
              <w:top w:val="nil"/>
              <w:left w:val="nil"/>
              <w:bottom w:val="nil"/>
              <w:right w:val="nil"/>
            </w:tcBorders>
            <w:tcMar>
              <w:top w:w="128" w:type="dxa"/>
              <w:left w:w="43" w:type="dxa"/>
              <w:bottom w:w="43" w:type="dxa"/>
              <w:right w:w="43" w:type="dxa"/>
            </w:tcMar>
            <w:vAlign w:val="bottom"/>
          </w:tcPr>
          <w:p w14:paraId="72E86FF3" w14:textId="77777777" w:rsidR="00F7113A" w:rsidRPr="00580C0D" w:rsidRDefault="00142E5B" w:rsidP="00BD6CF4">
            <w:pPr>
              <w:jc w:val="right"/>
            </w:pPr>
            <w:r w:rsidRPr="00580C0D">
              <w:t>Nei</w:t>
            </w:r>
          </w:p>
        </w:tc>
      </w:tr>
      <w:tr w:rsidR="00F7113A" w:rsidRPr="00580C0D" w14:paraId="2F676270"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7597258C"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42886A0A" w14:textId="77777777" w:rsidR="00F7113A" w:rsidRPr="00580C0D" w:rsidRDefault="00142E5B" w:rsidP="00BD6CF4">
            <w:pPr>
              <w:ind w:right="284"/>
              <w:jc w:val="right"/>
            </w:pPr>
            <w:r w:rsidRPr="00580C0D">
              <w:t>35-5</w:t>
            </w:r>
          </w:p>
        </w:tc>
        <w:tc>
          <w:tcPr>
            <w:tcW w:w="5953" w:type="dxa"/>
            <w:tcBorders>
              <w:top w:val="nil"/>
              <w:left w:val="nil"/>
              <w:bottom w:val="nil"/>
              <w:right w:val="nil"/>
            </w:tcBorders>
            <w:tcMar>
              <w:top w:w="128" w:type="dxa"/>
              <w:left w:w="43" w:type="dxa"/>
              <w:bottom w:w="43" w:type="dxa"/>
              <w:right w:w="43" w:type="dxa"/>
            </w:tcMar>
          </w:tcPr>
          <w:p w14:paraId="0658D6FB" w14:textId="77777777" w:rsidR="00F7113A" w:rsidRPr="00580C0D" w:rsidRDefault="00142E5B" w:rsidP="00BD6CF4">
            <w:r w:rsidRPr="00580C0D">
              <w:t xml:space="preserve">Redusere energibruken i bygg med minst 10 </w:t>
            </w:r>
            <w:proofErr w:type="spellStart"/>
            <w:r w:rsidRPr="00580C0D">
              <w:t>TWh</w:t>
            </w:r>
            <w:proofErr w:type="spellEnd"/>
            <w:r w:rsidRPr="00580C0D">
              <w:t xml:space="preserve"> og </w:t>
            </w:r>
            <w:proofErr w:type="spellStart"/>
            <w:r w:rsidRPr="00580C0D">
              <w:t>auke</w:t>
            </w:r>
            <w:proofErr w:type="spellEnd"/>
            <w:r w:rsidRPr="00580C0D">
              <w:t xml:space="preserve"> straumproduksjonen i bygg</w:t>
            </w:r>
          </w:p>
        </w:tc>
        <w:tc>
          <w:tcPr>
            <w:tcW w:w="1503" w:type="dxa"/>
            <w:tcBorders>
              <w:top w:val="nil"/>
              <w:left w:val="nil"/>
              <w:bottom w:val="nil"/>
              <w:right w:val="nil"/>
            </w:tcBorders>
            <w:tcMar>
              <w:top w:w="128" w:type="dxa"/>
              <w:left w:w="43" w:type="dxa"/>
              <w:bottom w:w="43" w:type="dxa"/>
              <w:right w:w="43" w:type="dxa"/>
            </w:tcMar>
            <w:vAlign w:val="bottom"/>
          </w:tcPr>
          <w:p w14:paraId="193C0A64" w14:textId="77777777" w:rsidR="00F7113A" w:rsidRPr="00580C0D" w:rsidRDefault="00142E5B" w:rsidP="00BD6CF4">
            <w:pPr>
              <w:jc w:val="right"/>
            </w:pPr>
            <w:r w:rsidRPr="00580C0D">
              <w:t>Ja</w:t>
            </w:r>
          </w:p>
        </w:tc>
      </w:tr>
      <w:tr w:rsidR="00F7113A" w:rsidRPr="00580C0D" w14:paraId="50C7FE05"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2C3840CD"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051AB159" w14:textId="77777777" w:rsidR="00F7113A" w:rsidRPr="00580C0D" w:rsidRDefault="00142E5B" w:rsidP="00BD6CF4">
            <w:pPr>
              <w:ind w:right="284"/>
              <w:jc w:val="right"/>
            </w:pPr>
            <w:r w:rsidRPr="00580C0D">
              <w:t>385</w:t>
            </w:r>
          </w:p>
        </w:tc>
        <w:tc>
          <w:tcPr>
            <w:tcW w:w="5953" w:type="dxa"/>
            <w:tcBorders>
              <w:top w:val="nil"/>
              <w:left w:val="nil"/>
              <w:bottom w:val="nil"/>
              <w:right w:val="nil"/>
            </w:tcBorders>
            <w:tcMar>
              <w:top w:w="128" w:type="dxa"/>
              <w:left w:w="43" w:type="dxa"/>
              <w:bottom w:w="43" w:type="dxa"/>
              <w:right w:w="43" w:type="dxa"/>
            </w:tcMar>
          </w:tcPr>
          <w:p w14:paraId="6C1251A3" w14:textId="77777777" w:rsidR="00F7113A" w:rsidRPr="00580C0D" w:rsidRDefault="00142E5B" w:rsidP="00BD6CF4">
            <w:proofErr w:type="spellStart"/>
            <w:r w:rsidRPr="00580C0D">
              <w:t>Klimavennleg</w:t>
            </w:r>
            <w:proofErr w:type="spellEnd"/>
            <w:r w:rsidRPr="00580C0D">
              <w:t xml:space="preserve"> kraftbehov for næringsutvikling i Geiranger, Nærøyfjorden og </w:t>
            </w:r>
            <w:proofErr w:type="spellStart"/>
            <w:r w:rsidRPr="00580C0D">
              <w:t>tilhøyrande</w:t>
            </w:r>
            <w:proofErr w:type="spellEnd"/>
            <w:r w:rsidRPr="00580C0D">
              <w:t xml:space="preserve"> ferjesamband</w:t>
            </w:r>
          </w:p>
        </w:tc>
        <w:tc>
          <w:tcPr>
            <w:tcW w:w="1503" w:type="dxa"/>
            <w:tcBorders>
              <w:top w:val="nil"/>
              <w:left w:val="nil"/>
              <w:bottom w:val="nil"/>
              <w:right w:val="nil"/>
            </w:tcBorders>
            <w:tcMar>
              <w:top w:w="128" w:type="dxa"/>
              <w:left w:w="43" w:type="dxa"/>
              <w:bottom w:w="43" w:type="dxa"/>
              <w:right w:w="43" w:type="dxa"/>
            </w:tcMar>
            <w:vAlign w:val="bottom"/>
          </w:tcPr>
          <w:p w14:paraId="15D2BDCC" w14:textId="77777777" w:rsidR="00F7113A" w:rsidRPr="00580C0D" w:rsidRDefault="00142E5B" w:rsidP="00BD6CF4">
            <w:pPr>
              <w:jc w:val="right"/>
            </w:pPr>
            <w:r w:rsidRPr="00580C0D">
              <w:t>Nei</w:t>
            </w:r>
          </w:p>
        </w:tc>
      </w:tr>
      <w:tr w:rsidR="00F7113A" w:rsidRPr="00580C0D" w14:paraId="7BE7D4AC"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2368E786"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0A86D421" w14:textId="77777777" w:rsidR="00F7113A" w:rsidRPr="00580C0D" w:rsidRDefault="00142E5B" w:rsidP="00BD6CF4">
            <w:pPr>
              <w:ind w:right="284"/>
              <w:jc w:val="right"/>
            </w:pPr>
            <w:r w:rsidRPr="00580C0D">
              <w:t>548</w:t>
            </w:r>
          </w:p>
        </w:tc>
        <w:tc>
          <w:tcPr>
            <w:tcW w:w="5953" w:type="dxa"/>
            <w:tcBorders>
              <w:top w:val="nil"/>
              <w:left w:val="nil"/>
              <w:bottom w:val="nil"/>
              <w:right w:val="nil"/>
            </w:tcBorders>
            <w:tcMar>
              <w:top w:w="128" w:type="dxa"/>
              <w:left w:w="43" w:type="dxa"/>
              <w:bottom w:w="43" w:type="dxa"/>
              <w:right w:w="43" w:type="dxa"/>
            </w:tcMar>
          </w:tcPr>
          <w:p w14:paraId="71849E4C" w14:textId="77777777" w:rsidR="00F7113A" w:rsidRPr="00580C0D" w:rsidRDefault="00142E5B" w:rsidP="00BD6CF4">
            <w:r w:rsidRPr="00580C0D">
              <w:t xml:space="preserve">Fjerne regulatoriske </w:t>
            </w:r>
            <w:proofErr w:type="spellStart"/>
            <w:r w:rsidRPr="00580C0D">
              <w:t>barrierar</w:t>
            </w:r>
            <w:proofErr w:type="spellEnd"/>
            <w:r w:rsidRPr="00580C0D">
              <w:t xml:space="preserve"> som </w:t>
            </w:r>
            <w:proofErr w:type="spellStart"/>
            <w:r w:rsidRPr="00580C0D">
              <w:t>hindrar</w:t>
            </w:r>
            <w:proofErr w:type="spellEnd"/>
            <w:r w:rsidRPr="00580C0D">
              <w:t xml:space="preserve"> lokal energiproduksjon, energilagring og omsetning av energi mellom bygg</w:t>
            </w:r>
          </w:p>
        </w:tc>
        <w:tc>
          <w:tcPr>
            <w:tcW w:w="1503" w:type="dxa"/>
            <w:tcBorders>
              <w:top w:val="nil"/>
              <w:left w:val="nil"/>
              <w:bottom w:val="nil"/>
              <w:right w:val="nil"/>
            </w:tcBorders>
            <w:tcMar>
              <w:top w:w="128" w:type="dxa"/>
              <w:left w:w="43" w:type="dxa"/>
              <w:bottom w:w="43" w:type="dxa"/>
              <w:right w:w="43" w:type="dxa"/>
            </w:tcMar>
            <w:vAlign w:val="bottom"/>
          </w:tcPr>
          <w:p w14:paraId="07B9BF2D" w14:textId="77777777" w:rsidR="00F7113A" w:rsidRPr="00580C0D" w:rsidRDefault="00142E5B" w:rsidP="00BD6CF4">
            <w:pPr>
              <w:jc w:val="right"/>
            </w:pPr>
            <w:r w:rsidRPr="00580C0D">
              <w:t>Nei</w:t>
            </w:r>
          </w:p>
        </w:tc>
      </w:tr>
      <w:tr w:rsidR="00F7113A" w:rsidRPr="00580C0D" w14:paraId="7CE46A87"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07D6B496"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52DA99C2" w14:textId="77777777" w:rsidR="00F7113A" w:rsidRPr="00580C0D" w:rsidRDefault="00142E5B" w:rsidP="00BD6CF4">
            <w:pPr>
              <w:ind w:right="284"/>
              <w:jc w:val="right"/>
            </w:pPr>
            <w:r w:rsidRPr="00580C0D">
              <w:t>701</w:t>
            </w:r>
          </w:p>
        </w:tc>
        <w:tc>
          <w:tcPr>
            <w:tcW w:w="5953" w:type="dxa"/>
            <w:tcBorders>
              <w:top w:val="nil"/>
              <w:left w:val="nil"/>
              <w:bottom w:val="nil"/>
              <w:right w:val="nil"/>
            </w:tcBorders>
            <w:tcMar>
              <w:top w:w="128" w:type="dxa"/>
              <w:left w:w="43" w:type="dxa"/>
              <w:bottom w:w="43" w:type="dxa"/>
              <w:right w:w="43" w:type="dxa"/>
            </w:tcMar>
          </w:tcPr>
          <w:p w14:paraId="27499B51" w14:textId="77777777" w:rsidR="00F7113A" w:rsidRPr="00580C0D" w:rsidRDefault="00142E5B" w:rsidP="00BD6CF4">
            <w:r w:rsidRPr="00580C0D">
              <w:t xml:space="preserve">Kraft- og nettutbygging knytt til store </w:t>
            </w:r>
            <w:proofErr w:type="spellStart"/>
            <w:r w:rsidRPr="00580C0D">
              <w:t>industrietableringar</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4DD84539" w14:textId="77777777" w:rsidR="00F7113A" w:rsidRPr="00580C0D" w:rsidRDefault="00142E5B" w:rsidP="00BD6CF4">
            <w:pPr>
              <w:jc w:val="right"/>
            </w:pPr>
            <w:r w:rsidRPr="00580C0D">
              <w:t>Ja</w:t>
            </w:r>
          </w:p>
        </w:tc>
      </w:tr>
      <w:tr w:rsidR="00F7113A" w:rsidRPr="00580C0D" w14:paraId="24EB7C92"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61D7C08A"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2D0265F2" w14:textId="77777777" w:rsidR="00F7113A" w:rsidRPr="00580C0D" w:rsidRDefault="00142E5B" w:rsidP="00BD6CF4">
            <w:pPr>
              <w:ind w:right="284"/>
              <w:jc w:val="right"/>
            </w:pPr>
            <w:r w:rsidRPr="00580C0D">
              <w:t>702</w:t>
            </w:r>
          </w:p>
        </w:tc>
        <w:tc>
          <w:tcPr>
            <w:tcW w:w="5953" w:type="dxa"/>
            <w:tcBorders>
              <w:top w:val="nil"/>
              <w:left w:val="nil"/>
              <w:bottom w:val="nil"/>
              <w:right w:val="nil"/>
            </w:tcBorders>
            <w:tcMar>
              <w:top w:w="128" w:type="dxa"/>
              <w:left w:w="43" w:type="dxa"/>
              <w:bottom w:w="43" w:type="dxa"/>
              <w:right w:w="43" w:type="dxa"/>
            </w:tcMar>
          </w:tcPr>
          <w:p w14:paraId="500DB966" w14:textId="77777777" w:rsidR="00F7113A" w:rsidRPr="00580C0D" w:rsidRDefault="00142E5B" w:rsidP="00BD6CF4">
            <w:r w:rsidRPr="00580C0D">
              <w:t>Regulering av energifeltet</w:t>
            </w:r>
          </w:p>
        </w:tc>
        <w:tc>
          <w:tcPr>
            <w:tcW w:w="1503" w:type="dxa"/>
            <w:tcBorders>
              <w:top w:val="nil"/>
              <w:left w:val="nil"/>
              <w:bottom w:val="nil"/>
              <w:right w:val="nil"/>
            </w:tcBorders>
            <w:tcMar>
              <w:top w:w="128" w:type="dxa"/>
              <w:left w:w="43" w:type="dxa"/>
              <w:bottom w:w="43" w:type="dxa"/>
              <w:right w:w="43" w:type="dxa"/>
            </w:tcMar>
            <w:vAlign w:val="bottom"/>
          </w:tcPr>
          <w:p w14:paraId="398E58A5" w14:textId="77777777" w:rsidR="00F7113A" w:rsidRPr="00580C0D" w:rsidRDefault="00142E5B" w:rsidP="00BD6CF4">
            <w:pPr>
              <w:jc w:val="right"/>
            </w:pPr>
            <w:r w:rsidRPr="00580C0D">
              <w:t>Ja</w:t>
            </w:r>
          </w:p>
        </w:tc>
      </w:tr>
      <w:tr w:rsidR="00F7113A" w:rsidRPr="00580C0D" w14:paraId="437BE2CE"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7916C394"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7959FD19" w14:textId="77777777" w:rsidR="00F7113A" w:rsidRPr="00580C0D" w:rsidRDefault="00142E5B" w:rsidP="00BD6CF4">
            <w:pPr>
              <w:ind w:right="284"/>
              <w:jc w:val="right"/>
            </w:pPr>
            <w:r w:rsidRPr="00580C0D">
              <w:t>703</w:t>
            </w:r>
          </w:p>
        </w:tc>
        <w:tc>
          <w:tcPr>
            <w:tcW w:w="5953" w:type="dxa"/>
            <w:tcBorders>
              <w:top w:val="nil"/>
              <w:left w:val="nil"/>
              <w:bottom w:val="nil"/>
              <w:right w:val="nil"/>
            </w:tcBorders>
            <w:tcMar>
              <w:top w:w="128" w:type="dxa"/>
              <w:left w:w="43" w:type="dxa"/>
              <w:bottom w:w="43" w:type="dxa"/>
              <w:right w:w="43" w:type="dxa"/>
            </w:tcMar>
          </w:tcPr>
          <w:p w14:paraId="0C4F9D80" w14:textId="77777777" w:rsidR="00F7113A" w:rsidRPr="00580C0D" w:rsidRDefault="00142E5B" w:rsidP="00BD6CF4">
            <w:r w:rsidRPr="00580C0D">
              <w:t>Havvind – tildeling av areal</w:t>
            </w:r>
          </w:p>
        </w:tc>
        <w:tc>
          <w:tcPr>
            <w:tcW w:w="1503" w:type="dxa"/>
            <w:tcBorders>
              <w:top w:val="nil"/>
              <w:left w:val="nil"/>
              <w:bottom w:val="nil"/>
              <w:right w:val="nil"/>
            </w:tcBorders>
            <w:tcMar>
              <w:top w:w="128" w:type="dxa"/>
              <w:left w:w="43" w:type="dxa"/>
              <w:bottom w:w="43" w:type="dxa"/>
              <w:right w:w="43" w:type="dxa"/>
            </w:tcMar>
            <w:vAlign w:val="bottom"/>
          </w:tcPr>
          <w:p w14:paraId="6559DCE3" w14:textId="77777777" w:rsidR="00F7113A" w:rsidRPr="00580C0D" w:rsidRDefault="00142E5B" w:rsidP="00BD6CF4">
            <w:pPr>
              <w:jc w:val="right"/>
            </w:pPr>
            <w:r w:rsidRPr="00580C0D">
              <w:t>Nei</w:t>
            </w:r>
          </w:p>
        </w:tc>
      </w:tr>
      <w:tr w:rsidR="00F7113A" w:rsidRPr="00580C0D" w14:paraId="0C9D19FC"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02B8D9B9"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08853C5E" w14:textId="77777777" w:rsidR="00F7113A" w:rsidRPr="00580C0D" w:rsidRDefault="00142E5B" w:rsidP="00BD6CF4">
            <w:pPr>
              <w:ind w:right="284"/>
              <w:jc w:val="right"/>
            </w:pPr>
            <w:r w:rsidRPr="00580C0D">
              <w:t>704</w:t>
            </w:r>
          </w:p>
        </w:tc>
        <w:tc>
          <w:tcPr>
            <w:tcW w:w="5953" w:type="dxa"/>
            <w:tcBorders>
              <w:top w:val="nil"/>
              <w:left w:val="nil"/>
              <w:bottom w:val="nil"/>
              <w:right w:val="nil"/>
            </w:tcBorders>
            <w:tcMar>
              <w:top w:w="128" w:type="dxa"/>
              <w:left w:w="43" w:type="dxa"/>
              <w:bottom w:w="43" w:type="dxa"/>
              <w:right w:w="43" w:type="dxa"/>
            </w:tcMar>
          </w:tcPr>
          <w:p w14:paraId="7A69916D" w14:textId="77777777" w:rsidR="00F7113A" w:rsidRPr="00580C0D" w:rsidRDefault="00142E5B" w:rsidP="00BD6CF4">
            <w:r w:rsidRPr="00580C0D">
              <w:t xml:space="preserve">Havvind – greie ut </w:t>
            </w:r>
            <w:proofErr w:type="spellStart"/>
            <w:r w:rsidRPr="00580C0D">
              <w:t>støtteordningar</w:t>
            </w:r>
            <w:proofErr w:type="spellEnd"/>
            <w:r w:rsidRPr="00580C0D">
              <w:t xml:space="preserve"> og </w:t>
            </w:r>
            <w:proofErr w:type="spellStart"/>
            <w:r w:rsidRPr="00580C0D">
              <w:t>verkemiddel</w:t>
            </w:r>
            <w:proofErr w:type="spellEnd"/>
            <w:r w:rsidRPr="00580C0D">
              <w:t xml:space="preserve">, deriblant </w:t>
            </w:r>
            <w:proofErr w:type="spellStart"/>
            <w:r w:rsidRPr="00580C0D">
              <w:t>differansekontraktar</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3EFD0B08" w14:textId="77777777" w:rsidR="00F7113A" w:rsidRPr="00580C0D" w:rsidRDefault="00142E5B" w:rsidP="00BD6CF4">
            <w:pPr>
              <w:jc w:val="right"/>
            </w:pPr>
            <w:r w:rsidRPr="00580C0D">
              <w:t>Ja</w:t>
            </w:r>
          </w:p>
        </w:tc>
      </w:tr>
      <w:tr w:rsidR="00F7113A" w:rsidRPr="00580C0D" w14:paraId="1989DD57"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01FA977E"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05926012" w14:textId="77777777" w:rsidR="00F7113A" w:rsidRPr="00580C0D" w:rsidRDefault="00142E5B" w:rsidP="00BD6CF4">
            <w:pPr>
              <w:ind w:right="284"/>
              <w:jc w:val="right"/>
            </w:pPr>
            <w:r w:rsidRPr="00580C0D">
              <w:t>705</w:t>
            </w:r>
          </w:p>
        </w:tc>
        <w:tc>
          <w:tcPr>
            <w:tcW w:w="5953" w:type="dxa"/>
            <w:tcBorders>
              <w:top w:val="nil"/>
              <w:left w:val="nil"/>
              <w:bottom w:val="nil"/>
              <w:right w:val="nil"/>
            </w:tcBorders>
            <w:tcMar>
              <w:top w:w="128" w:type="dxa"/>
              <w:left w:w="43" w:type="dxa"/>
              <w:bottom w:w="43" w:type="dxa"/>
              <w:right w:w="43" w:type="dxa"/>
            </w:tcMar>
          </w:tcPr>
          <w:p w14:paraId="5B7C34DB" w14:textId="77777777" w:rsidR="00F7113A" w:rsidRPr="00580C0D" w:rsidRDefault="00142E5B" w:rsidP="00BD6CF4">
            <w:r w:rsidRPr="00580C0D">
              <w:t xml:space="preserve">Kraftpotensial </w:t>
            </w:r>
            <w:proofErr w:type="spellStart"/>
            <w:r w:rsidRPr="00580C0D">
              <w:t>frå</w:t>
            </w:r>
            <w:proofErr w:type="spellEnd"/>
            <w:r w:rsidRPr="00580C0D">
              <w:t xml:space="preserve"> mindre vindmøller på gardsbruk</w:t>
            </w:r>
          </w:p>
        </w:tc>
        <w:tc>
          <w:tcPr>
            <w:tcW w:w="1503" w:type="dxa"/>
            <w:tcBorders>
              <w:top w:val="nil"/>
              <w:left w:val="nil"/>
              <w:bottom w:val="nil"/>
              <w:right w:val="nil"/>
            </w:tcBorders>
            <w:tcMar>
              <w:top w:w="128" w:type="dxa"/>
              <w:left w:w="43" w:type="dxa"/>
              <w:bottom w:w="43" w:type="dxa"/>
              <w:right w:w="43" w:type="dxa"/>
            </w:tcMar>
            <w:vAlign w:val="bottom"/>
          </w:tcPr>
          <w:p w14:paraId="4704ADBC" w14:textId="77777777" w:rsidR="00F7113A" w:rsidRPr="00580C0D" w:rsidRDefault="00142E5B" w:rsidP="00BD6CF4">
            <w:pPr>
              <w:jc w:val="right"/>
            </w:pPr>
            <w:r w:rsidRPr="00580C0D">
              <w:t>Ja</w:t>
            </w:r>
          </w:p>
        </w:tc>
      </w:tr>
      <w:tr w:rsidR="00F7113A" w:rsidRPr="00580C0D" w14:paraId="0511050B"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58FD167D"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0054A8FC" w14:textId="77777777" w:rsidR="00F7113A" w:rsidRPr="00580C0D" w:rsidRDefault="00142E5B" w:rsidP="00BD6CF4">
            <w:pPr>
              <w:ind w:right="284"/>
              <w:jc w:val="right"/>
            </w:pPr>
            <w:r w:rsidRPr="00580C0D">
              <w:t>708</w:t>
            </w:r>
          </w:p>
        </w:tc>
        <w:tc>
          <w:tcPr>
            <w:tcW w:w="5953" w:type="dxa"/>
            <w:tcBorders>
              <w:top w:val="nil"/>
              <w:left w:val="nil"/>
              <w:bottom w:val="nil"/>
              <w:right w:val="nil"/>
            </w:tcBorders>
            <w:tcMar>
              <w:top w:w="128" w:type="dxa"/>
              <w:left w:w="43" w:type="dxa"/>
              <w:bottom w:w="43" w:type="dxa"/>
              <w:right w:w="43" w:type="dxa"/>
            </w:tcMar>
          </w:tcPr>
          <w:p w14:paraId="4AE36A6B" w14:textId="77777777" w:rsidR="00F7113A" w:rsidRPr="00580C0D" w:rsidRDefault="00142E5B" w:rsidP="00BD6CF4">
            <w:r w:rsidRPr="00580C0D">
              <w:t xml:space="preserve">Havvind – etablere eigna regime for </w:t>
            </w:r>
            <w:proofErr w:type="spellStart"/>
            <w:r w:rsidRPr="00580C0D">
              <w:t>risikoavlasting</w:t>
            </w:r>
            <w:proofErr w:type="spellEnd"/>
            <w:r w:rsidRPr="00580C0D">
              <w:t xml:space="preserve"> og statsstøtte, </w:t>
            </w:r>
            <w:proofErr w:type="spellStart"/>
            <w:r w:rsidRPr="00580C0D">
              <w:t>medrekna</w:t>
            </w:r>
            <w:proofErr w:type="spellEnd"/>
            <w:r w:rsidRPr="00580C0D">
              <w:t xml:space="preserve"> </w:t>
            </w:r>
            <w:proofErr w:type="spellStart"/>
            <w:r w:rsidRPr="00580C0D">
              <w:t>differansekontraktar</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11765E6C" w14:textId="77777777" w:rsidR="00F7113A" w:rsidRPr="00580C0D" w:rsidRDefault="00142E5B" w:rsidP="00BD6CF4">
            <w:pPr>
              <w:jc w:val="right"/>
            </w:pPr>
            <w:r w:rsidRPr="00580C0D">
              <w:t>Ja</w:t>
            </w:r>
          </w:p>
        </w:tc>
      </w:tr>
      <w:tr w:rsidR="00F7113A" w:rsidRPr="00580C0D" w14:paraId="56A7DF15"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78FB261F"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55F27D21" w14:textId="77777777" w:rsidR="00F7113A" w:rsidRPr="00580C0D" w:rsidRDefault="00142E5B" w:rsidP="00BD6CF4">
            <w:pPr>
              <w:ind w:right="284"/>
              <w:jc w:val="right"/>
            </w:pPr>
            <w:r w:rsidRPr="00580C0D">
              <w:t>716</w:t>
            </w:r>
          </w:p>
        </w:tc>
        <w:tc>
          <w:tcPr>
            <w:tcW w:w="5953" w:type="dxa"/>
            <w:tcBorders>
              <w:top w:val="nil"/>
              <w:left w:val="nil"/>
              <w:bottom w:val="nil"/>
              <w:right w:val="nil"/>
            </w:tcBorders>
            <w:tcMar>
              <w:top w:w="128" w:type="dxa"/>
              <w:left w:w="43" w:type="dxa"/>
              <w:bottom w:w="43" w:type="dxa"/>
              <w:right w:w="43" w:type="dxa"/>
            </w:tcMar>
          </w:tcPr>
          <w:p w14:paraId="52B73D38" w14:textId="77777777" w:rsidR="00F7113A" w:rsidRPr="00580C0D" w:rsidRDefault="00142E5B" w:rsidP="00BD6CF4">
            <w:r w:rsidRPr="00580C0D">
              <w:t xml:space="preserve">Havvind – vurdere å fastsette delmål for arealtildeling </w:t>
            </w:r>
            <w:proofErr w:type="spellStart"/>
            <w:r w:rsidRPr="00580C0D">
              <w:t>innan</w:t>
            </w:r>
            <w:proofErr w:type="spellEnd"/>
            <w:r w:rsidRPr="00580C0D">
              <w:t xml:space="preserve"> 2030</w:t>
            </w:r>
          </w:p>
        </w:tc>
        <w:tc>
          <w:tcPr>
            <w:tcW w:w="1503" w:type="dxa"/>
            <w:tcBorders>
              <w:top w:val="nil"/>
              <w:left w:val="nil"/>
              <w:bottom w:val="nil"/>
              <w:right w:val="nil"/>
            </w:tcBorders>
            <w:tcMar>
              <w:top w:w="128" w:type="dxa"/>
              <w:left w:w="43" w:type="dxa"/>
              <w:bottom w:w="43" w:type="dxa"/>
              <w:right w:w="43" w:type="dxa"/>
            </w:tcMar>
            <w:vAlign w:val="bottom"/>
          </w:tcPr>
          <w:p w14:paraId="5AB46C34" w14:textId="77777777" w:rsidR="00F7113A" w:rsidRPr="00580C0D" w:rsidRDefault="00142E5B" w:rsidP="00BD6CF4">
            <w:pPr>
              <w:jc w:val="right"/>
            </w:pPr>
            <w:r w:rsidRPr="00580C0D">
              <w:t>Nei</w:t>
            </w:r>
          </w:p>
        </w:tc>
      </w:tr>
      <w:tr w:rsidR="00F7113A" w:rsidRPr="00580C0D" w14:paraId="62D9D25E"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0125FA74"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2905F51B" w14:textId="77777777" w:rsidR="00F7113A" w:rsidRPr="00580C0D" w:rsidRDefault="00142E5B" w:rsidP="00BD6CF4">
            <w:pPr>
              <w:ind w:right="284"/>
              <w:jc w:val="right"/>
            </w:pPr>
            <w:r w:rsidRPr="00580C0D">
              <w:t>724</w:t>
            </w:r>
          </w:p>
        </w:tc>
        <w:tc>
          <w:tcPr>
            <w:tcW w:w="5953" w:type="dxa"/>
            <w:tcBorders>
              <w:top w:val="nil"/>
              <w:left w:val="nil"/>
              <w:bottom w:val="nil"/>
              <w:right w:val="nil"/>
            </w:tcBorders>
            <w:tcMar>
              <w:top w:w="128" w:type="dxa"/>
              <w:left w:w="43" w:type="dxa"/>
              <w:bottom w:w="43" w:type="dxa"/>
              <w:right w:w="43" w:type="dxa"/>
            </w:tcMar>
          </w:tcPr>
          <w:p w14:paraId="6498D2CA" w14:textId="77777777" w:rsidR="00F7113A" w:rsidRPr="00580C0D" w:rsidRDefault="00142E5B" w:rsidP="00BD6CF4">
            <w:r w:rsidRPr="00580C0D">
              <w:t>Vurdere potensialet for småskala vindkraft-produksjon</w:t>
            </w:r>
          </w:p>
        </w:tc>
        <w:tc>
          <w:tcPr>
            <w:tcW w:w="1503" w:type="dxa"/>
            <w:tcBorders>
              <w:top w:val="nil"/>
              <w:left w:val="nil"/>
              <w:bottom w:val="nil"/>
              <w:right w:val="nil"/>
            </w:tcBorders>
            <w:tcMar>
              <w:top w:w="128" w:type="dxa"/>
              <w:left w:w="43" w:type="dxa"/>
              <w:bottom w:w="43" w:type="dxa"/>
              <w:right w:w="43" w:type="dxa"/>
            </w:tcMar>
            <w:vAlign w:val="bottom"/>
          </w:tcPr>
          <w:p w14:paraId="55DB8DC0" w14:textId="77777777" w:rsidR="00F7113A" w:rsidRPr="00580C0D" w:rsidRDefault="00142E5B" w:rsidP="00BD6CF4">
            <w:pPr>
              <w:jc w:val="right"/>
            </w:pPr>
            <w:r w:rsidRPr="00580C0D">
              <w:t>Ja</w:t>
            </w:r>
          </w:p>
        </w:tc>
      </w:tr>
      <w:tr w:rsidR="00F7113A" w:rsidRPr="00580C0D" w14:paraId="7092AB8F"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59685543"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129BC183" w14:textId="77777777" w:rsidR="00F7113A" w:rsidRPr="00580C0D" w:rsidRDefault="00142E5B" w:rsidP="00BD6CF4">
            <w:pPr>
              <w:ind w:right="284"/>
              <w:jc w:val="right"/>
            </w:pPr>
            <w:r w:rsidRPr="00580C0D">
              <w:t>727</w:t>
            </w:r>
          </w:p>
        </w:tc>
        <w:tc>
          <w:tcPr>
            <w:tcW w:w="5953" w:type="dxa"/>
            <w:tcBorders>
              <w:top w:val="nil"/>
              <w:left w:val="nil"/>
              <w:bottom w:val="nil"/>
              <w:right w:val="nil"/>
            </w:tcBorders>
            <w:tcMar>
              <w:top w:w="128" w:type="dxa"/>
              <w:left w:w="43" w:type="dxa"/>
              <w:bottom w:w="43" w:type="dxa"/>
              <w:right w:w="43" w:type="dxa"/>
            </w:tcMar>
          </w:tcPr>
          <w:p w14:paraId="7C5B6DB7" w14:textId="77777777" w:rsidR="00F7113A" w:rsidRPr="00580C0D" w:rsidRDefault="00142E5B" w:rsidP="00BD6CF4">
            <w:r w:rsidRPr="00580C0D">
              <w:t xml:space="preserve">Mål om </w:t>
            </w:r>
            <w:proofErr w:type="spellStart"/>
            <w:r w:rsidRPr="00580C0D">
              <w:t>auka</w:t>
            </w:r>
            <w:proofErr w:type="spellEnd"/>
            <w:r w:rsidRPr="00580C0D">
              <w:t xml:space="preserve"> energisparing – greie ut ulike </w:t>
            </w:r>
            <w:proofErr w:type="spellStart"/>
            <w:r w:rsidRPr="00580C0D">
              <w:t>ordningar</w:t>
            </w:r>
            <w:proofErr w:type="spellEnd"/>
            <w:r w:rsidRPr="00580C0D">
              <w:t xml:space="preserve"> med energisparesertifikat</w:t>
            </w:r>
          </w:p>
        </w:tc>
        <w:tc>
          <w:tcPr>
            <w:tcW w:w="1503" w:type="dxa"/>
            <w:tcBorders>
              <w:top w:val="nil"/>
              <w:left w:val="nil"/>
              <w:bottom w:val="nil"/>
              <w:right w:val="nil"/>
            </w:tcBorders>
            <w:tcMar>
              <w:top w:w="128" w:type="dxa"/>
              <w:left w:w="43" w:type="dxa"/>
              <w:bottom w:w="43" w:type="dxa"/>
              <w:right w:w="43" w:type="dxa"/>
            </w:tcMar>
            <w:vAlign w:val="bottom"/>
          </w:tcPr>
          <w:p w14:paraId="5A8D0F59" w14:textId="77777777" w:rsidR="00F7113A" w:rsidRPr="00580C0D" w:rsidRDefault="00142E5B" w:rsidP="00BD6CF4">
            <w:pPr>
              <w:jc w:val="right"/>
            </w:pPr>
            <w:r w:rsidRPr="00580C0D">
              <w:t>Nei</w:t>
            </w:r>
          </w:p>
        </w:tc>
      </w:tr>
      <w:tr w:rsidR="00F7113A" w:rsidRPr="00580C0D" w14:paraId="0C2F3AAB"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45CC922C"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54107A53" w14:textId="77777777" w:rsidR="00F7113A" w:rsidRPr="00580C0D" w:rsidRDefault="00142E5B" w:rsidP="00BD6CF4">
            <w:pPr>
              <w:ind w:right="284"/>
              <w:jc w:val="right"/>
            </w:pPr>
            <w:r w:rsidRPr="00580C0D">
              <w:t>731</w:t>
            </w:r>
          </w:p>
        </w:tc>
        <w:tc>
          <w:tcPr>
            <w:tcW w:w="5953" w:type="dxa"/>
            <w:tcBorders>
              <w:top w:val="nil"/>
              <w:left w:val="nil"/>
              <w:bottom w:val="nil"/>
              <w:right w:val="nil"/>
            </w:tcBorders>
            <w:tcMar>
              <w:top w:w="128" w:type="dxa"/>
              <w:left w:w="43" w:type="dxa"/>
              <w:bottom w:w="43" w:type="dxa"/>
              <w:right w:w="43" w:type="dxa"/>
            </w:tcMar>
          </w:tcPr>
          <w:p w14:paraId="1731A1EA" w14:textId="77777777" w:rsidR="00F7113A" w:rsidRPr="00580C0D" w:rsidRDefault="00142E5B" w:rsidP="00BD6CF4">
            <w:r w:rsidRPr="00580C0D">
              <w:t xml:space="preserve">Prioritere kven som får </w:t>
            </w:r>
            <w:proofErr w:type="spellStart"/>
            <w:r w:rsidRPr="00580C0D">
              <w:t>tilknyting</w:t>
            </w:r>
            <w:proofErr w:type="spellEnd"/>
            <w:r w:rsidRPr="00580C0D">
              <w:t xml:space="preserve"> til og uttak </w:t>
            </w:r>
            <w:proofErr w:type="spellStart"/>
            <w:r w:rsidRPr="00580C0D">
              <w:t>frå</w:t>
            </w:r>
            <w:proofErr w:type="spellEnd"/>
            <w:r w:rsidRPr="00580C0D">
              <w:t xml:space="preserve"> nettet av større nye </w:t>
            </w:r>
            <w:proofErr w:type="spellStart"/>
            <w:r w:rsidRPr="00580C0D">
              <w:t>forbrukarar</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661D46BA" w14:textId="77777777" w:rsidR="00F7113A" w:rsidRPr="00580C0D" w:rsidRDefault="00142E5B" w:rsidP="00BD6CF4">
            <w:pPr>
              <w:jc w:val="right"/>
            </w:pPr>
            <w:r w:rsidRPr="00580C0D">
              <w:t>Ja</w:t>
            </w:r>
          </w:p>
        </w:tc>
      </w:tr>
      <w:tr w:rsidR="00F7113A" w:rsidRPr="00580C0D" w14:paraId="66FBB82A"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0AEA7795"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5FFA5137" w14:textId="77777777" w:rsidR="00F7113A" w:rsidRPr="00580C0D" w:rsidRDefault="00142E5B" w:rsidP="00BD6CF4">
            <w:pPr>
              <w:ind w:right="284"/>
              <w:jc w:val="right"/>
            </w:pPr>
            <w:r w:rsidRPr="00580C0D">
              <w:t>742</w:t>
            </w:r>
          </w:p>
        </w:tc>
        <w:tc>
          <w:tcPr>
            <w:tcW w:w="5953" w:type="dxa"/>
            <w:tcBorders>
              <w:top w:val="nil"/>
              <w:left w:val="nil"/>
              <w:bottom w:val="nil"/>
              <w:right w:val="nil"/>
            </w:tcBorders>
            <w:tcMar>
              <w:top w:w="128" w:type="dxa"/>
              <w:left w:w="43" w:type="dxa"/>
              <w:bottom w:w="43" w:type="dxa"/>
              <w:right w:w="43" w:type="dxa"/>
            </w:tcMar>
          </w:tcPr>
          <w:p w14:paraId="210A8CC4" w14:textId="0177C1A4" w:rsidR="00F7113A" w:rsidRPr="00580C0D" w:rsidRDefault="00142E5B" w:rsidP="00BD6CF4">
            <w:r w:rsidRPr="00580C0D">
              <w:t xml:space="preserve">Hydrogen – utvikle </w:t>
            </w:r>
            <w:proofErr w:type="spellStart"/>
            <w:r w:rsidRPr="00580C0D">
              <w:t>eit</w:t>
            </w:r>
            <w:proofErr w:type="spellEnd"/>
            <w:r w:rsidRPr="00580C0D">
              <w:t xml:space="preserve"> </w:t>
            </w:r>
            <w:proofErr w:type="spellStart"/>
            <w:r w:rsidRPr="00580C0D">
              <w:t>landsdekkande</w:t>
            </w:r>
            <w:proofErr w:type="spellEnd"/>
            <w:r w:rsidRPr="00580C0D">
              <w:t xml:space="preserve"> nettverk av </w:t>
            </w:r>
            <w:proofErr w:type="spellStart"/>
            <w:r w:rsidRPr="00580C0D">
              <w:t>fylle</w:t>
            </w:r>
            <w:r w:rsidR="00E13315">
              <w:softHyphen/>
            </w:r>
            <w:r w:rsidRPr="00580C0D">
              <w:t>stasjonar</w:t>
            </w:r>
            <w:proofErr w:type="spellEnd"/>
            <w:r w:rsidRPr="00580C0D">
              <w:t xml:space="preserve"> og knutepunkt</w:t>
            </w:r>
          </w:p>
        </w:tc>
        <w:tc>
          <w:tcPr>
            <w:tcW w:w="1503" w:type="dxa"/>
            <w:tcBorders>
              <w:top w:val="nil"/>
              <w:left w:val="nil"/>
              <w:bottom w:val="nil"/>
              <w:right w:val="nil"/>
            </w:tcBorders>
            <w:tcMar>
              <w:top w:w="128" w:type="dxa"/>
              <w:left w:w="43" w:type="dxa"/>
              <w:bottom w:w="43" w:type="dxa"/>
              <w:right w:w="43" w:type="dxa"/>
            </w:tcMar>
            <w:vAlign w:val="bottom"/>
          </w:tcPr>
          <w:p w14:paraId="2CC6F041" w14:textId="77777777" w:rsidR="00F7113A" w:rsidRPr="00580C0D" w:rsidRDefault="00142E5B" w:rsidP="00BD6CF4">
            <w:pPr>
              <w:jc w:val="right"/>
            </w:pPr>
            <w:r w:rsidRPr="00580C0D">
              <w:t>Ja</w:t>
            </w:r>
          </w:p>
        </w:tc>
      </w:tr>
      <w:tr w:rsidR="00F7113A" w:rsidRPr="00580C0D" w14:paraId="6E477A7B"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61D51931"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47346942" w14:textId="77777777" w:rsidR="00F7113A" w:rsidRPr="00580C0D" w:rsidRDefault="00142E5B" w:rsidP="00BD6CF4">
            <w:pPr>
              <w:ind w:right="284"/>
              <w:jc w:val="right"/>
            </w:pPr>
            <w:r w:rsidRPr="00580C0D">
              <w:t>743</w:t>
            </w:r>
          </w:p>
        </w:tc>
        <w:tc>
          <w:tcPr>
            <w:tcW w:w="5953" w:type="dxa"/>
            <w:tcBorders>
              <w:top w:val="nil"/>
              <w:left w:val="nil"/>
              <w:bottom w:val="nil"/>
              <w:right w:val="nil"/>
            </w:tcBorders>
            <w:tcMar>
              <w:top w:w="128" w:type="dxa"/>
              <w:left w:w="43" w:type="dxa"/>
              <w:bottom w:w="43" w:type="dxa"/>
              <w:right w:w="43" w:type="dxa"/>
            </w:tcMar>
          </w:tcPr>
          <w:p w14:paraId="40B6D780" w14:textId="77777777" w:rsidR="00F7113A" w:rsidRPr="00580C0D" w:rsidRDefault="00142E5B" w:rsidP="00BD6CF4">
            <w:r w:rsidRPr="00580C0D">
              <w:t xml:space="preserve">Krav om utnytting av </w:t>
            </w:r>
            <w:proofErr w:type="spellStart"/>
            <w:r w:rsidRPr="00580C0D">
              <w:t>overskotsvarme</w:t>
            </w:r>
            <w:proofErr w:type="spellEnd"/>
          </w:p>
        </w:tc>
        <w:tc>
          <w:tcPr>
            <w:tcW w:w="1503" w:type="dxa"/>
            <w:tcBorders>
              <w:top w:val="nil"/>
              <w:left w:val="nil"/>
              <w:bottom w:val="nil"/>
              <w:right w:val="nil"/>
            </w:tcBorders>
            <w:tcMar>
              <w:top w:w="128" w:type="dxa"/>
              <w:left w:w="43" w:type="dxa"/>
              <w:bottom w:w="43" w:type="dxa"/>
              <w:right w:w="43" w:type="dxa"/>
            </w:tcMar>
            <w:vAlign w:val="bottom"/>
          </w:tcPr>
          <w:p w14:paraId="41763120" w14:textId="77777777" w:rsidR="00F7113A" w:rsidRPr="00580C0D" w:rsidRDefault="00142E5B" w:rsidP="00BD6CF4">
            <w:pPr>
              <w:jc w:val="right"/>
            </w:pPr>
            <w:r w:rsidRPr="00580C0D">
              <w:t>Ja</w:t>
            </w:r>
          </w:p>
        </w:tc>
      </w:tr>
      <w:tr w:rsidR="00F7113A" w:rsidRPr="00580C0D" w14:paraId="377C985E"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4732A310"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7CA689AE" w14:textId="77777777" w:rsidR="00F7113A" w:rsidRPr="00580C0D" w:rsidRDefault="00142E5B" w:rsidP="00BD6CF4">
            <w:pPr>
              <w:ind w:right="284"/>
              <w:jc w:val="right"/>
            </w:pPr>
            <w:r w:rsidRPr="00580C0D">
              <w:t>746</w:t>
            </w:r>
          </w:p>
        </w:tc>
        <w:tc>
          <w:tcPr>
            <w:tcW w:w="5953" w:type="dxa"/>
            <w:tcBorders>
              <w:top w:val="nil"/>
              <w:left w:val="nil"/>
              <w:bottom w:val="nil"/>
              <w:right w:val="nil"/>
            </w:tcBorders>
            <w:tcMar>
              <w:top w:w="128" w:type="dxa"/>
              <w:left w:w="43" w:type="dxa"/>
              <w:bottom w:w="43" w:type="dxa"/>
              <w:right w:w="43" w:type="dxa"/>
            </w:tcMar>
          </w:tcPr>
          <w:p w14:paraId="1BFCD57E" w14:textId="77777777" w:rsidR="00F7113A" w:rsidRPr="00580C0D" w:rsidRDefault="00142E5B" w:rsidP="00BD6CF4">
            <w:r w:rsidRPr="00580C0D">
              <w:t xml:space="preserve">Prøveordning for </w:t>
            </w:r>
            <w:proofErr w:type="spellStart"/>
            <w:r w:rsidRPr="00580C0D">
              <w:t>handverksbedrifter</w:t>
            </w:r>
            <w:proofErr w:type="spellEnd"/>
            <w:r w:rsidRPr="00580C0D">
              <w:t xml:space="preserve"> – energitiltak</w:t>
            </w:r>
          </w:p>
        </w:tc>
        <w:tc>
          <w:tcPr>
            <w:tcW w:w="1503" w:type="dxa"/>
            <w:tcBorders>
              <w:top w:val="nil"/>
              <w:left w:val="nil"/>
              <w:bottom w:val="nil"/>
              <w:right w:val="nil"/>
            </w:tcBorders>
            <w:tcMar>
              <w:top w:w="128" w:type="dxa"/>
              <w:left w:w="43" w:type="dxa"/>
              <w:bottom w:w="43" w:type="dxa"/>
              <w:right w:w="43" w:type="dxa"/>
            </w:tcMar>
            <w:vAlign w:val="bottom"/>
          </w:tcPr>
          <w:p w14:paraId="4D971139" w14:textId="77777777" w:rsidR="00F7113A" w:rsidRPr="00580C0D" w:rsidRDefault="00142E5B" w:rsidP="00BD6CF4">
            <w:pPr>
              <w:jc w:val="right"/>
            </w:pPr>
            <w:r w:rsidRPr="00580C0D">
              <w:t>Nei</w:t>
            </w:r>
          </w:p>
        </w:tc>
      </w:tr>
      <w:tr w:rsidR="00F7113A" w:rsidRPr="00580C0D" w14:paraId="6C134C3F" w14:textId="77777777" w:rsidTr="00BD6CF4">
        <w:trPr>
          <w:trHeight w:val="380"/>
        </w:trPr>
        <w:tc>
          <w:tcPr>
            <w:tcW w:w="1180" w:type="dxa"/>
            <w:tcBorders>
              <w:top w:val="nil"/>
              <w:left w:val="nil"/>
              <w:bottom w:val="nil"/>
              <w:right w:val="nil"/>
            </w:tcBorders>
            <w:tcMar>
              <w:top w:w="128" w:type="dxa"/>
              <w:left w:w="43" w:type="dxa"/>
              <w:bottom w:w="43" w:type="dxa"/>
              <w:right w:w="43" w:type="dxa"/>
            </w:tcMar>
          </w:tcPr>
          <w:p w14:paraId="41EE0DC3"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6492D3D8" w14:textId="77777777" w:rsidR="00F7113A" w:rsidRPr="00580C0D" w:rsidRDefault="00142E5B" w:rsidP="00BD6CF4">
            <w:pPr>
              <w:ind w:right="284"/>
              <w:jc w:val="right"/>
            </w:pPr>
            <w:r w:rsidRPr="00580C0D">
              <w:t>747</w:t>
            </w:r>
          </w:p>
        </w:tc>
        <w:tc>
          <w:tcPr>
            <w:tcW w:w="5953" w:type="dxa"/>
            <w:tcBorders>
              <w:top w:val="nil"/>
              <w:left w:val="nil"/>
              <w:bottom w:val="nil"/>
              <w:right w:val="nil"/>
            </w:tcBorders>
            <w:tcMar>
              <w:top w:w="128" w:type="dxa"/>
              <w:left w:w="43" w:type="dxa"/>
              <w:bottom w:w="43" w:type="dxa"/>
              <w:right w:w="43" w:type="dxa"/>
            </w:tcMar>
          </w:tcPr>
          <w:p w14:paraId="6FD5F5C9" w14:textId="77777777" w:rsidR="00F7113A" w:rsidRPr="00580C0D" w:rsidRDefault="00142E5B" w:rsidP="00BD6CF4">
            <w:r w:rsidRPr="00580C0D">
              <w:t xml:space="preserve">Solenergi – </w:t>
            </w:r>
            <w:proofErr w:type="spellStart"/>
            <w:r w:rsidRPr="00580C0D">
              <w:t>auka</w:t>
            </w:r>
            <w:proofErr w:type="spellEnd"/>
            <w:r w:rsidRPr="00580C0D">
              <w:t xml:space="preserve"> bruk</w:t>
            </w:r>
          </w:p>
        </w:tc>
        <w:tc>
          <w:tcPr>
            <w:tcW w:w="1503" w:type="dxa"/>
            <w:tcBorders>
              <w:top w:val="nil"/>
              <w:left w:val="nil"/>
              <w:bottom w:val="nil"/>
              <w:right w:val="nil"/>
            </w:tcBorders>
            <w:tcMar>
              <w:top w:w="128" w:type="dxa"/>
              <w:left w:w="43" w:type="dxa"/>
              <w:bottom w:w="43" w:type="dxa"/>
              <w:right w:w="43" w:type="dxa"/>
            </w:tcMar>
            <w:vAlign w:val="bottom"/>
          </w:tcPr>
          <w:p w14:paraId="7E430492" w14:textId="77777777" w:rsidR="00F7113A" w:rsidRPr="00580C0D" w:rsidRDefault="00142E5B" w:rsidP="00BD6CF4">
            <w:pPr>
              <w:jc w:val="right"/>
            </w:pPr>
            <w:r w:rsidRPr="00580C0D">
              <w:t>Ja</w:t>
            </w:r>
          </w:p>
        </w:tc>
      </w:tr>
      <w:tr w:rsidR="00F7113A" w:rsidRPr="00580C0D" w14:paraId="65FD3233"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3B610CCA"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15347D9F" w14:textId="77777777" w:rsidR="00F7113A" w:rsidRPr="00580C0D" w:rsidRDefault="00142E5B" w:rsidP="00BD6CF4">
            <w:pPr>
              <w:ind w:right="284"/>
              <w:jc w:val="right"/>
            </w:pPr>
            <w:r w:rsidRPr="00580C0D">
              <w:t>751</w:t>
            </w:r>
          </w:p>
        </w:tc>
        <w:tc>
          <w:tcPr>
            <w:tcW w:w="5953" w:type="dxa"/>
            <w:tcBorders>
              <w:top w:val="nil"/>
              <w:left w:val="nil"/>
              <w:bottom w:val="nil"/>
              <w:right w:val="nil"/>
            </w:tcBorders>
            <w:tcMar>
              <w:top w:w="128" w:type="dxa"/>
              <w:left w:w="43" w:type="dxa"/>
              <w:bottom w:w="43" w:type="dxa"/>
              <w:right w:w="43" w:type="dxa"/>
            </w:tcMar>
          </w:tcPr>
          <w:p w14:paraId="19C4073E" w14:textId="77777777" w:rsidR="00F7113A" w:rsidRPr="00580C0D" w:rsidRDefault="00142E5B" w:rsidP="00BD6CF4">
            <w:r w:rsidRPr="00580C0D">
              <w:t>Solenergi – kartlegging av potensialet for produksjon på landbruksareal</w:t>
            </w:r>
          </w:p>
        </w:tc>
        <w:tc>
          <w:tcPr>
            <w:tcW w:w="1503" w:type="dxa"/>
            <w:tcBorders>
              <w:top w:val="nil"/>
              <w:left w:val="nil"/>
              <w:bottom w:val="nil"/>
              <w:right w:val="nil"/>
            </w:tcBorders>
            <w:tcMar>
              <w:top w:w="128" w:type="dxa"/>
              <w:left w:w="43" w:type="dxa"/>
              <w:bottom w:w="43" w:type="dxa"/>
              <w:right w:w="43" w:type="dxa"/>
            </w:tcMar>
            <w:vAlign w:val="bottom"/>
          </w:tcPr>
          <w:p w14:paraId="10569E22" w14:textId="77777777" w:rsidR="00F7113A" w:rsidRPr="00580C0D" w:rsidRDefault="00142E5B" w:rsidP="00BD6CF4">
            <w:pPr>
              <w:jc w:val="right"/>
            </w:pPr>
            <w:r w:rsidRPr="00580C0D">
              <w:t>Ja</w:t>
            </w:r>
          </w:p>
        </w:tc>
      </w:tr>
      <w:tr w:rsidR="00F7113A" w:rsidRPr="00580C0D" w14:paraId="557214CD"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3D7BC30B" w14:textId="77777777" w:rsidR="00F7113A" w:rsidRPr="00580C0D" w:rsidRDefault="00142E5B" w:rsidP="00BD6CF4">
            <w:r w:rsidRPr="00580C0D">
              <w:t>2021–2022</w:t>
            </w:r>
          </w:p>
        </w:tc>
        <w:tc>
          <w:tcPr>
            <w:tcW w:w="904" w:type="dxa"/>
            <w:tcBorders>
              <w:top w:val="nil"/>
              <w:left w:val="nil"/>
              <w:bottom w:val="nil"/>
              <w:right w:val="nil"/>
            </w:tcBorders>
            <w:tcMar>
              <w:top w:w="128" w:type="dxa"/>
              <w:left w:w="43" w:type="dxa"/>
              <w:bottom w:w="43" w:type="dxa"/>
              <w:right w:w="43" w:type="dxa"/>
            </w:tcMar>
          </w:tcPr>
          <w:p w14:paraId="4FF641C8" w14:textId="77777777" w:rsidR="00F7113A" w:rsidRPr="00580C0D" w:rsidRDefault="00142E5B" w:rsidP="00BD6CF4">
            <w:pPr>
              <w:ind w:right="284"/>
              <w:jc w:val="right"/>
            </w:pPr>
            <w:r w:rsidRPr="00580C0D">
              <w:t>752</w:t>
            </w:r>
          </w:p>
        </w:tc>
        <w:tc>
          <w:tcPr>
            <w:tcW w:w="5953" w:type="dxa"/>
            <w:tcBorders>
              <w:top w:val="nil"/>
              <w:left w:val="nil"/>
              <w:bottom w:val="nil"/>
              <w:right w:val="nil"/>
            </w:tcBorders>
            <w:tcMar>
              <w:top w:w="128" w:type="dxa"/>
              <w:left w:w="43" w:type="dxa"/>
              <w:bottom w:w="43" w:type="dxa"/>
              <w:right w:w="43" w:type="dxa"/>
            </w:tcMar>
          </w:tcPr>
          <w:p w14:paraId="354665C1" w14:textId="77777777" w:rsidR="00F7113A" w:rsidRPr="00580C0D" w:rsidRDefault="00142E5B" w:rsidP="00BD6CF4">
            <w:r w:rsidRPr="00580C0D">
              <w:t xml:space="preserve">Solenergi – kartlegge potensialet og tilrettelegging for solenergiproduksjon på </w:t>
            </w:r>
            <w:proofErr w:type="spellStart"/>
            <w:r w:rsidRPr="00580C0D">
              <w:t>eksisterande</w:t>
            </w:r>
            <w:proofErr w:type="spellEnd"/>
            <w:r w:rsidRPr="00580C0D">
              <w:t xml:space="preserve"> infrastruktur</w:t>
            </w:r>
          </w:p>
        </w:tc>
        <w:tc>
          <w:tcPr>
            <w:tcW w:w="1503" w:type="dxa"/>
            <w:tcBorders>
              <w:top w:val="nil"/>
              <w:left w:val="nil"/>
              <w:bottom w:val="nil"/>
              <w:right w:val="nil"/>
            </w:tcBorders>
            <w:tcMar>
              <w:top w:w="128" w:type="dxa"/>
              <w:left w:w="43" w:type="dxa"/>
              <w:bottom w:w="43" w:type="dxa"/>
              <w:right w:w="43" w:type="dxa"/>
            </w:tcMar>
            <w:vAlign w:val="bottom"/>
          </w:tcPr>
          <w:p w14:paraId="68BA7D9E" w14:textId="77777777" w:rsidR="00F7113A" w:rsidRPr="00580C0D" w:rsidRDefault="00142E5B" w:rsidP="00BD6CF4">
            <w:pPr>
              <w:jc w:val="right"/>
            </w:pPr>
            <w:r w:rsidRPr="00580C0D">
              <w:t>Ja</w:t>
            </w:r>
          </w:p>
        </w:tc>
      </w:tr>
      <w:tr w:rsidR="00F7113A" w:rsidRPr="00580C0D" w14:paraId="6DA9B3D1"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1494E6B9" w14:textId="77777777" w:rsidR="00F7113A" w:rsidRPr="00580C0D" w:rsidRDefault="00142E5B" w:rsidP="00BD6CF4">
            <w:r w:rsidRPr="00580C0D">
              <w:t>2020–2021</w:t>
            </w:r>
          </w:p>
        </w:tc>
        <w:tc>
          <w:tcPr>
            <w:tcW w:w="904" w:type="dxa"/>
            <w:tcBorders>
              <w:top w:val="nil"/>
              <w:left w:val="nil"/>
              <w:bottom w:val="nil"/>
              <w:right w:val="nil"/>
            </w:tcBorders>
            <w:tcMar>
              <w:top w:w="128" w:type="dxa"/>
              <w:left w:w="43" w:type="dxa"/>
              <w:bottom w:w="43" w:type="dxa"/>
              <w:right w:w="43" w:type="dxa"/>
            </w:tcMar>
          </w:tcPr>
          <w:p w14:paraId="2F64106A" w14:textId="77777777" w:rsidR="00F7113A" w:rsidRPr="00580C0D" w:rsidRDefault="00142E5B" w:rsidP="00BD6CF4">
            <w:pPr>
              <w:ind w:right="284"/>
              <w:jc w:val="right"/>
            </w:pPr>
            <w:r w:rsidRPr="00580C0D">
              <w:t>143</w:t>
            </w:r>
          </w:p>
        </w:tc>
        <w:tc>
          <w:tcPr>
            <w:tcW w:w="5953" w:type="dxa"/>
            <w:tcBorders>
              <w:top w:val="nil"/>
              <w:left w:val="nil"/>
              <w:bottom w:val="nil"/>
              <w:right w:val="nil"/>
            </w:tcBorders>
            <w:tcMar>
              <w:top w:w="128" w:type="dxa"/>
              <w:left w:w="43" w:type="dxa"/>
              <w:bottom w:w="43" w:type="dxa"/>
              <w:right w:w="43" w:type="dxa"/>
            </w:tcMar>
          </w:tcPr>
          <w:p w14:paraId="2CD677BE" w14:textId="77777777" w:rsidR="00F7113A" w:rsidRPr="00580C0D" w:rsidRDefault="00142E5B" w:rsidP="00BD6CF4">
            <w:r w:rsidRPr="00580C0D">
              <w:t>Vindkraft på land – innlemme planlegging og bygging av vindkraftanlegg i plan- og bygningslova</w:t>
            </w:r>
          </w:p>
        </w:tc>
        <w:tc>
          <w:tcPr>
            <w:tcW w:w="1503" w:type="dxa"/>
            <w:tcBorders>
              <w:top w:val="nil"/>
              <w:left w:val="nil"/>
              <w:bottom w:val="nil"/>
              <w:right w:val="nil"/>
            </w:tcBorders>
            <w:tcMar>
              <w:top w:w="128" w:type="dxa"/>
              <w:left w:w="43" w:type="dxa"/>
              <w:bottom w:w="43" w:type="dxa"/>
              <w:right w:w="43" w:type="dxa"/>
            </w:tcMar>
            <w:vAlign w:val="bottom"/>
          </w:tcPr>
          <w:p w14:paraId="3ABC8792" w14:textId="77777777" w:rsidR="00F7113A" w:rsidRPr="00580C0D" w:rsidRDefault="00142E5B" w:rsidP="00BD6CF4">
            <w:pPr>
              <w:jc w:val="right"/>
            </w:pPr>
            <w:r w:rsidRPr="00580C0D">
              <w:t>Ja</w:t>
            </w:r>
          </w:p>
        </w:tc>
      </w:tr>
      <w:tr w:rsidR="00F7113A" w:rsidRPr="00580C0D" w14:paraId="0BCEB60F" w14:textId="77777777" w:rsidTr="00BD6CF4">
        <w:trPr>
          <w:trHeight w:val="640"/>
        </w:trPr>
        <w:tc>
          <w:tcPr>
            <w:tcW w:w="1180" w:type="dxa"/>
            <w:tcBorders>
              <w:top w:val="nil"/>
              <w:left w:val="nil"/>
              <w:bottom w:val="nil"/>
              <w:right w:val="nil"/>
            </w:tcBorders>
            <w:tcMar>
              <w:top w:w="128" w:type="dxa"/>
              <w:left w:w="43" w:type="dxa"/>
              <w:bottom w:w="43" w:type="dxa"/>
              <w:right w:w="43" w:type="dxa"/>
            </w:tcMar>
          </w:tcPr>
          <w:p w14:paraId="22645994" w14:textId="77777777" w:rsidR="00F7113A" w:rsidRPr="00580C0D" w:rsidRDefault="00142E5B" w:rsidP="00BD6CF4">
            <w:r w:rsidRPr="00580C0D">
              <w:t>2019–2020</w:t>
            </w:r>
          </w:p>
        </w:tc>
        <w:tc>
          <w:tcPr>
            <w:tcW w:w="904" w:type="dxa"/>
            <w:tcBorders>
              <w:top w:val="nil"/>
              <w:left w:val="nil"/>
              <w:bottom w:val="nil"/>
              <w:right w:val="nil"/>
            </w:tcBorders>
            <w:tcMar>
              <w:top w:w="128" w:type="dxa"/>
              <w:left w:w="43" w:type="dxa"/>
              <w:bottom w:w="43" w:type="dxa"/>
              <w:right w:w="43" w:type="dxa"/>
            </w:tcMar>
          </w:tcPr>
          <w:p w14:paraId="7ECD57F5" w14:textId="77777777" w:rsidR="00F7113A" w:rsidRPr="00580C0D" w:rsidRDefault="00142E5B" w:rsidP="00BD6CF4">
            <w:pPr>
              <w:ind w:right="284"/>
              <w:jc w:val="right"/>
            </w:pPr>
            <w:r w:rsidRPr="00580C0D">
              <w:t>683</w:t>
            </w:r>
          </w:p>
        </w:tc>
        <w:tc>
          <w:tcPr>
            <w:tcW w:w="5953" w:type="dxa"/>
            <w:tcBorders>
              <w:top w:val="nil"/>
              <w:left w:val="nil"/>
              <w:bottom w:val="nil"/>
              <w:right w:val="nil"/>
            </w:tcBorders>
            <w:tcMar>
              <w:top w:w="128" w:type="dxa"/>
              <w:left w:w="43" w:type="dxa"/>
              <w:bottom w:w="43" w:type="dxa"/>
              <w:right w:w="43" w:type="dxa"/>
            </w:tcMar>
          </w:tcPr>
          <w:p w14:paraId="26B44000" w14:textId="1150AB9F" w:rsidR="00F7113A" w:rsidRPr="00580C0D" w:rsidRDefault="00142E5B" w:rsidP="00BD6CF4">
            <w:r w:rsidRPr="00580C0D">
              <w:t xml:space="preserve">Null- og </w:t>
            </w:r>
            <w:proofErr w:type="spellStart"/>
            <w:r w:rsidRPr="00580C0D">
              <w:t>lågutsleppsløysingar</w:t>
            </w:r>
            <w:proofErr w:type="spellEnd"/>
            <w:r w:rsidRPr="00580C0D">
              <w:t xml:space="preserve"> for offshorefartøy i </w:t>
            </w:r>
            <w:r w:rsidR="00E13315">
              <w:br/>
            </w:r>
            <w:r w:rsidRPr="00580C0D">
              <w:t>petroleums</w:t>
            </w:r>
            <w:r w:rsidR="00E13315">
              <w:softHyphen/>
            </w:r>
            <w:r w:rsidRPr="00580C0D">
              <w:t>produksjon</w:t>
            </w:r>
          </w:p>
        </w:tc>
        <w:tc>
          <w:tcPr>
            <w:tcW w:w="1503" w:type="dxa"/>
            <w:tcBorders>
              <w:top w:val="nil"/>
              <w:left w:val="nil"/>
              <w:bottom w:val="nil"/>
              <w:right w:val="nil"/>
            </w:tcBorders>
            <w:tcMar>
              <w:top w:w="128" w:type="dxa"/>
              <w:left w:w="43" w:type="dxa"/>
              <w:bottom w:w="43" w:type="dxa"/>
              <w:right w:w="43" w:type="dxa"/>
            </w:tcMar>
            <w:vAlign w:val="bottom"/>
          </w:tcPr>
          <w:p w14:paraId="6C080C59" w14:textId="77777777" w:rsidR="00F7113A" w:rsidRPr="00580C0D" w:rsidRDefault="00142E5B" w:rsidP="00BD6CF4">
            <w:pPr>
              <w:jc w:val="right"/>
            </w:pPr>
            <w:r w:rsidRPr="00580C0D">
              <w:t>Ja</w:t>
            </w:r>
          </w:p>
        </w:tc>
      </w:tr>
      <w:tr w:rsidR="00F7113A" w:rsidRPr="00580C0D" w14:paraId="10F9D12E" w14:textId="77777777" w:rsidTr="00BD6CF4">
        <w:trPr>
          <w:trHeight w:val="640"/>
        </w:trPr>
        <w:tc>
          <w:tcPr>
            <w:tcW w:w="1180" w:type="dxa"/>
            <w:tcBorders>
              <w:top w:val="nil"/>
              <w:left w:val="nil"/>
              <w:bottom w:val="single" w:sz="4" w:space="0" w:color="000000"/>
              <w:right w:val="nil"/>
            </w:tcBorders>
            <w:tcMar>
              <w:top w:w="128" w:type="dxa"/>
              <w:left w:w="43" w:type="dxa"/>
              <w:bottom w:w="43" w:type="dxa"/>
              <w:right w:w="43" w:type="dxa"/>
            </w:tcMar>
          </w:tcPr>
          <w:p w14:paraId="142B1D84" w14:textId="77777777" w:rsidR="00F7113A" w:rsidRPr="00580C0D" w:rsidRDefault="00142E5B" w:rsidP="00BD6CF4">
            <w:r w:rsidRPr="00580C0D">
              <w:t>2019–2020</w:t>
            </w:r>
          </w:p>
        </w:tc>
        <w:tc>
          <w:tcPr>
            <w:tcW w:w="904" w:type="dxa"/>
            <w:tcBorders>
              <w:top w:val="nil"/>
              <w:left w:val="nil"/>
              <w:bottom w:val="single" w:sz="4" w:space="0" w:color="000000"/>
              <w:right w:val="nil"/>
            </w:tcBorders>
            <w:tcMar>
              <w:top w:w="128" w:type="dxa"/>
              <w:left w:w="43" w:type="dxa"/>
              <w:bottom w:w="43" w:type="dxa"/>
              <w:right w:w="43" w:type="dxa"/>
            </w:tcMar>
          </w:tcPr>
          <w:p w14:paraId="5518100B" w14:textId="77777777" w:rsidR="00F7113A" w:rsidRPr="00580C0D" w:rsidRDefault="00142E5B" w:rsidP="00BD6CF4">
            <w:pPr>
              <w:ind w:right="284"/>
              <w:jc w:val="right"/>
            </w:pPr>
            <w:r w:rsidRPr="00580C0D">
              <w:t>687</w:t>
            </w:r>
          </w:p>
        </w:tc>
        <w:tc>
          <w:tcPr>
            <w:tcW w:w="5953" w:type="dxa"/>
            <w:tcBorders>
              <w:top w:val="nil"/>
              <w:left w:val="nil"/>
              <w:bottom w:val="single" w:sz="4" w:space="0" w:color="000000"/>
              <w:right w:val="nil"/>
            </w:tcBorders>
            <w:tcMar>
              <w:top w:w="128" w:type="dxa"/>
              <w:left w:w="43" w:type="dxa"/>
              <w:bottom w:w="43" w:type="dxa"/>
              <w:right w:w="43" w:type="dxa"/>
            </w:tcMar>
          </w:tcPr>
          <w:p w14:paraId="172C4D97" w14:textId="77777777" w:rsidR="00F7113A" w:rsidRPr="00580C0D" w:rsidRDefault="00142E5B" w:rsidP="00BD6CF4">
            <w:r w:rsidRPr="00580C0D">
              <w:t xml:space="preserve">Greie ut ringverknader på fastlandet ved nye </w:t>
            </w:r>
            <w:proofErr w:type="spellStart"/>
            <w:r w:rsidRPr="00580C0D">
              <w:t>utbyggingar</w:t>
            </w:r>
            <w:proofErr w:type="spellEnd"/>
            <w:r w:rsidRPr="00580C0D">
              <w:t xml:space="preserve"> som blir omfatta av </w:t>
            </w:r>
            <w:proofErr w:type="spellStart"/>
            <w:r w:rsidRPr="00580C0D">
              <w:t>dei</w:t>
            </w:r>
            <w:proofErr w:type="spellEnd"/>
            <w:r w:rsidRPr="00580C0D">
              <w:t xml:space="preserve"> </w:t>
            </w:r>
            <w:proofErr w:type="spellStart"/>
            <w:r w:rsidRPr="00580C0D">
              <w:t>mellombelse</w:t>
            </w:r>
            <w:proofErr w:type="spellEnd"/>
            <w:r w:rsidRPr="00580C0D">
              <w:t xml:space="preserve"> </w:t>
            </w:r>
            <w:proofErr w:type="spellStart"/>
            <w:r w:rsidRPr="00580C0D">
              <w:t>endringane</w:t>
            </w:r>
            <w:proofErr w:type="spellEnd"/>
            <w:r w:rsidRPr="00580C0D">
              <w:t xml:space="preserve"> i petroleumsskatten</w:t>
            </w:r>
          </w:p>
        </w:tc>
        <w:tc>
          <w:tcPr>
            <w:tcW w:w="1503" w:type="dxa"/>
            <w:tcBorders>
              <w:top w:val="nil"/>
              <w:left w:val="nil"/>
              <w:bottom w:val="single" w:sz="4" w:space="0" w:color="000000"/>
              <w:right w:val="nil"/>
            </w:tcBorders>
            <w:tcMar>
              <w:top w:w="128" w:type="dxa"/>
              <w:left w:w="43" w:type="dxa"/>
              <w:bottom w:w="43" w:type="dxa"/>
              <w:right w:w="43" w:type="dxa"/>
            </w:tcMar>
            <w:vAlign w:val="bottom"/>
          </w:tcPr>
          <w:p w14:paraId="19A95A4C" w14:textId="77777777" w:rsidR="00F7113A" w:rsidRPr="00580C0D" w:rsidRDefault="00142E5B" w:rsidP="00BD6CF4">
            <w:pPr>
              <w:jc w:val="right"/>
            </w:pPr>
            <w:r w:rsidRPr="00580C0D">
              <w:t>Ja</w:t>
            </w:r>
          </w:p>
        </w:tc>
      </w:tr>
    </w:tbl>
    <w:p w14:paraId="0E875958" w14:textId="77777777" w:rsidR="00F7113A" w:rsidRPr="00580C0D" w:rsidRDefault="00142E5B" w:rsidP="001A1B0B">
      <w:pPr>
        <w:pStyle w:val="Overskrift2"/>
        <w:numPr>
          <w:ilvl w:val="1"/>
          <w:numId w:val="35"/>
        </w:numPr>
      </w:pPr>
      <w:r w:rsidRPr="00580C0D">
        <w:t>Stortingssesjon 2022–2023</w:t>
      </w:r>
    </w:p>
    <w:p w14:paraId="797B2EED" w14:textId="77777777" w:rsidR="00F7113A" w:rsidRPr="00580C0D" w:rsidRDefault="00142E5B" w:rsidP="00580C0D">
      <w:pPr>
        <w:pStyle w:val="avsnitt-tittel"/>
      </w:pPr>
      <w:r w:rsidRPr="00580C0D">
        <w:t xml:space="preserve">Kartlegging av potensialet for solenergiproduksjon på </w:t>
      </w:r>
      <w:proofErr w:type="spellStart"/>
      <w:r w:rsidRPr="00580C0D">
        <w:t>eksisterande</w:t>
      </w:r>
      <w:proofErr w:type="spellEnd"/>
      <w:r w:rsidRPr="00580C0D">
        <w:t xml:space="preserve"> infrastruktur</w:t>
      </w:r>
    </w:p>
    <w:p w14:paraId="05C42F84" w14:textId="77777777" w:rsidR="00F7113A" w:rsidRPr="00580C0D" w:rsidRDefault="00142E5B" w:rsidP="00580C0D">
      <w:pPr>
        <w:pStyle w:val="avsnitt-undertittel"/>
      </w:pPr>
      <w:r w:rsidRPr="00580C0D">
        <w:t>Vedtak 13, 18. oktober 2022</w:t>
      </w:r>
    </w:p>
    <w:p w14:paraId="525F8057" w14:textId="77777777" w:rsidR="00F7113A" w:rsidRPr="00580C0D" w:rsidRDefault="00142E5B" w:rsidP="00580C0D">
      <w:pPr>
        <w:pStyle w:val="blokksit"/>
      </w:pPr>
      <w:r w:rsidRPr="00580C0D">
        <w:t>«</w:t>
      </w:r>
      <w:r w:rsidRPr="00580C0D">
        <w:rPr>
          <w:rStyle w:val="kursiv"/>
        </w:rPr>
        <w:t>Stortinget ber regjeringen kartlegge potensialet for solenergiproduksjon på eksisterende infrastruktur der solparker kan etableres uten vesentlige naturinngrep, som for eksempel på parkeringsplasser, i industriområder og lignende.</w:t>
      </w:r>
      <w:r w:rsidRPr="00580C0D">
        <w:t>»</w:t>
      </w:r>
    </w:p>
    <w:p w14:paraId="34CB7BF2"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25 S (2022–2023).</w:t>
      </w:r>
    </w:p>
    <w:p w14:paraId="7D5ED3CB" w14:textId="77777777" w:rsidR="00F7113A" w:rsidRPr="00580C0D" w:rsidRDefault="00142E5B" w:rsidP="00580C0D">
      <w:r w:rsidRPr="00580C0D">
        <w:t xml:space="preserve">Departementet har i oppfølginga av vedtaket bedt NVE vurdere potensialet for utbygging av fornybar kraftproduksjon på næringsareal, langs </w:t>
      </w:r>
      <w:proofErr w:type="spellStart"/>
      <w:r w:rsidRPr="00580C0D">
        <w:t>motorvegar</w:t>
      </w:r>
      <w:proofErr w:type="spellEnd"/>
      <w:r w:rsidRPr="00580C0D">
        <w:t xml:space="preserve"> og i andre nedbygde areal mot 2030. Vurderinga skal </w:t>
      </w:r>
      <w:proofErr w:type="spellStart"/>
      <w:r w:rsidRPr="00580C0D">
        <w:t>skilje</w:t>
      </w:r>
      <w:proofErr w:type="spellEnd"/>
      <w:r w:rsidRPr="00580C0D">
        <w:t xml:space="preserve"> mellom produksjonsformer, som sol- og vindkraft.</w:t>
      </w:r>
    </w:p>
    <w:p w14:paraId="39F00DA1"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4947AF22" w14:textId="77777777" w:rsidR="00F7113A" w:rsidRPr="00580C0D" w:rsidRDefault="00142E5B" w:rsidP="00580C0D">
      <w:pPr>
        <w:pStyle w:val="avsnitt-tittel"/>
      </w:pPr>
      <w:r w:rsidRPr="00580C0D">
        <w:t xml:space="preserve">Mellombels eller tidsavgrensa fritak </w:t>
      </w:r>
      <w:proofErr w:type="spellStart"/>
      <w:r w:rsidRPr="00580C0D">
        <w:t>frå</w:t>
      </w:r>
      <w:proofErr w:type="spellEnd"/>
      <w:r w:rsidRPr="00580C0D">
        <w:t xml:space="preserve"> konsesjonsplikt</w:t>
      </w:r>
    </w:p>
    <w:p w14:paraId="5E16766E" w14:textId="77777777" w:rsidR="00F7113A" w:rsidRPr="00580C0D" w:rsidRDefault="00142E5B" w:rsidP="00580C0D">
      <w:pPr>
        <w:pStyle w:val="avsnitt-undertittel"/>
      </w:pPr>
      <w:r w:rsidRPr="00580C0D">
        <w:t>Vedtak 16, 18. oktober 2022</w:t>
      </w:r>
    </w:p>
    <w:p w14:paraId="1ECA33F4" w14:textId="77777777" w:rsidR="00F7113A" w:rsidRPr="00580C0D" w:rsidRDefault="00142E5B" w:rsidP="00580C0D">
      <w:pPr>
        <w:pStyle w:val="blokksit"/>
      </w:pPr>
      <w:r w:rsidRPr="00580C0D">
        <w:t>«</w:t>
      </w:r>
      <w:r w:rsidRPr="00580C0D">
        <w:rPr>
          <w:rStyle w:val="kursiv"/>
        </w:rPr>
        <w:t>Stortinget ber regjeringen vurdere et midlertidig eller tidsbegrenset fritak fra konsesjonsplikt for å etablere lavspenningsledninger til nabobygg for salg av kraft.</w:t>
      </w:r>
      <w:r w:rsidRPr="00580C0D">
        <w:t>»</w:t>
      </w:r>
    </w:p>
    <w:p w14:paraId="4E37D0E3"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25 S (2022–2023).</w:t>
      </w:r>
    </w:p>
    <w:p w14:paraId="4E55659D" w14:textId="77777777" w:rsidR="00F7113A" w:rsidRPr="00580C0D" w:rsidRDefault="00142E5B" w:rsidP="00580C0D">
      <w:r w:rsidRPr="00580C0D">
        <w:t xml:space="preserve">Departementet har i oppfølginga av vedtaket bedt NVE og RME om å gi ei vurdering av </w:t>
      </w:r>
      <w:proofErr w:type="spellStart"/>
      <w:r w:rsidRPr="00580C0D">
        <w:t>eit</w:t>
      </w:r>
      <w:proofErr w:type="spellEnd"/>
      <w:r w:rsidRPr="00580C0D">
        <w:t xml:space="preserve"> mellombels eller tidsavgrensa fritak </w:t>
      </w:r>
      <w:proofErr w:type="spellStart"/>
      <w:r w:rsidRPr="00580C0D">
        <w:t>frå</w:t>
      </w:r>
      <w:proofErr w:type="spellEnd"/>
      <w:r w:rsidRPr="00580C0D">
        <w:t xml:space="preserve"> konsesjonsplikt for å etablere </w:t>
      </w:r>
      <w:proofErr w:type="spellStart"/>
      <w:r w:rsidRPr="00580C0D">
        <w:t>lågspenningsleidningar</w:t>
      </w:r>
      <w:proofErr w:type="spellEnd"/>
      <w:r w:rsidRPr="00580C0D">
        <w:t xml:space="preserve"> til nabobygg for sal av kraft. Departementet vil vurdere korleis </w:t>
      </w:r>
      <w:proofErr w:type="spellStart"/>
      <w:r w:rsidRPr="00580C0D">
        <w:t>innspelet</w:t>
      </w:r>
      <w:proofErr w:type="spellEnd"/>
      <w:r w:rsidRPr="00580C0D">
        <w:t xml:space="preserve"> </w:t>
      </w:r>
      <w:proofErr w:type="spellStart"/>
      <w:r w:rsidRPr="00580C0D">
        <w:t>frå</w:t>
      </w:r>
      <w:proofErr w:type="spellEnd"/>
      <w:r w:rsidRPr="00580C0D">
        <w:t xml:space="preserve"> NVE og RME skal </w:t>
      </w:r>
      <w:proofErr w:type="spellStart"/>
      <w:r w:rsidRPr="00580C0D">
        <w:t>følgast</w:t>
      </w:r>
      <w:proofErr w:type="spellEnd"/>
      <w:r w:rsidRPr="00580C0D">
        <w:t xml:space="preserve"> opp </w:t>
      </w:r>
      <w:proofErr w:type="spellStart"/>
      <w:r w:rsidRPr="00580C0D">
        <w:t>vidare</w:t>
      </w:r>
      <w:proofErr w:type="spellEnd"/>
      <w:r w:rsidRPr="00580C0D">
        <w:t xml:space="preserve"> når det ligg føre.</w:t>
      </w:r>
    </w:p>
    <w:p w14:paraId="3D280703"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43A1C2CD" w14:textId="77777777" w:rsidR="00F7113A" w:rsidRPr="00580C0D" w:rsidRDefault="00142E5B" w:rsidP="00580C0D">
      <w:pPr>
        <w:pStyle w:val="avsnitt-tittel"/>
      </w:pPr>
      <w:r w:rsidRPr="00580C0D">
        <w:t xml:space="preserve">Fjerne fritaksgrensa på 500 kW for </w:t>
      </w:r>
      <w:proofErr w:type="spellStart"/>
      <w:r w:rsidRPr="00580C0D">
        <w:t>nettleige</w:t>
      </w:r>
      <w:proofErr w:type="spellEnd"/>
      <w:r w:rsidRPr="00580C0D">
        <w:t xml:space="preserve"> på </w:t>
      </w:r>
      <w:proofErr w:type="spellStart"/>
      <w:r w:rsidRPr="00580C0D">
        <w:t>straum</w:t>
      </w:r>
      <w:proofErr w:type="spellEnd"/>
      <w:r w:rsidRPr="00580C0D">
        <w:t xml:space="preserve"> mv.</w:t>
      </w:r>
    </w:p>
    <w:p w14:paraId="2FBAFB9B" w14:textId="77777777" w:rsidR="00F7113A" w:rsidRPr="00580C0D" w:rsidRDefault="00142E5B" w:rsidP="00580C0D">
      <w:pPr>
        <w:pStyle w:val="avsnitt-undertittel"/>
      </w:pPr>
      <w:r w:rsidRPr="00580C0D">
        <w:t>Vedtak 17, 18. oktober 2022</w:t>
      </w:r>
    </w:p>
    <w:p w14:paraId="33532793" w14:textId="77777777" w:rsidR="00F7113A" w:rsidRPr="00580C0D" w:rsidRDefault="00142E5B" w:rsidP="00580C0D">
      <w:pPr>
        <w:pStyle w:val="blokksit"/>
      </w:pPr>
      <w:r w:rsidRPr="00580C0D">
        <w:t>«</w:t>
      </w:r>
      <w:r w:rsidRPr="00580C0D">
        <w:rPr>
          <w:rStyle w:val="kursiv"/>
        </w:rPr>
        <w:t>Stortinget ber regjeringen vurdere å fjerne fritaksgrensen på 500 kW for nettleie på strøm som deles som nabolagsstrøm, eventuelt øke grensen for delingsanlegg for solceller til 4 000 m</w:t>
      </w:r>
      <w:r w:rsidRPr="00580C0D">
        <w:rPr>
          <w:rStyle w:val="skrift-hevet"/>
        </w:rPr>
        <w:t>2</w:t>
      </w:r>
      <w:r w:rsidRPr="00580C0D">
        <w:rPr>
          <w:rStyle w:val="kursiv"/>
        </w:rPr>
        <w:t xml:space="preserve"> eller 1 000 kW.</w:t>
      </w:r>
      <w:r w:rsidRPr="00580C0D">
        <w:t>»</w:t>
      </w:r>
    </w:p>
    <w:p w14:paraId="18220A12"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25 S (2022–2023).</w:t>
      </w:r>
    </w:p>
    <w:p w14:paraId="6CE91BF1" w14:textId="77777777" w:rsidR="00F7113A" w:rsidRPr="00580C0D" w:rsidRDefault="00142E5B" w:rsidP="00580C0D">
      <w:r w:rsidRPr="00580C0D">
        <w:t xml:space="preserve">Departementet fastsette 8. mai 2023 </w:t>
      </w:r>
      <w:proofErr w:type="spellStart"/>
      <w:r w:rsidRPr="00580C0D">
        <w:t>forskriftsendringar</w:t>
      </w:r>
      <w:proofErr w:type="spellEnd"/>
      <w:r w:rsidRPr="00580C0D">
        <w:t xml:space="preserve"> for deling av eigenprodusert fornybar </w:t>
      </w:r>
      <w:proofErr w:type="spellStart"/>
      <w:r w:rsidRPr="00580C0D">
        <w:t>straum</w:t>
      </w:r>
      <w:proofErr w:type="spellEnd"/>
      <w:r w:rsidRPr="00580C0D">
        <w:t xml:space="preserve"> på same </w:t>
      </w:r>
      <w:proofErr w:type="spellStart"/>
      <w:r w:rsidRPr="00580C0D">
        <w:t>eigedom</w:t>
      </w:r>
      <w:proofErr w:type="spellEnd"/>
      <w:r w:rsidRPr="00580C0D">
        <w:t xml:space="preserve">. I forslaget som blei sendt på </w:t>
      </w:r>
      <w:proofErr w:type="spellStart"/>
      <w:r w:rsidRPr="00580C0D">
        <w:t>høyring</w:t>
      </w:r>
      <w:proofErr w:type="spellEnd"/>
      <w:r w:rsidRPr="00580C0D">
        <w:t xml:space="preserve">, blei det foreslått å avgrense ordninga til anlegg opp til 500 kilowatt (kW) per </w:t>
      </w:r>
      <w:proofErr w:type="spellStart"/>
      <w:r w:rsidRPr="00580C0D">
        <w:t>eigedom</w:t>
      </w:r>
      <w:proofErr w:type="spellEnd"/>
      <w:r w:rsidRPr="00580C0D">
        <w:t xml:space="preserve">. I den vedtatte forskrifta blei denne grensa </w:t>
      </w:r>
      <w:proofErr w:type="spellStart"/>
      <w:r w:rsidRPr="00580C0D">
        <w:t>auka</w:t>
      </w:r>
      <w:proofErr w:type="spellEnd"/>
      <w:r w:rsidRPr="00580C0D">
        <w:t xml:space="preserve"> til 1 000 kW per </w:t>
      </w:r>
      <w:proofErr w:type="spellStart"/>
      <w:r w:rsidRPr="00580C0D">
        <w:t>eigedom</w:t>
      </w:r>
      <w:proofErr w:type="spellEnd"/>
      <w:r w:rsidRPr="00580C0D">
        <w:t>.</w:t>
      </w:r>
    </w:p>
    <w:p w14:paraId="45E1F0B9"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07DCD2EF" w14:textId="77777777" w:rsidR="00F7113A" w:rsidRPr="00580C0D" w:rsidRDefault="00142E5B" w:rsidP="00580C0D">
      <w:pPr>
        <w:pStyle w:val="avsnitt-tittel"/>
      </w:pPr>
      <w:r w:rsidRPr="00580C0D">
        <w:t>Effektgrense for konsesjonsplikt for solenergianlegg</w:t>
      </w:r>
    </w:p>
    <w:p w14:paraId="3D94D99D" w14:textId="77777777" w:rsidR="00F7113A" w:rsidRPr="00580C0D" w:rsidRDefault="00142E5B" w:rsidP="00580C0D">
      <w:pPr>
        <w:pStyle w:val="avsnitt-undertittel"/>
      </w:pPr>
      <w:r w:rsidRPr="00580C0D">
        <w:t>Vedtak 18, 18. oktober 2022</w:t>
      </w:r>
    </w:p>
    <w:p w14:paraId="126D3E1F" w14:textId="77777777" w:rsidR="00F7113A" w:rsidRPr="00580C0D" w:rsidRDefault="00142E5B" w:rsidP="00580C0D">
      <w:pPr>
        <w:pStyle w:val="blokksit"/>
      </w:pPr>
      <w:r w:rsidRPr="00580C0D">
        <w:t>«</w:t>
      </w:r>
      <w:r w:rsidRPr="00580C0D">
        <w:rPr>
          <w:rStyle w:val="kursiv"/>
        </w:rPr>
        <w:t>Stortinget ber regjeringen vurdere å øke effektgrensen for hvor stort et solenergianlegg kan være før konsesjonsplikt inntreffer.</w:t>
      </w:r>
      <w:r w:rsidRPr="00580C0D">
        <w:t>»</w:t>
      </w:r>
    </w:p>
    <w:p w14:paraId="03F4D5D3"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25 S (2022–2023).</w:t>
      </w:r>
    </w:p>
    <w:p w14:paraId="62BBB9B8" w14:textId="77777777" w:rsidR="00F7113A" w:rsidRPr="00580C0D" w:rsidRDefault="00142E5B" w:rsidP="00580C0D">
      <w:r w:rsidRPr="00580C0D">
        <w:t xml:space="preserve">Det er i dag </w:t>
      </w:r>
      <w:proofErr w:type="spellStart"/>
      <w:r w:rsidRPr="00580C0D">
        <w:t>eit</w:t>
      </w:r>
      <w:proofErr w:type="spellEnd"/>
      <w:r w:rsidRPr="00580C0D">
        <w:t xml:space="preserve"> stort spekter i installert effekt i </w:t>
      </w:r>
      <w:proofErr w:type="spellStart"/>
      <w:r w:rsidRPr="00580C0D">
        <w:t>dei</w:t>
      </w:r>
      <w:proofErr w:type="spellEnd"/>
      <w:r w:rsidRPr="00580C0D">
        <w:t xml:space="preserve"> solkraftanlegga som </w:t>
      </w:r>
      <w:proofErr w:type="spellStart"/>
      <w:r w:rsidRPr="00580C0D">
        <w:t>no</w:t>
      </w:r>
      <w:proofErr w:type="spellEnd"/>
      <w:r w:rsidRPr="00580C0D">
        <w:t xml:space="preserve"> ligg til behandling i NVE. Det er også store </w:t>
      </w:r>
      <w:proofErr w:type="spellStart"/>
      <w:r w:rsidRPr="00580C0D">
        <w:t>variasjonar</w:t>
      </w:r>
      <w:proofErr w:type="spellEnd"/>
      <w:r w:rsidRPr="00580C0D">
        <w:t xml:space="preserve"> i </w:t>
      </w:r>
      <w:proofErr w:type="spellStart"/>
      <w:r w:rsidRPr="00580C0D">
        <w:t>konsekvensar</w:t>
      </w:r>
      <w:proofErr w:type="spellEnd"/>
      <w:r w:rsidRPr="00580C0D">
        <w:t xml:space="preserve"> for kraftsystem og miljø. Konsesjonsplikta er i dag knytt til bygging av </w:t>
      </w:r>
      <w:proofErr w:type="spellStart"/>
      <w:r w:rsidRPr="00580C0D">
        <w:t>komponentar</w:t>
      </w:r>
      <w:proofErr w:type="spellEnd"/>
      <w:r w:rsidRPr="00580C0D">
        <w:t xml:space="preserve"> med spenning over 1 kV. </w:t>
      </w:r>
      <w:proofErr w:type="spellStart"/>
      <w:r w:rsidRPr="00580C0D">
        <w:t>Utan</w:t>
      </w:r>
      <w:proofErr w:type="spellEnd"/>
      <w:r w:rsidRPr="00580C0D">
        <w:t xml:space="preserve"> ei effektgrense for konsesjonsplikt kan anlegg som krev same areal i </w:t>
      </w:r>
      <w:proofErr w:type="spellStart"/>
      <w:r w:rsidRPr="00580C0D">
        <w:t>nokre</w:t>
      </w:r>
      <w:proofErr w:type="spellEnd"/>
      <w:r w:rsidRPr="00580C0D">
        <w:t xml:space="preserve"> tilfelle </w:t>
      </w:r>
      <w:proofErr w:type="spellStart"/>
      <w:r w:rsidRPr="00580C0D">
        <w:t>krevje</w:t>
      </w:r>
      <w:proofErr w:type="spellEnd"/>
      <w:r w:rsidRPr="00580C0D">
        <w:t xml:space="preserve"> konsesjonsbehandling og i andre tilfelle </w:t>
      </w:r>
      <w:proofErr w:type="spellStart"/>
      <w:r w:rsidRPr="00580C0D">
        <w:t>ikkje</w:t>
      </w:r>
      <w:proofErr w:type="spellEnd"/>
      <w:r w:rsidRPr="00580C0D">
        <w:t xml:space="preserve">. Departementet vurderer det derfor som nødvendig å innføre ei effektgrense for konsesjonsplikt for solkraftanlegg. Installert effekt for solkraftanlegg blir normalt oppgitt med eininga </w:t>
      </w:r>
      <w:proofErr w:type="spellStart"/>
      <w:r w:rsidRPr="00580C0D">
        <w:t>MWp</w:t>
      </w:r>
      <w:proofErr w:type="spellEnd"/>
      <w:r w:rsidRPr="00580C0D">
        <w:rPr>
          <w:rStyle w:val="Fotnotereferanse"/>
        </w:rPr>
        <w:footnoteReference w:id="1"/>
      </w:r>
      <w:r w:rsidRPr="00580C0D">
        <w:t xml:space="preserve"> i staden for MW. Derfor bør ei slik effektgrense for solkraft også </w:t>
      </w:r>
      <w:proofErr w:type="spellStart"/>
      <w:r w:rsidRPr="00580C0D">
        <w:t>vere</w:t>
      </w:r>
      <w:proofErr w:type="spellEnd"/>
      <w:r w:rsidRPr="00580C0D">
        <w:t xml:space="preserve"> i </w:t>
      </w:r>
      <w:proofErr w:type="spellStart"/>
      <w:r w:rsidRPr="00580C0D">
        <w:t>MWp</w:t>
      </w:r>
      <w:proofErr w:type="spellEnd"/>
      <w:r w:rsidRPr="00580C0D">
        <w:t>.</w:t>
      </w:r>
    </w:p>
    <w:p w14:paraId="56D0BF47" w14:textId="77777777" w:rsidR="00F7113A" w:rsidRPr="00580C0D" w:rsidRDefault="00142E5B" w:rsidP="00580C0D">
      <w:r w:rsidRPr="00580C0D">
        <w:t xml:space="preserve">Departementet har i oppfølginga av vedtaket bedt NVE utarbeide utkast til nødvendige </w:t>
      </w:r>
      <w:proofErr w:type="spellStart"/>
      <w:r w:rsidRPr="00580C0D">
        <w:t>endringar</w:t>
      </w:r>
      <w:proofErr w:type="spellEnd"/>
      <w:r w:rsidRPr="00580C0D">
        <w:t xml:space="preserve"> i lov og forskrift for å fastsette ei nedre effektgrense for konsesjonspliktige bakkemonterte solkraftanlegg på 1 </w:t>
      </w:r>
      <w:proofErr w:type="spellStart"/>
      <w:r w:rsidRPr="00580C0D">
        <w:t>MWp</w:t>
      </w:r>
      <w:proofErr w:type="spellEnd"/>
      <w:r w:rsidRPr="00580C0D">
        <w:t xml:space="preserve"> eller </w:t>
      </w:r>
      <w:proofErr w:type="spellStart"/>
      <w:r w:rsidRPr="00580C0D">
        <w:t>høgare</w:t>
      </w:r>
      <w:proofErr w:type="spellEnd"/>
      <w:r w:rsidRPr="00580C0D">
        <w:t xml:space="preserve">. NVE er bedt om å vurdere om effektgrensa kan </w:t>
      </w:r>
      <w:proofErr w:type="spellStart"/>
      <w:r w:rsidRPr="00580C0D">
        <w:t>settast</w:t>
      </w:r>
      <w:proofErr w:type="spellEnd"/>
      <w:r w:rsidRPr="00580C0D">
        <w:t xml:space="preserve"> </w:t>
      </w:r>
      <w:proofErr w:type="spellStart"/>
      <w:r w:rsidRPr="00580C0D">
        <w:t>høgare</w:t>
      </w:r>
      <w:proofErr w:type="spellEnd"/>
      <w:r w:rsidRPr="00580C0D">
        <w:t xml:space="preserve"> enn 1 </w:t>
      </w:r>
      <w:proofErr w:type="spellStart"/>
      <w:r w:rsidRPr="00580C0D">
        <w:t>MWp</w:t>
      </w:r>
      <w:proofErr w:type="spellEnd"/>
      <w:r w:rsidRPr="00580C0D">
        <w:t>.</w:t>
      </w:r>
    </w:p>
    <w:p w14:paraId="2146F52A" w14:textId="77777777" w:rsidR="00F7113A" w:rsidRPr="00580C0D" w:rsidRDefault="00142E5B" w:rsidP="00580C0D">
      <w:r w:rsidRPr="00580C0D">
        <w:t xml:space="preserve">Departementet vil fremme eventuelle forslag til </w:t>
      </w:r>
      <w:proofErr w:type="spellStart"/>
      <w:r w:rsidRPr="00580C0D">
        <w:t>lovendringar</w:t>
      </w:r>
      <w:proofErr w:type="spellEnd"/>
      <w:r w:rsidRPr="00580C0D">
        <w:t xml:space="preserve"> for Stortinget.</w:t>
      </w:r>
    </w:p>
    <w:p w14:paraId="3A381517" w14:textId="77777777" w:rsidR="00F7113A" w:rsidRPr="00580C0D" w:rsidRDefault="00142E5B" w:rsidP="00580C0D">
      <w:pPr>
        <w:pStyle w:val="avsnitt-tittel"/>
      </w:pPr>
      <w:r w:rsidRPr="00580C0D">
        <w:t xml:space="preserve">Ny teknologi som </w:t>
      </w:r>
      <w:proofErr w:type="spellStart"/>
      <w:r w:rsidRPr="00580C0D">
        <w:t>aukar</w:t>
      </w:r>
      <w:proofErr w:type="spellEnd"/>
      <w:r w:rsidRPr="00580C0D">
        <w:t xml:space="preserve"> utnyttinga av </w:t>
      </w:r>
      <w:proofErr w:type="spellStart"/>
      <w:r w:rsidRPr="00580C0D">
        <w:t>eksisterande</w:t>
      </w:r>
      <w:proofErr w:type="spellEnd"/>
      <w:r w:rsidRPr="00580C0D">
        <w:t xml:space="preserve"> infrastruktur</w:t>
      </w:r>
    </w:p>
    <w:p w14:paraId="148DDC1D" w14:textId="77777777" w:rsidR="00F7113A" w:rsidRPr="00580C0D" w:rsidRDefault="00142E5B" w:rsidP="00580C0D">
      <w:pPr>
        <w:pStyle w:val="avsnitt-undertittel"/>
      </w:pPr>
      <w:r w:rsidRPr="00580C0D">
        <w:t>Vedtak 19, 18. oktober 2022</w:t>
      </w:r>
    </w:p>
    <w:p w14:paraId="21420653" w14:textId="77777777" w:rsidR="00F7113A" w:rsidRPr="00580C0D" w:rsidRDefault="00142E5B" w:rsidP="00580C0D">
      <w:pPr>
        <w:pStyle w:val="blokksit"/>
      </w:pPr>
      <w:r w:rsidRPr="00580C0D">
        <w:t>«</w:t>
      </w:r>
      <w:r w:rsidRPr="00580C0D">
        <w:rPr>
          <w:rStyle w:val="kursiv"/>
        </w:rPr>
        <w:t>Stortinget ber regjeringen påse at nettselskapene tar i bruk ny teknologi som øker utnyttelsen av eksisterende nettinfrastruktur, og at dette arbeidet prioriteres.</w:t>
      </w:r>
      <w:r w:rsidRPr="00580C0D">
        <w:t>»</w:t>
      </w:r>
    </w:p>
    <w:p w14:paraId="7CF9640F"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25 S (2022–2023).</w:t>
      </w:r>
    </w:p>
    <w:p w14:paraId="06807F5A" w14:textId="77777777" w:rsidR="00F7113A" w:rsidRPr="00580C0D" w:rsidRDefault="00142E5B" w:rsidP="00580C0D">
      <w:r w:rsidRPr="00580C0D">
        <w:t xml:space="preserve">Departementet har gjennomført </w:t>
      </w:r>
      <w:proofErr w:type="spellStart"/>
      <w:r w:rsidRPr="00580C0D">
        <w:t>ein</w:t>
      </w:r>
      <w:proofErr w:type="spellEnd"/>
      <w:r w:rsidRPr="00580C0D">
        <w:t xml:space="preserve"> møteserie med RME, Statnett, </w:t>
      </w:r>
      <w:proofErr w:type="spellStart"/>
      <w:r w:rsidRPr="00580C0D">
        <w:t>bransjeorganisasjonar</w:t>
      </w:r>
      <w:proofErr w:type="spellEnd"/>
      <w:r w:rsidRPr="00580C0D">
        <w:t xml:space="preserve"> og nettselskap der tema har </w:t>
      </w:r>
      <w:proofErr w:type="spellStart"/>
      <w:r w:rsidRPr="00580C0D">
        <w:t>vore</w:t>
      </w:r>
      <w:proofErr w:type="spellEnd"/>
      <w:r w:rsidRPr="00580C0D">
        <w:t xml:space="preserve"> bruk av teknologi for å gi </w:t>
      </w:r>
      <w:proofErr w:type="spellStart"/>
      <w:r w:rsidRPr="00580C0D">
        <w:t>meir</w:t>
      </w:r>
      <w:proofErr w:type="spellEnd"/>
      <w:r w:rsidRPr="00580C0D">
        <w:t xml:space="preserve"> effektiv utnytting av nettet og kva insentiv nettselskapa har til å ta i bruk slik teknologi. RME vurderer </w:t>
      </w:r>
      <w:proofErr w:type="spellStart"/>
      <w:r w:rsidRPr="00580C0D">
        <w:t>jamnleg</w:t>
      </w:r>
      <w:proofErr w:type="spellEnd"/>
      <w:r w:rsidRPr="00580C0D">
        <w:t xml:space="preserve"> om det er </w:t>
      </w:r>
      <w:proofErr w:type="spellStart"/>
      <w:r w:rsidRPr="00580C0D">
        <w:t>formålstenleg</w:t>
      </w:r>
      <w:proofErr w:type="spellEnd"/>
      <w:r w:rsidRPr="00580C0D">
        <w:t xml:space="preserve"> å justere inntektsreguleringa for å gi </w:t>
      </w:r>
      <w:proofErr w:type="spellStart"/>
      <w:r w:rsidRPr="00580C0D">
        <w:t>sterkare</w:t>
      </w:r>
      <w:proofErr w:type="spellEnd"/>
      <w:r w:rsidRPr="00580C0D">
        <w:t xml:space="preserve"> insentiv til å drifte og utnytte nettet </w:t>
      </w:r>
      <w:proofErr w:type="spellStart"/>
      <w:r w:rsidRPr="00580C0D">
        <w:t>meir</w:t>
      </w:r>
      <w:proofErr w:type="spellEnd"/>
      <w:r w:rsidRPr="00580C0D">
        <w:t xml:space="preserve"> effektivt. Departementet vil som </w:t>
      </w:r>
      <w:proofErr w:type="spellStart"/>
      <w:r w:rsidRPr="00580C0D">
        <w:t>ein</w:t>
      </w:r>
      <w:proofErr w:type="spellEnd"/>
      <w:r w:rsidRPr="00580C0D">
        <w:t xml:space="preserve"> del av oppfølginga av </w:t>
      </w:r>
      <w:r w:rsidRPr="00580C0D">
        <w:rPr>
          <w:rStyle w:val="kursiv"/>
        </w:rPr>
        <w:t>Regjeringens handlingsplan for raskere nettutbygging og bedre utnyttelse av nettet</w:t>
      </w:r>
      <w:r w:rsidRPr="00580C0D">
        <w:t xml:space="preserve"> </w:t>
      </w:r>
      <w:proofErr w:type="spellStart"/>
      <w:r w:rsidRPr="00580C0D">
        <w:t>halde</w:t>
      </w:r>
      <w:proofErr w:type="spellEnd"/>
      <w:r w:rsidRPr="00580C0D">
        <w:t xml:space="preserve"> </w:t>
      </w:r>
      <w:proofErr w:type="spellStart"/>
      <w:r w:rsidRPr="00580C0D">
        <w:t>halvårlege</w:t>
      </w:r>
      <w:proofErr w:type="spellEnd"/>
      <w:r w:rsidRPr="00580C0D">
        <w:t xml:space="preserve"> statusmøte med </w:t>
      </w:r>
      <w:proofErr w:type="spellStart"/>
      <w:r w:rsidRPr="00580C0D">
        <w:t>representantar</w:t>
      </w:r>
      <w:proofErr w:type="spellEnd"/>
      <w:r w:rsidRPr="00580C0D">
        <w:t xml:space="preserve"> for nettbransjen. </w:t>
      </w:r>
      <w:proofErr w:type="spellStart"/>
      <w:r w:rsidRPr="00580C0D">
        <w:t>Eit</w:t>
      </w:r>
      <w:proofErr w:type="spellEnd"/>
      <w:r w:rsidRPr="00580C0D">
        <w:t xml:space="preserve"> </w:t>
      </w:r>
      <w:proofErr w:type="spellStart"/>
      <w:r w:rsidRPr="00580C0D">
        <w:t>naturleg</w:t>
      </w:r>
      <w:proofErr w:type="spellEnd"/>
      <w:r w:rsidRPr="00580C0D">
        <w:t xml:space="preserve"> tema vil </w:t>
      </w:r>
      <w:proofErr w:type="spellStart"/>
      <w:r w:rsidRPr="00580C0D">
        <w:t>vere</w:t>
      </w:r>
      <w:proofErr w:type="spellEnd"/>
      <w:r w:rsidRPr="00580C0D">
        <w:t xml:space="preserve"> bruk av teknologi som gir betre utnytting av nettinfrastrukturen.</w:t>
      </w:r>
    </w:p>
    <w:p w14:paraId="0AA24264" w14:textId="77777777" w:rsidR="00F7113A" w:rsidRPr="00580C0D" w:rsidRDefault="00142E5B" w:rsidP="00580C0D">
      <w:r w:rsidRPr="00580C0D">
        <w:t xml:space="preserve">Departementet har bedt RME om å arbeide for </w:t>
      </w:r>
      <w:proofErr w:type="spellStart"/>
      <w:r w:rsidRPr="00580C0D">
        <w:t>meir</w:t>
      </w:r>
      <w:proofErr w:type="spellEnd"/>
      <w:r w:rsidRPr="00580C0D">
        <w:t xml:space="preserve"> digital samhandling i kraftsektoren. Arbeidet nettbransjen </w:t>
      </w:r>
      <w:proofErr w:type="spellStart"/>
      <w:r w:rsidRPr="00580C0D">
        <w:t>gjer</w:t>
      </w:r>
      <w:proofErr w:type="spellEnd"/>
      <w:r w:rsidRPr="00580C0D">
        <w:t xml:space="preserve"> med digitalisering og standardisering, er </w:t>
      </w:r>
      <w:proofErr w:type="spellStart"/>
      <w:r w:rsidRPr="00580C0D">
        <w:t>ein</w:t>
      </w:r>
      <w:proofErr w:type="spellEnd"/>
      <w:r w:rsidRPr="00580C0D">
        <w:t xml:space="preserve"> del av arbeidet for å få betre oversikt over fleksibilitet i nettet. RME har </w:t>
      </w:r>
      <w:proofErr w:type="spellStart"/>
      <w:r w:rsidRPr="00580C0D">
        <w:t>sidan</w:t>
      </w:r>
      <w:proofErr w:type="spellEnd"/>
      <w:r w:rsidRPr="00580C0D">
        <w:t xml:space="preserve"> 2021 leia </w:t>
      </w:r>
      <w:proofErr w:type="spellStart"/>
      <w:r w:rsidRPr="00580C0D">
        <w:t>eit</w:t>
      </w:r>
      <w:proofErr w:type="spellEnd"/>
      <w:r w:rsidRPr="00580C0D">
        <w:t xml:space="preserve"> prosjekt med </w:t>
      </w:r>
      <w:proofErr w:type="spellStart"/>
      <w:r w:rsidRPr="00580C0D">
        <w:t>deltakarar</w:t>
      </w:r>
      <w:proofErr w:type="spellEnd"/>
      <w:r w:rsidRPr="00580C0D">
        <w:t xml:space="preserve"> </w:t>
      </w:r>
      <w:proofErr w:type="spellStart"/>
      <w:r w:rsidRPr="00580C0D">
        <w:t>frå</w:t>
      </w:r>
      <w:proofErr w:type="spellEnd"/>
      <w:r w:rsidRPr="00580C0D">
        <w:t xml:space="preserve"> bransjen som skal sikre større tempo og forsterka arbeid med digital samhandling. Arbeidet har mellom anna resultert i at </w:t>
      </w:r>
      <w:proofErr w:type="spellStart"/>
      <w:r w:rsidRPr="00580C0D">
        <w:t>ElBits</w:t>
      </w:r>
      <w:proofErr w:type="spellEnd"/>
      <w:r w:rsidRPr="00580C0D">
        <w:t xml:space="preserve"> AS blei etablert i mars 2023. </w:t>
      </w:r>
      <w:proofErr w:type="spellStart"/>
      <w:r w:rsidRPr="00580C0D">
        <w:t>ElBits</w:t>
      </w:r>
      <w:proofErr w:type="spellEnd"/>
      <w:r w:rsidRPr="00580C0D">
        <w:t xml:space="preserve"> AS er </w:t>
      </w:r>
      <w:proofErr w:type="spellStart"/>
      <w:r w:rsidRPr="00580C0D">
        <w:t>eigd</w:t>
      </w:r>
      <w:proofErr w:type="spellEnd"/>
      <w:r w:rsidRPr="00580C0D">
        <w:t xml:space="preserve"> av </w:t>
      </w:r>
      <w:proofErr w:type="spellStart"/>
      <w:r w:rsidRPr="00580C0D">
        <w:t>fleire</w:t>
      </w:r>
      <w:proofErr w:type="spellEnd"/>
      <w:r w:rsidRPr="00580C0D">
        <w:t xml:space="preserve"> nettselskap og skal gi varig og </w:t>
      </w:r>
      <w:proofErr w:type="spellStart"/>
      <w:r w:rsidRPr="00580C0D">
        <w:t>auka</w:t>
      </w:r>
      <w:proofErr w:type="spellEnd"/>
      <w:r w:rsidRPr="00580C0D">
        <w:t xml:space="preserve"> kapasitet til bransjesamarbeidet om digital samhandling.</w:t>
      </w:r>
    </w:p>
    <w:p w14:paraId="0DD9ADA1"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72E6AEE9" w14:textId="77777777" w:rsidR="00F7113A" w:rsidRPr="00580C0D" w:rsidRDefault="00142E5B" w:rsidP="00580C0D">
      <w:pPr>
        <w:pStyle w:val="avsnitt-tittel"/>
      </w:pPr>
      <w:r w:rsidRPr="00580C0D">
        <w:t>Straumstønadsordning for nærvarmeanlegg</w:t>
      </w:r>
    </w:p>
    <w:p w14:paraId="16D10E0B" w14:textId="77777777" w:rsidR="00F7113A" w:rsidRPr="00580C0D" w:rsidRDefault="00142E5B" w:rsidP="00580C0D">
      <w:pPr>
        <w:pStyle w:val="avsnitt-undertittel"/>
      </w:pPr>
      <w:r w:rsidRPr="00580C0D">
        <w:t>Vedtak 20, 18. oktober 2022</w:t>
      </w:r>
    </w:p>
    <w:p w14:paraId="6D1476F6" w14:textId="77777777" w:rsidR="00F7113A" w:rsidRPr="00580C0D" w:rsidRDefault="00142E5B" w:rsidP="00580C0D">
      <w:pPr>
        <w:pStyle w:val="blokksit"/>
      </w:pPr>
      <w:r w:rsidRPr="00580C0D">
        <w:t>«</w:t>
      </w:r>
      <w:r w:rsidRPr="00580C0D">
        <w:rPr>
          <w:rStyle w:val="kursiv"/>
        </w:rPr>
        <w:t>Stortinget ber regjeringen utrede hvordan en strømstøtteordning for nærvarmeanlegg som leverer til husholdningskunder, kan utformes, og estimere kostnaden for en slik ordning. Utredningen bør gjennomføres med sikte på ferdigstilling medio november 2022.</w:t>
      </w:r>
      <w:r w:rsidRPr="00580C0D">
        <w:t>»</w:t>
      </w:r>
    </w:p>
    <w:p w14:paraId="4524B9B2" w14:textId="77777777" w:rsidR="00F7113A" w:rsidRPr="00580C0D" w:rsidRDefault="00142E5B" w:rsidP="00580C0D">
      <w:r w:rsidRPr="00580C0D">
        <w:t xml:space="preserve">Dokumentet som ligg til grunn for vedtaket er </w:t>
      </w:r>
      <w:proofErr w:type="spellStart"/>
      <w:r w:rsidRPr="00580C0D">
        <w:t>Innst</w:t>
      </w:r>
      <w:proofErr w:type="spellEnd"/>
      <w:r w:rsidRPr="00580C0D">
        <w:t>. 25 S (2022–2023).</w:t>
      </w:r>
    </w:p>
    <w:p w14:paraId="2CF4C518" w14:textId="77777777" w:rsidR="00F7113A" w:rsidRPr="00580C0D" w:rsidRDefault="00142E5B" w:rsidP="00580C0D">
      <w:r w:rsidRPr="00580C0D">
        <w:t xml:space="preserve">Det er løyvd 60 mill. kroner til ei ny søknadsbasert straumstønadsordning for </w:t>
      </w:r>
      <w:proofErr w:type="spellStart"/>
      <w:r w:rsidRPr="00580C0D">
        <w:t>hushaldningskundar</w:t>
      </w:r>
      <w:proofErr w:type="spellEnd"/>
      <w:r w:rsidRPr="00580C0D">
        <w:t xml:space="preserve"> av nærvarmeanlegg i 2023, jf. </w:t>
      </w:r>
      <w:proofErr w:type="spellStart"/>
      <w:r w:rsidRPr="00580C0D">
        <w:t>Prop</w:t>
      </w:r>
      <w:proofErr w:type="spellEnd"/>
      <w:r w:rsidRPr="00580C0D">
        <w:t xml:space="preserve">. 118 S (2022–2023) </w:t>
      </w:r>
      <w:r w:rsidRPr="00580C0D">
        <w:rPr>
          <w:rStyle w:val="kursiv"/>
        </w:rPr>
        <w:t>Tilleggsbevilgninger og omprioriteringer i statsbudsjettet 2024</w:t>
      </w:r>
      <w:r w:rsidRPr="00580C0D">
        <w:t xml:space="preserve">. Det er foreslått ei løyving på 22,5 mill. kroner til å føre </w:t>
      </w:r>
      <w:proofErr w:type="spellStart"/>
      <w:r w:rsidRPr="00580C0D">
        <w:t>vidare</w:t>
      </w:r>
      <w:proofErr w:type="spellEnd"/>
      <w:r w:rsidRPr="00580C0D">
        <w:t xml:space="preserve"> ordninga i 2024. Olje- og energidepartementet sende 3. juli 2023 på </w:t>
      </w:r>
      <w:proofErr w:type="spellStart"/>
      <w:r w:rsidRPr="00580C0D">
        <w:t>høyring</w:t>
      </w:r>
      <w:proofErr w:type="spellEnd"/>
      <w:r w:rsidRPr="00580C0D">
        <w:t xml:space="preserve"> forslag til ei forskrift om ei mellombels søknadsbasert straumstønadsordning for </w:t>
      </w:r>
      <w:proofErr w:type="spellStart"/>
      <w:r w:rsidRPr="00580C0D">
        <w:t>hushaldningskundar</w:t>
      </w:r>
      <w:proofErr w:type="spellEnd"/>
      <w:r w:rsidRPr="00580C0D">
        <w:t xml:space="preserve"> av </w:t>
      </w:r>
      <w:proofErr w:type="spellStart"/>
      <w:r w:rsidRPr="00580C0D">
        <w:t>nærvarmeleverandørar</w:t>
      </w:r>
      <w:proofErr w:type="spellEnd"/>
      <w:r w:rsidRPr="00580C0D">
        <w:t>.</w:t>
      </w:r>
    </w:p>
    <w:p w14:paraId="453A04FB"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5DDDF42A" w14:textId="77777777" w:rsidR="00F7113A" w:rsidRPr="00580C0D" w:rsidRDefault="00142E5B" w:rsidP="00580C0D">
      <w:pPr>
        <w:pStyle w:val="avsnitt-tittel"/>
      </w:pPr>
      <w:proofErr w:type="spellStart"/>
      <w:r w:rsidRPr="00580C0D">
        <w:t>Ikkje</w:t>
      </w:r>
      <w:proofErr w:type="spellEnd"/>
      <w:r w:rsidRPr="00580C0D">
        <w:t xml:space="preserve"> lyse ut 26. konsesjonsrunde i denne stortingsperioden</w:t>
      </w:r>
    </w:p>
    <w:p w14:paraId="26ECC713" w14:textId="77777777" w:rsidR="00F7113A" w:rsidRPr="00580C0D" w:rsidRDefault="00142E5B" w:rsidP="00580C0D">
      <w:pPr>
        <w:pStyle w:val="avsnitt-undertittel"/>
      </w:pPr>
      <w:r w:rsidRPr="00580C0D">
        <w:t>Vedtak 102, 1. desember 2022</w:t>
      </w:r>
    </w:p>
    <w:p w14:paraId="649DF93E" w14:textId="77777777" w:rsidR="00F7113A" w:rsidRPr="00580C0D" w:rsidRDefault="00142E5B" w:rsidP="00580C0D">
      <w:pPr>
        <w:pStyle w:val="blokksit"/>
      </w:pPr>
      <w:r w:rsidRPr="00580C0D">
        <w:t>«</w:t>
      </w:r>
      <w:r w:rsidRPr="00580C0D">
        <w:rPr>
          <w:rStyle w:val="kursiv"/>
        </w:rPr>
        <w:t>Stortinget ber regjeringen om ikke å lyse ut 26. konsesjonsrunde i denne stortingsperioden.</w:t>
      </w:r>
      <w:r w:rsidRPr="00580C0D">
        <w:t>»</w:t>
      </w:r>
    </w:p>
    <w:p w14:paraId="1B6FBB75" w14:textId="77777777" w:rsidR="00F7113A" w:rsidRPr="00580C0D" w:rsidRDefault="00142E5B" w:rsidP="00580C0D">
      <w:r w:rsidRPr="00580C0D">
        <w:t xml:space="preserve">Dokumenta som ligg til grunn for vedtaket er Meld. St. 1 (2022–2023) og </w:t>
      </w:r>
      <w:proofErr w:type="spellStart"/>
      <w:r w:rsidRPr="00580C0D">
        <w:t>Innst</w:t>
      </w:r>
      <w:proofErr w:type="spellEnd"/>
      <w:r w:rsidRPr="00580C0D">
        <w:t>. 2 S (2022–2023).</w:t>
      </w:r>
    </w:p>
    <w:p w14:paraId="28773B9E" w14:textId="77777777" w:rsidR="00F7113A" w:rsidRPr="00580C0D" w:rsidRDefault="00142E5B" w:rsidP="00580C0D">
      <w:r w:rsidRPr="00580C0D">
        <w:t xml:space="preserve">Olje- og energidepartementet har </w:t>
      </w:r>
      <w:proofErr w:type="spellStart"/>
      <w:r w:rsidRPr="00580C0D">
        <w:t>ikkje</w:t>
      </w:r>
      <w:proofErr w:type="spellEnd"/>
      <w:r w:rsidRPr="00580C0D">
        <w:t xml:space="preserve"> sett i gang 26. konsesjonsrunde på norsk sokkel.</w:t>
      </w:r>
    </w:p>
    <w:p w14:paraId="0136D426"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2F756EAD" w14:textId="77777777" w:rsidR="00F7113A" w:rsidRPr="00580C0D" w:rsidRDefault="00142E5B" w:rsidP="00580C0D">
      <w:pPr>
        <w:pStyle w:val="avsnitt-tittel"/>
      </w:pPr>
      <w:proofErr w:type="spellStart"/>
      <w:r w:rsidRPr="00580C0D">
        <w:t>Ikkje</w:t>
      </w:r>
      <w:proofErr w:type="spellEnd"/>
      <w:r w:rsidRPr="00580C0D">
        <w:t xml:space="preserve"> ta inn tre TFO-blokker i 2023</w:t>
      </w:r>
    </w:p>
    <w:p w14:paraId="4723B785" w14:textId="77777777" w:rsidR="00F7113A" w:rsidRPr="00580C0D" w:rsidRDefault="00142E5B" w:rsidP="00580C0D">
      <w:pPr>
        <w:pStyle w:val="avsnitt-undertittel"/>
      </w:pPr>
      <w:r w:rsidRPr="00580C0D">
        <w:t>Vedtak 103, 1. desember 2022</w:t>
      </w:r>
    </w:p>
    <w:p w14:paraId="40443209" w14:textId="77777777" w:rsidR="00F7113A" w:rsidRPr="00580C0D" w:rsidRDefault="00142E5B" w:rsidP="00580C0D">
      <w:pPr>
        <w:pStyle w:val="blokksit"/>
      </w:pPr>
      <w:r w:rsidRPr="00580C0D">
        <w:t>«</w:t>
      </w:r>
      <w:r w:rsidRPr="00580C0D">
        <w:rPr>
          <w:rStyle w:val="kursiv"/>
        </w:rPr>
        <w:t>Stortinget ber regjeringen om at de tre TFO-blokkene (7426/10, 11 og 12) som ble tatt ut i 2022, ikke skal tas inn i TFO-runden i 2023.</w:t>
      </w:r>
      <w:r w:rsidRPr="00580C0D">
        <w:t>»</w:t>
      </w:r>
    </w:p>
    <w:p w14:paraId="134054CB" w14:textId="77777777" w:rsidR="00F7113A" w:rsidRPr="00580C0D" w:rsidRDefault="00142E5B" w:rsidP="00580C0D">
      <w:r w:rsidRPr="00580C0D">
        <w:t xml:space="preserve">Dokumenta som ligg til grunn for vedtaket er Meld. St. 1 (2022–2023) og </w:t>
      </w:r>
      <w:proofErr w:type="spellStart"/>
      <w:r w:rsidRPr="00580C0D">
        <w:t>Innst</w:t>
      </w:r>
      <w:proofErr w:type="spellEnd"/>
      <w:r w:rsidRPr="00580C0D">
        <w:t>. 2 S (2022–2023).</w:t>
      </w:r>
    </w:p>
    <w:p w14:paraId="2601BB33" w14:textId="77777777" w:rsidR="00F7113A" w:rsidRPr="00580C0D" w:rsidRDefault="00142E5B" w:rsidP="00580C0D">
      <w:r w:rsidRPr="00580C0D">
        <w:t xml:space="preserve">Blokkene (7426/10, 11 og 12) er </w:t>
      </w:r>
      <w:proofErr w:type="spellStart"/>
      <w:r w:rsidRPr="00580C0D">
        <w:t>ikkje</w:t>
      </w:r>
      <w:proofErr w:type="spellEnd"/>
      <w:r w:rsidRPr="00580C0D">
        <w:t xml:space="preserve"> omfatta av TFO 2023.</w:t>
      </w:r>
    </w:p>
    <w:p w14:paraId="2B7769FF"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1F2A26A4" w14:textId="77777777" w:rsidR="00F7113A" w:rsidRPr="00580C0D" w:rsidRDefault="00142E5B" w:rsidP="00580C0D">
      <w:pPr>
        <w:pStyle w:val="avsnitt-tittel"/>
      </w:pPr>
      <w:proofErr w:type="spellStart"/>
      <w:r w:rsidRPr="00580C0D">
        <w:t>Differansekontraktar</w:t>
      </w:r>
      <w:proofErr w:type="spellEnd"/>
      <w:r w:rsidRPr="00580C0D">
        <w:t xml:space="preserve"> for hydrogen</w:t>
      </w:r>
    </w:p>
    <w:p w14:paraId="2F19349A" w14:textId="77777777" w:rsidR="00F7113A" w:rsidRPr="00580C0D" w:rsidRDefault="00142E5B" w:rsidP="00580C0D">
      <w:pPr>
        <w:pStyle w:val="avsnitt-undertittel"/>
      </w:pPr>
      <w:r w:rsidRPr="00580C0D">
        <w:t>Vedtak 106, 1. desember 2022</w:t>
      </w:r>
    </w:p>
    <w:p w14:paraId="7503B54F" w14:textId="77777777" w:rsidR="00F7113A" w:rsidRPr="00580C0D" w:rsidRDefault="00142E5B" w:rsidP="00580C0D">
      <w:pPr>
        <w:pStyle w:val="blokksit"/>
      </w:pPr>
      <w:r w:rsidRPr="00580C0D">
        <w:t>«</w:t>
      </w:r>
      <w:r w:rsidRPr="00580C0D">
        <w:rPr>
          <w:rStyle w:val="kursiv"/>
        </w:rPr>
        <w:t>Stortinget ber regjeringen komme med en plan om å innføre et system for differansekontrakter for hydrogen i løpet av 2023.</w:t>
      </w:r>
      <w:r w:rsidRPr="00580C0D">
        <w:t>»</w:t>
      </w:r>
    </w:p>
    <w:p w14:paraId="2A4F8ED6" w14:textId="77777777" w:rsidR="00F7113A" w:rsidRPr="00580C0D" w:rsidRDefault="00142E5B" w:rsidP="00580C0D">
      <w:r w:rsidRPr="00580C0D">
        <w:t xml:space="preserve">Dokumenta som ligg til grunn for vedtaket er Meld. St. 1 (2022–2023) og </w:t>
      </w:r>
      <w:proofErr w:type="spellStart"/>
      <w:r w:rsidRPr="00580C0D">
        <w:t>Innst</w:t>
      </w:r>
      <w:proofErr w:type="spellEnd"/>
      <w:r w:rsidRPr="00580C0D">
        <w:t>. 2 S (2022–2023).</w:t>
      </w:r>
    </w:p>
    <w:p w14:paraId="49277A63" w14:textId="77777777" w:rsidR="00F7113A" w:rsidRPr="00580C0D" w:rsidRDefault="00142E5B" w:rsidP="00580C0D">
      <w:r w:rsidRPr="00580C0D">
        <w:t xml:space="preserve">Regjeringa har i løpet av våren 2023 gjort ei utgreiing av korleis staten kan </w:t>
      </w:r>
      <w:proofErr w:type="spellStart"/>
      <w:r w:rsidRPr="00580C0D">
        <w:t>medverke</w:t>
      </w:r>
      <w:proofErr w:type="spellEnd"/>
      <w:r w:rsidRPr="00580C0D">
        <w:t xml:space="preserve"> til å bygge opp ei </w:t>
      </w:r>
      <w:proofErr w:type="spellStart"/>
      <w:r w:rsidRPr="00580C0D">
        <w:t>samanhengande</w:t>
      </w:r>
      <w:proofErr w:type="spellEnd"/>
      <w:r w:rsidRPr="00580C0D">
        <w:t xml:space="preserve"> verdikjede for hydrogen produsert med låge eller ingen utslepp, der produksjon, distribusjon og bruk blir utvikla parallelt. Mellom anna er det </w:t>
      </w:r>
      <w:proofErr w:type="spellStart"/>
      <w:r w:rsidRPr="00580C0D">
        <w:t>eksisterande</w:t>
      </w:r>
      <w:proofErr w:type="spellEnd"/>
      <w:r w:rsidRPr="00580C0D">
        <w:t xml:space="preserve"> </w:t>
      </w:r>
      <w:proofErr w:type="spellStart"/>
      <w:r w:rsidRPr="00580C0D">
        <w:t>verkemiddelapparatet</w:t>
      </w:r>
      <w:proofErr w:type="spellEnd"/>
      <w:r w:rsidRPr="00580C0D">
        <w:t xml:space="preserve"> for </w:t>
      </w:r>
      <w:proofErr w:type="spellStart"/>
      <w:r w:rsidRPr="00580C0D">
        <w:t>hydrogenaktørar</w:t>
      </w:r>
      <w:proofErr w:type="spellEnd"/>
      <w:r w:rsidRPr="00580C0D">
        <w:t xml:space="preserve"> i </w:t>
      </w:r>
      <w:proofErr w:type="spellStart"/>
      <w:r w:rsidRPr="00580C0D">
        <w:t>Noreg</w:t>
      </w:r>
      <w:proofErr w:type="spellEnd"/>
      <w:r w:rsidRPr="00580C0D">
        <w:t xml:space="preserve"> vurdert. Dette er </w:t>
      </w:r>
      <w:proofErr w:type="spellStart"/>
      <w:r w:rsidRPr="00580C0D">
        <w:t>ein</w:t>
      </w:r>
      <w:proofErr w:type="spellEnd"/>
      <w:r w:rsidRPr="00580C0D">
        <w:t xml:space="preserve"> viktig del av kunnskapsgrunnlaget for regjeringas </w:t>
      </w:r>
      <w:proofErr w:type="spellStart"/>
      <w:r w:rsidRPr="00580C0D">
        <w:t>vidare</w:t>
      </w:r>
      <w:proofErr w:type="spellEnd"/>
      <w:r w:rsidRPr="00580C0D">
        <w:t xml:space="preserve"> utvikling av politikken på hydrogenområdet. Både den norske utgreiinga og ei utgreiing </w:t>
      </w:r>
      <w:proofErr w:type="spellStart"/>
      <w:r w:rsidRPr="00580C0D">
        <w:t>frå</w:t>
      </w:r>
      <w:proofErr w:type="spellEnd"/>
      <w:r w:rsidRPr="00580C0D">
        <w:t xml:space="preserve"> Europakommisjonen konkluderer med at </w:t>
      </w:r>
      <w:proofErr w:type="spellStart"/>
      <w:r w:rsidRPr="00580C0D">
        <w:t>differansekontraktar</w:t>
      </w:r>
      <w:proofErr w:type="spellEnd"/>
      <w:r w:rsidRPr="00580C0D">
        <w:t xml:space="preserve"> </w:t>
      </w:r>
      <w:proofErr w:type="spellStart"/>
      <w:r w:rsidRPr="00580C0D">
        <w:t>ikkje</w:t>
      </w:r>
      <w:proofErr w:type="spellEnd"/>
      <w:r w:rsidRPr="00580C0D">
        <w:t xml:space="preserve"> vil </w:t>
      </w:r>
      <w:proofErr w:type="spellStart"/>
      <w:r w:rsidRPr="00580C0D">
        <w:t>vere</w:t>
      </w:r>
      <w:proofErr w:type="spellEnd"/>
      <w:r w:rsidRPr="00580C0D">
        <w:t xml:space="preserve"> det mest eigna </w:t>
      </w:r>
      <w:proofErr w:type="spellStart"/>
      <w:r w:rsidRPr="00580C0D">
        <w:t>verkemiddelet</w:t>
      </w:r>
      <w:proofErr w:type="spellEnd"/>
      <w:r w:rsidRPr="00580C0D">
        <w:t xml:space="preserve"> før </w:t>
      </w:r>
      <w:proofErr w:type="spellStart"/>
      <w:r w:rsidRPr="00580C0D">
        <w:t>hydrogenmarknaden</w:t>
      </w:r>
      <w:proofErr w:type="spellEnd"/>
      <w:r w:rsidRPr="00580C0D">
        <w:t xml:space="preserve"> er </w:t>
      </w:r>
      <w:proofErr w:type="spellStart"/>
      <w:r w:rsidRPr="00580C0D">
        <w:t>meir</w:t>
      </w:r>
      <w:proofErr w:type="spellEnd"/>
      <w:r w:rsidRPr="00580C0D">
        <w:t xml:space="preserve"> moden. I mars lanserte EU Hydrogenbanken som </w:t>
      </w:r>
      <w:proofErr w:type="spellStart"/>
      <w:r w:rsidRPr="00580C0D">
        <w:t>verkemiddel</w:t>
      </w:r>
      <w:proofErr w:type="spellEnd"/>
      <w:r w:rsidRPr="00580C0D">
        <w:t xml:space="preserve"> under Innovasjonsfondet. Her vil europeiske </w:t>
      </w:r>
      <w:proofErr w:type="spellStart"/>
      <w:r w:rsidRPr="00580C0D">
        <w:t>aktørar</w:t>
      </w:r>
      <w:proofErr w:type="spellEnd"/>
      <w:r w:rsidRPr="00580C0D">
        <w:t xml:space="preserve"> konkurrere om </w:t>
      </w:r>
      <w:proofErr w:type="spellStart"/>
      <w:r w:rsidRPr="00580C0D">
        <w:t>tilskot</w:t>
      </w:r>
      <w:proofErr w:type="spellEnd"/>
      <w:r w:rsidRPr="00580C0D">
        <w:t xml:space="preserve"> til fornybar hydrogenproduksjon. </w:t>
      </w:r>
      <w:proofErr w:type="spellStart"/>
      <w:r w:rsidRPr="00580C0D">
        <w:t>Verkemiddelet</w:t>
      </w:r>
      <w:proofErr w:type="spellEnd"/>
      <w:r w:rsidRPr="00580C0D">
        <w:t xml:space="preserve"> er likt </w:t>
      </w:r>
      <w:proofErr w:type="spellStart"/>
      <w:r w:rsidRPr="00580C0D">
        <w:t>differansekontraktar</w:t>
      </w:r>
      <w:proofErr w:type="spellEnd"/>
      <w:r w:rsidRPr="00580C0D">
        <w:t xml:space="preserve"> på enkelte område, men </w:t>
      </w:r>
      <w:proofErr w:type="spellStart"/>
      <w:r w:rsidRPr="00580C0D">
        <w:t>tilskot</w:t>
      </w:r>
      <w:proofErr w:type="spellEnd"/>
      <w:r w:rsidRPr="00580C0D">
        <w:t xml:space="preserve"> vil bli gitt som </w:t>
      </w:r>
      <w:proofErr w:type="spellStart"/>
      <w:r w:rsidRPr="00580C0D">
        <w:t>eit</w:t>
      </w:r>
      <w:proofErr w:type="spellEnd"/>
      <w:r w:rsidRPr="00580C0D">
        <w:t xml:space="preserve"> fast </w:t>
      </w:r>
      <w:proofErr w:type="spellStart"/>
      <w:r w:rsidRPr="00580C0D">
        <w:t>tilskot</w:t>
      </w:r>
      <w:proofErr w:type="spellEnd"/>
      <w:r w:rsidRPr="00580C0D">
        <w:t xml:space="preserve"> per kilo produsert hydrogen. Regjeringa meiner dette verktøyet er godt eigna for å bygge opp </w:t>
      </w:r>
      <w:proofErr w:type="spellStart"/>
      <w:r w:rsidRPr="00580C0D">
        <w:t>samanhengande</w:t>
      </w:r>
      <w:proofErr w:type="spellEnd"/>
      <w:r w:rsidRPr="00580C0D">
        <w:t xml:space="preserve"> verdikjeder for hydrogen, og tar sikte på at norske </w:t>
      </w:r>
      <w:proofErr w:type="spellStart"/>
      <w:r w:rsidRPr="00580C0D">
        <w:t>aktørar</w:t>
      </w:r>
      <w:proofErr w:type="spellEnd"/>
      <w:r w:rsidRPr="00580C0D">
        <w:t xml:space="preserve"> så </w:t>
      </w:r>
      <w:proofErr w:type="spellStart"/>
      <w:r w:rsidRPr="00580C0D">
        <w:t>tidleg</w:t>
      </w:r>
      <w:proofErr w:type="spellEnd"/>
      <w:r w:rsidRPr="00580C0D">
        <w:t xml:space="preserve"> som </w:t>
      </w:r>
      <w:proofErr w:type="spellStart"/>
      <w:r w:rsidRPr="00580C0D">
        <w:t>mogleg</w:t>
      </w:r>
      <w:proofErr w:type="spellEnd"/>
      <w:r w:rsidRPr="00580C0D">
        <w:t xml:space="preserve"> skal kunne delta i </w:t>
      </w:r>
      <w:proofErr w:type="spellStart"/>
      <w:r w:rsidRPr="00580C0D">
        <w:t>utlysingar</w:t>
      </w:r>
      <w:proofErr w:type="spellEnd"/>
      <w:r w:rsidRPr="00580C0D">
        <w:t xml:space="preserve"> under EU sin hydrogenbank. Regjeringa vurderer at Hydrogenbanken vil </w:t>
      </w:r>
      <w:proofErr w:type="spellStart"/>
      <w:r w:rsidRPr="00580C0D">
        <w:t>vere</w:t>
      </w:r>
      <w:proofErr w:type="spellEnd"/>
      <w:r w:rsidRPr="00580C0D">
        <w:t xml:space="preserve"> </w:t>
      </w:r>
      <w:proofErr w:type="spellStart"/>
      <w:r w:rsidRPr="00580C0D">
        <w:t>ein</w:t>
      </w:r>
      <w:proofErr w:type="spellEnd"/>
      <w:r w:rsidRPr="00580C0D">
        <w:t xml:space="preserve"> god og administrativt enkel måte å støtte norsk hydrogenproduksjon på. </w:t>
      </w:r>
      <w:proofErr w:type="spellStart"/>
      <w:r w:rsidRPr="00580C0D">
        <w:t>Tilknyting</w:t>
      </w:r>
      <w:proofErr w:type="spellEnd"/>
      <w:r w:rsidRPr="00580C0D">
        <w:t xml:space="preserve"> til ei slik europeisk støtteordning vil også </w:t>
      </w:r>
      <w:proofErr w:type="spellStart"/>
      <w:r w:rsidRPr="00580C0D">
        <w:t>medverke</w:t>
      </w:r>
      <w:proofErr w:type="spellEnd"/>
      <w:r w:rsidRPr="00580C0D">
        <w:t xml:space="preserve"> til å </w:t>
      </w:r>
      <w:proofErr w:type="spellStart"/>
      <w:r w:rsidRPr="00580C0D">
        <w:t>synleggjere</w:t>
      </w:r>
      <w:proofErr w:type="spellEnd"/>
      <w:r w:rsidRPr="00580C0D">
        <w:t xml:space="preserve"> norske hydrogenprosjekt i Europa. Dette vil </w:t>
      </w:r>
      <w:proofErr w:type="spellStart"/>
      <w:r w:rsidRPr="00580C0D">
        <w:t>vere</w:t>
      </w:r>
      <w:proofErr w:type="spellEnd"/>
      <w:r w:rsidRPr="00580C0D">
        <w:t xml:space="preserve"> viktig i arbeidet med regjeringa sin ambisjon om å </w:t>
      </w:r>
      <w:proofErr w:type="spellStart"/>
      <w:r w:rsidRPr="00580C0D">
        <w:t>medverke</w:t>
      </w:r>
      <w:proofErr w:type="spellEnd"/>
      <w:r w:rsidRPr="00580C0D">
        <w:t xml:space="preserve"> til oppbygginga av </w:t>
      </w:r>
      <w:proofErr w:type="spellStart"/>
      <w:r w:rsidRPr="00580C0D">
        <w:t>ein</w:t>
      </w:r>
      <w:proofErr w:type="spellEnd"/>
      <w:r w:rsidRPr="00580C0D">
        <w:t xml:space="preserve"> </w:t>
      </w:r>
      <w:proofErr w:type="spellStart"/>
      <w:r w:rsidRPr="00580C0D">
        <w:t>marknad</w:t>
      </w:r>
      <w:proofErr w:type="spellEnd"/>
      <w:r w:rsidRPr="00580C0D">
        <w:t xml:space="preserve"> for hydrogen i Europa, mellom anna gjennom å delta i relevante samarbeidsforum og -program for hydrogen. På brukssida har </w:t>
      </w:r>
      <w:proofErr w:type="spellStart"/>
      <w:r w:rsidRPr="00580C0D">
        <w:t>Enova</w:t>
      </w:r>
      <w:proofErr w:type="spellEnd"/>
      <w:r w:rsidRPr="00580C0D">
        <w:t xml:space="preserve"> lagt fram to nye støtteprogram med rom for å gi </w:t>
      </w:r>
      <w:proofErr w:type="spellStart"/>
      <w:r w:rsidRPr="00580C0D">
        <w:t>høgare</w:t>
      </w:r>
      <w:proofErr w:type="spellEnd"/>
      <w:r w:rsidRPr="00580C0D">
        <w:t xml:space="preserve"> støtte enn </w:t>
      </w:r>
      <w:proofErr w:type="spellStart"/>
      <w:r w:rsidRPr="00580C0D">
        <w:t>tidlegare</w:t>
      </w:r>
      <w:proofErr w:type="spellEnd"/>
      <w:r w:rsidRPr="00580C0D">
        <w:t xml:space="preserve">. Maksimal støttesats vil </w:t>
      </w:r>
      <w:proofErr w:type="spellStart"/>
      <w:r w:rsidRPr="00580C0D">
        <w:t>vere</w:t>
      </w:r>
      <w:proofErr w:type="spellEnd"/>
      <w:r w:rsidRPr="00580C0D">
        <w:t xml:space="preserve"> opp til 80 prosent av </w:t>
      </w:r>
      <w:proofErr w:type="spellStart"/>
      <w:r w:rsidRPr="00580C0D">
        <w:t>godkjende</w:t>
      </w:r>
      <w:proofErr w:type="spellEnd"/>
      <w:r w:rsidRPr="00580C0D">
        <w:t xml:space="preserve"> </w:t>
      </w:r>
      <w:proofErr w:type="spellStart"/>
      <w:r w:rsidRPr="00580C0D">
        <w:t>meirkostnader</w:t>
      </w:r>
      <w:proofErr w:type="spellEnd"/>
      <w:r w:rsidRPr="00580C0D">
        <w:t xml:space="preserve">. Dette vil bidra til </w:t>
      </w:r>
      <w:proofErr w:type="spellStart"/>
      <w:r w:rsidRPr="00580C0D">
        <w:t>auka</w:t>
      </w:r>
      <w:proofErr w:type="spellEnd"/>
      <w:r w:rsidRPr="00580C0D">
        <w:t xml:space="preserve"> realisering av hydrogen- og </w:t>
      </w:r>
      <w:proofErr w:type="spellStart"/>
      <w:r w:rsidRPr="00580C0D">
        <w:t>ammoniakkdrivne</w:t>
      </w:r>
      <w:proofErr w:type="spellEnd"/>
      <w:r w:rsidRPr="00580C0D">
        <w:t xml:space="preserve"> fartøy og skape </w:t>
      </w:r>
      <w:proofErr w:type="spellStart"/>
      <w:r w:rsidRPr="00580C0D">
        <w:t>ein</w:t>
      </w:r>
      <w:proofErr w:type="spellEnd"/>
      <w:r w:rsidRPr="00580C0D">
        <w:t xml:space="preserve"> større </w:t>
      </w:r>
      <w:proofErr w:type="spellStart"/>
      <w:r w:rsidRPr="00580C0D">
        <w:t>marknad</w:t>
      </w:r>
      <w:proofErr w:type="spellEnd"/>
      <w:r w:rsidRPr="00580C0D">
        <w:t xml:space="preserve"> for produksjon av hydrogen/ammoniakk. Til </w:t>
      </w:r>
      <w:proofErr w:type="spellStart"/>
      <w:r w:rsidRPr="00580C0D">
        <w:t>saman</w:t>
      </w:r>
      <w:proofErr w:type="spellEnd"/>
      <w:r w:rsidRPr="00580C0D">
        <w:t xml:space="preserve"> vil </w:t>
      </w:r>
      <w:proofErr w:type="spellStart"/>
      <w:r w:rsidRPr="00580C0D">
        <w:t>desse</w:t>
      </w:r>
      <w:proofErr w:type="spellEnd"/>
      <w:r w:rsidRPr="00580C0D">
        <w:t xml:space="preserve"> og </w:t>
      </w:r>
      <w:proofErr w:type="spellStart"/>
      <w:r w:rsidRPr="00580C0D">
        <w:t>eksisterande</w:t>
      </w:r>
      <w:proofErr w:type="spellEnd"/>
      <w:r w:rsidRPr="00580C0D">
        <w:t xml:space="preserve"> </w:t>
      </w:r>
      <w:proofErr w:type="spellStart"/>
      <w:r w:rsidRPr="00580C0D">
        <w:t>verkemiddel</w:t>
      </w:r>
      <w:proofErr w:type="spellEnd"/>
      <w:r w:rsidRPr="00580C0D">
        <w:t xml:space="preserve"> bidra til utvikling av </w:t>
      </w:r>
      <w:proofErr w:type="spellStart"/>
      <w:r w:rsidRPr="00580C0D">
        <w:t>marknaden</w:t>
      </w:r>
      <w:proofErr w:type="spellEnd"/>
      <w:r w:rsidRPr="00580C0D">
        <w:t xml:space="preserve"> for hydrogen som </w:t>
      </w:r>
      <w:proofErr w:type="spellStart"/>
      <w:r w:rsidRPr="00580C0D">
        <w:t>energiberar</w:t>
      </w:r>
      <w:proofErr w:type="spellEnd"/>
      <w:r w:rsidRPr="00580C0D">
        <w:t xml:space="preserve"> med ingen eller låge utslepp.</w:t>
      </w:r>
    </w:p>
    <w:p w14:paraId="0A8F0F38" w14:textId="77777777" w:rsidR="00F7113A" w:rsidRPr="00580C0D" w:rsidRDefault="00142E5B" w:rsidP="00580C0D">
      <w:r w:rsidRPr="00580C0D">
        <w:t xml:space="preserve">I perioden 2020–2022 blei det løyvd om lag 4,7 mrd. kroner til hydrogenformål gjennom </w:t>
      </w:r>
      <w:proofErr w:type="spellStart"/>
      <w:r w:rsidRPr="00580C0D">
        <w:t>Enova</w:t>
      </w:r>
      <w:proofErr w:type="spellEnd"/>
      <w:r w:rsidRPr="00580C0D">
        <w:t xml:space="preserve">, Norges forskingsråd og Innovasjon </w:t>
      </w:r>
      <w:proofErr w:type="spellStart"/>
      <w:r w:rsidRPr="00580C0D">
        <w:t>Noreg</w:t>
      </w:r>
      <w:proofErr w:type="spellEnd"/>
      <w:r w:rsidRPr="00580C0D">
        <w:t xml:space="preserve">. </w:t>
      </w:r>
      <w:proofErr w:type="spellStart"/>
      <w:r w:rsidRPr="00580C0D">
        <w:t>Sidan</w:t>
      </w:r>
      <w:proofErr w:type="spellEnd"/>
      <w:r w:rsidRPr="00580C0D">
        <w:t xml:space="preserve"> 2015 har det blitt løyvd om lag 5,6 mrd. kroner som vil kunne utløyse </w:t>
      </w:r>
      <w:proofErr w:type="spellStart"/>
      <w:r w:rsidRPr="00580C0D">
        <w:t>investeringar</w:t>
      </w:r>
      <w:proofErr w:type="spellEnd"/>
      <w:r w:rsidRPr="00580C0D">
        <w:t xml:space="preserve"> for 7,4 mrd. kroner dersom prosjekta blir realiserte. Hydrogenproduksjon er også blant </w:t>
      </w:r>
      <w:proofErr w:type="spellStart"/>
      <w:r w:rsidRPr="00580C0D">
        <w:t>næringane</w:t>
      </w:r>
      <w:proofErr w:type="spellEnd"/>
      <w:r w:rsidRPr="00580C0D">
        <w:t xml:space="preserve"> som i dag kan få CO</w:t>
      </w:r>
      <w:r w:rsidRPr="00580C0D">
        <w:rPr>
          <w:rStyle w:val="skrift-senket"/>
        </w:rPr>
        <w:t>2</w:t>
      </w:r>
      <w:r w:rsidRPr="00580C0D">
        <w:t>-kompensasjon.</w:t>
      </w:r>
    </w:p>
    <w:p w14:paraId="2D47965C"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2E60180C" w14:textId="77777777" w:rsidR="00F7113A" w:rsidRPr="00580C0D" w:rsidRDefault="00142E5B" w:rsidP="00580C0D">
      <w:pPr>
        <w:pStyle w:val="avsnitt-tittel"/>
      </w:pPr>
      <w:r w:rsidRPr="00580C0D">
        <w:t>Straumstønad for mindre, private straumnett</w:t>
      </w:r>
    </w:p>
    <w:p w14:paraId="378748EB" w14:textId="77777777" w:rsidR="00F7113A" w:rsidRPr="00580C0D" w:rsidRDefault="00142E5B" w:rsidP="00580C0D">
      <w:pPr>
        <w:pStyle w:val="avsnitt-undertittel"/>
      </w:pPr>
      <w:r w:rsidRPr="00580C0D">
        <w:t>Vedtak 158, 8. desember 2022</w:t>
      </w:r>
    </w:p>
    <w:p w14:paraId="5C0540ED" w14:textId="77777777" w:rsidR="00F7113A" w:rsidRPr="00580C0D" w:rsidRDefault="00142E5B" w:rsidP="00580C0D">
      <w:pPr>
        <w:pStyle w:val="blokksit"/>
      </w:pPr>
      <w:r w:rsidRPr="00580C0D">
        <w:t>«</w:t>
      </w:r>
      <w:r w:rsidRPr="00580C0D">
        <w:rPr>
          <w:rStyle w:val="kursiv"/>
        </w:rPr>
        <w:t>Stortinget ber regjeringen vurdere hvordan husholdninger tilkoblet mindre, private strømnett, kan motta strømstøtte på linje med andre, og melde tilbake til Stortinget snarest mulig om det er mulig med en justering av strømstøtteordningen for å hensynta slike husholdninger med sikte på utgangen av januar 2023.</w:t>
      </w:r>
      <w:r w:rsidRPr="00580C0D">
        <w:t>»</w:t>
      </w:r>
    </w:p>
    <w:p w14:paraId="5098B0F8"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 L (2022–2023), </w:t>
      </w:r>
      <w:proofErr w:type="spellStart"/>
      <w:r w:rsidRPr="00580C0D">
        <w:t>Innst</w:t>
      </w:r>
      <w:proofErr w:type="spellEnd"/>
      <w:r w:rsidRPr="00580C0D">
        <w:t>. 105 L (2022–2023) og Lovvedtak 21 (2022–2023).</w:t>
      </w:r>
    </w:p>
    <w:p w14:paraId="0CC9F104" w14:textId="77777777" w:rsidR="00F7113A" w:rsidRPr="00580C0D" w:rsidRDefault="00142E5B" w:rsidP="00580C0D">
      <w:r w:rsidRPr="00580C0D">
        <w:t xml:space="preserve">Departementet viser til vurderinga under kapittel 1.4 Anmodningsvedtak og omtale på side 177–179 i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w:t>
      </w:r>
    </w:p>
    <w:p w14:paraId="3A2FCE8A" w14:textId="77777777" w:rsidR="00F7113A" w:rsidRPr="00580C0D" w:rsidRDefault="00142E5B" w:rsidP="00580C0D">
      <w:r w:rsidRPr="00580C0D">
        <w:t xml:space="preserve">Olje- og energidepartementet vedtok 20. juni 2023 ei forskrift som inkluderer </w:t>
      </w:r>
      <w:proofErr w:type="spellStart"/>
      <w:r w:rsidRPr="00580C0D">
        <w:t>hushaldningar</w:t>
      </w:r>
      <w:proofErr w:type="spellEnd"/>
      <w:r w:rsidRPr="00580C0D">
        <w:t xml:space="preserve"> knytte til gards- og grendeverk med privat straumnett i straumstønadsordninga.</w:t>
      </w:r>
    </w:p>
    <w:p w14:paraId="571364CA"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1E0E7F5D" w14:textId="77777777" w:rsidR="00F7113A" w:rsidRPr="00580C0D" w:rsidRDefault="00142E5B" w:rsidP="00580C0D">
      <w:pPr>
        <w:pStyle w:val="avsnitt-tittel"/>
      </w:pPr>
      <w:proofErr w:type="spellStart"/>
      <w:r w:rsidRPr="00580C0D">
        <w:t>Straumstønadordning</w:t>
      </w:r>
      <w:proofErr w:type="spellEnd"/>
      <w:r w:rsidRPr="00580C0D">
        <w:t xml:space="preserve"> for nærvarmeanlegg</w:t>
      </w:r>
    </w:p>
    <w:p w14:paraId="2D38CE6E" w14:textId="77777777" w:rsidR="00F7113A" w:rsidRPr="00580C0D" w:rsidRDefault="00142E5B" w:rsidP="00580C0D">
      <w:pPr>
        <w:pStyle w:val="avsnitt-undertittel"/>
      </w:pPr>
      <w:r w:rsidRPr="00580C0D">
        <w:t>Vedtak 159, 8. desember 2022</w:t>
      </w:r>
    </w:p>
    <w:p w14:paraId="77541BEA" w14:textId="77777777" w:rsidR="00F7113A" w:rsidRPr="00580C0D" w:rsidRDefault="00142E5B" w:rsidP="00580C0D">
      <w:pPr>
        <w:pStyle w:val="blokksit"/>
      </w:pPr>
      <w:r w:rsidRPr="00580C0D">
        <w:t>«</w:t>
      </w:r>
      <w:r w:rsidRPr="00580C0D">
        <w:rPr>
          <w:rStyle w:val="kursiv"/>
        </w:rPr>
        <w:t>Stortinget ber regjeringen vurdere hvordan husholdninger som får sin oppvarming fra nærvarmeanlegg, kan omfattes av strømstøtteordningen, og melde tilbake til Stortinget snarest mulig om det er mulig med en justering av strømstøtteordningen for å hensynta slike husholdninger innen utgangen av 2022.</w:t>
      </w:r>
      <w:r w:rsidRPr="00580C0D">
        <w:t>»</w:t>
      </w:r>
    </w:p>
    <w:p w14:paraId="70BFC48F"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 L (2022–2023), </w:t>
      </w:r>
      <w:proofErr w:type="spellStart"/>
      <w:r w:rsidRPr="00580C0D">
        <w:t>Innst</w:t>
      </w:r>
      <w:proofErr w:type="spellEnd"/>
      <w:r w:rsidRPr="00580C0D">
        <w:t>. 105 L (2022–2023) og Lovvedtak 21 (2022–2023).</w:t>
      </w:r>
    </w:p>
    <w:p w14:paraId="07E4992A" w14:textId="77777777" w:rsidR="00F7113A" w:rsidRPr="00580C0D" w:rsidRDefault="00142E5B" w:rsidP="00580C0D">
      <w:r w:rsidRPr="00580C0D">
        <w:t xml:space="preserve">Departementet viser til vurderinga under kapittel 1.4 Anmodningsvedtak og omtale på side 177–179 i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w:t>
      </w:r>
    </w:p>
    <w:p w14:paraId="67D4936F" w14:textId="77777777" w:rsidR="00F7113A" w:rsidRPr="00580C0D" w:rsidRDefault="00142E5B" w:rsidP="00580C0D">
      <w:r w:rsidRPr="00580C0D">
        <w:t xml:space="preserve">Det er løyvd 60 mill. kroner til ei ny søknadsbasert straumstønadsordning for </w:t>
      </w:r>
      <w:proofErr w:type="spellStart"/>
      <w:r w:rsidRPr="00580C0D">
        <w:t>hushaldningskundar</w:t>
      </w:r>
      <w:proofErr w:type="spellEnd"/>
      <w:r w:rsidRPr="00580C0D">
        <w:t xml:space="preserve"> av nærvarmeanlegg i 2023, jf.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xml:space="preserve">. Det er foreslått ei løyving på 22,5 mill. kroner til å føre </w:t>
      </w:r>
      <w:proofErr w:type="spellStart"/>
      <w:r w:rsidRPr="00580C0D">
        <w:t>vidare</w:t>
      </w:r>
      <w:proofErr w:type="spellEnd"/>
      <w:r w:rsidRPr="00580C0D">
        <w:t xml:space="preserve"> ordninga i 2024. Olje- og energidepartementet sende 3. juli 2023 på </w:t>
      </w:r>
      <w:proofErr w:type="spellStart"/>
      <w:r w:rsidRPr="00580C0D">
        <w:t>høyring</w:t>
      </w:r>
      <w:proofErr w:type="spellEnd"/>
      <w:r w:rsidRPr="00580C0D">
        <w:t xml:space="preserve"> forslag til ei forskrift om ei mellombels søknadsbasert straumstønadsordning for </w:t>
      </w:r>
      <w:proofErr w:type="spellStart"/>
      <w:r w:rsidRPr="00580C0D">
        <w:t>hushaldningskundar</w:t>
      </w:r>
      <w:proofErr w:type="spellEnd"/>
      <w:r w:rsidRPr="00580C0D">
        <w:t xml:space="preserve"> av </w:t>
      </w:r>
      <w:proofErr w:type="spellStart"/>
      <w:r w:rsidRPr="00580C0D">
        <w:t>nærvarmeleverandørar</w:t>
      </w:r>
      <w:proofErr w:type="spellEnd"/>
      <w:r w:rsidRPr="00580C0D">
        <w:t>.</w:t>
      </w:r>
    </w:p>
    <w:p w14:paraId="6128E57C"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78F8AFEB" w14:textId="77777777" w:rsidR="00F7113A" w:rsidRPr="00580C0D" w:rsidRDefault="00142E5B" w:rsidP="00580C0D">
      <w:pPr>
        <w:pStyle w:val="avsnitt-tittel"/>
      </w:pPr>
      <w:r w:rsidRPr="00580C0D">
        <w:t>Straumstønad for fritidsbustad</w:t>
      </w:r>
    </w:p>
    <w:p w14:paraId="7781BD75" w14:textId="77777777" w:rsidR="00F7113A" w:rsidRPr="00580C0D" w:rsidRDefault="00142E5B" w:rsidP="00580C0D">
      <w:pPr>
        <w:pStyle w:val="avsnitt-undertittel"/>
      </w:pPr>
      <w:r w:rsidRPr="00580C0D">
        <w:t>Vedtak 160, 8. desember 2022</w:t>
      </w:r>
    </w:p>
    <w:p w14:paraId="474E31B5" w14:textId="77777777" w:rsidR="00F7113A" w:rsidRPr="00580C0D" w:rsidRDefault="00142E5B" w:rsidP="00580C0D">
      <w:pPr>
        <w:pStyle w:val="blokksit"/>
      </w:pPr>
      <w:r w:rsidRPr="00580C0D">
        <w:t>«</w:t>
      </w:r>
      <w:r w:rsidRPr="00580C0D">
        <w:rPr>
          <w:rStyle w:val="kursiv"/>
        </w:rPr>
        <w:t>Stortinget ber regjeringen vurdere hvordan husholdninger som reelt sett har fast bopel i bolig registrert som fritidsbolig – og ikke eier eller disponerer annen bolig – kan omfattes av strømstøtteordningen, og melde tilbake til Stortinget snarest mulig om det er mulig med en justering av strømstøtteordningen for å hensynta slike husholdninger med sikte på utgangen av 2022.</w:t>
      </w:r>
      <w:r w:rsidRPr="00580C0D">
        <w:t>»</w:t>
      </w:r>
    </w:p>
    <w:p w14:paraId="1DD5BE81"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 L (2022–2023), </w:t>
      </w:r>
      <w:proofErr w:type="spellStart"/>
      <w:r w:rsidRPr="00580C0D">
        <w:t>Innst</w:t>
      </w:r>
      <w:proofErr w:type="spellEnd"/>
      <w:r w:rsidRPr="00580C0D">
        <w:t>. 105 L (2022–2023) og Lovvedtak 21 (2022–2023).</w:t>
      </w:r>
    </w:p>
    <w:p w14:paraId="2BFA14DC" w14:textId="77777777" w:rsidR="00F7113A" w:rsidRPr="00580C0D" w:rsidRDefault="00142E5B" w:rsidP="00580C0D">
      <w:r w:rsidRPr="00580C0D">
        <w:t xml:space="preserve">Departementet viser til vurderinga under kapittel 1.4 Anmodningsvedtak og omtale på side 177–179 i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w:t>
      </w:r>
    </w:p>
    <w:p w14:paraId="33FF0607" w14:textId="77777777" w:rsidR="00F7113A" w:rsidRPr="00580C0D" w:rsidRDefault="00142E5B" w:rsidP="00580C0D">
      <w:r w:rsidRPr="00580C0D">
        <w:t xml:space="preserve">Olje- og energidepartementet vedtok 8. februar 2023 </w:t>
      </w:r>
      <w:proofErr w:type="spellStart"/>
      <w:r w:rsidRPr="00580C0D">
        <w:t>endringar</w:t>
      </w:r>
      <w:proofErr w:type="spellEnd"/>
      <w:r w:rsidRPr="00580C0D">
        <w:t xml:space="preserve"> i </w:t>
      </w:r>
      <w:r w:rsidRPr="00580C0D">
        <w:rPr>
          <w:rStyle w:val="kursiv"/>
        </w:rPr>
        <w:t>midlertidig forskrift om strømstønad</w:t>
      </w:r>
      <w:r w:rsidRPr="00580C0D">
        <w:t xml:space="preserve">, som på </w:t>
      </w:r>
      <w:proofErr w:type="spellStart"/>
      <w:r w:rsidRPr="00580C0D">
        <w:t>nærmare</w:t>
      </w:r>
      <w:proofErr w:type="spellEnd"/>
      <w:r w:rsidRPr="00580C0D">
        <w:t xml:space="preserve"> vilkår inkluderer </w:t>
      </w:r>
      <w:proofErr w:type="spellStart"/>
      <w:r w:rsidRPr="00580C0D">
        <w:t>dei</w:t>
      </w:r>
      <w:proofErr w:type="spellEnd"/>
      <w:r w:rsidRPr="00580C0D">
        <w:t xml:space="preserve"> som bur fast i fritidsbustad i straumstønadsordninga for </w:t>
      </w:r>
      <w:proofErr w:type="spellStart"/>
      <w:r w:rsidRPr="00580C0D">
        <w:t>hushaldningar</w:t>
      </w:r>
      <w:proofErr w:type="spellEnd"/>
      <w:r w:rsidRPr="00580C0D">
        <w:t xml:space="preserve">, jf. </w:t>
      </w:r>
      <w:proofErr w:type="spellStart"/>
      <w:r w:rsidRPr="00580C0D">
        <w:t>Innst</w:t>
      </w:r>
      <w:proofErr w:type="spellEnd"/>
      <w:r w:rsidRPr="00580C0D">
        <w:t>. 483 L (2022–2023).</w:t>
      </w:r>
    </w:p>
    <w:p w14:paraId="599706AB"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11E7BCF1" w14:textId="77777777" w:rsidR="00F7113A" w:rsidRPr="00580C0D" w:rsidRDefault="00142E5B" w:rsidP="00580C0D">
      <w:pPr>
        <w:pStyle w:val="avsnitt-tittel"/>
      </w:pPr>
      <w:r w:rsidRPr="00580C0D">
        <w:t>Melkøya – CO</w:t>
      </w:r>
      <w:r w:rsidRPr="00580C0D">
        <w:rPr>
          <w:rStyle w:val="skrift-senket"/>
        </w:rPr>
        <w:t>2</w:t>
      </w:r>
      <w:r w:rsidRPr="00580C0D">
        <w:t>-handtering som alternativ til elektrifisering</w:t>
      </w:r>
    </w:p>
    <w:p w14:paraId="024835D5" w14:textId="77777777" w:rsidR="00F7113A" w:rsidRPr="00580C0D" w:rsidRDefault="00142E5B" w:rsidP="00580C0D">
      <w:pPr>
        <w:pStyle w:val="avsnitt-undertittel"/>
      </w:pPr>
      <w:r w:rsidRPr="00580C0D">
        <w:t>Vedtak 596, 18. april 2023</w:t>
      </w:r>
    </w:p>
    <w:p w14:paraId="2745DC69" w14:textId="77777777" w:rsidR="00F7113A" w:rsidRPr="00580C0D" w:rsidRDefault="00142E5B" w:rsidP="00580C0D">
      <w:pPr>
        <w:pStyle w:val="blokksit"/>
      </w:pPr>
      <w:r w:rsidRPr="00580C0D">
        <w:t>«</w:t>
      </w:r>
      <w:r w:rsidRPr="00580C0D">
        <w:rPr>
          <w:rStyle w:val="kursiv"/>
        </w:rPr>
        <w:t xml:space="preserve">Stortinget ber regjeringen, i forbindelse med behandlingen av Snøhvit </w:t>
      </w:r>
      <w:proofErr w:type="spellStart"/>
      <w:r w:rsidRPr="00580C0D">
        <w:rPr>
          <w:rStyle w:val="kursiv"/>
        </w:rPr>
        <w:t>Future</w:t>
      </w:r>
      <w:proofErr w:type="spellEnd"/>
      <w:r w:rsidRPr="00580C0D">
        <w:rPr>
          <w:rStyle w:val="kursiv"/>
        </w:rPr>
        <w:t>, foreta en egen vurdering av om fangst og lagring av CO</w:t>
      </w:r>
      <w:r w:rsidRPr="00580C0D">
        <w:rPr>
          <w:rStyle w:val="skrift-senket"/>
        </w:rPr>
        <w:t>2</w:t>
      </w:r>
      <w:r w:rsidRPr="00580C0D">
        <w:rPr>
          <w:rStyle w:val="kursiv"/>
        </w:rPr>
        <w:t xml:space="preserve"> kan være et alternativ til elektrifisering av Melkøya med kraft fra land som kan realiseres innen 2029 og gjennomføres uten at fremtidig gassproduksjon blir redusert.</w:t>
      </w:r>
      <w:r w:rsidRPr="00580C0D">
        <w:t>»</w:t>
      </w:r>
    </w:p>
    <w:p w14:paraId="3E256C2F" w14:textId="77777777" w:rsidR="00F7113A" w:rsidRPr="00580C0D" w:rsidRDefault="00142E5B" w:rsidP="00580C0D">
      <w:r w:rsidRPr="00580C0D">
        <w:t xml:space="preserve">Dokumenta som ligg til grunn for vedtaket er Dokument 8:90 S (2022–2023), Dokument 8:93 S (2022–2023), Dokument 8: 115 S (2022–2023) og </w:t>
      </w:r>
      <w:proofErr w:type="spellStart"/>
      <w:r w:rsidRPr="00580C0D">
        <w:t>Innst</w:t>
      </w:r>
      <w:proofErr w:type="spellEnd"/>
      <w:r w:rsidRPr="00580C0D">
        <w:t>. 276 S (2022–2023).</w:t>
      </w:r>
    </w:p>
    <w:p w14:paraId="3CB40EDB" w14:textId="77777777" w:rsidR="00F7113A" w:rsidRPr="00580C0D" w:rsidRDefault="00142E5B" w:rsidP="00580C0D">
      <w:r w:rsidRPr="00580C0D">
        <w:t xml:space="preserve">Olje- og energidepartementet har i samband med </w:t>
      </w:r>
      <w:proofErr w:type="spellStart"/>
      <w:r w:rsidRPr="00580C0D">
        <w:t>styresmaktsbehandlinga</w:t>
      </w:r>
      <w:proofErr w:type="spellEnd"/>
      <w:r w:rsidRPr="00580C0D">
        <w:t xml:space="preserve"> av planar for Snøhvit </w:t>
      </w:r>
      <w:proofErr w:type="spellStart"/>
      <w:r w:rsidRPr="00580C0D">
        <w:t>Future</w:t>
      </w:r>
      <w:proofErr w:type="spellEnd"/>
      <w:r w:rsidRPr="00580C0D">
        <w:t>-prosjektet gjennomført ei eiga vurdering av om fangst og lagring av CO</w:t>
      </w:r>
      <w:r w:rsidRPr="00580C0D">
        <w:rPr>
          <w:rStyle w:val="skrift-senket"/>
        </w:rPr>
        <w:t>2</w:t>
      </w:r>
      <w:r w:rsidRPr="00580C0D">
        <w:t xml:space="preserve"> kan </w:t>
      </w:r>
      <w:proofErr w:type="spellStart"/>
      <w:r w:rsidRPr="00580C0D">
        <w:t>vere</w:t>
      </w:r>
      <w:proofErr w:type="spellEnd"/>
      <w:r w:rsidRPr="00580C0D">
        <w:t xml:space="preserve"> </w:t>
      </w:r>
      <w:proofErr w:type="spellStart"/>
      <w:r w:rsidRPr="00580C0D">
        <w:t>eit</w:t>
      </w:r>
      <w:proofErr w:type="spellEnd"/>
      <w:r w:rsidRPr="00580C0D">
        <w:t xml:space="preserve"> alternativ til omlegging til full drift med kraft </w:t>
      </w:r>
      <w:proofErr w:type="spellStart"/>
      <w:r w:rsidRPr="00580C0D">
        <w:t>frå</w:t>
      </w:r>
      <w:proofErr w:type="spellEnd"/>
      <w:r w:rsidRPr="00580C0D">
        <w:t xml:space="preserve"> nettet, under dette om fangst og lagring av CO</w:t>
      </w:r>
      <w:r w:rsidRPr="00580C0D">
        <w:rPr>
          <w:rStyle w:val="skrift-senket"/>
        </w:rPr>
        <w:t>2</w:t>
      </w:r>
      <w:r w:rsidRPr="00580C0D">
        <w:t xml:space="preserve"> på Melkøya kan </w:t>
      </w:r>
      <w:proofErr w:type="spellStart"/>
      <w:r w:rsidRPr="00580C0D">
        <w:t>realiserast</w:t>
      </w:r>
      <w:proofErr w:type="spellEnd"/>
      <w:r w:rsidRPr="00580C0D">
        <w:t xml:space="preserve"> </w:t>
      </w:r>
      <w:proofErr w:type="spellStart"/>
      <w:r w:rsidRPr="00580C0D">
        <w:t>innan</w:t>
      </w:r>
      <w:proofErr w:type="spellEnd"/>
      <w:r w:rsidRPr="00580C0D">
        <w:t xml:space="preserve"> 2029 og </w:t>
      </w:r>
      <w:proofErr w:type="spellStart"/>
      <w:r w:rsidRPr="00580C0D">
        <w:t>gjennomførast</w:t>
      </w:r>
      <w:proofErr w:type="spellEnd"/>
      <w:r w:rsidRPr="00580C0D">
        <w:t xml:space="preserve"> </w:t>
      </w:r>
      <w:proofErr w:type="spellStart"/>
      <w:r w:rsidRPr="00580C0D">
        <w:t>utan</w:t>
      </w:r>
      <w:proofErr w:type="spellEnd"/>
      <w:r w:rsidRPr="00580C0D">
        <w:t xml:space="preserve"> at framtidig gassproduksjon blir redusert.</w:t>
      </w:r>
    </w:p>
    <w:p w14:paraId="62AAC1D8" w14:textId="77777777" w:rsidR="00F7113A" w:rsidRPr="00580C0D" w:rsidRDefault="00142E5B" w:rsidP="00580C0D">
      <w:r w:rsidRPr="00580C0D">
        <w:t>Departementet har i samband med dette bedt Sokkeldirektoratet om ei tilleggsvurdering av fangst og lagring av CO</w:t>
      </w:r>
      <w:r w:rsidRPr="00580C0D">
        <w:rPr>
          <w:rStyle w:val="skrift-senket"/>
        </w:rPr>
        <w:t>2</w:t>
      </w:r>
      <w:r w:rsidRPr="00580C0D">
        <w:t xml:space="preserve"> ved Hammerfest LNG. Direktoratet viser i tilleggsvurderinga til at </w:t>
      </w:r>
      <w:proofErr w:type="spellStart"/>
      <w:r w:rsidRPr="00580C0D">
        <w:t>rettshavarane</w:t>
      </w:r>
      <w:proofErr w:type="spellEnd"/>
      <w:r w:rsidRPr="00580C0D">
        <w:t xml:space="preserve"> i planleggingsfasen av prosjektet har vurdert CO</w:t>
      </w:r>
      <w:r w:rsidRPr="00580C0D">
        <w:rPr>
          <w:rStyle w:val="skrift-senket"/>
        </w:rPr>
        <w:t>2</w:t>
      </w:r>
      <w:r w:rsidRPr="00580C0D">
        <w:t xml:space="preserve">-handtering. </w:t>
      </w:r>
      <w:proofErr w:type="spellStart"/>
      <w:r w:rsidRPr="00580C0D">
        <w:t>Rettshavarane</w:t>
      </w:r>
      <w:proofErr w:type="spellEnd"/>
      <w:r w:rsidRPr="00580C0D">
        <w:t xml:space="preserve"> har lagt bort dette alternativet fordi det er </w:t>
      </w:r>
      <w:proofErr w:type="spellStart"/>
      <w:r w:rsidRPr="00580C0D">
        <w:t>ulønnsamt</w:t>
      </w:r>
      <w:proofErr w:type="spellEnd"/>
      <w:r w:rsidRPr="00580C0D">
        <w:t xml:space="preserve"> og har </w:t>
      </w:r>
      <w:proofErr w:type="spellStart"/>
      <w:r w:rsidRPr="00580C0D">
        <w:t>vesentleg</w:t>
      </w:r>
      <w:proofErr w:type="spellEnd"/>
      <w:r w:rsidRPr="00580C0D">
        <w:t xml:space="preserve"> </w:t>
      </w:r>
      <w:proofErr w:type="spellStart"/>
      <w:r w:rsidRPr="00580C0D">
        <w:t>høgare</w:t>
      </w:r>
      <w:proofErr w:type="spellEnd"/>
      <w:r w:rsidRPr="00580C0D">
        <w:t xml:space="preserve"> investeringskostnader og tiltakskostnader enn drift med kraft </w:t>
      </w:r>
      <w:proofErr w:type="spellStart"/>
      <w:r w:rsidRPr="00580C0D">
        <w:t>frå</w:t>
      </w:r>
      <w:proofErr w:type="spellEnd"/>
      <w:r w:rsidRPr="00580C0D">
        <w:t xml:space="preserve"> nettet. Sokkeldirektoratets vurdering er at </w:t>
      </w:r>
      <w:proofErr w:type="spellStart"/>
      <w:r w:rsidRPr="00580C0D">
        <w:t>rettshavarane</w:t>
      </w:r>
      <w:proofErr w:type="spellEnd"/>
      <w:r w:rsidRPr="00580C0D">
        <w:t xml:space="preserve"> har </w:t>
      </w:r>
      <w:proofErr w:type="spellStart"/>
      <w:r w:rsidRPr="00580C0D">
        <w:t>følgt</w:t>
      </w:r>
      <w:proofErr w:type="spellEnd"/>
      <w:r w:rsidRPr="00580C0D">
        <w:t xml:space="preserve"> etablerte </w:t>
      </w:r>
      <w:proofErr w:type="spellStart"/>
      <w:r w:rsidRPr="00580C0D">
        <w:t>prosessar</w:t>
      </w:r>
      <w:proofErr w:type="spellEnd"/>
      <w:r w:rsidRPr="00580C0D">
        <w:t xml:space="preserve"> for prosjektmodning, der avgjerder som er tatt i </w:t>
      </w:r>
      <w:proofErr w:type="spellStart"/>
      <w:r w:rsidRPr="00580C0D">
        <w:t>rettshavargruppa</w:t>
      </w:r>
      <w:proofErr w:type="spellEnd"/>
      <w:r w:rsidRPr="00580C0D">
        <w:t xml:space="preserve"> ved ulike </w:t>
      </w:r>
      <w:proofErr w:type="spellStart"/>
      <w:r w:rsidRPr="00580C0D">
        <w:t>milepælar</w:t>
      </w:r>
      <w:proofErr w:type="spellEnd"/>
      <w:r w:rsidRPr="00580C0D">
        <w:t xml:space="preserve">, har </w:t>
      </w:r>
      <w:proofErr w:type="spellStart"/>
      <w:r w:rsidRPr="00580C0D">
        <w:t>vore</w:t>
      </w:r>
      <w:proofErr w:type="spellEnd"/>
      <w:r w:rsidRPr="00580C0D">
        <w:t xml:space="preserve"> vurderte mot relevante kriterium for CO</w:t>
      </w:r>
      <w:r w:rsidRPr="00580C0D">
        <w:rPr>
          <w:rStyle w:val="skrift-senket"/>
        </w:rPr>
        <w:t>2</w:t>
      </w:r>
      <w:r w:rsidRPr="00580C0D">
        <w:t>-reduksjon, tiltakskostnader, regularitet og risiko. Sokkeldirektoratet konkluderer med at CO</w:t>
      </w:r>
      <w:r w:rsidRPr="00580C0D">
        <w:rPr>
          <w:rStyle w:val="skrift-senket"/>
        </w:rPr>
        <w:t>2</w:t>
      </w:r>
      <w:r w:rsidRPr="00580C0D">
        <w:t xml:space="preserve">-handtering på Hammerfest LNG har tiltakskostnader som ligg </w:t>
      </w:r>
      <w:proofErr w:type="spellStart"/>
      <w:r w:rsidRPr="00580C0D">
        <w:t>betydeleg</w:t>
      </w:r>
      <w:proofErr w:type="spellEnd"/>
      <w:r w:rsidRPr="00580C0D">
        <w:t xml:space="preserve"> over 2 000 kroner per tonn CO</w:t>
      </w:r>
      <w:r w:rsidRPr="00580C0D">
        <w:rPr>
          <w:rStyle w:val="skrift-senket"/>
        </w:rPr>
        <w:t>2</w:t>
      </w:r>
      <w:r w:rsidRPr="00580C0D">
        <w:t>. Sokkeldirektoratet vurderer operatørens anslag om at planlegging og gjennomføring av CO</w:t>
      </w:r>
      <w:r w:rsidRPr="00580C0D">
        <w:rPr>
          <w:rStyle w:val="skrift-senket"/>
        </w:rPr>
        <w:t>2</w:t>
      </w:r>
      <w:r w:rsidRPr="00580C0D">
        <w:t xml:space="preserve">-handtering på Hammerfest LNG vil ta sju til åtte år som realistisk med </w:t>
      </w:r>
      <w:proofErr w:type="spellStart"/>
      <w:r w:rsidRPr="00580C0D">
        <w:t>tilhøyrande</w:t>
      </w:r>
      <w:proofErr w:type="spellEnd"/>
      <w:r w:rsidRPr="00580C0D">
        <w:t xml:space="preserve"> </w:t>
      </w:r>
      <w:proofErr w:type="spellStart"/>
      <w:r w:rsidRPr="00580C0D">
        <w:t>usikkerheiter</w:t>
      </w:r>
      <w:proofErr w:type="spellEnd"/>
      <w:r w:rsidRPr="00580C0D">
        <w:t xml:space="preserve">. Dersom </w:t>
      </w:r>
      <w:proofErr w:type="spellStart"/>
      <w:r w:rsidRPr="00580C0D">
        <w:t>rettighetshavarane</w:t>
      </w:r>
      <w:proofErr w:type="spellEnd"/>
      <w:r w:rsidRPr="00580C0D">
        <w:t xml:space="preserve"> </w:t>
      </w:r>
      <w:proofErr w:type="spellStart"/>
      <w:r w:rsidRPr="00580C0D">
        <w:t>besluttar</w:t>
      </w:r>
      <w:proofErr w:type="spellEnd"/>
      <w:r w:rsidRPr="00580C0D">
        <w:t xml:space="preserve"> å gå </w:t>
      </w:r>
      <w:proofErr w:type="spellStart"/>
      <w:r w:rsidRPr="00580C0D">
        <w:t>vidare</w:t>
      </w:r>
      <w:proofErr w:type="spellEnd"/>
      <w:r w:rsidRPr="00580C0D">
        <w:t xml:space="preserve"> med ei slik løysing i første kvartal 2024, vil ei slik løysing såleis kunne </w:t>
      </w:r>
      <w:proofErr w:type="spellStart"/>
      <w:r w:rsidRPr="00580C0D">
        <w:t>settast</w:t>
      </w:r>
      <w:proofErr w:type="spellEnd"/>
      <w:r w:rsidRPr="00580C0D">
        <w:t xml:space="preserve"> i drift i 2031/2032. Det er </w:t>
      </w:r>
      <w:proofErr w:type="spellStart"/>
      <w:r w:rsidRPr="00580C0D">
        <w:t>vidare</w:t>
      </w:r>
      <w:proofErr w:type="spellEnd"/>
      <w:r w:rsidRPr="00580C0D">
        <w:t xml:space="preserve"> direktoratet </w:t>
      </w:r>
      <w:proofErr w:type="spellStart"/>
      <w:r w:rsidRPr="00580C0D">
        <w:t>si</w:t>
      </w:r>
      <w:proofErr w:type="spellEnd"/>
      <w:r w:rsidRPr="00580C0D">
        <w:t xml:space="preserve"> vurdering at risikoen for </w:t>
      </w:r>
      <w:proofErr w:type="spellStart"/>
      <w:r w:rsidRPr="00580C0D">
        <w:t>auka</w:t>
      </w:r>
      <w:proofErr w:type="spellEnd"/>
      <w:r w:rsidRPr="00580C0D">
        <w:t xml:space="preserve"> gjennomføringstid på </w:t>
      </w:r>
      <w:proofErr w:type="spellStart"/>
      <w:r w:rsidRPr="00580C0D">
        <w:t>eit</w:t>
      </w:r>
      <w:proofErr w:type="spellEnd"/>
      <w:r w:rsidRPr="00580C0D">
        <w:t xml:space="preserve"> slikt prosjekt er større enn </w:t>
      </w:r>
      <w:proofErr w:type="spellStart"/>
      <w:r w:rsidRPr="00580C0D">
        <w:t>moglegheita</w:t>
      </w:r>
      <w:proofErr w:type="spellEnd"/>
      <w:r w:rsidRPr="00580C0D">
        <w:t xml:space="preserve"> for å korte ned gjennomføringstida. Gjennomføring av CO</w:t>
      </w:r>
      <w:r w:rsidRPr="00580C0D">
        <w:rPr>
          <w:rStyle w:val="skrift-senket"/>
        </w:rPr>
        <w:t>2</w:t>
      </w:r>
      <w:r w:rsidRPr="00580C0D">
        <w:t xml:space="preserve">-handtering vil slik Sokkeldirektoratet vurderer det, også gi redusert gassproduksjon i framtida, </w:t>
      </w:r>
      <w:proofErr w:type="spellStart"/>
      <w:r w:rsidRPr="00580C0D">
        <w:t>tilsvarande</w:t>
      </w:r>
      <w:proofErr w:type="spellEnd"/>
      <w:r w:rsidRPr="00580C0D">
        <w:t xml:space="preserve"> </w:t>
      </w:r>
      <w:proofErr w:type="spellStart"/>
      <w:r w:rsidRPr="00580C0D">
        <w:t>eitt</w:t>
      </w:r>
      <w:proofErr w:type="spellEnd"/>
      <w:r w:rsidRPr="00580C0D">
        <w:t xml:space="preserve"> års produksjon </w:t>
      </w:r>
      <w:proofErr w:type="spellStart"/>
      <w:r w:rsidRPr="00580C0D">
        <w:t>frå</w:t>
      </w:r>
      <w:proofErr w:type="spellEnd"/>
      <w:r w:rsidRPr="00580C0D">
        <w:t xml:space="preserve"> Snøhvit. Departementet </w:t>
      </w:r>
      <w:proofErr w:type="spellStart"/>
      <w:r w:rsidRPr="00580C0D">
        <w:t>sluttar</w:t>
      </w:r>
      <w:proofErr w:type="spellEnd"/>
      <w:r w:rsidRPr="00580C0D">
        <w:t xml:space="preserve"> seg til </w:t>
      </w:r>
      <w:proofErr w:type="spellStart"/>
      <w:r w:rsidRPr="00580C0D">
        <w:t>dei</w:t>
      </w:r>
      <w:proofErr w:type="spellEnd"/>
      <w:r w:rsidRPr="00580C0D">
        <w:t xml:space="preserve"> </w:t>
      </w:r>
      <w:proofErr w:type="spellStart"/>
      <w:r w:rsidRPr="00580C0D">
        <w:t>tilleggsvurderingane</w:t>
      </w:r>
      <w:proofErr w:type="spellEnd"/>
      <w:r w:rsidRPr="00580C0D">
        <w:t xml:space="preserve"> direktoratet har gjennomført.</w:t>
      </w:r>
    </w:p>
    <w:p w14:paraId="4BDB76F3" w14:textId="77777777" w:rsidR="00F7113A" w:rsidRPr="00580C0D" w:rsidRDefault="00142E5B" w:rsidP="00580C0D">
      <w:r w:rsidRPr="00580C0D">
        <w:t>Olje- og energidepartementets vurdering av om fangst og lagring av CO</w:t>
      </w:r>
      <w:r w:rsidRPr="00580C0D">
        <w:rPr>
          <w:rStyle w:val="skrift-senket"/>
        </w:rPr>
        <w:t>2</w:t>
      </w:r>
      <w:r w:rsidRPr="00580C0D">
        <w:t xml:space="preserve"> kan </w:t>
      </w:r>
      <w:proofErr w:type="spellStart"/>
      <w:r w:rsidRPr="00580C0D">
        <w:t>vere</w:t>
      </w:r>
      <w:proofErr w:type="spellEnd"/>
      <w:r w:rsidRPr="00580C0D">
        <w:t xml:space="preserve"> </w:t>
      </w:r>
      <w:proofErr w:type="spellStart"/>
      <w:r w:rsidRPr="00580C0D">
        <w:t>eit</w:t>
      </w:r>
      <w:proofErr w:type="spellEnd"/>
      <w:r w:rsidRPr="00580C0D">
        <w:t xml:space="preserve"> alternativ til omlegging til full drift med kraft </w:t>
      </w:r>
      <w:proofErr w:type="spellStart"/>
      <w:r w:rsidRPr="00580C0D">
        <w:t>frå</w:t>
      </w:r>
      <w:proofErr w:type="spellEnd"/>
      <w:r w:rsidRPr="00580C0D">
        <w:t xml:space="preserve"> nettet, kjem fram av vedtaket om godkjenning av endra utbyggingsplan for Snøhvitfeltet med vedlegg som er </w:t>
      </w:r>
      <w:proofErr w:type="spellStart"/>
      <w:r w:rsidRPr="00580C0D">
        <w:t>offentleg</w:t>
      </w:r>
      <w:proofErr w:type="spellEnd"/>
      <w:r w:rsidRPr="00580C0D">
        <w:t xml:space="preserve"> </w:t>
      </w:r>
      <w:proofErr w:type="spellStart"/>
      <w:r w:rsidRPr="00580C0D">
        <w:t>tilgjengeleg</w:t>
      </w:r>
      <w:proofErr w:type="spellEnd"/>
      <w:r w:rsidRPr="00580C0D">
        <w:t>.</w:t>
      </w:r>
    </w:p>
    <w:p w14:paraId="3D6F2F4E"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6D7693CE" w14:textId="77777777" w:rsidR="00F7113A" w:rsidRPr="00580C0D" w:rsidRDefault="00142E5B" w:rsidP="00580C0D">
      <w:pPr>
        <w:pStyle w:val="avsnitt-tittel"/>
      </w:pPr>
      <w:r w:rsidRPr="00580C0D">
        <w:t xml:space="preserve">Framtidige </w:t>
      </w:r>
      <w:proofErr w:type="spellStart"/>
      <w:r w:rsidRPr="00580C0D">
        <w:t>tildelingar</w:t>
      </w:r>
      <w:proofErr w:type="spellEnd"/>
      <w:r w:rsidRPr="00580C0D">
        <w:t xml:space="preserve"> knytte til CO</w:t>
      </w:r>
      <w:r w:rsidRPr="00580C0D">
        <w:rPr>
          <w:rStyle w:val="skrift-senket"/>
        </w:rPr>
        <w:t>2</w:t>
      </w:r>
      <w:r w:rsidRPr="00580C0D">
        <w:t>-lagring</w:t>
      </w:r>
    </w:p>
    <w:p w14:paraId="7911492F" w14:textId="77777777" w:rsidR="00F7113A" w:rsidRPr="00580C0D" w:rsidRDefault="00142E5B" w:rsidP="00580C0D">
      <w:pPr>
        <w:pStyle w:val="avsnitt-undertittel"/>
      </w:pPr>
      <w:r w:rsidRPr="00580C0D">
        <w:t>Vedtak 764, 5. juni 2023</w:t>
      </w:r>
    </w:p>
    <w:p w14:paraId="273179F3" w14:textId="77777777" w:rsidR="00F7113A" w:rsidRPr="00580C0D" w:rsidRDefault="00142E5B" w:rsidP="00580C0D">
      <w:pPr>
        <w:pStyle w:val="blokksit"/>
      </w:pPr>
      <w:r w:rsidRPr="00580C0D">
        <w:t>«</w:t>
      </w:r>
      <w:r w:rsidRPr="00580C0D">
        <w:rPr>
          <w:rStyle w:val="kursiv"/>
        </w:rPr>
        <w:t>Stortinget ber regjeringen sørge for at effekt på klima og raske klimagevinster vektlegges ved fremtidige tildelinger knyttet til CO</w:t>
      </w:r>
      <w:r w:rsidRPr="00580C0D">
        <w:rPr>
          <w:rStyle w:val="skrift-senket"/>
        </w:rPr>
        <w:t>2</w:t>
      </w:r>
      <w:r w:rsidRPr="00580C0D">
        <w:rPr>
          <w:rStyle w:val="kursiv"/>
        </w:rPr>
        <w:t>-lagring, sammen med hensynet til trygg og sikker lagring.</w:t>
      </w:r>
      <w:r w:rsidRPr="00580C0D">
        <w:t>»</w:t>
      </w:r>
    </w:p>
    <w:p w14:paraId="30202C15"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97 S (2022–2023) og </w:t>
      </w:r>
      <w:proofErr w:type="spellStart"/>
      <w:r w:rsidRPr="00580C0D">
        <w:t>Innst</w:t>
      </w:r>
      <w:proofErr w:type="spellEnd"/>
      <w:r w:rsidRPr="00580C0D">
        <w:t>. 459 L (2022–2023).</w:t>
      </w:r>
    </w:p>
    <w:p w14:paraId="5D47DC12" w14:textId="77777777" w:rsidR="00F7113A" w:rsidRPr="00580C0D" w:rsidRDefault="00142E5B" w:rsidP="00580C0D">
      <w:r w:rsidRPr="00580C0D">
        <w:t>CO</w:t>
      </w:r>
      <w:r w:rsidRPr="00580C0D">
        <w:rPr>
          <w:rStyle w:val="skrift-senket"/>
        </w:rPr>
        <w:t>2</w:t>
      </w:r>
      <w:r w:rsidRPr="00580C0D">
        <w:t xml:space="preserve">-handtering </w:t>
      </w:r>
      <w:proofErr w:type="spellStart"/>
      <w:r w:rsidRPr="00580C0D">
        <w:t>omfattar</w:t>
      </w:r>
      <w:proofErr w:type="spellEnd"/>
      <w:r w:rsidRPr="00580C0D">
        <w:t xml:space="preserve"> både fangst, transport, bruk eller lagring av CO</w:t>
      </w:r>
      <w:r w:rsidRPr="00580C0D">
        <w:rPr>
          <w:rStyle w:val="skrift-senket"/>
        </w:rPr>
        <w:t>2</w:t>
      </w:r>
      <w:r w:rsidRPr="00580C0D">
        <w:t xml:space="preserve">. Regjeringa har </w:t>
      </w:r>
      <w:proofErr w:type="spellStart"/>
      <w:r w:rsidRPr="00580C0D">
        <w:t>ein</w:t>
      </w:r>
      <w:proofErr w:type="spellEnd"/>
      <w:r w:rsidRPr="00580C0D">
        <w:t xml:space="preserve"> brei politikk for å fremme CO</w:t>
      </w:r>
      <w:r w:rsidRPr="00580C0D">
        <w:rPr>
          <w:rStyle w:val="skrift-senket"/>
        </w:rPr>
        <w:t>2</w:t>
      </w:r>
      <w:r w:rsidRPr="00580C0D">
        <w:t xml:space="preserve">-handtering som </w:t>
      </w:r>
      <w:proofErr w:type="spellStart"/>
      <w:r w:rsidRPr="00580C0D">
        <w:t>eit</w:t>
      </w:r>
      <w:proofErr w:type="spellEnd"/>
      <w:r w:rsidRPr="00580C0D">
        <w:t xml:space="preserve"> kostnadseffektivt klimatiltak internasjonalt.</w:t>
      </w:r>
    </w:p>
    <w:p w14:paraId="28D29274" w14:textId="77777777" w:rsidR="00F7113A" w:rsidRPr="00580C0D" w:rsidRDefault="00142E5B" w:rsidP="00580C0D">
      <w:r w:rsidRPr="00580C0D">
        <w:t>Tildeling av areal som kan brukast til CO</w:t>
      </w:r>
      <w:r w:rsidRPr="00580C0D">
        <w:rPr>
          <w:rStyle w:val="skrift-senket"/>
        </w:rPr>
        <w:t>2</w:t>
      </w:r>
      <w:r w:rsidRPr="00580C0D">
        <w:t xml:space="preserve">-lagring, er </w:t>
      </w:r>
      <w:proofErr w:type="spellStart"/>
      <w:r w:rsidRPr="00580C0D">
        <w:t>ein</w:t>
      </w:r>
      <w:proofErr w:type="spellEnd"/>
      <w:r w:rsidRPr="00580C0D">
        <w:t xml:space="preserve"> </w:t>
      </w:r>
      <w:proofErr w:type="spellStart"/>
      <w:r w:rsidRPr="00580C0D">
        <w:t>føresetnad</w:t>
      </w:r>
      <w:proofErr w:type="spellEnd"/>
      <w:r w:rsidRPr="00580C0D">
        <w:t xml:space="preserve"> for karbonfangst og -lagring. Departementet vil legge til rette for samfunnsøkonomisk </w:t>
      </w:r>
      <w:proofErr w:type="spellStart"/>
      <w:r w:rsidRPr="00580C0D">
        <w:t>lønnsam</w:t>
      </w:r>
      <w:proofErr w:type="spellEnd"/>
      <w:r w:rsidRPr="00580C0D">
        <w:t xml:space="preserve"> lagring av CO</w:t>
      </w:r>
      <w:r w:rsidRPr="00580C0D">
        <w:rPr>
          <w:rStyle w:val="skrift-senket"/>
        </w:rPr>
        <w:t>2</w:t>
      </w:r>
      <w:r w:rsidRPr="00580C0D">
        <w:t xml:space="preserve"> på norsk kontinentalsokkel. Søknader etter lagringsforskrifta blir behandla etter </w:t>
      </w:r>
      <w:proofErr w:type="spellStart"/>
      <w:r w:rsidRPr="00580C0D">
        <w:t>ein</w:t>
      </w:r>
      <w:proofErr w:type="spellEnd"/>
      <w:r w:rsidRPr="00580C0D">
        <w:t xml:space="preserve"> «</w:t>
      </w:r>
      <w:proofErr w:type="spellStart"/>
      <w:r w:rsidRPr="00580C0D">
        <w:t>open</w:t>
      </w:r>
      <w:proofErr w:type="spellEnd"/>
      <w:r w:rsidRPr="00580C0D">
        <w:t xml:space="preserve"> dør-politikk» som gir </w:t>
      </w:r>
      <w:proofErr w:type="spellStart"/>
      <w:r w:rsidRPr="00580C0D">
        <w:t>ein</w:t>
      </w:r>
      <w:proofErr w:type="spellEnd"/>
      <w:r w:rsidRPr="00580C0D">
        <w:t xml:space="preserve"> rask tildelingsprosess. </w:t>
      </w:r>
      <w:proofErr w:type="spellStart"/>
      <w:r w:rsidRPr="00580C0D">
        <w:t>Ein</w:t>
      </w:r>
      <w:proofErr w:type="spellEnd"/>
      <w:r w:rsidRPr="00580C0D">
        <w:t xml:space="preserve"> kvar søker må dokumentere at tildeling av </w:t>
      </w:r>
      <w:proofErr w:type="spellStart"/>
      <w:r w:rsidRPr="00580C0D">
        <w:t>eit</w:t>
      </w:r>
      <w:proofErr w:type="spellEnd"/>
      <w:r w:rsidRPr="00580C0D">
        <w:t xml:space="preserve"> nytt løyve er ei nødvendig forutsetning for gjennomføring og/eller </w:t>
      </w:r>
      <w:proofErr w:type="spellStart"/>
      <w:r w:rsidRPr="00580C0D">
        <w:t>vidareutvikling</w:t>
      </w:r>
      <w:proofErr w:type="spellEnd"/>
      <w:r w:rsidRPr="00580C0D">
        <w:t xml:space="preserve"> av konkrete, samfunnsøkonomisk lønnsame prosjekt for fangst, transport og lagring av CO</w:t>
      </w:r>
      <w:r w:rsidRPr="00580C0D">
        <w:rPr>
          <w:rStyle w:val="skrift-senket"/>
        </w:rPr>
        <w:t>2</w:t>
      </w:r>
      <w:r w:rsidRPr="00580C0D">
        <w:t xml:space="preserve">. I tillegg må det </w:t>
      </w:r>
      <w:proofErr w:type="spellStart"/>
      <w:r w:rsidRPr="00580C0D">
        <w:t>dokumenterast</w:t>
      </w:r>
      <w:proofErr w:type="spellEnd"/>
      <w:r w:rsidRPr="00580C0D">
        <w:t xml:space="preserve"> ei </w:t>
      </w:r>
      <w:proofErr w:type="spellStart"/>
      <w:r w:rsidRPr="00580C0D">
        <w:t>tilstrekkeleg</w:t>
      </w:r>
      <w:proofErr w:type="spellEnd"/>
      <w:r w:rsidRPr="00580C0D">
        <w:t xml:space="preserve"> geologisk forståing for området, slik at det blir </w:t>
      </w:r>
      <w:proofErr w:type="spellStart"/>
      <w:r w:rsidRPr="00580C0D">
        <w:t>sannsynleggjort</w:t>
      </w:r>
      <w:proofErr w:type="spellEnd"/>
      <w:r w:rsidRPr="00580C0D">
        <w:t xml:space="preserve"> at området kan </w:t>
      </w:r>
      <w:proofErr w:type="spellStart"/>
      <w:r w:rsidRPr="00580C0D">
        <w:t>modnast</w:t>
      </w:r>
      <w:proofErr w:type="spellEnd"/>
      <w:r w:rsidRPr="00580C0D">
        <w:t xml:space="preserve"> fram til å bli </w:t>
      </w:r>
      <w:proofErr w:type="spellStart"/>
      <w:r w:rsidRPr="00580C0D">
        <w:t>ein</w:t>
      </w:r>
      <w:proofErr w:type="spellEnd"/>
      <w:r w:rsidRPr="00580C0D">
        <w:t xml:space="preserve"> sikker lagringslokalitet, og at </w:t>
      </w:r>
      <w:proofErr w:type="spellStart"/>
      <w:r w:rsidRPr="00580C0D">
        <w:t>aktørane</w:t>
      </w:r>
      <w:proofErr w:type="spellEnd"/>
      <w:r w:rsidRPr="00580C0D">
        <w:t xml:space="preserve"> har kompetanse og finansielle </w:t>
      </w:r>
      <w:proofErr w:type="spellStart"/>
      <w:r w:rsidRPr="00580C0D">
        <w:t>ressursar</w:t>
      </w:r>
      <w:proofErr w:type="spellEnd"/>
      <w:r w:rsidRPr="00580C0D">
        <w:t xml:space="preserve"> til å drive fram denne </w:t>
      </w:r>
      <w:proofErr w:type="spellStart"/>
      <w:r w:rsidRPr="00580C0D">
        <w:t>verksemda</w:t>
      </w:r>
      <w:proofErr w:type="spellEnd"/>
      <w:r w:rsidRPr="00580C0D">
        <w:t xml:space="preserve">. Departementet </w:t>
      </w:r>
      <w:proofErr w:type="spellStart"/>
      <w:r w:rsidRPr="00580C0D">
        <w:t>utformar</w:t>
      </w:r>
      <w:proofErr w:type="spellEnd"/>
      <w:r w:rsidRPr="00580C0D">
        <w:t xml:space="preserve"> arbeidsprogram for tildelte løyve som </w:t>
      </w:r>
      <w:proofErr w:type="spellStart"/>
      <w:r w:rsidRPr="00580C0D">
        <w:t>sikrar</w:t>
      </w:r>
      <w:proofErr w:type="spellEnd"/>
      <w:r w:rsidRPr="00580C0D">
        <w:t xml:space="preserve"> rask og effektiv framdrift i tildelte areal. Samtidig er det </w:t>
      </w:r>
      <w:proofErr w:type="spellStart"/>
      <w:r w:rsidRPr="00580C0D">
        <w:t>avgjerande</w:t>
      </w:r>
      <w:proofErr w:type="spellEnd"/>
      <w:r w:rsidRPr="00580C0D">
        <w:t xml:space="preserve"> at det arbeidet </w:t>
      </w:r>
      <w:proofErr w:type="spellStart"/>
      <w:r w:rsidRPr="00580C0D">
        <w:t>rettshavarane</w:t>
      </w:r>
      <w:proofErr w:type="spellEnd"/>
      <w:r w:rsidRPr="00580C0D">
        <w:t xml:space="preserve"> </w:t>
      </w:r>
      <w:proofErr w:type="spellStart"/>
      <w:r w:rsidRPr="00580C0D">
        <w:t>gjer</w:t>
      </w:r>
      <w:proofErr w:type="spellEnd"/>
      <w:r w:rsidRPr="00580C0D">
        <w:t xml:space="preserve">, er </w:t>
      </w:r>
      <w:proofErr w:type="spellStart"/>
      <w:r w:rsidRPr="00580C0D">
        <w:t>tilstrekkeleg</w:t>
      </w:r>
      <w:proofErr w:type="spellEnd"/>
      <w:r w:rsidRPr="00580C0D">
        <w:t xml:space="preserve"> til å </w:t>
      </w:r>
      <w:proofErr w:type="spellStart"/>
      <w:r w:rsidRPr="00580C0D">
        <w:t>godtgjere</w:t>
      </w:r>
      <w:proofErr w:type="spellEnd"/>
      <w:r w:rsidRPr="00580C0D">
        <w:t xml:space="preserve"> at lagringa kan skje trygt og sikkert i det aktuelle området.</w:t>
      </w:r>
    </w:p>
    <w:p w14:paraId="314945E8"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630B9FFC" w14:textId="77777777" w:rsidR="00F7113A" w:rsidRPr="00580C0D" w:rsidRDefault="00142E5B" w:rsidP="00580C0D">
      <w:pPr>
        <w:pStyle w:val="avsnitt-tittel"/>
      </w:pPr>
      <w:r w:rsidRPr="00580C0D">
        <w:t xml:space="preserve">Forslag til </w:t>
      </w:r>
      <w:proofErr w:type="spellStart"/>
      <w:r w:rsidRPr="00580C0D">
        <w:t>endringar</w:t>
      </w:r>
      <w:proofErr w:type="spellEnd"/>
      <w:r w:rsidRPr="00580C0D">
        <w:t xml:space="preserve"> som </w:t>
      </w:r>
      <w:proofErr w:type="spellStart"/>
      <w:r w:rsidRPr="00580C0D">
        <w:t>tillèt</w:t>
      </w:r>
      <w:proofErr w:type="spellEnd"/>
      <w:r w:rsidRPr="00580C0D">
        <w:t xml:space="preserve"> </w:t>
      </w:r>
      <w:proofErr w:type="spellStart"/>
      <w:r w:rsidRPr="00580C0D">
        <w:t>områdeløysingar</w:t>
      </w:r>
      <w:proofErr w:type="spellEnd"/>
      <w:r w:rsidRPr="00580C0D">
        <w:t xml:space="preserve"> og deling av lokalprodusert </w:t>
      </w:r>
      <w:proofErr w:type="spellStart"/>
      <w:r w:rsidRPr="00580C0D">
        <w:t>straum</w:t>
      </w:r>
      <w:proofErr w:type="spellEnd"/>
      <w:r w:rsidRPr="00580C0D">
        <w:t xml:space="preserve"> og energilagring mellom bygg med ulike gards- og bruksnummer</w:t>
      </w:r>
    </w:p>
    <w:p w14:paraId="5005640F" w14:textId="77777777" w:rsidR="00F7113A" w:rsidRPr="00580C0D" w:rsidRDefault="00142E5B" w:rsidP="00580C0D">
      <w:pPr>
        <w:pStyle w:val="avsnitt-undertittel"/>
      </w:pPr>
      <w:r w:rsidRPr="00580C0D">
        <w:t>Vedtak 765, 5. juni 2023</w:t>
      </w:r>
    </w:p>
    <w:p w14:paraId="79DC614C" w14:textId="77777777" w:rsidR="00F7113A" w:rsidRPr="00580C0D" w:rsidRDefault="00142E5B" w:rsidP="00580C0D">
      <w:pPr>
        <w:pStyle w:val="blokksit"/>
      </w:pPr>
      <w:r w:rsidRPr="00580C0D">
        <w:t>«</w:t>
      </w:r>
      <w:r w:rsidRPr="00580C0D">
        <w:rPr>
          <w:rStyle w:val="kursiv"/>
        </w:rPr>
        <w:t>Stortinget ber regjeringen legge frem forslag til endringer som tillater områdeløsninger og deling av lokalprodusert strøm og energilagring mellom bygg med ulike gårds- og bruksnummer, og komme tilbake til Stortinget på egnet måte i løpet av våren 2024.</w:t>
      </w:r>
      <w:r w:rsidRPr="00580C0D">
        <w:t>»</w:t>
      </w:r>
    </w:p>
    <w:p w14:paraId="168D9640" w14:textId="77777777" w:rsidR="00F7113A" w:rsidRPr="00580C0D" w:rsidRDefault="00142E5B" w:rsidP="00580C0D">
      <w:r w:rsidRPr="00580C0D">
        <w:t xml:space="preserve">Dokumenta som ligg til grunn for vedtaket er Dokument 8:197 S (2022–2023) og </w:t>
      </w:r>
      <w:proofErr w:type="spellStart"/>
      <w:r w:rsidRPr="00580C0D">
        <w:t>Innst</w:t>
      </w:r>
      <w:proofErr w:type="spellEnd"/>
      <w:r w:rsidRPr="00580C0D">
        <w:t>. 467 S (2022–2023).</w:t>
      </w:r>
    </w:p>
    <w:p w14:paraId="50C9CF9E" w14:textId="77777777" w:rsidR="00F7113A" w:rsidRPr="00580C0D" w:rsidRDefault="00142E5B" w:rsidP="00580C0D">
      <w:r w:rsidRPr="00580C0D">
        <w:t xml:space="preserve">Departementet har i oppfølginga av vedtaket bedt RME, med </w:t>
      </w:r>
      <w:proofErr w:type="spellStart"/>
      <w:r w:rsidRPr="00580C0D">
        <w:t>innspel</w:t>
      </w:r>
      <w:proofErr w:type="spellEnd"/>
      <w:r w:rsidRPr="00580C0D">
        <w:t xml:space="preserve"> </w:t>
      </w:r>
      <w:proofErr w:type="spellStart"/>
      <w:r w:rsidRPr="00580C0D">
        <w:t>frå</w:t>
      </w:r>
      <w:proofErr w:type="spellEnd"/>
      <w:r w:rsidRPr="00580C0D">
        <w:t xml:space="preserve"> NVE, om å vurdere ei delingsordning tilpassa næringsområde, slik at deling av eigenprodusert </w:t>
      </w:r>
      <w:proofErr w:type="spellStart"/>
      <w:r w:rsidRPr="00580C0D">
        <w:t>straum</w:t>
      </w:r>
      <w:proofErr w:type="spellEnd"/>
      <w:r w:rsidRPr="00580C0D">
        <w:t xml:space="preserve"> mellom </w:t>
      </w:r>
      <w:proofErr w:type="spellStart"/>
      <w:r w:rsidRPr="00580C0D">
        <w:t>straumkundar</w:t>
      </w:r>
      <w:proofErr w:type="spellEnd"/>
      <w:r w:rsidRPr="00580C0D">
        <w:t xml:space="preserve"> utover vedtatt ordning kan </w:t>
      </w:r>
      <w:proofErr w:type="spellStart"/>
      <w:r w:rsidRPr="00580C0D">
        <w:t>gjerast</w:t>
      </w:r>
      <w:proofErr w:type="spellEnd"/>
      <w:r w:rsidRPr="00580C0D">
        <w:t xml:space="preserve"> på </w:t>
      </w:r>
      <w:proofErr w:type="spellStart"/>
      <w:r w:rsidRPr="00580C0D">
        <w:t>ein</w:t>
      </w:r>
      <w:proofErr w:type="spellEnd"/>
      <w:r w:rsidRPr="00580C0D">
        <w:t xml:space="preserve"> samfunnsmessig rasjonell måte. Deling </w:t>
      </w:r>
      <w:proofErr w:type="spellStart"/>
      <w:r w:rsidRPr="00580C0D">
        <w:t>frå</w:t>
      </w:r>
      <w:proofErr w:type="spellEnd"/>
      <w:r w:rsidRPr="00580C0D">
        <w:t xml:space="preserve"> anlegg med </w:t>
      </w:r>
      <w:proofErr w:type="spellStart"/>
      <w:r w:rsidRPr="00580C0D">
        <w:t>meir</w:t>
      </w:r>
      <w:proofErr w:type="spellEnd"/>
      <w:r w:rsidRPr="00580C0D">
        <w:t xml:space="preserve"> enn 1 MW installert effekt skal inngå i vurderinga.</w:t>
      </w:r>
    </w:p>
    <w:p w14:paraId="692ECD58" w14:textId="77777777" w:rsidR="00F7113A" w:rsidRPr="00580C0D" w:rsidRDefault="00142E5B" w:rsidP="00580C0D">
      <w:r w:rsidRPr="00580C0D">
        <w:t>Departementet vil komme tilbake til Stortinget på eigna måte.</w:t>
      </w:r>
    </w:p>
    <w:p w14:paraId="438886DB" w14:textId="77777777" w:rsidR="00F7113A" w:rsidRPr="00580C0D" w:rsidRDefault="00142E5B" w:rsidP="00580C0D">
      <w:pPr>
        <w:pStyle w:val="avsnitt-tittel"/>
      </w:pPr>
      <w:r w:rsidRPr="00580C0D">
        <w:t xml:space="preserve">Plan med mål og </w:t>
      </w:r>
      <w:proofErr w:type="spellStart"/>
      <w:r w:rsidRPr="00580C0D">
        <w:t>verkemiddel</w:t>
      </w:r>
      <w:proofErr w:type="spellEnd"/>
      <w:r w:rsidRPr="00580C0D">
        <w:t xml:space="preserve"> for å fremme utbygging av produksjon av fornybar kraft i næringsareal, langs </w:t>
      </w:r>
      <w:proofErr w:type="spellStart"/>
      <w:r w:rsidRPr="00580C0D">
        <w:t>motorvegar</w:t>
      </w:r>
      <w:proofErr w:type="spellEnd"/>
      <w:r w:rsidRPr="00580C0D">
        <w:t xml:space="preserve"> og i andre nedbygde areal</w:t>
      </w:r>
    </w:p>
    <w:p w14:paraId="67AA49E3" w14:textId="77777777" w:rsidR="00F7113A" w:rsidRPr="00580C0D" w:rsidRDefault="00142E5B" w:rsidP="00580C0D">
      <w:pPr>
        <w:pStyle w:val="avsnitt-undertittel"/>
      </w:pPr>
      <w:r w:rsidRPr="00580C0D">
        <w:t>Vedtak 766, 5. juni 2023</w:t>
      </w:r>
    </w:p>
    <w:p w14:paraId="0AE16A80" w14:textId="77777777" w:rsidR="00F7113A" w:rsidRPr="00580C0D" w:rsidRDefault="00142E5B" w:rsidP="00580C0D">
      <w:pPr>
        <w:pStyle w:val="blokksit"/>
      </w:pPr>
      <w:r w:rsidRPr="00580C0D">
        <w:t>«</w:t>
      </w:r>
      <w:r w:rsidRPr="00580C0D">
        <w:rPr>
          <w:rStyle w:val="kursiv"/>
        </w:rPr>
        <w:t xml:space="preserve">Stortinget ber regjeringen, senest i forbindelse med statsbudsjettet for 2024, legge fram en plan med mål og virkemidler for å fremme utbygging av produksjon av fornybar kraft i næringsarealer, langs motorveier og i andre nedbygde arealer, med mål om minst 5 </w:t>
      </w:r>
      <w:proofErr w:type="spellStart"/>
      <w:r w:rsidRPr="00580C0D">
        <w:rPr>
          <w:rStyle w:val="kursiv"/>
        </w:rPr>
        <w:t>TWh</w:t>
      </w:r>
      <w:proofErr w:type="spellEnd"/>
      <w:r w:rsidRPr="00580C0D">
        <w:rPr>
          <w:rStyle w:val="kursiv"/>
        </w:rPr>
        <w:t xml:space="preserve"> produksjon innen 2030.</w:t>
      </w:r>
      <w:r w:rsidRPr="00580C0D">
        <w:t>»</w:t>
      </w:r>
    </w:p>
    <w:p w14:paraId="04BF6C99" w14:textId="77777777" w:rsidR="00F7113A" w:rsidRPr="00580C0D" w:rsidRDefault="00142E5B" w:rsidP="00580C0D">
      <w:r w:rsidRPr="00580C0D">
        <w:t xml:space="preserve">Dokumenta som ligg til grunn for vedtaket er Dokument 8:197 S (2022–2023) og </w:t>
      </w:r>
      <w:proofErr w:type="spellStart"/>
      <w:r w:rsidRPr="00580C0D">
        <w:t>Innst</w:t>
      </w:r>
      <w:proofErr w:type="spellEnd"/>
      <w:r w:rsidRPr="00580C0D">
        <w:t>. 467 S (2022–2023).</w:t>
      </w:r>
    </w:p>
    <w:p w14:paraId="3EB5D09F" w14:textId="77777777" w:rsidR="00F7113A" w:rsidRPr="00580C0D" w:rsidRDefault="00142E5B" w:rsidP="00580C0D">
      <w:r w:rsidRPr="00580C0D">
        <w:t xml:space="preserve">Departementet har i oppfølginga av vedtaket bedt NVE vurdere potensialet for utbygging av fornybar kraftproduksjon på næringsareal, langs </w:t>
      </w:r>
      <w:proofErr w:type="spellStart"/>
      <w:r w:rsidRPr="00580C0D">
        <w:t>motorvegar</w:t>
      </w:r>
      <w:proofErr w:type="spellEnd"/>
      <w:r w:rsidRPr="00580C0D">
        <w:t xml:space="preserve"> og i andre nedbygde areal mot 2030, og </w:t>
      </w:r>
      <w:proofErr w:type="spellStart"/>
      <w:r w:rsidRPr="00580C0D">
        <w:t>moglegheitene</w:t>
      </w:r>
      <w:proofErr w:type="spellEnd"/>
      <w:r w:rsidRPr="00580C0D">
        <w:t xml:space="preserve"> for å nå </w:t>
      </w:r>
      <w:proofErr w:type="spellStart"/>
      <w:r w:rsidRPr="00580C0D">
        <w:t>eit</w:t>
      </w:r>
      <w:proofErr w:type="spellEnd"/>
      <w:r w:rsidRPr="00580C0D">
        <w:t xml:space="preserve"> mål om 5 </w:t>
      </w:r>
      <w:proofErr w:type="spellStart"/>
      <w:r w:rsidRPr="00580C0D">
        <w:t>TWh</w:t>
      </w:r>
      <w:proofErr w:type="spellEnd"/>
      <w:r w:rsidRPr="00580C0D">
        <w:t xml:space="preserve"> fornybar kraft på slikt areal.</w:t>
      </w:r>
    </w:p>
    <w:p w14:paraId="60112F96" w14:textId="77777777" w:rsidR="00F7113A" w:rsidRPr="00580C0D" w:rsidRDefault="00142E5B" w:rsidP="00580C0D">
      <w:r w:rsidRPr="00580C0D">
        <w:t xml:space="preserve">Det er </w:t>
      </w:r>
      <w:proofErr w:type="spellStart"/>
      <w:r w:rsidRPr="00580C0D">
        <w:t>ikkje</w:t>
      </w:r>
      <w:proofErr w:type="spellEnd"/>
      <w:r w:rsidRPr="00580C0D">
        <w:t xml:space="preserve"> </w:t>
      </w:r>
      <w:proofErr w:type="spellStart"/>
      <w:r w:rsidRPr="00580C0D">
        <w:t>mogleg</w:t>
      </w:r>
      <w:proofErr w:type="spellEnd"/>
      <w:r w:rsidRPr="00580C0D">
        <w:t xml:space="preserve"> å legge fram </w:t>
      </w:r>
      <w:proofErr w:type="spellStart"/>
      <w:r w:rsidRPr="00580C0D">
        <w:t>ein</w:t>
      </w:r>
      <w:proofErr w:type="spellEnd"/>
      <w:r w:rsidRPr="00580C0D">
        <w:t xml:space="preserve"> slik plan </w:t>
      </w:r>
      <w:proofErr w:type="spellStart"/>
      <w:r w:rsidRPr="00580C0D">
        <w:t>saman</w:t>
      </w:r>
      <w:proofErr w:type="spellEnd"/>
      <w:r w:rsidRPr="00580C0D">
        <w:t xml:space="preserve"> med statsbudsjettet for 2024. Departementet vil komme tilbake til Stortinget på eigna måte.</w:t>
      </w:r>
    </w:p>
    <w:p w14:paraId="0E5B86CE" w14:textId="77777777" w:rsidR="00F7113A" w:rsidRPr="00580C0D" w:rsidRDefault="00142E5B" w:rsidP="00580C0D">
      <w:pPr>
        <w:pStyle w:val="avsnitt-tittel"/>
      </w:pPr>
      <w:r w:rsidRPr="00580C0D">
        <w:t>Fjerne regulatoriske hinder for energiproduksjon på næringsareal og andre nedbygde areal</w:t>
      </w:r>
    </w:p>
    <w:p w14:paraId="684F433B" w14:textId="77777777" w:rsidR="00F7113A" w:rsidRPr="00580C0D" w:rsidRDefault="00142E5B" w:rsidP="00580C0D">
      <w:pPr>
        <w:pStyle w:val="avsnitt-undertittel"/>
      </w:pPr>
      <w:r w:rsidRPr="00580C0D">
        <w:t>Vedtak 767, 5. juni 2023</w:t>
      </w:r>
    </w:p>
    <w:p w14:paraId="43D329B1" w14:textId="77777777" w:rsidR="00F7113A" w:rsidRPr="00580C0D" w:rsidRDefault="00142E5B" w:rsidP="00580C0D">
      <w:pPr>
        <w:pStyle w:val="blokksit"/>
      </w:pPr>
      <w:r w:rsidRPr="00580C0D">
        <w:t>«</w:t>
      </w:r>
      <w:r w:rsidRPr="00580C0D">
        <w:rPr>
          <w:rStyle w:val="kursiv"/>
        </w:rPr>
        <w:t>Stortinget ber regjeringen gjennomgå og fjerne regulatoriske hindre for energiproduksjon på næringsarealer og andre nedbygde arealer.</w:t>
      </w:r>
      <w:r w:rsidRPr="00580C0D">
        <w:t>»</w:t>
      </w:r>
    </w:p>
    <w:p w14:paraId="16F33D6D" w14:textId="77777777" w:rsidR="00F7113A" w:rsidRPr="00580C0D" w:rsidRDefault="00142E5B" w:rsidP="00580C0D">
      <w:r w:rsidRPr="00580C0D">
        <w:t xml:space="preserve">Dokumenta som ligg til grunn for vedtaket er Dokument 8:197 S (2022–2023) og </w:t>
      </w:r>
      <w:proofErr w:type="spellStart"/>
      <w:r w:rsidRPr="00580C0D">
        <w:t>Innst</w:t>
      </w:r>
      <w:proofErr w:type="spellEnd"/>
      <w:r w:rsidRPr="00580C0D">
        <w:t>. 467 S (2022–2023).</w:t>
      </w:r>
    </w:p>
    <w:p w14:paraId="0C883513" w14:textId="77777777" w:rsidR="00F7113A" w:rsidRPr="00580C0D" w:rsidRDefault="00142E5B" w:rsidP="00580C0D">
      <w:r w:rsidRPr="00580C0D">
        <w:t xml:space="preserve">Departementet har i oppfølginga av vedtaket bedt NVE, med </w:t>
      </w:r>
      <w:proofErr w:type="spellStart"/>
      <w:r w:rsidRPr="00580C0D">
        <w:t>innspel</w:t>
      </w:r>
      <w:proofErr w:type="spellEnd"/>
      <w:r w:rsidRPr="00580C0D">
        <w:t xml:space="preserve"> </w:t>
      </w:r>
      <w:proofErr w:type="spellStart"/>
      <w:r w:rsidRPr="00580C0D">
        <w:t>frå</w:t>
      </w:r>
      <w:proofErr w:type="spellEnd"/>
      <w:r w:rsidRPr="00580C0D">
        <w:t xml:space="preserve"> RME og eventuelt andre </w:t>
      </w:r>
      <w:proofErr w:type="spellStart"/>
      <w:r w:rsidRPr="00580C0D">
        <w:t>etatar</w:t>
      </w:r>
      <w:proofErr w:type="spellEnd"/>
      <w:r w:rsidRPr="00580C0D">
        <w:t xml:space="preserve">, kartlegge og vurdere rammevilkåra for lokal energiproduksjon og -lagring og eventuelt foreslå </w:t>
      </w:r>
      <w:proofErr w:type="spellStart"/>
      <w:r w:rsidRPr="00580C0D">
        <w:t>endringar</w:t>
      </w:r>
      <w:proofErr w:type="spellEnd"/>
      <w:r w:rsidRPr="00580C0D">
        <w:t xml:space="preserve"> i </w:t>
      </w:r>
      <w:proofErr w:type="spellStart"/>
      <w:r w:rsidRPr="00580C0D">
        <w:t>eksisterande</w:t>
      </w:r>
      <w:proofErr w:type="spellEnd"/>
      <w:r w:rsidRPr="00580C0D">
        <w:t xml:space="preserve"> </w:t>
      </w:r>
      <w:proofErr w:type="spellStart"/>
      <w:r w:rsidRPr="00580C0D">
        <w:t>reguleringar</w:t>
      </w:r>
      <w:proofErr w:type="spellEnd"/>
      <w:r w:rsidRPr="00580C0D">
        <w:t xml:space="preserve"> og </w:t>
      </w:r>
      <w:proofErr w:type="spellStart"/>
      <w:r w:rsidRPr="00580C0D">
        <w:t>verkemiddel</w:t>
      </w:r>
      <w:proofErr w:type="spellEnd"/>
      <w:r w:rsidRPr="00580C0D">
        <w:t>.</w:t>
      </w:r>
    </w:p>
    <w:p w14:paraId="6068CF66" w14:textId="77777777" w:rsidR="00F7113A" w:rsidRPr="00580C0D" w:rsidRDefault="00142E5B" w:rsidP="00580C0D">
      <w:r w:rsidRPr="00580C0D">
        <w:t xml:space="preserve">Departementet har </w:t>
      </w:r>
      <w:proofErr w:type="spellStart"/>
      <w:r w:rsidRPr="00580C0D">
        <w:t>vidare</w:t>
      </w:r>
      <w:proofErr w:type="spellEnd"/>
      <w:r w:rsidRPr="00580C0D">
        <w:t xml:space="preserve"> bedt RME, med </w:t>
      </w:r>
      <w:proofErr w:type="spellStart"/>
      <w:r w:rsidRPr="00580C0D">
        <w:t>innspel</w:t>
      </w:r>
      <w:proofErr w:type="spellEnd"/>
      <w:r w:rsidRPr="00580C0D">
        <w:t xml:space="preserve"> </w:t>
      </w:r>
      <w:proofErr w:type="spellStart"/>
      <w:r w:rsidRPr="00580C0D">
        <w:t>frå</w:t>
      </w:r>
      <w:proofErr w:type="spellEnd"/>
      <w:r w:rsidRPr="00580C0D">
        <w:t xml:space="preserve"> NVE, om å vurdere ei delingsordning tilpassa næringsområde, slik at deling av eigenprodusert </w:t>
      </w:r>
      <w:proofErr w:type="spellStart"/>
      <w:r w:rsidRPr="00580C0D">
        <w:t>straum</w:t>
      </w:r>
      <w:proofErr w:type="spellEnd"/>
      <w:r w:rsidRPr="00580C0D">
        <w:t xml:space="preserve"> mellom </w:t>
      </w:r>
      <w:proofErr w:type="spellStart"/>
      <w:r w:rsidRPr="00580C0D">
        <w:t>straumkundar</w:t>
      </w:r>
      <w:proofErr w:type="spellEnd"/>
      <w:r w:rsidRPr="00580C0D">
        <w:t xml:space="preserve"> utover vedtatt ordning kan </w:t>
      </w:r>
      <w:proofErr w:type="spellStart"/>
      <w:r w:rsidRPr="00580C0D">
        <w:t>gjerast</w:t>
      </w:r>
      <w:proofErr w:type="spellEnd"/>
      <w:r w:rsidRPr="00580C0D">
        <w:t xml:space="preserve"> på </w:t>
      </w:r>
      <w:proofErr w:type="spellStart"/>
      <w:r w:rsidRPr="00580C0D">
        <w:t>ein</w:t>
      </w:r>
      <w:proofErr w:type="spellEnd"/>
      <w:r w:rsidRPr="00580C0D">
        <w:t xml:space="preserve"> samfunnsmessig rasjonell måte. Deling </w:t>
      </w:r>
      <w:proofErr w:type="spellStart"/>
      <w:r w:rsidRPr="00580C0D">
        <w:t>frå</w:t>
      </w:r>
      <w:proofErr w:type="spellEnd"/>
      <w:r w:rsidRPr="00580C0D">
        <w:t xml:space="preserve"> anlegg med </w:t>
      </w:r>
      <w:proofErr w:type="spellStart"/>
      <w:r w:rsidRPr="00580C0D">
        <w:t>meir</w:t>
      </w:r>
      <w:proofErr w:type="spellEnd"/>
      <w:r w:rsidRPr="00580C0D">
        <w:t xml:space="preserve"> enn 1 MW installert effekt skal inngå i vurderinga.</w:t>
      </w:r>
    </w:p>
    <w:p w14:paraId="2FE9706B" w14:textId="77777777" w:rsidR="00F7113A" w:rsidRPr="00580C0D" w:rsidRDefault="00142E5B" w:rsidP="00580C0D">
      <w:r w:rsidRPr="00580C0D">
        <w:t xml:space="preserve">Departementet har samtidig bedt NVE om å vurdere ei lov-/forskriftsendring som gir </w:t>
      </w:r>
      <w:proofErr w:type="spellStart"/>
      <w:r w:rsidRPr="00580C0D">
        <w:t>konsesjonsmyndigheitene</w:t>
      </w:r>
      <w:proofErr w:type="spellEnd"/>
      <w:r w:rsidRPr="00580C0D">
        <w:t xml:space="preserve"> høve til å </w:t>
      </w:r>
      <w:proofErr w:type="spellStart"/>
      <w:r w:rsidRPr="00580C0D">
        <w:t>gjere</w:t>
      </w:r>
      <w:proofErr w:type="spellEnd"/>
      <w:r w:rsidRPr="00580C0D">
        <w:t xml:space="preserve"> unntak </w:t>
      </w:r>
      <w:proofErr w:type="spellStart"/>
      <w:r w:rsidRPr="00580C0D">
        <w:t>frå</w:t>
      </w:r>
      <w:proofErr w:type="spellEnd"/>
      <w:r w:rsidRPr="00580C0D">
        <w:t xml:space="preserve"> konsesjonsplikt for mindre energiproduksjonsanlegg på industri- og næringsareal (grå areal). NVE er samtidig bedt om å utarbeide </w:t>
      </w:r>
      <w:proofErr w:type="spellStart"/>
      <w:r w:rsidRPr="00580C0D">
        <w:t>eit</w:t>
      </w:r>
      <w:proofErr w:type="spellEnd"/>
      <w:r w:rsidRPr="00580C0D">
        <w:t xml:space="preserve"> utkast til </w:t>
      </w:r>
      <w:proofErr w:type="spellStart"/>
      <w:r w:rsidRPr="00580C0D">
        <w:t>dei</w:t>
      </w:r>
      <w:proofErr w:type="spellEnd"/>
      <w:r w:rsidRPr="00580C0D">
        <w:t xml:space="preserve"> lov-/</w:t>
      </w:r>
      <w:proofErr w:type="spellStart"/>
      <w:r w:rsidRPr="00580C0D">
        <w:t>forskriftsendringane</w:t>
      </w:r>
      <w:proofErr w:type="spellEnd"/>
      <w:r w:rsidRPr="00580C0D">
        <w:t xml:space="preserve"> </w:t>
      </w:r>
      <w:proofErr w:type="spellStart"/>
      <w:r w:rsidRPr="00580C0D">
        <w:t>dette vil</w:t>
      </w:r>
      <w:proofErr w:type="spellEnd"/>
      <w:r w:rsidRPr="00580C0D">
        <w:t xml:space="preserve"> </w:t>
      </w:r>
      <w:proofErr w:type="spellStart"/>
      <w:r w:rsidRPr="00580C0D">
        <w:t>krevje</w:t>
      </w:r>
      <w:proofErr w:type="spellEnd"/>
      <w:r w:rsidRPr="00580C0D">
        <w:t>.</w:t>
      </w:r>
    </w:p>
    <w:p w14:paraId="298A9615" w14:textId="77777777" w:rsidR="00F7113A" w:rsidRPr="00580C0D" w:rsidRDefault="00142E5B" w:rsidP="00580C0D">
      <w:r w:rsidRPr="00580C0D">
        <w:t xml:space="preserve">Departementet vil fremme eventuelle forslag til </w:t>
      </w:r>
      <w:proofErr w:type="spellStart"/>
      <w:r w:rsidRPr="00580C0D">
        <w:t>lovendringar</w:t>
      </w:r>
      <w:proofErr w:type="spellEnd"/>
      <w:r w:rsidRPr="00580C0D">
        <w:t xml:space="preserve"> for Stortinget.</w:t>
      </w:r>
    </w:p>
    <w:p w14:paraId="44AC7BF8" w14:textId="77777777" w:rsidR="00F7113A" w:rsidRPr="00580C0D" w:rsidRDefault="00142E5B" w:rsidP="00580C0D">
      <w:pPr>
        <w:pStyle w:val="avsnitt-tittel"/>
      </w:pPr>
      <w:r w:rsidRPr="00580C0D">
        <w:t xml:space="preserve">Heve grensa for kor </w:t>
      </w:r>
      <w:proofErr w:type="spellStart"/>
      <w:r w:rsidRPr="00580C0D">
        <w:t>mykje</w:t>
      </w:r>
      <w:proofErr w:type="spellEnd"/>
      <w:r w:rsidRPr="00580C0D">
        <w:t xml:space="preserve"> eigenprodusert, fornybar energi som kan </w:t>
      </w:r>
      <w:proofErr w:type="spellStart"/>
      <w:r w:rsidRPr="00580C0D">
        <w:t>delast</w:t>
      </w:r>
      <w:proofErr w:type="spellEnd"/>
      <w:r w:rsidRPr="00580C0D">
        <w:t xml:space="preserve"> </w:t>
      </w:r>
      <w:proofErr w:type="spellStart"/>
      <w:r w:rsidRPr="00580C0D">
        <w:t>frå</w:t>
      </w:r>
      <w:proofErr w:type="spellEnd"/>
      <w:r w:rsidRPr="00580C0D">
        <w:t xml:space="preserve"> næringsbygg</w:t>
      </w:r>
    </w:p>
    <w:p w14:paraId="281CB8DB" w14:textId="77777777" w:rsidR="00F7113A" w:rsidRPr="00580C0D" w:rsidRDefault="00142E5B" w:rsidP="00580C0D">
      <w:pPr>
        <w:pStyle w:val="avsnitt-undertittel"/>
      </w:pPr>
      <w:r w:rsidRPr="00580C0D">
        <w:t>Vedtak 768, 5. juni 2023</w:t>
      </w:r>
    </w:p>
    <w:p w14:paraId="70EC6247" w14:textId="77777777" w:rsidR="00F7113A" w:rsidRPr="00580C0D" w:rsidRDefault="00142E5B" w:rsidP="00580C0D">
      <w:pPr>
        <w:pStyle w:val="blokksit"/>
      </w:pPr>
      <w:r w:rsidRPr="00580C0D">
        <w:t>«</w:t>
      </w:r>
      <w:r w:rsidRPr="00580C0D">
        <w:rPr>
          <w:rStyle w:val="kursiv"/>
        </w:rPr>
        <w:t>Stortinget ber regjeringen heve grensen for hvor mye egenprodusert, fornybar energi som kan deles fra næringsbygg, på en måte som ikke er til hinder for rasjonell utvikling av nettet.</w:t>
      </w:r>
      <w:r w:rsidRPr="00580C0D">
        <w:t>»</w:t>
      </w:r>
    </w:p>
    <w:p w14:paraId="37832AE4" w14:textId="77777777" w:rsidR="00F7113A" w:rsidRPr="00580C0D" w:rsidRDefault="00142E5B" w:rsidP="00580C0D">
      <w:r w:rsidRPr="00580C0D">
        <w:t xml:space="preserve">Dokumenta som ligg til grunn for vedtaket er Dokument 8:197 S (2022–2023) og </w:t>
      </w:r>
      <w:proofErr w:type="spellStart"/>
      <w:r w:rsidRPr="00580C0D">
        <w:t>Innst</w:t>
      </w:r>
      <w:proofErr w:type="spellEnd"/>
      <w:r w:rsidRPr="00580C0D">
        <w:t>. 467 S (2022–2023).</w:t>
      </w:r>
    </w:p>
    <w:p w14:paraId="3E113249" w14:textId="77777777" w:rsidR="00F7113A" w:rsidRPr="00580C0D" w:rsidRDefault="00142E5B" w:rsidP="00580C0D">
      <w:r w:rsidRPr="00580C0D">
        <w:t xml:space="preserve">Departementet har i oppfølginga av vedtaket bedt RME, med </w:t>
      </w:r>
      <w:proofErr w:type="spellStart"/>
      <w:r w:rsidRPr="00580C0D">
        <w:t>innspel</w:t>
      </w:r>
      <w:proofErr w:type="spellEnd"/>
      <w:r w:rsidRPr="00580C0D">
        <w:t xml:space="preserve"> </w:t>
      </w:r>
      <w:proofErr w:type="spellStart"/>
      <w:r w:rsidRPr="00580C0D">
        <w:t>frå</w:t>
      </w:r>
      <w:proofErr w:type="spellEnd"/>
      <w:r w:rsidRPr="00580C0D">
        <w:t xml:space="preserve"> NVE, om å vurdere ei delingsordning tilpassa næringsområde, slik at deling av eigenprodusert </w:t>
      </w:r>
      <w:proofErr w:type="spellStart"/>
      <w:r w:rsidRPr="00580C0D">
        <w:t>straum</w:t>
      </w:r>
      <w:proofErr w:type="spellEnd"/>
      <w:r w:rsidRPr="00580C0D">
        <w:t xml:space="preserve"> mellom </w:t>
      </w:r>
      <w:proofErr w:type="spellStart"/>
      <w:r w:rsidRPr="00580C0D">
        <w:t>straumkundar</w:t>
      </w:r>
      <w:proofErr w:type="spellEnd"/>
      <w:r w:rsidRPr="00580C0D">
        <w:t xml:space="preserve"> utover vedtatt ordning kan </w:t>
      </w:r>
      <w:proofErr w:type="spellStart"/>
      <w:r w:rsidRPr="00580C0D">
        <w:t>gjerast</w:t>
      </w:r>
      <w:proofErr w:type="spellEnd"/>
      <w:r w:rsidRPr="00580C0D">
        <w:t xml:space="preserve"> på </w:t>
      </w:r>
      <w:proofErr w:type="spellStart"/>
      <w:r w:rsidRPr="00580C0D">
        <w:t>ein</w:t>
      </w:r>
      <w:proofErr w:type="spellEnd"/>
      <w:r w:rsidRPr="00580C0D">
        <w:t xml:space="preserve"> samfunnsmessig rasjonell måte. Deling </w:t>
      </w:r>
      <w:proofErr w:type="spellStart"/>
      <w:r w:rsidRPr="00580C0D">
        <w:t>frå</w:t>
      </w:r>
      <w:proofErr w:type="spellEnd"/>
      <w:r w:rsidRPr="00580C0D">
        <w:t xml:space="preserve"> anlegg med </w:t>
      </w:r>
      <w:proofErr w:type="spellStart"/>
      <w:r w:rsidRPr="00580C0D">
        <w:t>meir</w:t>
      </w:r>
      <w:proofErr w:type="spellEnd"/>
      <w:r w:rsidRPr="00580C0D">
        <w:t xml:space="preserve"> enn 1 MW installert effekt skal inngå i vurderinga.</w:t>
      </w:r>
    </w:p>
    <w:p w14:paraId="34C302F8" w14:textId="77777777" w:rsidR="00F7113A" w:rsidRPr="00580C0D" w:rsidRDefault="00142E5B" w:rsidP="00580C0D">
      <w:r w:rsidRPr="00580C0D">
        <w:t>Departementet vil komme tilbake til Stortinget på eigna måte.</w:t>
      </w:r>
    </w:p>
    <w:p w14:paraId="3855C5E0" w14:textId="77777777" w:rsidR="00F7113A" w:rsidRPr="00580C0D" w:rsidRDefault="00142E5B" w:rsidP="00580C0D">
      <w:pPr>
        <w:pStyle w:val="avsnitt-tittel"/>
      </w:pPr>
      <w:r w:rsidRPr="00580C0D">
        <w:t>Straumstønadsordninga – avgrensing for kjøp av </w:t>
      </w:r>
      <w:proofErr w:type="spellStart"/>
      <w:r w:rsidRPr="00580C0D">
        <w:t>rimeleg</w:t>
      </w:r>
      <w:proofErr w:type="spellEnd"/>
      <w:r w:rsidRPr="00580C0D">
        <w:t xml:space="preserve"> konsesjonskraft</w:t>
      </w:r>
    </w:p>
    <w:p w14:paraId="4D94FDC9" w14:textId="77777777" w:rsidR="00F7113A" w:rsidRPr="00580C0D" w:rsidRDefault="00142E5B" w:rsidP="00580C0D">
      <w:pPr>
        <w:pStyle w:val="avsnitt-undertittel"/>
      </w:pPr>
      <w:r w:rsidRPr="00580C0D">
        <w:t>Vedtak 812, 9. juni 2023</w:t>
      </w:r>
    </w:p>
    <w:p w14:paraId="67D8F8EF" w14:textId="77777777" w:rsidR="00F7113A" w:rsidRPr="00580C0D" w:rsidRDefault="00142E5B" w:rsidP="00580C0D">
      <w:pPr>
        <w:pStyle w:val="blokksit"/>
      </w:pPr>
      <w:r w:rsidRPr="00580C0D">
        <w:t>«</w:t>
      </w:r>
      <w:r w:rsidRPr="00580C0D">
        <w:rPr>
          <w:rStyle w:val="kursiv"/>
        </w:rPr>
        <w:t>Stortinget ber regjeringen vurdere hvordan strømstøtteordningen kan avgrenses slik at husholdninger som kjøper rimelig konsesjonskraft fra kommunen, ikke mottar støtte.</w:t>
      </w:r>
      <w:r w:rsidRPr="00580C0D">
        <w:t>»</w:t>
      </w:r>
    </w:p>
    <w:p w14:paraId="09D2DEC4"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116 L (2022–2023), </w:t>
      </w:r>
      <w:proofErr w:type="spellStart"/>
      <w:r w:rsidRPr="00580C0D">
        <w:t>Innst</w:t>
      </w:r>
      <w:proofErr w:type="spellEnd"/>
      <w:r w:rsidRPr="00580C0D">
        <w:t>. 486 L (2022–2023) og Lovvedtak 119 (2022–2023).</w:t>
      </w:r>
    </w:p>
    <w:p w14:paraId="79B8B4EE" w14:textId="77777777" w:rsidR="00F7113A" w:rsidRPr="00580C0D" w:rsidRDefault="00142E5B" w:rsidP="00580C0D">
      <w:r w:rsidRPr="00580C0D">
        <w:t xml:space="preserve">Departementet viser til omtale i </w:t>
      </w:r>
      <w:proofErr w:type="spellStart"/>
      <w:r w:rsidRPr="00580C0D">
        <w:t>Prop</w:t>
      </w:r>
      <w:proofErr w:type="spellEnd"/>
      <w:r w:rsidRPr="00580C0D">
        <w:t xml:space="preserve">. 1 S (2022–2023), kapittel 9.7 Evaluering av strømstønadsordninger, side 178 i Del III, om </w:t>
      </w:r>
      <w:proofErr w:type="spellStart"/>
      <w:r w:rsidRPr="00580C0D">
        <w:t>moglegheita</w:t>
      </w:r>
      <w:proofErr w:type="spellEnd"/>
      <w:r w:rsidRPr="00580C0D">
        <w:t xml:space="preserve"> for at straumstønadsordninga for </w:t>
      </w:r>
      <w:proofErr w:type="spellStart"/>
      <w:r w:rsidRPr="00580C0D">
        <w:t>hushaldningar</w:t>
      </w:r>
      <w:proofErr w:type="spellEnd"/>
      <w:r w:rsidRPr="00580C0D">
        <w:t xml:space="preserve"> kan ta omsyn til straumavtalen til </w:t>
      </w:r>
      <w:proofErr w:type="spellStart"/>
      <w:r w:rsidRPr="00580C0D">
        <w:t>kundane</w:t>
      </w:r>
      <w:proofErr w:type="spellEnd"/>
      <w:r w:rsidRPr="00580C0D">
        <w:t xml:space="preserve">. Departementet tilrådde at det på </w:t>
      </w:r>
      <w:proofErr w:type="spellStart"/>
      <w:r w:rsidRPr="00580C0D">
        <w:t>daverande</w:t>
      </w:r>
      <w:proofErr w:type="spellEnd"/>
      <w:r w:rsidRPr="00580C0D">
        <w:t xml:space="preserve"> tidspunkt </w:t>
      </w:r>
      <w:proofErr w:type="spellStart"/>
      <w:r w:rsidRPr="00580C0D">
        <w:t>ikkje</w:t>
      </w:r>
      <w:proofErr w:type="spellEnd"/>
      <w:r w:rsidRPr="00580C0D">
        <w:t xml:space="preserve"> blei gjort </w:t>
      </w:r>
      <w:proofErr w:type="spellStart"/>
      <w:r w:rsidRPr="00580C0D">
        <w:t>endringar</w:t>
      </w:r>
      <w:proofErr w:type="spellEnd"/>
      <w:r w:rsidRPr="00580C0D">
        <w:t xml:space="preserve"> i straumstønadsordninga for å ta omsyn til at </w:t>
      </w:r>
      <w:proofErr w:type="spellStart"/>
      <w:r w:rsidRPr="00580C0D">
        <w:t>eit</w:t>
      </w:r>
      <w:proofErr w:type="spellEnd"/>
      <w:r w:rsidRPr="00580C0D">
        <w:t xml:space="preserve"> </w:t>
      </w:r>
      <w:proofErr w:type="spellStart"/>
      <w:r w:rsidRPr="00580C0D">
        <w:t>fåtal</w:t>
      </w:r>
      <w:proofErr w:type="spellEnd"/>
      <w:r w:rsidRPr="00580C0D">
        <w:t xml:space="preserve"> </w:t>
      </w:r>
      <w:proofErr w:type="spellStart"/>
      <w:r w:rsidRPr="00580C0D">
        <w:t>kundar</w:t>
      </w:r>
      <w:proofErr w:type="spellEnd"/>
      <w:r w:rsidRPr="00580C0D">
        <w:t xml:space="preserve"> hadde gunstige </w:t>
      </w:r>
      <w:proofErr w:type="spellStart"/>
      <w:r w:rsidRPr="00580C0D">
        <w:t>fastprisavtalar</w:t>
      </w:r>
      <w:proofErr w:type="spellEnd"/>
      <w:r w:rsidRPr="00580C0D">
        <w:t xml:space="preserve">. Vedtaket gjeld </w:t>
      </w:r>
      <w:proofErr w:type="spellStart"/>
      <w:r w:rsidRPr="00580C0D">
        <w:t>hushaldningar</w:t>
      </w:r>
      <w:proofErr w:type="spellEnd"/>
      <w:r w:rsidRPr="00580C0D">
        <w:t xml:space="preserve"> som kjøper </w:t>
      </w:r>
      <w:proofErr w:type="spellStart"/>
      <w:r w:rsidRPr="00580C0D">
        <w:t>rimeleg</w:t>
      </w:r>
      <w:proofErr w:type="spellEnd"/>
      <w:r w:rsidRPr="00580C0D">
        <w:t xml:space="preserve"> konsesjonskraft </w:t>
      </w:r>
      <w:proofErr w:type="spellStart"/>
      <w:r w:rsidRPr="00580C0D">
        <w:t>frå</w:t>
      </w:r>
      <w:proofErr w:type="spellEnd"/>
      <w:r w:rsidRPr="00580C0D">
        <w:t xml:space="preserve"> kommunen. Departementet vil vurdere om, og eventuelt korleis, straumstønadsordninga kan </w:t>
      </w:r>
      <w:proofErr w:type="spellStart"/>
      <w:r w:rsidRPr="00580C0D">
        <w:t>avgrensast</w:t>
      </w:r>
      <w:proofErr w:type="spellEnd"/>
      <w:r w:rsidRPr="00580C0D">
        <w:t xml:space="preserve"> mot </w:t>
      </w:r>
      <w:proofErr w:type="spellStart"/>
      <w:r w:rsidRPr="00580C0D">
        <w:t>hushaldningar</w:t>
      </w:r>
      <w:proofErr w:type="spellEnd"/>
      <w:r w:rsidRPr="00580C0D">
        <w:t xml:space="preserve"> som kjøper </w:t>
      </w:r>
      <w:proofErr w:type="spellStart"/>
      <w:r w:rsidRPr="00580C0D">
        <w:t>rimeleg</w:t>
      </w:r>
      <w:proofErr w:type="spellEnd"/>
      <w:r w:rsidRPr="00580C0D">
        <w:t xml:space="preserve"> konsesjonskraft </w:t>
      </w:r>
      <w:proofErr w:type="spellStart"/>
      <w:r w:rsidRPr="00580C0D">
        <w:t>frå</w:t>
      </w:r>
      <w:proofErr w:type="spellEnd"/>
      <w:r w:rsidRPr="00580C0D">
        <w:t xml:space="preserve"> kommunen.</w:t>
      </w:r>
    </w:p>
    <w:p w14:paraId="3E020359" w14:textId="77777777" w:rsidR="00F7113A" w:rsidRPr="00580C0D" w:rsidRDefault="00142E5B" w:rsidP="00580C0D">
      <w:r w:rsidRPr="00580C0D">
        <w:t>Departementet vil komme tilbake til Stortinget på eigna måte.</w:t>
      </w:r>
    </w:p>
    <w:p w14:paraId="6E4754F5" w14:textId="77777777" w:rsidR="00F7113A" w:rsidRPr="00580C0D" w:rsidRDefault="00142E5B" w:rsidP="00580C0D">
      <w:pPr>
        <w:pStyle w:val="avsnitt-tittel"/>
      </w:pPr>
      <w:r w:rsidRPr="00580C0D">
        <w:t>Inkludere bakkemonterte solenergianlegg i plan- og bygningslova</w:t>
      </w:r>
    </w:p>
    <w:p w14:paraId="41931CDC" w14:textId="77777777" w:rsidR="00F7113A" w:rsidRPr="00580C0D" w:rsidRDefault="00142E5B" w:rsidP="00580C0D">
      <w:pPr>
        <w:pStyle w:val="avsnitt-undertittel"/>
      </w:pPr>
      <w:r w:rsidRPr="00580C0D">
        <w:t>Vedtak 813, 9. juni 2023</w:t>
      </w:r>
    </w:p>
    <w:p w14:paraId="43C70674" w14:textId="77777777" w:rsidR="00F7113A" w:rsidRPr="00580C0D" w:rsidRDefault="00142E5B" w:rsidP="00580C0D">
      <w:pPr>
        <w:pStyle w:val="blokksit"/>
      </w:pPr>
      <w:r w:rsidRPr="00580C0D">
        <w:t>«</w:t>
      </w:r>
      <w:r w:rsidRPr="00580C0D">
        <w:rPr>
          <w:rStyle w:val="kursiv"/>
        </w:rPr>
        <w:t>Stortinget ber regjeringen fremme et forslag til hvordan bakkemonterte solenergianlegg kan inkluderes i plan- og bygningsloven, senest innen utgangen av 2023.</w:t>
      </w:r>
      <w:r w:rsidRPr="00580C0D">
        <w:t>»</w:t>
      </w:r>
    </w:p>
    <w:p w14:paraId="454F6483"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111 L (2022–2023), </w:t>
      </w:r>
      <w:proofErr w:type="spellStart"/>
      <w:r w:rsidRPr="00580C0D">
        <w:t>Innst</w:t>
      </w:r>
      <w:proofErr w:type="spellEnd"/>
      <w:r w:rsidRPr="00580C0D">
        <w:t>. 483 L (2022–2023) og Lovvedtak 120 (2022–2023).</w:t>
      </w:r>
    </w:p>
    <w:p w14:paraId="11CFBD4D" w14:textId="77777777" w:rsidR="00F7113A" w:rsidRPr="00580C0D" w:rsidRDefault="00142E5B" w:rsidP="00580C0D">
      <w:r w:rsidRPr="00580C0D">
        <w:t xml:space="preserve">Ved Stortingets behandling av </w:t>
      </w:r>
      <w:proofErr w:type="spellStart"/>
      <w:r w:rsidRPr="00580C0D">
        <w:t>Prop</w:t>
      </w:r>
      <w:proofErr w:type="spellEnd"/>
      <w:r w:rsidRPr="00580C0D">
        <w:t xml:space="preserve">. 111 L (2022–2023) blei det fastsett at vindkraft på land i større grad enn </w:t>
      </w:r>
      <w:proofErr w:type="spellStart"/>
      <w:r w:rsidRPr="00580C0D">
        <w:t>tidlegare</w:t>
      </w:r>
      <w:proofErr w:type="spellEnd"/>
      <w:r w:rsidRPr="00580C0D">
        <w:t xml:space="preserve"> skal </w:t>
      </w:r>
      <w:proofErr w:type="spellStart"/>
      <w:r w:rsidRPr="00580C0D">
        <w:t>behandlast</w:t>
      </w:r>
      <w:proofErr w:type="spellEnd"/>
      <w:r w:rsidRPr="00580C0D">
        <w:t xml:space="preserve"> etter plan- og bygningslova, mellom anna må kommunen ha vedtatt ei overordna områderegulering før konsesjon etter energilova kan bli gitt. Departementet har bedt NVE vurdere om </w:t>
      </w:r>
      <w:proofErr w:type="spellStart"/>
      <w:r w:rsidRPr="00580C0D">
        <w:t>dei</w:t>
      </w:r>
      <w:proofErr w:type="spellEnd"/>
      <w:r w:rsidRPr="00580C0D">
        <w:t xml:space="preserve"> same </w:t>
      </w:r>
      <w:proofErr w:type="spellStart"/>
      <w:r w:rsidRPr="00580C0D">
        <w:t>reglane</w:t>
      </w:r>
      <w:proofErr w:type="spellEnd"/>
      <w:r w:rsidRPr="00580C0D">
        <w:t xml:space="preserve"> er eigna for konsesjonspliktige bakkemonterte solkraftanlegg.</w:t>
      </w:r>
    </w:p>
    <w:p w14:paraId="699DDFED" w14:textId="77777777" w:rsidR="00F7113A" w:rsidRPr="00580C0D" w:rsidRDefault="00142E5B" w:rsidP="00580C0D">
      <w:r w:rsidRPr="00580C0D">
        <w:t>Departementet vil komme tilbake til Stortinget på eigna måte.</w:t>
      </w:r>
    </w:p>
    <w:p w14:paraId="68A486B3" w14:textId="77777777" w:rsidR="00F7113A" w:rsidRPr="00580C0D" w:rsidRDefault="00142E5B" w:rsidP="00580C0D">
      <w:pPr>
        <w:pStyle w:val="avsnitt-tittel"/>
      </w:pPr>
      <w:r w:rsidRPr="00580C0D">
        <w:t xml:space="preserve">Havvind – elektrifisering av </w:t>
      </w:r>
      <w:proofErr w:type="spellStart"/>
      <w:r w:rsidRPr="00580C0D">
        <w:t>oljeinstallasjonar</w:t>
      </w:r>
      <w:proofErr w:type="spellEnd"/>
    </w:p>
    <w:p w14:paraId="0AD067AF" w14:textId="77777777" w:rsidR="00F7113A" w:rsidRPr="00580C0D" w:rsidRDefault="00142E5B" w:rsidP="00580C0D">
      <w:pPr>
        <w:pStyle w:val="avsnitt-undertittel"/>
      </w:pPr>
      <w:r w:rsidRPr="00580C0D">
        <w:t>Vedtak 836, 14. juni 2023</w:t>
      </w:r>
    </w:p>
    <w:p w14:paraId="78265234" w14:textId="77777777" w:rsidR="00F7113A" w:rsidRPr="00580C0D" w:rsidRDefault="00142E5B" w:rsidP="00580C0D">
      <w:pPr>
        <w:pStyle w:val="blokksit"/>
      </w:pPr>
      <w:r w:rsidRPr="00580C0D">
        <w:t>«</w:t>
      </w:r>
      <w:r w:rsidRPr="00580C0D">
        <w:rPr>
          <w:rStyle w:val="kursiv"/>
        </w:rPr>
        <w:t>Stortinget ber regjeringen utrede forslag om hvordan elektrifisering av oljeinstallasjoner kan gjøres i forbindelse med utbygginger av havvind og erstatte kraft som er hentet fra land.</w:t>
      </w:r>
      <w:r w:rsidRPr="00580C0D">
        <w:t>»</w:t>
      </w:r>
    </w:p>
    <w:p w14:paraId="712C867B"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93 S (2022–2023) og </w:t>
      </w:r>
      <w:proofErr w:type="spellStart"/>
      <w:r w:rsidRPr="00580C0D">
        <w:t>Innst</w:t>
      </w:r>
      <w:proofErr w:type="spellEnd"/>
      <w:r w:rsidRPr="00580C0D">
        <w:t>. 496 S (2022–2023).</w:t>
      </w:r>
    </w:p>
    <w:p w14:paraId="5430049C" w14:textId="77777777" w:rsidR="00F7113A" w:rsidRPr="00580C0D" w:rsidRDefault="00142E5B" w:rsidP="00580C0D">
      <w:r w:rsidRPr="00580C0D">
        <w:t>Departementet viser til oppmodingsvedtak 914, 16. juni 2023. Departementet vil komme tilbake til Stortinget på eigna måte.</w:t>
      </w:r>
    </w:p>
    <w:p w14:paraId="512DAC1D" w14:textId="77777777" w:rsidR="00F7113A" w:rsidRPr="00580C0D" w:rsidRDefault="00142E5B" w:rsidP="00580C0D">
      <w:pPr>
        <w:pStyle w:val="avsnitt-tittel"/>
      </w:pPr>
      <w:r w:rsidRPr="00580C0D">
        <w:t>Havvind – kartlegging av havmiljø og sjøfugl</w:t>
      </w:r>
    </w:p>
    <w:p w14:paraId="6030AD66" w14:textId="77777777" w:rsidR="00F7113A" w:rsidRPr="00580C0D" w:rsidRDefault="00142E5B" w:rsidP="00580C0D">
      <w:pPr>
        <w:pStyle w:val="avsnitt-undertittel"/>
      </w:pPr>
      <w:r w:rsidRPr="00580C0D">
        <w:t>Vedtak 838, 14. juni 2023</w:t>
      </w:r>
    </w:p>
    <w:p w14:paraId="46790C3A" w14:textId="77777777" w:rsidR="00F7113A" w:rsidRPr="00580C0D" w:rsidRDefault="00142E5B" w:rsidP="00580C0D">
      <w:pPr>
        <w:pStyle w:val="blokksit"/>
      </w:pPr>
      <w:r w:rsidRPr="00580C0D">
        <w:t>«</w:t>
      </w:r>
      <w:r w:rsidRPr="00580C0D">
        <w:rPr>
          <w:rStyle w:val="kursiv"/>
        </w:rPr>
        <w:t xml:space="preserve">Stortinget ber regjeringen sikre at kartlegging av havmiljøet og sjøfugl </w:t>
      </w:r>
      <w:proofErr w:type="gramStart"/>
      <w:r w:rsidRPr="00580C0D">
        <w:rPr>
          <w:rStyle w:val="kursiv"/>
        </w:rPr>
        <w:t>integreres</w:t>
      </w:r>
      <w:proofErr w:type="gramEnd"/>
      <w:r w:rsidRPr="00580C0D">
        <w:rPr>
          <w:rStyle w:val="kursiv"/>
        </w:rPr>
        <w:t xml:space="preserve"> i beslutningsgrunnlaget fram mot konsesjonsbehandling for anlegg for kraftproduksjon til havs.</w:t>
      </w:r>
      <w:r w:rsidRPr="00580C0D">
        <w:t>»</w:t>
      </w:r>
    </w:p>
    <w:p w14:paraId="2CD6F5AC"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93 S (2022–2023) og </w:t>
      </w:r>
      <w:proofErr w:type="spellStart"/>
      <w:r w:rsidRPr="00580C0D">
        <w:t>Innst</w:t>
      </w:r>
      <w:proofErr w:type="spellEnd"/>
      <w:r w:rsidRPr="00580C0D">
        <w:t>. 496 S (2022–2023).</w:t>
      </w:r>
    </w:p>
    <w:p w14:paraId="4D9B90D7" w14:textId="77777777" w:rsidR="00F7113A" w:rsidRPr="00580C0D" w:rsidRDefault="00142E5B" w:rsidP="00580C0D">
      <w:r w:rsidRPr="00580C0D">
        <w:t xml:space="preserve">Som grunnlag for </w:t>
      </w:r>
      <w:proofErr w:type="spellStart"/>
      <w:r w:rsidRPr="00580C0D">
        <w:t>opning</w:t>
      </w:r>
      <w:proofErr w:type="spellEnd"/>
      <w:r w:rsidRPr="00580C0D">
        <w:t xml:space="preserve"> av områda Utsira Nord og </w:t>
      </w:r>
      <w:proofErr w:type="spellStart"/>
      <w:r w:rsidRPr="00580C0D">
        <w:t>Sørlege</w:t>
      </w:r>
      <w:proofErr w:type="spellEnd"/>
      <w:r w:rsidRPr="00580C0D">
        <w:t xml:space="preserve"> </w:t>
      </w:r>
      <w:proofErr w:type="spellStart"/>
      <w:r w:rsidRPr="00580C0D">
        <w:t>Nordsjø</w:t>
      </w:r>
      <w:proofErr w:type="spellEnd"/>
      <w:r w:rsidRPr="00580C0D">
        <w:t xml:space="preserve"> II er det gjennomført ei strategisk konsekvensutgreiing, der det mellom anna er gjort </w:t>
      </w:r>
      <w:proofErr w:type="spellStart"/>
      <w:r w:rsidRPr="00580C0D">
        <w:t>utgreiingar</w:t>
      </w:r>
      <w:proofErr w:type="spellEnd"/>
      <w:r w:rsidRPr="00580C0D">
        <w:t xml:space="preserve"> for sjøfugl, sjøpattedyr og botnsamfunn. Ifølge havenergilovforskrifta skal </w:t>
      </w:r>
      <w:proofErr w:type="spellStart"/>
      <w:r w:rsidRPr="00580C0D">
        <w:t>tiltakshavaren</w:t>
      </w:r>
      <w:proofErr w:type="spellEnd"/>
      <w:r w:rsidRPr="00580C0D">
        <w:t xml:space="preserve"> gjennomføre ei prosjektspesifikk konsekvensutgreiing før innsending av konsesjonssøknad. </w:t>
      </w:r>
      <w:proofErr w:type="spellStart"/>
      <w:r w:rsidRPr="00580C0D">
        <w:t>Konsekvensar</w:t>
      </w:r>
      <w:proofErr w:type="spellEnd"/>
      <w:r w:rsidRPr="00580C0D">
        <w:t xml:space="preserve"> for sjøfugl og havmiljøet av utbygginga er </w:t>
      </w:r>
      <w:proofErr w:type="spellStart"/>
      <w:r w:rsidRPr="00580C0D">
        <w:t>noko</w:t>
      </w:r>
      <w:proofErr w:type="spellEnd"/>
      <w:r w:rsidRPr="00580C0D">
        <w:t xml:space="preserve"> av det </w:t>
      </w:r>
      <w:proofErr w:type="spellStart"/>
      <w:r w:rsidRPr="00580C0D">
        <w:t>tiltakshavaren</w:t>
      </w:r>
      <w:proofErr w:type="spellEnd"/>
      <w:r w:rsidRPr="00580C0D">
        <w:t xml:space="preserve"> må </w:t>
      </w:r>
      <w:proofErr w:type="spellStart"/>
      <w:r w:rsidRPr="00580C0D">
        <w:t>gjere</w:t>
      </w:r>
      <w:proofErr w:type="spellEnd"/>
      <w:r w:rsidRPr="00580C0D">
        <w:t xml:space="preserve"> greie for i utgreiinga.</w:t>
      </w:r>
    </w:p>
    <w:p w14:paraId="64105B46" w14:textId="77777777" w:rsidR="00F7113A" w:rsidRPr="00580C0D" w:rsidRDefault="00142E5B" w:rsidP="00580C0D">
      <w:r w:rsidRPr="00580C0D">
        <w:t xml:space="preserve">For å bidra til </w:t>
      </w:r>
      <w:proofErr w:type="spellStart"/>
      <w:r w:rsidRPr="00580C0D">
        <w:t>eit</w:t>
      </w:r>
      <w:proofErr w:type="spellEnd"/>
      <w:r w:rsidRPr="00580C0D">
        <w:t xml:space="preserve"> betre kunnskapsgrunnlag i oppstarten av </w:t>
      </w:r>
      <w:proofErr w:type="spellStart"/>
      <w:r w:rsidRPr="00580C0D">
        <w:t>dei</w:t>
      </w:r>
      <w:proofErr w:type="spellEnd"/>
      <w:r w:rsidRPr="00580C0D">
        <w:t xml:space="preserve"> første havvindprosjekta på norsk sokkel blei løyvinga til sjøfuglprogramma SEAPOP og SEATRACK </w:t>
      </w:r>
      <w:proofErr w:type="spellStart"/>
      <w:r w:rsidRPr="00580C0D">
        <w:t>auka</w:t>
      </w:r>
      <w:proofErr w:type="spellEnd"/>
      <w:r w:rsidRPr="00580C0D">
        <w:t xml:space="preserve"> i budsjettet for 2023. Løyvinga bidrar til å komme i gang med kartlegging av sjøfugl i </w:t>
      </w:r>
      <w:proofErr w:type="spellStart"/>
      <w:r w:rsidRPr="00580C0D">
        <w:t>Sørlege</w:t>
      </w:r>
      <w:proofErr w:type="spellEnd"/>
      <w:r w:rsidRPr="00580C0D">
        <w:t xml:space="preserve"> </w:t>
      </w:r>
      <w:proofErr w:type="spellStart"/>
      <w:r w:rsidRPr="00580C0D">
        <w:t>Nordsjø</w:t>
      </w:r>
      <w:proofErr w:type="spellEnd"/>
      <w:r w:rsidRPr="00580C0D">
        <w:t xml:space="preserve"> II og Utsira Nord. I tillegg har det </w:t>
      </w:r>
      <w:proofErr w:type="spellStart"/>
      <w:r w:rsidRPr="00580C0D">
        <w:t>statlege</w:t>
      </w:r>
      <w:proofErr w:type="spellEnd"/>
      <w:r w:rsidRPr="00580C0D">
        <w:t xml:space="preserve"> kartleggingsprogrammet MAREANO starta </w:t>
      </w:r>
      <w:proofErr w:type="spellStart"/>
      <w:r w:rsidRPr="00580C0D">
        <w:t>undersøkingar</w:t>
      </w:r>
      <w:proofErr w:type="spellEnd"/>
      <w:r w:rsidRPr="00580C0D">
        <w:t xml:space="preserve"> av havbotnen i Utsira Nord og planlegg å kartlegge </w:t>
      </w:r>
      <w:proofErr w:type="spellStart"/>
      <w:r w:rsidRPr="00580C0D">
        <w:t>dei</w:t>
      </w:r>
      <w:proofErr w:type="spellEnd"/>
      <w:r w:rsidRPr="00580C0D">
        <w:t xml:space="preserve"> aktuelle områda i </w:t>
      </w:r>
      <w:proofErr w:type="spellStart"/>
      <w:r w:rsidRPr="00580C0D">
        <w:t>Sørlege</w:t>
      </w:r>
      <w:proofErr w:type="spellEnd"/>
      <w:r w:rsidRPr="00580C0D">
        <w:t xml:space="preserve"> </w:t>
      </w:r>
      <w:proofErr w:type="spellStart"/>
      <w:r w:rsidRPr="00580C0D">
        <w:t>Nordsjø</w:t>
      </w:r>
      <w:proofErr w:type="spellEnd"/>
      <w:r w:rsidRPr="00580C0D">
        <w:t xml:space="preserve"> II i 2024. Som </w:t>
      </w:r>
      <w:proofErr w:type="spellStart"/>
      <w:r w:rsidRPr="00580C0D">
        <w:t>ein</w:t>
      </w:r>
      <w:proofErr w:type="spellEnd"/>
      <w:r w:rsidRPr="00580C0D">
        <w:t xml:space="preserve"> del av </w:t>
      </w:r>
      <w:proofErr w:type="spellStart"/>
      <w:r w:rsidRPr="00580C0D">
        <w:t>opningsprosessen</w:t>
      </w:r>
      <w:proofErr w:type="spellEnd"/>
      <w:r w:rsidRPr="00580C0D">
        <w:t xml:space="preserve"> og førebuing til havvindutlysinga i 2025 blir det under kap. 1850, post 21 Spesielle driftsutgifter mellom anna foreslått løyvd </w:t>
      </w:r>
      <w:proofErr w:type="spellStart"/>
      <w:r w:rsidRPr="00580C0D">
        <w:t>midlar</w:t>
      </w:r>
      <w:proofErr w:type="spellEnd"/>
      <w:r w:rsidRPr="00580C0D">
        <w:t xml:space="preserve"> til å gjennomføre </w:t>
      </w:r>
      <w:proofErr w:type="spellStart"/>
      <w:r w:rsidRPr="00580C0D">
        <w:t>feltundersøkingar</w:t>
      </w:r>
      <w:proofErr w:type="spellEnd"/>
      <w:r w:rsidRPr="00580C0D">
        <w:t xml:space="preserve"> som </w:t>
      </w:r>
      <w:proofErr w:type="spellStart"/>
      <w:r w:rsidRPr="00580C0D">
        <w:t>aukar</w:t>
      </w:r>
      <w:proofErr w:type="spellEnd"/>
      <w:r w:rsidRPr="00580C0D">
        <w:t xml:space="preserve"> kunnskapsnivået om </w:t>
      </w:r>
      <w:proofErr w:type="spellStart"/>
      <w:r w:rsidRPr="00580C0D">
        <w:t>naturmangfald</w:t>
      </w:r>
      <w:proofErr w:type="spellEnd"/>
      <w:r w:rsidRPr="00580C0D">
        <w:t xml:space="preserve"> og miljø i </w:t>
      </w:r>
      <w:proofErr w:type="spellStart"/>
      <w:r w:rsidRPr="00580C0D">
        <w:t>dei</w:t>
      </w:r>
      <w:proofErr w:type="spellEnd"/>
      <w:r w:rsidRPr="00580C0D">
        <w:t xml:space="preserve"> aktuelle områda, jf. omtale under oppfølging av oppmodingsvedtak 839, 14. juni 2023. </w:t>
      </w:r>
      <w:proofErr w:type="spellStart"/>
      <w:r w:rsidRPr="00580C0D">
        <w:t>Vidare</w:t>
      </w:r>
      <w:proofErr w:type="spellEnd"/>
      <w:r w:rsidRPr="00580C0D">
        <w:t xml:space="preserve"> er løyvinga til sjøfuglprogramma SEAPOP og SEATRACK foreslått </w:t>
      </w:r>
      <w:proofErr w:type="spellStart"/>
      <w:r w:rsidRPr="00580C0D">
        <w:t>auka</w:t>
      </w:r>
      <w:proofErr w:type="spellEnd"/>
      <w:r w:rsidRPr="00580C0D">
        <w:t xml:space="preserve"> </w:t>
      </w:r>
      <w:proofErr w:type="spellStart"/>
      <w:r w:rsidRPr="00580C0D">
        <w:t>ytterlegare</w:t>
      </w:r>
      <w:proofErr w:type="spellEnd"/>
      <w:r w:rsidRPr="00580C0D">
        <w:t xml:space="preserve"> i budsjettet for 2024, jf. kap. 1850, post 50.</w:t>
      </w:r>
    </w:p>
    <w:p w14:paraId="628A7E18"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76144D9C" w14:textId="77777777" w:rsidR="00F7113A" w:rsidRPr="00580C0D" w:rsidRDefault="00142E5B" w:rsidP="00580C0D">
      <w:pPr>
        <w:pStyle w:val="avsnitt-tittel"/>
      </w:pPr>
      <w:r w:rsidRPr="00580C0D">
        <w:t xml:space="preserve">Havvind – </w:t>
      </w:r>
      <w:proofErr w:type="spellStart"/>
      <w:r w:rsidRPr="00580C0D">
        <w:t>heilskapleg</w:t>
      </w:r>
      <w:proofErr w:type="spellEnd"/>
      <w:r w:rsidRPr="00580C0D">
        <w:t xml:space="preserve"> plan for naturkartlegging</w:t>
      </w:r>
    </w:p>
    <w:p w14:paraId="03F25349" w14:textId="77777777" w:rsidR="00F7113A" w:rsidRPr="00580C0D" w:rsidRDefault="00142E5B" w:rsidP="00580C0D">
      <w:pPr>
        <w:pStyle w:val="avsnitt-undertittel"/>
      </w:pPr>
      <w:r w:rsidRPr="00580C0D">
        <w:t>Vedtak 839, 14. juni 2023</w:t>
      </w:r>
    </w:p>
    <w:p w14:paraId="0271C382" w14:textId="77777777" w:rsidR="00F7113A" w:rsidRPr="00580C0D" w:rsidRDefault="00142E5B" w:rsidP="00580C0D">
      <w:pPr>
        <w:pStyle w:val="blokksit"/>
      </w:pPr>
      <w:r w:rsidRPr="00580C0D">
        <w:t>«</w:t>
      </w:r>
      <w:r w:rsidRPr="00580C0D">
        <w:rPr>
          <w:rStyle w:val="kursiv"/>
        </w:rPr>
        <w:t>Stortinget ber regjeringen, senest i forbindelse med statsbudsjettet for 2024, legge fram en helhetlig plan for naturkartlegging for de områdene som blir aktuelle for havvindutbygging.</w:t>
      </w:r>
      <w:r w:rsidRPr="00580C0D">
        <w:t>»</w:t>
      </w:r>
    </w:p>
    <w:p w14:paraId="6165F73D"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93 S (2022–2023) og </w:t>
      </w:r>
      <w:proofErr w:type="spellStart"/>
      <w:r w:rsidRPr="00580C0D">
        <w:t>Innst</w:t>
      </w:r>
      <w:proofErr w:type="spellEnd"/>
      <w:r w:rsidRPr="00580C0D">
        <w:t>. 496 S (2022–2023).</w:t>
      </w:r>
    </w:p>
    <w:p w14:paraId="1FCAD507" w14:textId="77777777" w:rsidR="00F7113A" w:rsidRPr="00580C0D" w:rsidRDefault="00142E5B" w:rsidP="00580C0D">
      <w:r w:rsidRPr="00580C0D">
        <w:t xml:space="preserve">Av havenergilova § 2-2 følger det at etablering av fornybar energiproduksjon til havs </w:t>
      </w:r>
      <w:proofErr w:type="spellStart"/>
      <w:r w:rsidRPr="00580C0D">
        <w:t>berre</w:t>
      </w:r>
      <w:proofErr w:type="spellEnd"/>
      <w:r w:rsidRPr="00580C0D">
        <w:t xml:space="preserve"> kan skje etter at Kongen i statsråd har </w:t>
      </w:r>
      <w:proofErr w:type="spellStart"/>
      <w:r w:rsidRPr="00580C0D">
        <w:t>opna</w:t>
      </w:r>
      <w:proofErr w:type="spellEnd"/>
      <w:r w:rsidRPr="00580C0D">
        <w:t xml:space="preserve"> bestemte geografiske område for søknader om konsesjon.</w:t>
      </w:r>
    </w:p>
    <w:p w14:paraId="435B2D4F" w14:textId="77777777" w:rsidR="00F7113A" w:rsidRPr="00580C0D" w:rsidRDefault="00142E5B" w:rsidP="00580C0D">
      <w:r w:rsidRPr="00580C0D">
        <w:t xml:space="preserve">NVE blei i 2022 bedt om å identifisere nye område for havvind og utarbeide </w:t>
      </w:r>
      <w:proofErr w:type="spellStart"/>
      <w:r w:rsidRPr="00580C0D">
        <w:t>eit</w:t>
      </w:r>
      <w:proofErr w:type="spellEnd"/>
      <w:r w:rsidRPr="00580C0D">
        <w:t xml:space="preserve"> forslag til utgreiingsprogram for strategisk konsekvensutgreiing i tråd med havenergilova § 2-2. NVE leverte våren 2023, </w:t>
      </w:r>
      <w:proofErr w:type="spellStart"/>
      <w:r w:rsidRPr="00580C0D">
        <w:t>saman</w:t>
      </w:r>
      <w:proofErr w:type="spellEnd"/>
      <w:r w:rsidRPr="00580C0D">
        <w:t xml:space="preserve"> med ei </w:t>
      </w:r>
      <w:proofErr w:type="spellStart"/>
      <w:r w:rsidRPr="00580C0D">
        <w:t>direktoratsgruppe</w:t>
      </w:r>
      <w:proofErr w:type="spellEnd"/>
      <w:r w:rsidRPr="00580C0D">
        <w:t>, forslag til 20 område som kan eigne seg for vindkraft til havs.</w:t>
      </w:r>
    </w:p>
    <w:p w14:paraId="1BE5F948" w14:textId="77777777" w:rsidR="00F7113A" w:rsidRPr="00580C0D" w:rsidRDefault="00142E5B" w:rsidP="00580C0D">
      <w:r w:rsidRPr="00580C0D">
        <w:t xml:space="preserve">NVE har </w:t>
      </w:r>
      <w:proofErr w:type="spellStart"/>
      <w:r w:rsidRPr="00580C0D">
        <w:t>saman</w:t>
      </w:r>
      <w:proofErr w:type="spellEnd"/>
      <w:r w:rsidRPr="00580C0D">
        <w:t xml:space="preserve"> med </w:t>
      </w:r>
      <w:proofErr w:type="spellStart"/>
      <w:r w:rsidRPr="00580C0D">
        <w:t>direktoratsgruppa</w:t>
      </w:r>
      <w:proofErr w:type="spellEnd"/>
      <w:r w:rsidRPr="00580C0D">
        <w:t xml:space="preserve">, og med </w:t>
      </w:r>
      <w:proofErr w:type="spellStart"/>
      <w:r w:rsidRPr="00580C0D">
        <w:t>innspel</w:t>
      </w:r>
      <w:proofErr w:type="spellEnd"/>
      <w:r w:rsidRPr="00580C0D">
        <w:t xml:space="preserve"> </w:t>
      </w:r>
      <w:proofErr w:type="spellStart"/>
      <w:r w:rsidRPr="00580C0D">
        <w:t>frå</w:t>
      </w:r>
      <w:proofErr w:type="spellEnd"/>
      <w:r w:rsidRPr="00580C0D">
        <w:t xml:space="preserve"> Havforskingsinstituttet, </w:t>
      </w:r>
      <w:proofErr w:type="spellStart"/>
      <w:r w:rsidRPr="00580C0D">
        <w:t>peika</w:t>
      </w:r>
      <w:proofErr w:type="spellEnd"/>
      <w:r w:rsidRPr="00580C0D">
        <w:t xml:space="preserve"> på </w:t>
      </w:r>
      <w:proofErr w:type="spellStart"/>
      <w:r w:rsidRPr="00580C0D">
        <w:t>kunnskapsmanglar</w:t>
      </w:r>
      <w:proofErr w:type="spellEnd"/>
      <w:r w:rsidRPr="00580C0D">
        <w:t xml:space="preserve"> for mellom anna fisk og sjøpattedyr. </w:t>
      </w:r>
      <w:proofErr w:type="spellStart"/>
      <w:r w:rsidRPr="00580C0D">
        <w:t>Kunnskapsmanglane</w:t>
      </w:r>
      <w:proofErr w:type="spellEnd"/>
      <w:r w:rsidRPr="00580C0D">
        <w:t xml:space="preserve"> er knytte til korleis fisk og sjøpattedyr bruker havområda som er aktuelle for havvind, og korleis </w:t>
      </w:r>
      <w:proofErr w:type="spellStart"/>
      <w:r w:rsidRPr="00580C0D">
        <w:t>dei</w:t>
      </w:r>
      <w:proofErr w:type="spellEnd"/>
      <w:r w:rsidRPr="00580C0D">
        <w:t xml:space="preserve"> blir </w:t>
      </w:r>
      <w:proofErr w:type="spellStart"/>
      <w:r w:rsidRPr="00580C0D">
        <w:t>påverka</w:t>
      </w:r>
      <w:proofErr w:type="spellEnd"/>
      <w:r w:rsidRPr="00580C0D">
        <w:t xml:space="preserve"> av støy, elektromagnetisme og </w:t>
      </w:r>
      <w:proofErr w:type="spellStart"/>
      <w:r w:rsidRPr="00580C0D">
        <w:t>habitatsendringar</w:t>
      </w:r>
      <w:proofErr w:type="spellEnd"/>
      <w:r w:rsidRPr="00580C0D">
        <w:t xml:space="preserve"> som følge av havvind. For å få </w:t>
      </w:r>
      <w:proofErr w:type="spellStart"/>
      <w:r w:rsidRPr="00580C0D">
        <w:t>tilstrekkeleg</w:t>
      </w:r>
      <w:proofErr w:type="spellEnd"/>
      <w:r w:rsidRPr="00580C0D">
        <w:t xml:space="preserve"> kunnskap om korleis fisk og sjøpattedyr blir </w:t>
      </w:r>
      <w:proofErr w:type="spellStart"/>
      <w:r w:rsidRPr="00580C0D">
        <w:t>påverka</w:t>
      </w:r>
      <w:proofErr w:type="spellEnd"/>
      <w:r w:rsidRPr="00580C0D">
        <w:t xml:space="preserve"> av havvind, er det behov for </w:t>
      </w:r>
      <w:proofErr w:type="spellStart"/>
      <w:r w:rsidRPr="00580C0D">
        <w:t>undersøkingar</w:t>
      </w:r>
      <w:proofErr w:type="spellEnd"/>
      <w:r w:rsidRPr="00580C0D">
        <w:t xml:space="preserve"> før vindkraftverka blir installerte og sette i drift.</w:t>
      </w:r>
    </w:p>
    <w:p w14:paraId="609900DE" w14:textId="77777777" w:rsidR="00F7113A" w:rsidRPr="00580C0D" w:rsidRDefault="00142E5B" w:rsidP="00580C0D">
      <w:r w:rsidRPr="00580C0D">
        <w:t xml:space="preserve">Som </w:t>
      </w:r>
      <w:proofErr w:type="spellStart"/>
      <w:r w:rsidRPr="00580C0D">
        <w:t>ein</w:t>
      </w:r>
      <w:proofErr w:type="spellEnd"/>
      <w:r w:rsidRPr="00580C0D">
        <w:t xml:space="preserve"> del av </w:t>
      </w:r>
      <w:proofErr w:type="spellStart"/>
      <w:r w:rsidRPr="00580C0D">
        <w:t>opningsprosessen</w:t>
      </w:r>
      <w:proofErr w:type="spellEnd"/>
      <w:r w:rsidRPr="00580C0D">
        <w:t xml:space="preserve"> og førebuing til havvindutlysinga i 2025 foreslår Olje- og energidepartementet derfor å gjennomføre </w:t>
      </w:r>
      <w:proofErr w:type="spellStart"/>
      <w:r w:rsidRPr="00580C0D">
        <w:t>feltundersøkingar</w:t>
      </w:r>
      <w:proofErr w:type="spellEnd"/>
      <w:r w:rsidRPr="00580C0D">
        <w:t xml:space="preserve"> som </w:t>
      </w:r>
      <w:proofErr w:type="spellStart"/>
      <w:r w:rsidRPr="00580C0D">
        <w:t>aukar</w:t>
      </w:r>
      <w:proofErr w:type="spellEnd"/>
      <w:r w:rsidRPr="00580C0D">
        <w:t xml:space="preserve"> kunnskapsnivået om </w:t>
      </w:r>
      <w:proofErr w:type="spellStart"/>
      <w:r w:rsidRPr="00580C0D">
        <w:t>naturmangfald</w:t>
      </w:r>
      <w:proofErr w:type="spellEnd"/>
      <w:r w:rsidRPr="00580C0D">
        <w:t xml:space="preserve"> og miljø i </w:t>
      </w:r>
      <w:proofErr w:type="spellStart"/>
      <w:r w:rsidRPr="00580C0D">
        <w:t>dei</w:t>
      </w:r>
      <w:proofErr w:type="spellEnd"/>
      <w:r w:rsidRPr="00580C0D">
        <w:t xml:space="preserve"> områda som er aktuelle for utlysing i 2025. </w:t>
      </w:r>
      <w:proofErr w:type="spellStart"/>
      <w:r w:rsidRPr="00580C0D">
        <w:t>Feltundersøkingane</w:t>
      </w:r>
      <w:proofErr w:type="spellEnd"/>
      <w:r w:rsidRPr="00580C0D">
        <w:t xml:space="preserve"> regjeringa </w:t>
      </w:r>
      <w:proofErr w:type="spellStart"/>
      <w:r w:rsidRPr="00580C0D">
        <w:t>føreslår</w:t>
      </w:r>
      <w:proofErr w:type="spellEnd"/>
      <w:r w:rsidRPr="00580C0D">
        <w:t xml:space="preserve"> gjennomført er samla sett </w:t>
      </w:r>
      <w:proofErr w:type="spellStart"/>
      <w:r w:rsidRPr="00580C0D">
        <w:t>ein</w:t>
      </w:r>
      <w:proofErr w:type="spellEnd"/>
      <w:r w:rsidRPr="00580C0D">
        <w:t xml:space="preserve"> </w:t>
      </w:r>
      <w:proofErr w:type="spellStart"/>
      <w:r w:rsidRPr="00580C0D">
        <w:t>heiskapeleg</w:t>
      </w:r>
      <w:proofErr w:type="spellEnd"/>
      <w:r w:rsidRPr="00580C0D">
        <w:t xml:space="preserve"> plan for naturkartlegging. </w:t>
      </w:r>
      <w:proofErr w:type="spellStart"/>
      <w:r w:rsidRPr="00580C0D">
        <w:t>Vidare</w:t>
      </w:r>
      <w:proofErr w:type="spellEnd"/>
      <w:r w:rsidRPr="00580C0D">
        <w:t xml:space="preserve"> er det </w:t>
      </w:r>
      <w:proofErr w:type="spellStart"/>
      <w:r w:rsidRPr="00580C0D">
        <w:t>naturleg</w:t>
      </w:r>
      <w:proofErr w:type="spellEnd"/>
      <w:r w:rsidRPr="00580C0D">
        <w:t xml:space="preserve"> å </w:t>
      </w:r>
      <w:proofErr w:type="spellStart"/>
      <w:r w:rsidRPr="00580C0D">
        <w:t>gjere</w:t>
      </w:r>
      <w:proofErr w:type="spellEnd"/>
      <w:r w:rsidRPr="00580C0D">
        <w:t xml:space="preserve"> ei vurdering av den </w:t>
      </w:r>
      <w:proofErr w:type="spellStart"/>
      <w:r w:rsidRPr="00580C0D">
        <w:t>heilskaplege</w:t>
      </w:r>
      <w:proofErr w:type="spellEnd"/>
      <w:r w:rsidRPr="00580C0D">
        <w:t xml:space="preserve"> planen når vi ser kva område som blir aktuelle for havvind etter at den strategiske konsekvensutgreiinga er gjennomført. </w:t>
      </w:r>
      <w:proofErr w:type="spellStart"/>
      <w:r w:rsidRPr="00580C0D">
        <w:t>Undersøkingane</w:t>
      </w:r>
      <w:proofErr w:type="spellEnd"/>
      <w:r w:rsidRPr="00580C0D">
        <w:t xml:space="preserve"> vil dekke </w:t>
      </w:r>
      <w:proofErr w:type="spellStart"/>
      <w:r w:rsidRPr="00580C0D">
        <w:t>naturmangfald</w:t>
      </w:r>
      <w:proofErr w:type="spellEnd"/>
      <w:r w:rsidRPr="00580C0D">
        <w:t xml:space="preserve"> over vatn, på </w:t>
      </w:r>
      <w:proofErr w:type="spellStart"/>
      <w:r w:rsidRPr="00580C0D">
        <w:t>sjøbotnen</w:t>
      </w:r>
      <w:proofErr w:type="spellEnd"/>
      <w:r w:rsidRPr="00580C0D">
        <w:t xml:space="preserve"> og i havkolonnen. </w:t>
      </w:r>
      <w:proofErr w:type="spellStart"/>
      <w:r w:rsidRPr="00580C0D">
        <w:t>Undersøkingar</w:t>
      </w:r>
      <w:proofErr w:type="spellEnd"/>
      <w:r w:rsidRPr="00580C0D">
        <w:t xml:space="preserve"> for fugl </w:t>
      </w:r>
      <w:proofErr w:type="spellStart"/>
      <w:r w:rsidRPr="00580C0D">
        <w:t>gjennomføras</w:t>
      </w:r>
      <w:proofErr w:type="spellEnd"/>
      <w:r w:rsidRPr="00580C0D">
        <w:t xml:space="preserve"> av sjøfuglprogramma SEAPOP og SEATRACK gjennom ei </w:t>
      </w:r>
      <w:proofErr w:type="spellStart"/>
      <w:r w:rsidRPr="00580C0D">
        <w:t>øyremerkt</w:t>
      </w:r>
      <w:proofErr w:type="spellEnd"/>
      <w:r w:rsidRPr="00580C0D">
        <w:t xml:space="preserve"> løyving til Forskningsrådet. Havforskingsinstituttet og MAREANO-programmet er aktuelle </w:t>
      </w:r>
      <w:proofErr w:type="spellStart"/>
      <w:r w:rsidRPr="00580C0D">
        <w:t>aktørar</w:t>
      </w:r>
      <w:proofErr w:type="spellEnd"/>
      <w:r w:rsidRPr="00580C0D">
        <w:t xml:space="preserve"> som kan gjennomføre </w:t>
      </w:r>
      <w:proofErr w:type="spellStart"/>
      <w:r w:rsidRPr="00580C0D">
        <w:t>undersøkingar</w:t>
      </w:r>
      <w:proofErr w:type="spellEnd"/>
      <w:r w:rsidRPr="00580C0D">
        <w:t xml:space="preserve"> knytte til </w:t>
      </w:r>
      <w:proofErr w:type="spellStart"/>
      <w:r w:rsidRPr="00580C0D">
        <w:t>høvesvis</w:t>
      </w:r>
      <w:proofErr w:type="spellEnd"/>
      <w:r w:rsidRPr="00580C0D">
        <w:t xml:space="preserve"> fisk og sjøpattedyr og kartlegge botnsamfunn. Løyvinga som blir foreslått under kap. 1850, post 21 Spesielle driftsutgifter, skal mellom anna dekke </w:t>
      </w:r>
      <w:proofErr w:type="spellStart"/>
      <w:r w:rsidRPr="00580C0D">
        <w:t>feltundersøkingar</w:t>
      </w:r>
      <w:proofErr w:type="spellEnd"/>
      <w:r w:rsidRPr="00580C0D">
        <w:t xml:space="preserve">, jf. </w:t>
      </w:r>
      <w:proofErr w:type="spellStart"/>
      <w:r w:rsidRPr="00580C0D">
        <w:t>nærmare</w:t>
      </w:r>
      <w:proofErr w:type="spellEnd"/>
      <w:r w:rsidRPr="00580C0D">
        <w:t xml:space="preserve"> omtale under posten.</w:t>
      </w:r>
    </w:p>
    <w:p w14:paraId="68C329F3" w14:textId="77777777" w:rsidR="00F7113A" w:rsidRPr="00580C0D" w:rsidRDefault="00142E5B" w:rsidP="00580C0D">
      <w:r w:rsidRPr="00580C0D">
        <w:t xml:space="preserve">Løyvinga til sjøfuglprogrammet SEAPOP og SEATRACK blei </w:t>
      </w:r>
      <w:proofErr w:type="spellStart"/>
      <w:r w:rsidRPr="00580C0D">
        <w:t>auka</w:t>
      </w:r>
      <w:proofErr w:type="spellEnd"/>
      <w:r w:rsidRPr="00580C0D">
        <w:t xml:space="preserve"> med 10 mill. kroner i budsjettet for 2023. Auken har som formål å gi </w:t>
      </w:r>
      <w:proofErr w:type="spellStart"/>
      <w:r w:rsidRPr="00580C0D">
        <w:t>meir</w:t>
      </w:r>
      <w:proofErr w:type="spellEnd"/>
      <w:r w:rsidRPr="00580C0D">
        <w:t xml:space="preserve"> kunnskap om utbreiing, tilstand og utvikling av norske </w:t>
      </w:r>
      <w:proofErr w:type="spellStart"/>
      <w:r w:rsidRPr="00580C0D">
        <w:t>sjøfuglbestandar</w:t>
      </w:r>
      <w:proofErr w:type="spellEnd"/>
      <w:r w:rsidRPr="00580C0D">
        <w:t xml:space="preserve"> i lys av </w:t>
      </w:r>
      <w:proofErr w:type="spellStart"/>
      <w:r w:rsidRPr="00580C0D">
        <w:t>menneskeleg</w:t>
      </w:r>
      <w:proofErr w:type="spellEnd"/>
      <w:r w:rsidRPr="00580C0D">
        <w:t xml:space="preserve"> aktivitet i havområda og kystsona og dekker i stor grad nødvendige </w:t>
      </w:r>
      <w:proofErr w:type="spellStart"/>
      <w:r w:rsidRPr="00580C0D">
        <w:t>undersøkingar</w:t>
      </w:r>
      <w:proofErr w:type="spellEnd"/>
      <w:r w:rsidRPr="00580C0D">
        <w:t xml:space="preserve"> i områda som </w:t>
      </w:r>
      <w:proofErr w:type="spellStart"/>
      <w:r w:rsidRPr="00580C0D">
        <w:t>allereie</w:t>
      </w:r>
      <w:proofErr w:type="spellEnd"/>
      <w:r w:rsidRPr="00580C0D">
        <w:t xml:space="preserve"> er </w:t>
      </w:r>
      <w:proofErr w:type="spellStart"/>
      <w:r w:rsidRPr="00580C0D">
        <w:t>opna</w:t>
      </w:r>
      <w:proofErr w:type="spellEnd"/>
      <w:r w:rsidRPr="00580C0D">
        <w:t xml:space="preserve"> – </w:t>
      </w:r>
      <w:proofErr w:type="spellStart"/>
      <w:r w:rsidRPr="00580C0D">
        <w:t>Sørlege</w:t>
      </w:r>
      <w:proofErr w:type="spellEnd"/>
      <w:r w:rsidRPr="00580C0D">
        <w:t xml:space="preserve"> </w:t>
      </w:r>
      <w:proofErr w:type="spellStart"/>
      <w:r w:rsidRPr="00580C0D">
        <w:t>Nordsjø</w:t>
      </w:r>
      <w:proofErr w:type="spellEnd"/>
      <w:r w:rsidRPr="00580C0D">
        <w:t xml:space="preserve"> II og Utsira Nord. Løyvinga til sjøfuglprogramma SEAPOP og SEATRACK er foreslått </w:t>
      </w:r>
      <w:proofErr w:type="spellStart"/>
      <w:r w:rsidRPr="00580C0D">
        <w:t>auka</w:t>
      </w:r>
      <w:proofErr w:type="spellEnd"/>
      <w:r w:rsidRPr="00580C0D">
        <w:t xml:space="preserve"> </w:t>
      </w:r>
      <w:proofErr w:type="spellStart"/>
      <w:r w:rsidRPr="00580C0D">
        <w:t>ytterlegare</w:t>
      </w:r>
      <w:proofErr w:type="spellEnd"/>
      <w:r w:rsidRPr="00580C0D">
        <w:t xml:space="preserve"> i budsjettet for 2024, jf. kap. 1850, post 50.</w:t>
      </w:r>
    </w:p>
    <w:p w14:paraId="222D3F4C"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3CE20F4A" w14:textId="77777777" w:rsidR="00F7113A" w:rsidRPr="00580C0D" w:rsidRDefault="00142E5B" w:rsidP="00580C0D">
      <w:pPr>
        <w:pStyle w:val="avsnitt-tittel"/>
      </w:pPr>
      <w:r w:rsidRPr="00580C0D">
        <w:t xml:space="preserve">Havvind – følgeforsking i </w:t>
      </w:r>
      <w:proofErr w:type="spellStart"/>
      <w:r w:rsidRPr="00580C0D">
        <w:t>Sørlege</w:t>
      </w:r>
      <w:proofErr w:type="spellEnd"/>
      <w:r w:rsidRPr="00580C0D">
        <w:t xml:space="preserve"> </w:t>
      </w:r>
      <w:proofErr w:type="spellStart"/>
      <w:r w:rsidRPr="00580C0D">
        <w:t>Nordsjø</w:t>
      </w:r>
      <w:proofErr w:type="spellEnd"/>
      <w:r w:rsidRPr="00580C0D">
        <w:t xml:space="preserve"> II</w:t>
      </w:r>
    </w:p>
    <w:p w14:paraId="47716B11" w14:textId="77777777" w:rsidR="00F7113A" w:rsidRPr="00580C0D" w:rsidRDefault="00142E5B" w:rsidP="00580C0D">
      <w:pPr>
        <w:pStyle w:val="avsnitt-undertittel"/>
      </w:pPr>
      <w:r w:rsidRPr="00580C0D">
        <w:t>Vedtak 840, 14. juni 2023</w:t>
      </w:r>
    </w:p>
    <w:p w14:paraId="65253534" w14:textId="77777777" w:rsidR="00F7113A" w:rsidRPr="00580C0D" w:rsidRDefault="00142E5B" w:rsidP="00580C0D">
      <w:pPr>
        <w:pStyle w:val="blokksit"/>
      </w:pPr>
      <w:r w:rsidRPr="00580C0D">
        <w:t>«</w:t>
      </w:r>
      <w:r w:rsidRPr="00580C0D">
        <w:rPr>
          <w:rStyle w:val="kursiv"/>
        </w:rPr>
        <w:t xml:space="preserve">Stortinget ber regjeringen legge til rette for at det gjennomføres følgeforskning i utbyggings- og driftsfasen av Sørlige </w:t>
      </w:r>
      <w:proofErr w:type="spellStart"/>
      <w:r w:rsidRPr="00580C0D">
        <w:rPr>
          <w:rStyle w:val="kursiv"/>
        </w:rPr>
        <w:t>Nordsjø</w:t>
      </w:r>
      <w:proofErr w:type="spellEnd"/>
      <w:r w:rsidRPr="00580C0D">
        <w:rPr>
          <w:rStyle w:val="kursiv"/>
        </w:rPr>
        <w:t xml:space="preserve"> II. Det skal legges vekt på havvindparkens påvirkning på natur og miljø, og at denne kunnskapen aktivt tas i bruk og </w:t>
      </w:r>
      <w:proofErr w:type="gramStart"/>
      <w:r w:rsidRPr="00580C0D">
        <w:rPr>
          <w:rStyle w:val="kursiv"/>
        </w:rPr>
        <w:t>integreres</w:t>
      </w:r>
      <w:proofErr w:type="gramEnd"/>
      <w:r w:rsidRPr="00580C0D">
        <w:rPr>
          <w:rStyle w:val="kursiv"/>
        </w:rPr>
        <w:t xml:space="preserve"> i det videre arbeidet med å følge opp god sameksistens og bærekraft innen havvind.</w:t>
      </w:r>
      <w:r w:rsidRPr="00580C0D">
        <w:t>»</w:t>
      </w:r>
    </w:p>
    <w:p w14:paraId="5F76F769"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93 S (2022–2023) og </w:t>
      </w:r>
      <w:proofErr w:type="spellStart"/>
      <w:r w:rsidRPr="00580C0D">
        <w:t>Innst</w:t>
      </w:r>
      <w:proofErr w:type="spellEnd"/>
      <w:r w:rsidRPr="00580C0D">
        <w:t>. 496 S (2022–2023).</w:t>
      </w:r>
    </w:p>
    <w:p w14:paraId="71FE6A15" w14:textId="77777777" w:rsidR="00F7113A" w:rsidRPr="00580C0D" w:rsidRDefault="00142E5B" w:rsidP="00580C0D">
      <w:r w:rsidRPr="00580C0D">
        <w:t xml:space="preserve">Programmet ENERGIX i </w:t>
      </w:r>
      <w:proofErr w:type="spellStart"/>
      <w:r w:rsidRPr="00580C0D">
        <w:t>Noregs</w:t>
      </w:r>
      <w:proofErr w:type="spellEnd"/>
      <w:r w:rsidRPr="00580C0D">
        <w:t xml:space="preserve"> forskingsråd </w:t>
      </w:r>
      <w:proofErr w:type="spellStart"/>
      <w:r w:rsidRPr="00580C0D">
        <w:t>støttar</w:t>
      </w:r>
      <w:proofErr w:type="spellEnd"/>
      <w:r w:rsidRPr="00580C0D">
        <w:t xml:space="preserve"> forsking og utvikling på havvind, og departementet har etablert </w:t>
      </w:r>
      <w:proofErr w:type="spellStart"/>
      <w:r w:rsidRPr="00580C0D">
        <w:t>eit</w:t>
      </w:r>
      <w:proofErr w:type="spellEnd"/>
      <w:r w:rsidRPr="00580C0D">
        <w:t xml:space="preserve"> </w:t>
      </w:r>
      <w:proofErr w:type="spellStart"/>
      <w:r w:rsidRPr="00580C0D">
        <w:t>miljøvennleg</w:t>
      </w:r>
      <w:proofErr w:type="spellEnd"/>
      <w:r w:rsidRPr="00580C0D">
        <w:t xml:space="preserve"> forskingssenter </w:t>
      </w:r>
      <w:proofErr w:type="spellStart"/>
      <w:r w:rsidRPr="00580C0D">
        <w:t>innan</w:t>
      </w:r>
      <w:proofErr w:type="spellEnd"/>
      <w:r w:rsidRPr="00580C0D">
        <w:t xml:space="preserve"> havvind som </w:t>
      </w:r>
      <w:proofErr w:type="spellStart"/>
      <w:r w:rsidRPr="00580C0D">
        <w:t>heiter</w:t>
      </w:r>
      <w:proofErr w:type="spellEnd"/>
      <w:r w:rsidRPr="00580C0D">
        <w:t xml:space="preserve"> </w:t>
      </w:r>
      <w:proofErr w:type="spellStart"/>
      <w:r w:rsidRPr="00580C0D">
        <w:t>Northwind</w:t>
      </w:r>
      <w:proofErr w:type="spellEnd"/>
      <w:r w:rsidRPr="00580C0D">
        <w:t xml:space="preserve">. </w:t>
      </w:r>
      <w:proofErr w:type="spellStart"/>
      <w:r w:rsidRPr="00580C0D">
        <w:t>Northwind</w:t>
      </w:r>
      <w:proofErr w:type="spellEnd"/>
      <w:r w:rsidRPr="00580C0D">
        <w:t xml:space="preserve"> er leia av SINTEF. Senteret </w:t>
      </w:r>
      <w:proofErr w:type="spellStart"/>
      <w:r w:rsidRPr="00580C0D">
        <w:t>forskar</w:t>
      </w:r>
      <w:proofErr w:type="spellEnd"/>
      <w:r w:rsidRPr="00580C0D">
        <w:t xml:space="preserve"> på miljø og </w:t>
      </w:r>
      <w:proofErr w:type="spellStart"/>
      <w:r w:rsidRPr="00580C0D">
        <w:t>samfunnsfaglege</w:t>
      </w:r>
      <w:proofErr w:type="spellEnd"/>
      <w:r w:rsidRPr="00580C0D">
        <w:t xml:space="preserve"> og teknologiske spørsmål knytte til havvind. Forskingsprogrammet SEAPOP og SEATRACK blei </w:t>
      </w:r>
      <w:proofErr w:type="spellStart"/>
      <w:r w:rsidRPr="00580C0D">
        <w:t>auka</w:t>
      </w:r>
      <w:proofErr w:type="spellEnd"/>
      <w:r w:rsidRPr="00580C0D">
        <w:t xml:space="preserve"> til 13 mill. kroner i budsjettet for 2023 og er foreslått </w:t>
      </w:r>
      <w:proofErr w:type="spellStart"/>
      <w:r w:rsidRPr="00580C0D">
        <w:t>auka</w:t>
      </w:r>
      <w:proofErr w:type="spellEnd"/>
      <w:r w:rsidRPr="00580C0D">
        <w:t xml:space="preserve"> </w:t>
      </w:r>
      <w:proofErr w:type="spellStart"/>
      <w:r w:rsidRPr="00580C0D">
        <w:t>ytterlegare</w:t>
      </w:r>
      <w:proofErr w:type="spellEnd"/>
      <w:r w:rsidRPr="00580C0D">
        <w:t xml:space="preserve"> i budsjettet for 2024. Det bidrar til at verknadene av havvind på </w:t>
      </w:r>
      <w:proofErr w:type="spellStart"/>
      <w:r w:rsidRPr="00580C0D">
        <w:t>bestandane</w:t>
      </w:r>
      <w:proofErr w:type="spellEnd"/>
      <w:r w:rsidRPr="00580C0D">
        <w:t xml:space="preserve"> av sjøfugl i utbyggingsområda blir </w:t>
      </w:r>
      <w:proofErr w:type="spellStart"/>
      <w:r w:rsidRPr="00580C0D">
        <w:t>følgde</w:t>
      </w:r>
      <w:proofErr w:type="spellEnd"/>
      <w:r w:rsidRPr="00580C0D">
        <w:t xml:space="preserve"> opp. Sameksistens og </w:t>
      </w:r>
      <w:proofErr w:type="spellStart"/>
      <w:r w:rsidRPr="00580C0D">
        <w:t>berekraft</w:t>
      </w:r>
      <w:proofErr w:type="spellEnd"/>
      <w:r w:rsidRPr="00580C0D">
        <w:t xml:space="preserve"> står sentralt i departementets arbeid med havvind. Departementet vil derfor som </w:t>
      </w:r>
      <w:proofErr w:type="spellStart"/>
      <w:r w:rsidRPr="00580C0D">
        <w:t>ein</w:t>
      </w:r>
      <w:proofErr w:type="spellEnd"/>
      <w:r w:rsidRPr="00580C0D">
        <w:t xml:space="preserve"> del av konsesjonsbehandlinga vurdere om det skal </w:t>
      </w:r>
      <w:proofErr w:type="spellStart"/>
      <w:r w:rsidRPr="00580C0D">
        <w:t>stillast</w:t>
      </w:r>
      <w:proofErr w:type="spellEnd"/>
      <w:r w:rsidRPr="00580C0D">
        <w:t xml:space="preserve"> krav om følgeforsking. Følgeforsking kan </w:t>
      </w:r>
      <w:proofErr w:type="spellStart"/>
      <w:r w:rsidRPr="00580C0D">
        <w:t>vere</w:t>
      </w:r>
      <w:proofErr w:type="spellEnd"/>
      <w:r w:rsidRPr="00580C0D">
        <w:t xml:space="preserve"> </w:t>
      </w:r>
      <w:proofErr w:type="spellStart"/>
      <w:r w:rsidRPr="00580C0D">
        <w:t>eit</w:t>
      </w:r>
      <w:proofErr w:type="spellEnd"/>
      <w:r w:rsidRPr="00580C0D">
        <w:t xml:space="preserve"> aktuelt tiltak for </w:t>
      </w:r>
      <w:proofErr w:type="spellStart"/>
      <w:r w:rsidRPr="00580C0D">
        <w:t>konsesjonshavarane</w:t>
      </w:r>
      <w:proofErr w:type="spellEnd"/>
      <w:r w:rsidRPr="00580C0D">
        <w:t xml:space="preserve"> for å følge opp krav til varetaking av havmiljøet.</w:t>
      </w:r>
    </w:p>
    <w:p w14:paraId="483899E5"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3E74C02E" w14:textId="77777777" w:rsidR="00F7113A" w:rsidRPr="00580C0D" w:rsidRDefault="00142E5B" w:rsidP="00580C0D">
      <w:pPr>
        <w:pStyle w:val="avsnitt-tittel"/>
      </w:pPr>
      <w:r w:rsidRPr="00580C0D">
        <w:t xml:space="preserve">Havvind – </w:t>
      </w:r>
      <w:proofErr w:type="spellStart"/>
      <w:r w:rsidRPr="00580C0D">
        <w:t>auka</w:t>
      </w:r>
      <w:proofErr w:type="spellEnd"/>
      <w:r w:rsidRPr="00580C0D">
        <w:t xml:space="preserve"> vekting av </w:t>
      </w:r>
      <w:proofErr w:type="spellStart"/>
      <w:r w:rsidRPr="00580C0D">
        <w:t>berekraftskriteria</w:t>
      </w:r>
      <w:proofErr w:type="spellEnd"/>
      <w:r w:rsidRPr="00580C0D">
        <w:t xml:space="preserve"> og positive lokale ringverknader</w:t>
      </w:r>
    </w:p>
    <w:p w14:paraId="1FFD8452" w14:textId="77777777" w:rsidR="00F7113A" w:rsidRPr="00580C0D" w:rsidRDefault="00142E5B" w:rsidP="00580C0D">
      <w:pPr>
        <w:pStyle w:val="avsnitt-undertittel"/>
      </w:pPr>
      <w:r w:rsidRPr="00580C0D">
        <w:t>Vedtak 841, 14. juni 2023</w:t>
      </w:r>
    </w:p>
    <w:p w14:paraId="5BCA0EEF" w14:textId="77777777" w:rsidR="00F7113A" w:rsidRPr="00580C0D" w:rsidRDefault="00142E5B" w:rsidP="00580C0D">
      <w:pPr>
        <w:pStyle w:val="blokksit"/>
      </w:pPr>
      <w:r w:rsidRPr="00580C0D">
        <w:t>«</w:t>
      </w:r>
      <w:r w:rsidRPr="00580C0D">
        <w:rPr>
          <w:rStyle w:val="kursiv"/>
        </w:rPr>
        <w:t xml:space="preserve">Stortinget ber regjeringen vurdere økt vekting av </w:t>
      </w:r>
      <w:proofErr w:type="spellStart"/>
      <w:r w:rsidRPr="00580C0D">
        <w:rPr>
          <w:rStyle w:val="kursiv"/>
        </w:rPr>
        <w:t>bærekraftskriteriene</w:t>
      </w:r>
      <w:proofErr w:type="spellEnd"/>
      <w:r w:rsidRPr="00580C0D">
        <w:rPr>
          <w:rStyle w:val="kursiv"/>
        </w:rPr>
        <w:t xml:space="preserve"> og positive lokale ringvirkninger ved framtidige havvindutbygginger og rapportere tilbake til Stortinget på egnet vis.</w:t>
      </w:r>
      <w:r w:rsidRPr="00580C0D">
        <w:t>»</w:t>
      </w:r>
    </w:p>
    <w:p w14:paraId="71ABDC29"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93 S (2022–2023) og </w:t>
      </w:r>
      <w:proofErr w:type="spellStart"/>
      <w:r w:rsidRPr="00580C0D">
        <w:t>Innst</w:t>
      </w:r>
      <w:proofErr w:type="spellEnd"/>
      <w:r w:rsidRPr="00580C0D">
        <w:t>. 496 S (2022–2023).</w:t>
      </w:r>
    </w:p>
    <w:p w14:paraId="6929FBF7" w14:textId="77777777" w:rsidR="00F7113A" w:rsidRPr="00580C0D" w:rsidRDefault="00142E5B" w:rsidP="00580C0D">
      <w:r w:rsidRPr="00580C0D">
        <w:t xml:space="preserve">Olje- og energidepartementet vil som varsla gjennomføre ei evaluering av første runde med tildeling av prosjektområde til havvindproduksjon når denne er gjennomført. I samband med førebuing til utlysinga av område i 2025 vil departementet også, mellom anna basert på </w:t>
      </w:r>
      <w:proofErr w:type="spellStart"/>
      <w:r w:rsidRPr="00580C0D">
        <w:t>erfaringane</w:t>
      </w:r>
      <w:proofErr w:type="spellEnd"/>
      <w:r w:rsidRPr="00580C0D">
        <w:t xml:space="preserve"> </w:t>
      </w:r>
      <w:proofErr w:type="spellStart"/>
      <w:r w:rsidRPr="00580C0D">
        <w:t>frå</w:t>
      </w:r>
      <w:proofErr w:type="spellEnd"/>
      <w:r w:rsidRPr="00580C0D">
        <w:t xml:space="preserve"> den første runden, vurdere kva kriterium som skal ligge til grunn for neste tildeling. </w:t>
      </w:r>
      <w:proofErr w:type="spellStart"/>
      <w:r w:rsidRPr="00580C0D">
        <w:t>Hovudmodellen</w:t>
      </w:r>
      <w:proofErr w:type="spellEnd"/>
      <w:r w:rsidRPr="00580C0D">
        <w:t xml:space="preserve"> for tildeling av prosjektområde for havvind er auksjon, men i </w:t>
      </w:r>
      <w:proofErr w:type="spellStart"/>
      <w:r w:rsidRPr="00580C0D">
        <w:t>særlege</w:t>
      </w:r>
      <w:proofErr w:type="spellEnd"/>
      <w:r w:rsidRPr="00580C0D">
        <w:t xml:space="preserve"> tilfelle kan tildeling </w:t>
      </w:r>
      <w:proofErr w:type="spellStart"/>
      <w:r w:rsidRPr="00580C0D">
        <w:t>gjennomførast</w:t>
      </w:r>
      <w:proofErr w:type="spellEnd"/>
      <w:r w:rsidRPr="00580C0D">
        <w:t xml:space="preserve"> med kvalitative kriterium. Tildelinga på Utsira Nord er </w:t>
      </w:r>
      <w:proofErr w:type="spellStart"/>
      <w:r w:rsidRPr="00580C0D">
        <w:t>rekna</w:t>
      </w:r>
      <w:proofErr w:type="spellEnd"/>
      <w:r w:rsidRPr="00580C0D">
        <w:t xml:space="preserve"> som </w:t>
      </w:r>
      <w:proofErr w:type="spellStart"/>
      <w:r w:rsidRPr="00580C0D">
        <w:t>eit</w:t>
      </w:r>
      <w:proofErr w:type="spellEnd"/>
      <w:r w:rsidRPr="00580C0D">
        <w:t xml:space="preserve"> </w:t>
      </w:r>
      <w:proofErr w:type="spellStart"/>
      <w:r w:rsidRPr="00580C0D">
        <w:t>særleg</w:t>
      </w:r>
      <w:proofErr w:type="spellEnd"/>
      <w:r w:rsidRPr="00580C0D">
        <w:t xml:space="preserve"> tilfelle fordi </w:t>
      </w:r>
      <w:proofErr w:type="spellStart"/>
      <w:r w:rsidRPr="00580C0D">
        <w:t>flytande</w:t>
      </w:r>
      <w:proofErr w:type="spellEnd"/>
      <w:r w:rsidRPr="00580C0D">
        <w:t xml:space="preserve"> teknologi er umoden og har </w:t>
      </w:r>
      <w:proofErr w:type="spellStart"/>
      <w:r w:rsidRPr="00580C0D">
        <w:t>høgare</w:t>
      </w:r>
      <w:proofErr w:type="spellEnd"/>
      <w:r w:rsidRPr="00580C0D">
        <w:t xml:space="preserve"> </w:t>
      </w:r>
      <w:proofErr w:type="spellStart"/>
      <w:r w:rsidRPr="00580C0D">
        <w:t>kostnadar</w:t>
      </w:r>
      <w:proofErr w:type="spellEnd"/>
      <w:r w:rsidRPr="00580C0D">
        <w:t xml:space="preserve"> enn botnfast teknologi. Det er også den første tildelinga av </w:t>
      </w:r>
      <w:proofErr w:type="spellStart"/>
      <w:r w:rsidRPr="00580C0D">
        <w:t>flytande</w:t>
      </w:r>
      <w:proofErr w:type="spellEnd"/>
      <w:r w:rsidRPr="00580C0D">
        <w:t xml:space="preserve"> havvind med </w:t>
      </w:r>
      <w:proofErr w:type="spellStart"/>
      <w:r w:rsidRPr="00580C0D">
        <w:t>tilknyting</w:t>
      </w:r>
      <w:proofErr w:type="spellEnd"/>
      <w:r w:rsidRPr="00580C0D">
        <w:t xml:space="preserve"> til land. Der auksjon blir brukt for tildeling av prosjektområde, kan departementet </w:t>
      </w:r>
      <w:proofErr w:type="spellStart"/>
      <w:r w:rsidRPr="00580C0D">
        <w:t>krevje</w:t>
      </w:r>
      <w:proofErr w:type="spellEnd"/>
      <w:r w:rsidRPr="00580C0D">
        <w:t xml:space="preserve"> at </w:t>
      </w:r>
      <w:proofErr w:type="spellStart"/>
      <w:r w:rsidRPr="00580C0D">
        <w:t>aktørar</w:t>
      </w:r>
      <w:proofErr w:type="spellEnd"/>
      <w:r w:rsidRPr="00580C0D">
        <w:t xml:space="preserve"> som vil delta i </w:t>
      </w:r>
      <w:proofErr w:type="spellStart"/>
      <w:r w:rsidRPr="00580C0D">
        <w:t>ein</w:t>
      </w:r>
      <w:proofErr w:type="spellEnd"/>
      <w:r w:rsidRPr="00580C0D">
        <w:t xml:space="preserve"> konkurranse om tildeling av areal, skal </w:t>
      </w:r>
      <w:proofErr w:type="spellStart"/>
      <w:r w:rsidRPr="00580C0D">
        <w:t>prekvalifiserast</w:t>
      </w:r>
      <w:proofErr w:type="spellEnd"/>
      <w:r w:rsidRPr="00580C0D">
        <w:t xml:space="preserve"> før deltaking. Departementet kan også stille andre objektive og </w:t>
      </w:r>
      <w:proofErr w:type="spellStart"/>
      <w:r w:rsidRPr="00580C0D">
        <w:t>ikkje-diskriminerande</w:t>
      </w:r>
      <w:proofErr w:type="spellEnd"/>
      <w:r w:rsidRPr="00580C0D">
        <w:t xml:space="preserve"> vilkår, jf. havenergilova.</w:t>
      </w:r>
    </w:p>
    <w:p w14:paraId="0AB4224D" w14:textId="77777777" w:rsidR="00F7113A" w:rsidRPr="00580C0D" w:rsidRDefault="00142E5B" w:rsidP="00580C0D">
      <w:r w:rsidRPr="00580C0D">
        <w:t>Departementet vil komme tilbake til Stortinget på eigna måte.</w:t>
      </w:r>
    </w:p>
    <w:p w14:paraId="3B94A935" w14:textId="77777777" w:rsidR="00F7113A" w:rsidRPr="00580C0D" w:rsidRDefault="00142E5B" w:rsidP="00580C0D">
      <w:pPr>
        <w:pStyle w:val="avsnitt-tittel"/>
      </w:pPr>
      <w:r w:rsidRPr="00580C0D">
        <w:t xml:space="preserve">Havvind – vurdere andre og </w:t>
      </w:r>
      <w:proofErr w:type="spellStart"/>
      <w:r w:rsidRPr="00580C0D">
        <w:t>meir</w:t>
      </w:r>
      <w:proofErr w:type="spellEnd"/>
      <w:r w:rsidRPr="00580C0D">
        <w:t xml:space="preserve"> </w:t>
      </w:r>
      <w:proofErr w:type="spellStart"/>
      <w:r w:rsidRPr="00580C0D">
        <w:t>formålstenlege</w:t>
      </w:r>
      <w:proofErr w:type="spellEnd"/>
      <w:r w:rsidRPr="00580C0D">
        <w:t xml:space="preserve"> </w:t>
      </w:r>
      <w:proofErr w:type="spellStart"/>
      <w:r w:rsidRPr="00580C0D">
        <w:t>løyvingsløysingar</w:t>
      </w:r>
      <w:proofErr w:type="spellEnd"/>
      <w:r w:rsidRPr="00580C0D">
        <w:t xml:space="preserve"> for </w:t>
      </w:r>
      <w:proofErr w:type="spellStart"/>
      <w:r w:rsidRPr="00580C0D">
        <w:t>differansekontraktar</w:t>
      </w:r>
      <w:proofErr w:type="spellEnd"/>
      <w:r w:rsidRPr="00580C0D">
        <w:t xml:space="preserve"> enn OPS-rammeverket</w:t>
      </w:r>
    </w:p>
    <w:p w14:paraId="512C29CC" w14:textId="77777777" w:rsidR="00F7113A" w:rsidRPr="00580C0D" w:rsidRDefault="00142E5B" w:rsidP="00580C0D">
      <w:pPr>
        <w:pStyle w:val="avsnitt-undertittel"/>
      </w:pPr>
      <w:r w:rsidRPr="00580C0D">
        <w:t>Vedtak 842, 14. juni 2023</w:t>
      </w:r>
    </w:p>
    <w:p w14:paraId="264C6541" w14:textId="77777777" w:rsidR="00F7113A" w:rsidRPr="00580C0D" w:rsidRDefault="00142E5B" w:rsidP="00580C0D">
      <w:pPr>
        <w:pStyle w:val="blokksit"/>
      </w:pPr>
      <w:r w:rsidRPr="00580C0D">
        <w:t>«</w:t>
      </w:r>
      <w:r w:rsidRPr="00580C0D">
        <w:rPr>
          <w:rStyle w:val="kursiv"/>
        </w:rPr>
        <w:t>Stortinget ber regjeringen vurdere andre og mer hensiktsmessige bevilgningsløsninger for differansekontrakter enn OPS-rammeverket, som sikrer at bevilgningene spres over flere budsjettår enn bare byggefasen, og komme tilbake til Stortinget senest i statsbudsjettet for 2025.</w:t>
      </w:r>
      <w:r w:rsidRPr="00580C0D">
        <w:t>»</w:t>
      </w:r>
    </w:p>
    <w:p w14:paraId="5BD548E7"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93 S (2022–2023) og </w:t>
      </w:r>
      <w:proofErr w:type="spellStart"/>
      <w:r w:rsidRPr="00580C0D">
        <w:t>Innst</w:t>
      </w:r>
      <w:proofErr w:type="spellEnd"/>
      <w:r w:rsidRPr="00580C0D">
        <w:t>. 496 S (2022–2023).</w:t>
      </w:r>
    </w:p>
    <w:p w14:paraId="205A9B0A" w14:textId="77777777" w:rsidR="00F7113A" w:rsidRPr="00580C0D" w:rsidRDefault="00142E5B" w:rsidP="00580C0D">
      <w:r w:rsidRPr="00580C0D">
        <w:t xml:space="preserve">Departementet vil komme tilbake til Stortinget på eigna måte, </w:t>
      </w:r>
      <w:proofErr w:type="spellStart"/>
      <w:r w:rsidRPr="00580C0D">
        <w:t>seinast</w:t>
      </w:r>
      <w:proofErr w:type="spellEnd"/>
      <w:r w:rsidRPr="00580C0D">
        <w:t xml:space="preserve"> i statsbudsjettet for 2025.</w:t>
      </w:r>
    </w:p>
    <w:p w14:paraId="4EFA8F4C" w14:textId="77777777" w:rsidR="00F7113A" w:rsidRPr="00580C0D" w:rsidRDefault="00142E5B" w:rsidP="00580C0D">
      <w:pPr>
        <w:pStyle w:val="avsnitt-tittel"/>
      </w:pPr>
      <w:r w:rsidRPr="00580C0D">
        <w:t xml:space="preserve">Havvind – elektrifisering av </w:t>
      </w:r>
      <w:proofErr w:type="spellStart"/>
      <w:r w:rsidRPr="00580C0D">
        <w:t>offshoreinstallasjonar</w:t>
      </w:r>
      <w:proofErr w:type="spellEnd"/>
    </w:p>
    <w:p w14:paraId="7D582714" w14:textId="77777777" w:rsidR="00F7113A" w:rsidRPr="00580C0D" w:rsidRDefault="00142E5B" w:rsidP="00580C0D">
      <w:pPr>
        <w:pStyle w:val="avsnitt-undertittel"/>
      </w:pPr>
      <w:r w:rsidRPr="00580C0D">
        <w:t>Vedtak 914, 16. juni 2023</w:t>
      </w:r>
    </w:p>
    <w:p w14:paraId="39E02D9E" w14:textId="77777777" w:rsidR="00F7113A" w:rsidRPr="00580C0D" w:rsidRDefault="00142E5B" w:rsidP="00580C0D">
      <w:pPr>
        <w:pStyle w:val="blokksit"/>
      </w:pPr>
      <w:r w:rsidRPr="00580C0D">
        <w:t>«</w:t>
      </w:r>
      <w:r w:rsidRPr="00580C0D">
        <w:rPr>
          <w:rStyle w:val="kursiv"/>
        </w:rPr>
        <w:t>Stortinget ber regjeringen i revidert nasjonalbudsjett for 2024 legge frem tiltak for å elektrifisere offshore-installasjoner ved hjelp av havvind for å kutte klimagassutslipp.</w:t>
      </w:r>
      <w:r w:rsidRPr="00580C0D">
        <w:t>»</w:t>
      </w:r>
    </w:p>
    <w:p w14:paraId="6842C9E8" w14:textId="77777777" w:rsidR="00F7113A" w:rsidRPr="00580C0D" w:rsidRDefault="00142E5B" w:rsidP="00580C0D">
      <w:r w:rsidRPr="00580C0D">
        <w:t xml:space="preserve">Dokumenta som ligg til grunn for vedtaket er Meld. St. 2 (2022–2023) og </w:t>
      </w:r>
      <w:proofErr w:type="spellStart"/>
      <w:r w:rsidRPr="00580C0D">
        <w:t>Innst</w:t>
      </w:r>
      <w:proofErr w:type="spellEnd"/>
      <w:r w:rsidRPr="00580C0D">
        <w:t>. 490 S (2022–2023).</w:t>
      </w:r>
    </w:p>
    <w:p w14:paraId="6548BC5F" w14:textId="77777777" w:rsidR="00F7113A" w:rsidRPr="00580C0D" w:rsidRDefault="00142E5B" w:rsidP="00580C0D">
      <w:r w:rsidRPr="00580C0D">
        <w:t>Departementet viser til oppmodingsvedtak 836, 14. juni 2023. Departementet vil komme tilbake til Stortinget på eigna måte.</w:t>
      </w:r>
    </w:p>
    <w:p w14:paraId="326F625A" w14:textId="77777777" w:rsidR="00F7113A" w:rsidRPr="00580C0D" w:rsidRDefault="00142E5B" w:rsidP="00580C0D">
      <w:pPr>
        <w:pStyle w:val="avsnitt-tittel"/>
      </w:pPr>
      <w:r w:rsidRPr="00580C0D">
        <w:t xml:space="preserve">Solenergi – mål om 8 </w:t>
      </w:r>
      <w:proofErr w:type="spellStart"/>
      <w:r w:rsidRPr="00580C0D">
        <w:t>TWh</w:t>
      </w:r>
      <w:proofErr w:type="spellEnd"/>
      <w:r w:rsidRPr="00580C0D">
        <w:t xml:space="preserve"> </w:t>
      </w:r>
      <w:proofErr w:type="spellStart"/>
      <w:r w:rsidRPr="00580C0D">
        <w:t>innan</w:t>
      </w:r>
      <w:proofErr w:type="spellEnd"/>
      <w:r w:rsidRPr="00580C0D">
        <w:t xml:space="preserve"> 2030</w:t>
      </w:r>
    </w:p>
    <w:p w14:paraId="761CE85D" w14:textId="77777777" w:rsidR="00F7113A" w:rsidRPr="00580C0D" w:rsidRDefault="00142E5B" w:rsidP="00580C0D">
      <w:pPr>
        <w:pStyle w:val="avsnitt-undertittel"/>
      </w:pPr>
      <w:r w:rsidRPr="00580C0D">
        <w:t>Vedtak 923, 16. juni 2023</w:t>
      </w:r>
    </w:p>
    <w:p w14:paraId="4E0B378A" w14:textId="77777777" w:rsidR="00F7113A" w:rsidRPr="00580C0D" w:rsidRDefault="00142E5B" w:rsidP="00580C0D">
      <w:pPr>
        <w:pStyle w:val="blokksit"/>
      </w:pPr>
      <w:r w:rsidRPr="00580C0D">
        <w:t>«</w:t>
      </w:r>
      <w:r w:rsidRPr="00580C0D">
        <w:rPr>
          <w:rStyle w:val="kursiv"/>
        </w:rPr>
        <w:t xml:space="preserve">Stortinget ber regjeringen sette et mål for ny solenergi på 8 </w:t>
      </w:r>
      <w:proofErr w:type="spellStart"/>
      <w:r w:rsidRPr="00580C0D">
        <w:rPr>
          <w:rStyle w:val="kursiv"/>
        </w:rPr>
        <w:t>TWh</w:t>
      </w:r>
      <w:proofErr w:type="spellEnd"/>
      <w:r w:rsidRPr="00580C0D">
        <w:rPr>
          <w:rStyle w:val="kursiv"/>
        </w:rPr>
        <w:t xml:space="preserve"> innen 2030 og utarbeide en konkret handlingsplan som gjør det mulig å realisere målet innen revidert nasjonalbudsjett i 2024. Tiltak og virkemidler skal ikke være til hinder for rasjonell nettutvikling.</w:t>
      </w:r>
      <w:r w:rsidRPr="00580C0D">
        <w:t>»</w:t>
      </w:r>
    </w:p>
    <w:p w14:paraId="1F5E776F" w14:textId="77777777" w:rsidR="00F7113A" w:rsidRPr="00580C0D" w:rsidRDefault="00142E5B" w:rsidP="00580C0D">
      <w:r w:rsidRPr="00580C0D">
        <w:t xml:space="preserve">Dokumenta som ligg til grunn for vedtaket, er Meld. St. 2 (2022–2023) og </w:t>
      </w:r>
      <w:proofErr w:type="spellStart"/>
      <w:r w:rsidRPr="00580C0D">
        <w:t>Innst</w:t>
      </w:r>
      <w:proofErr w:type="spellEnd"/>
      <w:r w:rsidRPr="00580C0D">
        <w:t>. 490 S (2022–2023).</w:t>
      </w:r>
    </w:p>
    <w:p w14:paraId="0618B00D" w14:textId="77777777" w:rsidR="00F7113A" w:rsidRPr="00580C0D" w:rsidRDefault="00142E5B" w:rsidP="00580C0D">
      <w:r w:rsidRPr="00580C0D">
        <w:t xml:space="preserve">Departementet har i oppfølginga av vedtaket bedt NVE vurdere </w:t>
      </w:r>
      <w:proofErr w:type="spellStart"/>
      <w:r w:rsidRPr="00580C0D">
        <w:t>moglegheitene</w:t>
      </w:r>
      <w:proofErr w:type="spellEnd"/>
      <w:r w:rsidRPr="00580C0D">
        <w:t xml:space="preserve"> for å nå </w:t>
      </w:r>
      <w:proofErr w:type="spellStart"/>
      <w:r w:rsidRPr="00580C0D">
        <w:t>eit</w:t>
      </w:r>
      <w:proofErr w:type="spellEnd"/>
      <w:r w:rsidRPr="00580C0D">
        <w:t xml:space="preserve"> mål om 8 </w:t>
      </w:r>
      <w:proofErr w:type="spellStart"/>
      <w:r w:rsidRPr="00580C0D">
        <w:t>TWh</w:t>
      </w:r>
      <w:proofErr w:type="spellEnd"/>
      <w:r w:rsidRPr="00580C0D">
        <w:t xml:space="preserve"> solenergi mot 2030, kva for </w:t>
      </w:r>
      <w:proofErr w:type="spellStart"/>
      <w:r w:rsidRPr="00580C0D">
        <w:t>verkemiddel</w:t>
      </w:r>
      <w:proofErr w:type="spellEnd"/>
      <w:r w:rsidRPr="00580C0D">
        <w:t xml:space="preserve"> som kan bidra til å oppfylle </w:t>
      </w:r>
      <w:proofErr w:type="spellStart"/>
      <w:r w:rsidRPr="00580C0D">
        <w:t>eit</w:t>
      </w:r>
      <w:proofErr w:type="spellEnd"/>
      <w:r w:rsidRPr="00580C0D">
        <w:t xml:space="preserve"> slikt mål, og kva som er </w:t>
      </w:r>
      <w:proofErr w:type="spellStart"/>
      <w:r w:rsidRPr="00580C0D">
        <w:t>sannsynleg</w:t>
      </w:r>
      <w:proofErr w:type="spellEnd"/>
      <w:r w:rsidRPr="00580C0D">
        <w:t xml:space="preserve"> utbygging av solenergi mot 2030 med dagens politikk.</w:t>
      </w:r>
    </w:p>
    <w:p w14:paraId="7C268436" w14:textId="77777777" w:rsidR="00F7113A" w:rsidRPr="00580C0D" w:rsidRDefault="00142E5B" w:rsidP="00580C0D">
      <w:r w:rsidRPr="00580C0D">
        <w:t>Departementet vil komme tilbake til Stortinget på eigna måte.</w:t>
      </w:r>
    </w:p>
    <w:p w14:paraId="6CAB133C" w14:textId="77777777" w:rsidR="00F7113A" w:rsidRPr="00580C0D" w:rsidRDefault="00142E5B" w:rsidP="00580C0D">
      <w:pPr>
        <w:pStyle w:val="avsnitt-tittel"/>
      </w:pPr>
      <w:r w:rsidRPr="00580C0D">
        <w:t xml:space="preserve">Solkraft – deling med </w:t>
      </w:r>
      <w:proofErr w:type="spellStart"/>
      <w:r w:rsidRPr="00580C0D">
        <w:t>høgare</w:t>
      </w:r>
      <w:proofErr w:type="spellEnd"/>
      <w:r w:rsidRPr="00580C0D">
        <w:t xml:space="preserve"> grense enn 1 MW</w:t>
      </w:r>
    </w:p>
    <w:p w14:paraId="7A0DDC4E" w14:textId="77777777" w:rsidR="00F7113A" w:rsidRPr="00580C0D" w:rsidRDefault="00142E5B" w:rsidP="00580C0D">
      <w:pPr>
        <w:pStyle w:val="avsnitt-undertittel"/>
      </w:pPr>
      <w:r w:rsidRPr="00580C0D">
        <w:t>Vedtak 924, 16. juni 2023</w:t>
      </w:r>
    </w:p>
    <w:p w14:paraId="00C991C1" w14:textId="77777777" w:rsidR="00F7113A" w:rsidRPr="00580C0D" w:rsidRDefault="00142E5B" w:rsidP="00580C0D">
      <w:pPr>
        <w:pStyle w:val="blokksit"/>
      </w:pPr>
      <w:r w:rsidRPr="00580C0D">
        <w:t>«</w:t>
      </w:r>
      <w:r w:rsidRPr="00580C0D">
        <w:rPr>
          <w:rStyle w:val="kursiv"/>
        </w:rPr>
        <w:t>Stortinget ber regjeringen lage en delingsordning tilpasset næringsområder som muliggjør deling av solkraft med høyere grense enn 1 MW.</w:t>
      </w:r>
      <w:r w:rsidRPr="00580C0D">
        <w:t>»</w:t>
      </w:r>
    </w:p>
    <w:p w14:paraId="4FE93E80" w14:textId="77777777" w:rsidR="00F7113A" w:rsidRPr="00580C0D" w:rsidRDefault="00142E5B" w:rsidP="00580C0D">
      <w:r w:rsidRPr="00580C0D">
        <w:t xml:space="preserve">Dokumenta som ligg til grunn for vedtaket er Meld. St. 2 (2022–2023) og </w:t>
      </w:r>
      <w:proofErr w:type="spellStart"/>
      <w:r w:rsidRPr="00580C0D">
        <w:t>Innst</w:t>
      </w:r>
      <w:proofErr w:type="spellEnd"/>
      <w:r w:rsidRPr="00580C0D">
        <w:t>. 490 S (2022–2023).</w:t>
      </w:r>
    </w:p>
    <w:p w14:paraId="420FA6D8" w14:textId="77777777" w:rsidR="00F7113A" w:rsidRPr="00580C0D" w:rsidRDefault="00142E5B" w:rsidP="00580C0D">
      <w:r w:rsidRPr="00580C0D">
        <w:t xml:space="preserve">Departementet har i oppfølginga av vedtaket bedt RME, med </w:t>
      </w:r>
      <w:proofErr w:type="spellStart"/>
      <w:r w:rsidRPr="00580C0D">
        <w:t>innspel</w:t>
      </w:r>
      <w:proofErr w:type="spellEnd"/>
      <w:r w:rsidRPr="00580C0D">
        <w:t xml:space="preserve"> </w:t>
      </w:r>
      <w:proofErr w:type="spellStart"/>
      <w:r w:rsidRPr="00580C0D">
        <w:t>frå</w:t>
      </w:r>
      <w:proofErr w:type="spellEnd"/>
      <w:r w:rsidRPr="00580C0D">
        <w:t xml:space="preserve"> NVE, om å vurdere ei delingsordning tilpassa næringsområde, slik at deling av eigenprodusert </w:t>
      </w:r>
      <w:proofErr w:type="spellStart"/>
      <w:r w:rsidRPr="00580C0D">
        <w:t>straum</w:t>
      </w:r>
      <w:proofErr w:type="spellEnd"/>
      <w:r w:rsidRPr="00580C0D">
        <w:t xml:space="preserve"> mellom </w:t>
      </w:r>
      <w:proofErr w:type="spellStart"/>
      <w:r w:rsidRPr="00580C0D">
        <w:t>straumkundar</w:t>
      </w:r>
      <w:proofErr w:type="spellEnd"/>
      <w:r w:rsidRPr="00580C0D">
        <w:t xml:space="preserve"> utover vedtatt ordning kan </w:t>
      </w:r>
      <w:proofErr w:type="spellStart"/>
      <w:r w:rsidRPr="00580C0D">
        <w:t>gjerast</w:t>
      </w:r>
      <w:proofErr w:type="spellEnd"/>
      <w:r w:rsidRPr="00580C0D">
        <w:t xml:space="preserve"> på </w:t>
      </w:r>
      <w:proofErr w:type="spellStart"/>
      <w:r w:rsidRPr="00580C0D">
        <w:t>ein</w:t>
      </w:r>
      <w:proofErr w:type="spellEnd"/>
      <w:r w:rsidRPr="00580C0D">
        <w:t xml:space="preserve"> samfunnsmessig rasjonell måte. Deling </w:t>
      </w:r>
      <w:proofErr w:type="spellStart"/>
      <w:r w:rsidRPr="00580C0D">
        <w:t>frå</w:t>
      </w:r>
      <w:proofErr w:type="spellEnd"/>
      <w:r w:rsidRPr="00580C0D">
        <w:t xml:space="preserve"> anlegg med </w:t>
      </w:r>
      <w:proofErr w:type="spellStart"/>
      <w:r w:rsidRPr="00580C0D">
        <w:t>meir</w:t>
      </w:r>
      <w:proofErr w:type="spellEnd"/>
      <w:r w:rsidRPr="00580C0D">
        <w:t xml:space="preserve"> enn 1 MW installert effekt skal inngå i vurderinga.</w:t>
      </w:r>
    </w:p>
    <w:p w14:paraId="6D807273" w14:textId="77777777" w:rsidR="00F7113A" w:rsidRPr="00580C0D" w:rsidRDefault="00142E5B" w:rsidP="00580C0D">
      <w:r w:rsidRPr="00580C0D">
        <w:t>Departementet vil komme tilbake til Stortinget på eigna måte.</w:t>
      </w:r>
    </w:p>
    <w:p w14:paraId="73B398A4" w14:textId="77777777" w:rsidR="00F7113A" w:rsidRPr="00580C0D" w:rsidRDefault="00142E5B" w:rsidP="00580C0D">
      <w:pPr>
        <w:pStyle w:val="avsnitt-tittel"/>
      </w:pPr>
      <w:proofErr w:type="spellStart"/>
      <w:r w:rsidRPr="00580C0D">
        <w:t>Solenergiparkar</w:t>
      </w:r>
      <w:proofErr w:type="spellEnd"/>
      <w:r w:rsidRPr="00580C0D">
        <w:t xml:space="preserve"> – fjerne konsesjonsplikt for enkeltprosjekt med lågt konfliktnivå</w:t>
      </w:r>
    </w:p>
    <w:p w14:paraId="4BF3B6F3" w14:textId="77777777" w:rsidR="00F7113A" w:rsidRPr="00580C0D" w:rsidRDefault="00142E5B" w:rsidP="00580C0D">
      <w:pPr>
        <w:pStyle w:val="avsnitt-undertittel"/>
      </w:pPr>
      <w:r w:rsidRPr="00580C0D">
        <w:t>Vedtak 925, 16. juni 2023</w:t>
      </w:r>
    </w:p>
    <w:p w14:paraId="5FBE6D5B" w14:textId="77777777" w:rsidR="00F7113A" w:rsidRPr="00580C0D" w:rsidRDefault="00142E5B" w:rsidP="00580C0D">
      <w:pPr>
        <w:pStyle w:val="blokksit"/>
      </w:pPr>
      <w:r w:rsidRPr="00580C0D">
        <w:t>«</w:t>
      </w:r>
      <w:r w:rsidRPr="00580C0D">
        <w:rPr>
          <w:rStyle w:val="kursiv"/>
        </w:rPr>
        <w:t>Stortinget ber regjeringen gi NVE mulighet til å unnta enkeltprosjekter med solparker med lavt konfliktnivå i grå areal fra konsesjonsplikt, slik at tillatelser kan gis av kommunene etter plan- og bygningsloven.</w:t>
      </w:r>
      <w:r w:rsidRPr="00580C0D">
        <w:t>»</w:t>
      </w:r>
    </w:p>
    <w:p w14:paraId="2776172C" w14:textId="77777777" w:rsidR="00F7113A" w:rsidRPr="00580C0D" w:rsidRDefault="00142E5B" w:rsidP="00580C0D">
      <w:r w:rsidRPr="00580C0D">
        <w:t xml:space="preserve">Dokumenta som ligg til grunn for vedtaket er Meld. St. 2 (2022–2023) og </w:t>
      </w:r>
      <w:proofErr w:type="spellStart"/>
      <w:r w:rsidRPr="00580C0D">
        <w:t>Innst</w:t>
      </w:r>
      <w:proofErr w:type="spellEnd"/>
      <w:r w:rsidRPr="00580C0D">
        <w:t>. 490 S (2022–2023).</w:t>
      </w:r>
    </w:p>
    <w:p w14:paraId="7863C806" w14:textId="77777777" w:rsidR="00F7113A" w:rsidRPr="00580C0D" w:rsidRDefault="00142E5B" w:rsidP="00580C0D">
      <w:r w:rsidRPr="00580C0D">
        <w:t xml:space="preserve">Departementet har i oppfølginga av vedtaket bedt NVE om å vurdere unntak </w:t>
      </w:r>
      <w:proofErr w:type="spellStart"/>
      <w:r w:rsidRPr="00580C0D">
        <w:t>frå</w:t>
      </w:r>
      <w:proofErr w:type="spellEnd"/>
      <w:r w:rsidRPr="00580C0D">
        <w:t xml:space="preserve"> konsesjonsplikt etter energilova for mindre kraftproduksjonsanlegg på grå areal, slik som nærings- og industriområde. Departementet ber NVE samtidig om å utarbeide utkast til nødvendige lov- og </w:t>
      </w:r>
      <w:proofErr w:type="spellStart"/>
      <w:r w:rsidRPr="00580C0D">
        <w:t>forskriftsendringar</w:t>
      </w:r>
      <w:proofErr w:type="spellEnd"/>
      <w:r w:rsidRPr="00580C0D">
        <w:t>.</w:t>
      </w:r>
    </w:p>
    <w:p w14:paraId="26FD949A" w14:textId="77777777" w:rsidR="00F7113A" w:rsidRPr="00580C0D" w:rsidRDefault="00142E5B" w:rsidP="00580C0D">
      <w:r w:rsidRPr="00580C0D">
        <w:t xml:space="preserve">Departementet vil fremme eventuelle forslag til </w:t>
      </w:r>
      <w:proofErr w:type="spellStart"/>
      <w:r w:rsidRPr="00580C0D">
        <w:t>lovendringar</w:t>
      </w:r>
      <w:proofErr w:type="spellEnd"/>
      <w:r w:rsidRPr="00580C0D">
        <w:t xml:space="preserve"> for Stortinget.</w:t>
      </w:r>
    </w:p>
    <w:p w14:paraId="693AACB0" w14:textId="77777777" w:rsidR="00F7113A" w:rsidRPr="00580C0D" w:rsidRDefault="00142E5B" w:rsidP="00580C0D">
      <w:pPr>
        <w:pStyle w:val="avsnitt-tittel"/>
      </w:pPr>
      <w:proofErr w:type="spellStart"/>
      <w:r w:rsidRPr="00580C0D">
        <w:t>Solenergiparkar</w:t>
      </w:r>
      <w:proofErr w:type="spellEnd"/>
      <w:r w:rsidRPr="00580C0D">
        <w:t xml:space="preserve"> – fjerne konsesjonsplikt opp til 1 MW</w:t>
      </w:r>
    </w:p>
    <w:p w14:paraId="0AFFC67D" w14:textId="77777777" w:rsidR="00F7113A" w:rsidRPr="00580C0D" w:rsidRDefault="00142E5B" w:rsidP="00580C0D">
      <w:pPr>
        <w:pStyle w:val="avsnitt-undertittel"/>
      </w:pPr>
      <w:r w:rsidRPr="00580C0D">
        <w:t>Vedtak 926, 16. juni 2023</w:t>
      </w:r>
    </w:p>
    <w:p w14:paraId="116E6821" w14:textId="77777777" w:rsidR="00F7113A" w:rsidRPr="00580C0D" w:rsidRDefault="00142E5B" w:rsidP="00580C0D">
      <w:pPr>
        <w:pStyle w:val="blokksit"/>
      </w:pPr>
      <w:r w:rsidRPr="00580C0D">
        <w:t>«</w:t>
      </w:r>
      <w:r w:rsidRPr="00580C0D">
        <w:rPr>
          <w:rStyle w:val="kursiv"/>
        </w:rPr>
        <w:t>Stortinget ber regjeringen i løpet av 2023 fjerne konsesjonsplikt for solparker opp til 1 MW på grå areal, slik at tillatelser gis av kommunene etter plan- og bygningsloven.</w:t>
      </w:r>
      <w:r w:rsidRPr="00580C0D">
        <w:t>»</w:t>
      </w:r>
    </w:p>
    <w:p w14:paraId="539D6EBD" w14:textId="77777777" w:rsidR="00F7113A" w:rsidRPr="00580C0D" w:rsidRDefault="00142E5B" w:rsidP="00580C0D">
      <w:r w:rsidRPr="00580C0D">
        <w:t xml:space="preserve">Dokumenta som ligg til grunn for vedtaket er Meld. St. 2 (2022–2023) og </w:t>
      </w:r>
      <w:proofErr w:type="spellStart"/>
      <w:r w:rsidRPr="00580C0D">
        <w:t>Innst</w:t>
      </w:r>
      <w:proofErr w:type="spellEnd"/>
      <w:r w:rsidRPr="00580C0D">
        <w:t>. 490 S (2022–2023).</w:t>
      </w:r>
    </w:p>
    <w:p w14:paraId="59AE1DB4" w14:textId="77777777" w:rsidR="00F7113A" w:rsidRPr="00580C0D" w:rsidRDefault="00142E5B" w:rsidP="00580C0D">
      <w:r w:rsidRPr="00580C0D">
        <w:t xml:space="preserve">Departementet har i oppfølginga av vedtaket bedt NVE om å utarbeide </w:t>
      </w:r>
      <w:proofErr w:type="spellStart"/>
      <w:r w:rsidRPr="00580C0D">
        <w:t>eit</w:t>
      </w:r>
      <w:proofErr w:type="spellEnd"/>
      <w:r w:rsidRPr="00580C0D">
        <w:t xml:space="preserve"> utkast til nødvendige lov- og </w:t>
      </w:r>
      <w:proofErr w:type="spellStart"/>
      <w:r w:rsidRPr="00580C0D">
        <w:t>forskriftsendringar</w:t>
      </w:r>
      <w:proofErr w:type="spellEnd"/>
      <w:r w:rsidRPr="00580C0D">
        <w:t xml:space="preserve"> for å fastsette ei nedre effektgrense for konsesjonsplikt for solkraftanlegg på 1 </w:t>
      </w:r>
      <w:proofErr w:type="spellStart"/>
      <w:r w:rsidRPr="00580C0D">
        <w:t>MWp</w:t>
      </w:r>
      <w:proofErr w:type="spellEnd"/>
      <w:r w:rsidRPr="00580C0D">
        <w:t xml:space="preserve"> eller </w:t>
      </w:r>
      <w:proofErr w:type="spellStart"/>
      <w:r w:rsidRPr="00580C0D">
        <w:t>høgare</w:t>
      </w:r>
      <w:proofErr w:type="spellEnd"/>
      <w:r w:rsidRPr="00580C0D">
        <w:t xml:space="preserve">. Ei slik effektgrense vil bety at spørsmål om løyve til anlegg under grensa skal </w:t>
      </w:r>
      <w:proofErr w:type="spellStart"/>
      <w:r w:rsidRPr="00580C0D">
        <w:t>behandlast</w:t>
      </w:r>
      <w:proofErr w:type="spellEnd"/>
      <w:r w:rsidRPr="00580C0D">
        <w:t xml:space="preserve"> av vertskommunen etter plan- og bygningslova.</w:t>
      </w:r>
    </w:p>
    <w:p w14:paraId="07B66274" w14:textId="77777777" w:rsidR="00F7113A" w:rsidRPr="00580C0D" w:rsidRDefault="00142E5B" w:rsidP="00580C0D">
      <w:r w:rsidRPr="00580C0D">
        <w:t xml:space="preserve">Departementet vil fremme eventuelle forslag til </w:t>
      </w:r>
      <w:proofErr w:type="spellStart"/>
      <w:r w:rsidRPr="00580C0D">
        <w:t>lovendringar</w:t>
      </w:r>
      <w:proofErr w:type="spellEnd"/>
      <w:r w:rsidRPr="00580C0D">
        <w:t xml:space="preserve"> for Stortinget.</w:t>
      </w:r>
    </w:p>
    <w:p w14:paraId="7AEBAA5E" w14:textId="77777777" w:rsidR="00F7113A" w:rsidRPr="00580C0D" w:rsidRDefault="00142E5B" w:rsidP="00580C0D">
      <w:pPr>
        <w:pStyle w:val="Overskrift2"/>
      </w:pPr>
      <w:r w:rsidRPr="00580C0D">
        <w:t>Stortingssesjon 2021–2022</w:t>
      </w:r>
    </w:p>
    <w:p w14:paraId="3DF3DB20" w14:textId="77777777" w:rsidR="00F7113A" w:rsidRPr="00580C0D" w:rsidRDefault="00142E5B" w:rsidP="00580C0D">
      <w:pPr>
        <w:pStyle w:val="avsnitt-tittel"/>
      </w:pPr>
      <w:r w:rsidRPr="00580C0D">
        <w:t xml:space="preserve">Redusere energibruken i bygg med minst 10 </w:t>
      </w:r>
      <w:proofErr w:type="spellStart"/>
      <w:r w:rsidRPr="00580C0D">
        <w:t>TWh</w:t>
      </w:r>
      <w:proofErr w:type="spellEnd"/>
      <w:r w:rsidRPr="00580C0D">
        <w:t xml:space="preserve"> og </w:t>
      </w:r>
      <w:proofErr w:type="spellStart"/>
      <w:r w:rsidRPr="00580C0D">
        <w:t>auke</w:t>
      </w:r>
      <w:proofErr w:type="spellEnd"/>
      <w:r w:rsidRPr="00580C0D">
        <w:t xml:space="preserve"> straumproduksjonen i bygg</w:t>
      </w:r>
    </w:p>
    <w:p w14:paraId="4F2A2195" w14:textId="77777777" w:rsidR="00F7113A" w:rsidRPr="00580C0D" w:rsidRDefault="00142E5B" w:rsidP="00580C0D">
      <w:pPr>
        <w:pStyle w:val="avsnitt-undertittel"/>
      </w:pPr>
      <w:r w:rsidRPr="00580C0D">
        <w:t>Vedtak 35-5, 2. desember 2021</w:t>
      </w:r>
    </w:p>
    <w:p w14:paraId="1E572B7F" w14:textId="77777777" w:rsidR="00F7113A" w:rsidRPr="00580C0D" w:rsidRDefault="00142E5B" w:rsidP="00580C0D">
      <w:pPr>
        <w:pStyle w:val="blokksit"/>
      </w:pPr>
      <w:r w:rsidRPr="00580C0D">
        <w:t>«</w:t>
      </w:r>
      <w:r w:rsidRPr="00580C0D">
        <w:rPr>
          <w:rStyle w:val="kursiv"/>
        </w:rPr>
        <w:t xml:space="preserve">Stortinget ber regjeringen utarbeide en plan med et sett tiltak som skal redusere energibruken i bygg med minst 10 </w:t>
      </w:r>
      <w:proofErr w:type="spellStart"/>
      <w:r w:rsidRPr="00580C0D">
        <w:rPr>
          <w:rStyle w:val="kursiv"/>
        </w:rPr>
        <w:t>TWh</w:t>
      </w:r>
      <w:proofErr w:type="spellEnd"/>
      <w:r w:rsidRPr="00580C0D">
        <w:rPr>
          <w:rStyle w:val="kursiv"/>
        </w:rPr>
        <w:t xml:space="preserve"> i 2030, og øke strømproduksjonen i bygg. Planen skal presenteres i forbindelse med statsbudsjettet 2023.</w:t>
      </w:r>
      <w:r w:rsidRPr="00580C0D">
        <w:t>»</w:t>
      </w:r>
    </w:p>
    <w:p w14:paraId="112C5CDD" w14:textId="77777777" w:rsidR="00F7113A" w:rsidRPr="00580C0D" w:rsidRDefault="00142E5B" w:rsidP="00580C0D">
      <w:r w:rsidRPr="00580C0D">
        <w:t xml:space="preserve">Dokumenta som ligg til grunn for vedtaket er Meld. St. 1 (2021–2022) og </w:t>
      </w:r>
      <w:proofErr w:type="spellStart"/>
      <w:r w:rsidRPr="00580C0D">
        <w:t>Innst</w:t>
      </w:r>
      <w:proofErr w:type="spellEnd"/>
      <w:r w:rsidRPr="00580C0D">
        <w:t>. 2 S (2021–2022).</w:t>
      </w:r>
    </w:p>
    <w:p w14:paraId="6DF346D3" w14:textId="77777777" w:rsidR="00F7113A" w:rsidRPr="00580C0D" w:rsidRDefault="00142E5B" w:rsidP="00580C0D">
      <w:r w:rsidRPr="00580C0D">
        <w:t xml:space="preserve">Departementet viser til omtale i </w:t>
      </w:r>
      <w:proofErr w:type="spellStart"/>
      <w:r w:rsidRPr="00580C0D">
        <w:t>Prop</w:t>
      </w:r>
      <w:proofErr w:type="spellEnd"/>
      <w:r w:rsidRPr="00580C0D">
        <w:t xml:space="preserve">. 1 S (2022–2023), punkt 10 Mål om 10 </w:t>
      </w:r>
      <w:proofErr w:type="spellStart"/>
      <w:r w:rsidRPr="00580C0D">
        <w:t>TWh</w:t>
      </w:r>
      <w:proofErr w:type="spellEnd"/>
      <w:r w:rsidRPr="00580C0D">
        <w:t xml:space="preserve"> redusert energibruk i bygg </w:t>
      </w:r>
      <w:proofErr w:type="spellStart"/>
      <w:r w:rsidRPr="00580C0D">
        <w:t>innan</w:t>
      </w:r>
      <w:proofErr w:type="spellEnd"/>
      <w:r w:rsidRPr="00580C0D">
        <w:t xml:space="preserve"> 2030, i Del III av proposisjonen, der det blir presentert </w:t>
      </w:r>
      <w:proofErr w:type="spellStart"/>
      <w:r w:rsidRPr="00580C0D">
        <w:t>ein</w:t>
      </w:r>
      <w:proofErr w:type="spellEnd"/>
      <w:r w:rsidRPr="00580C0D">
        <w:t xml:space="preserve"> plan og </w:t>
      </w:r>
      <w:proofErr w:type="spellStart"/>
      <w:r w:rsidRPr="00580C0D">
        <w:t>eit</w:t>
      </w:r>
      <w:proofErr w:type="spellEnd"/>
      <w:r w:rsidRPr="00580C0D">
        <w:t xml:space="preserve"> sett med tiltak som skal redusere energibruken i bygg med minst 10 </w:t>
      </w:r>
      <w:proofErr w:type="spellStart"/>
      <w:r w:rsidRPr="00580C0D">
        <w:t>TWh</w:t>
      </w:r>
      <w:proofErr w:type="spellEnd"/>
      <w:r w:rsidRPr="00580C0D">
        <w:t xml:space="preserve"> i 2030 og </w:t>
      </w:r>
      <w:proofErr w:type="spellStart"/>
      <w:r w:rsidRPr="00580C0D">
        <w:t>auke</w:t>
      </w:r>
      <w:proofErr w:type="spellEnd"/>
      <w:r w:rsidRPr="00580C0D">
        <w:t xml:space="preserve"> straumproduksjonen i bygg.</w:t>
      </w:r>
    </w:p>
    <w:p w14:paraId="28F103DD" w14:textId="77777777" w:rsidR="00F7113A" w:rsidRPr="00580C0D" w:rsidRDefault="00142E5B" w:rsidP="00580C0D">
      <w:r w:rsidRPr="00580C0D">
        <w:t xml:space="preserve">I </w:t>
      </w:r>
      <w:proofErr w:type="spellStart"/>
      <w:r w:rsidRPr="00580C0D">
        <w:t>Innst</w:t>
      </w:r>
      <w:proofErr w:type="spellEnd"/>
      <w:r w:rsidRPr="00580C0D">
        <w:t xml:space="preserve">. 186 S (2022–2023) meiner </w:t>
      </w:r>
      <w:proofErr w:type="spellStart"/>
      <w:r w:rsidRPr="00580C0D">
        <w:t>fleirtalet</w:t>
      </w:r>
      <w:proofErr w:type="spellEnd"/>
      <w:r w:rsidRPr="00580C0D">
        <w:t xml:space="preserve"> i kontroll- og konstitusjonskomiteen at det er grunn til å sette </w:t>
      </w:r>
      <w:proofErr w:type="spellStart"/>
      <w:r w:rsidRPr="00580C0D">
        <w:t>spørsmålsteikn</w:t>
      </w:r>
      <w:proofErr w:type="spellEnd"/>
      <w:r w:rsidRPr="00580C0D">
        <w:t xml:space="preserve"> ved om tiltaka som blir presenterte, er </w:t>
      </w:r>
      <w:proofErr w:type="spellStart"/>
      <w:r w:rsidRPr="00580C0D">
        <w:t>tilstrekkelege</w:t>
      </w:r>
      <w:proofErr w:type="spellEnd"/>
      <w:r w:rsidRPr="00580C0D">
        <w:t xml:space="preserve"> for å nå Stortingets mål. </w:t>
      </w:r>
      <w:proofErr w:type="spellStart"/>
      <w:r w:rsidRPr="00580C0D">
        <w:t>Fleirtalet</w:t>
      </w:r>
      <w:proofErr w:type="spellEnd"/>
      <w:r w:rsidRPr="00580C0D">
        <w:t xml:space="preserve"> meiner derfor oppmodingsvedtaket </w:t>
      </w:r>
      <w:proofErr w:type="spellStart"/>
      <w:r w:rsidRPr="00580C0D">
        <w:t>ikkje</w:t>
      </w:r>
      <w:proofErr w:type="spellEnd"/>
      <w:r w:rsidRPr="00580C0D">
        <w:t xml:space="preserve"> kan kvitterast ut og rapportering </w:t>
      </w:r>
      <w:proofErr w:type="spellStart"/>
      <w:r w:rsidRPr="00580C0D">
        <w:t>ikkje</w:t>
      </w:r>
      <w:proofErr w:type="spellEnd"/>
      <w:r w:rsidRPr="00580C0D">
        <w:t xml:space="preserve"> kan </w:t>
      </w:r>
      <w:proofErr w:type="spellStart"/>
      <w:r w:rsidRPr="00580C0D">
        <w:t>avsluttast</w:t>
      </w:r>
      <w:proofErr w:type="spellEnd"/>
      <w:r w:rsidRPr="00580C0D">
        <w:t xml:space="preserve"> før tiltak som er eigna til å nå målet, er presenterte for Stortinget.</w:t>
      </w:r>
    </w:p>
    <w:p w14:paraId="412E0ED3" w14:textId="53799538" w:rsidR="00F7113A" w:rsidRPr="00580C0D" w:rsidRDefault="00142E5B" w:rsidP="00580C0D">
      <w:r w:rsidRPr="00580C0D">
        <w:t xml:space="preserve">Departementet viser til at regjeringa </w:t>
      </w:r>
      <w:proofErr w:type="spellStart"/>
      <w:r w:rsidRPr="00580C0D">
        <w:t>legg</w:t>
      </w:r>
      <w:proofErr w:type="spellEnd"/>
      <w:r w:rsidRPr="00580C0D">
        <w:t xml:space="preserve"> fram </w:t>
      </w:r>
      <w:proofErr w:type="spellStart"/>
      <w:r w:rsidRPr="00580C0D">
        <w:t>ein</w:t>
      </w:r>
      <w:proofErr w:type="spellEnd"/>
      <w:r w:rsidRPr="00580C0D">
        <w:t xml:space="preserve"> handlingsplan for energieffektivisering i alle </w:t>
      </w:r>
      <w:proofErr w:type="spellStart"/>
      <w:r w:rsidRPr="00580C0D">
        <w:t>delar</w:t>
      </w:r>
      <w:proofErr w:type="spellEnd"/>
      <w:r w:rsidRPr="00580C0D">
        <w:t xml:space="preserve"> av norsk økonomi som har stor </w:t>
      </w:r>
      <w:proofErr w:type="spellStart"/>
      <w:r w:rsidRPr="00580C0D">
        <w:t>merksemd</w:t>
      </w:r>
      <w:proofErr w:type="spellEnd"/>
      <w:r w:rsidRPr="00580C0D">
        <w:t xml:space="preserve"> på redusert energibruk i bygg. Departementet viser også til omtale og forslag til tiltak og </w:t>
      </w:r>
      <w:proofErr w:type="spellStart"/>
      <w:r w:rsidRPr="00580C0D">
        <w:t>løyvingar</w:t>
      </w:r>
      <w:proofErr w:type="spellEnd"/>
      <w:r w:rsidRPr="00580C0D">
        <w:t xml:space="preserve"> under kap. 1825 Energieffektivisering og </w:t>
      </w:r>
      <w:r w:rsidR="00580C0D">
        <w:t>-</w:t>
      </w:r>
      <w:r w:rsidRPr="00580C0D">
        <w:t>omlegging.</w:t>
      </w:r>
    </w:p>
    <w:p w14:paraId="1EFB90D1"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33EF6570" w14:textId="77777777" w:rsidR="00F7113A" w:rsidRPr="00580C0D" w:rsidRDefault="00142E5B" w:rsidP="00580C0D">
      <w:pPr>
        <w:pStyle w:val="avsnitt-tittel"/>
      </w:pPr>
      <w:proofErr w:type="spellStart"/>
      <w:r w:rsidRPr="00580C0D">
        <w:t>Klimavennleg</w:t>
      </w:r>
      <w:proofErr w:type="spellEnd"/>
      <w:r w:rsidRPr="00580C0D">
        <w:t xml:space="preserve"> kraftbehov for næringsutvikling i Geiranger, Nærøyfjorden og </w:t>
      </w:r>
      <w:proofErr w:type="spellStart"/>
      <w:r w:rsidRPr="00580C0D">
        <w:t>tilhøyrande</w:t>
      </w:r>
      <w:proofErr w:type="spellEnd"/>
      <w:r w:rsidRPr="00580C0D">
        <w:t xml:space="preserve"> ferjesamband</w:t>
      </w:r>
    </w:p>
    <w:p w14:paraId="0213466B" w14:textId="77777777" w:rsidR="00F7113A" w:rsidRPr="00580C0D" w:rsidRDefault="00142E5B" w:rsidP="00580C0D">
      <w:pPr>
        <w:pStyle w:val="avsnitt-undertittel"/>
      </w:pPr>
      <w:r w:rsidRPr="00580C0D">
        <w:t>Vedtak 385, 15. februar 2022</w:t>
      </w:r>
    </w:p>
    <w:p w14:paraId="38812A59" w14:textId="77777777" w:rsidR="00F7113A" w:rsidRPr="00580C0D" w:rsidRDefault="00142E5B" w:rsidP="00580C0D">
      <w:pPr>
        <w:pStyle w:val="blokksit"/>
      </w:pPr>
      <w:r w:rsidRPr="00580C0D">
        <w:t>«</w:t>
      </w:r>
      <w:r w:rsidRPr="00580C0D">
        <w:rPr>
          <w:rStyle w:val="kursiv"/>
        </w:rPr>
        <w:t xml:space="preserve">Stortinget ber regjeringa vurdere kva kraftbehov som </w:t>
      </w:r>
      <w:proofErr w:type="spellStart"/>
      <w:r w:rsidRPr="00580C0D">
        <w:rPr>
          <w:rStyle w:val="kursiv"/>
        </w:rPr>
        <w:t>fylgjer</w:t>
      </w:r>
      <w:proofErr w:type="spellEnd"/>
      <w:r w:rsidRPr="00580C0D">
        <w:rPr>
          <w:rStyle w:val="kursiv"/>
        </w:rPr>
        <w:t xml:space="preserve"> av målet om næringsutvikling i verdsarvområda Geiranger og Nærøyfjorden og ferjesambanda der, </w:t>
      </w:r>
      <w:proofErr w:type="spellStart"/>
      <w:r w:rsidRPr="00580C0D">
        <w:rPr>
          <w:rStyle w:val="kursiv"/>
        </w:rPr>
        <w:t>utan</w:t>
      </w:r>
      <w:proofErr w:type="spellEnd"/>
      <w:r w:rsidRPr="00580C0D">
        <w:rPr>
          <w:rStyle w:val="kursiv"/>
        </w:rPr>
        <w:t xml:space="preserve"> klimagassutslepp, og </w:t>
      </w:r>
      <w:proofErr w:type="spellStart"/>
      <w:r w:rsidRPr="00580C0D">
        <w:rPr>
          <w:rStyle w:val="kursiv"/>
        </w:rPr>
        <w:t>kome</w:t>
      </w:r>
      <w:proofErr w:type="spellEnd"/>
      <w:r w:rsidRPr="00580C0D">
        <w:rPr>
          <w:rStyle w:val="kursiv"/>
        </w:rPr>
        <w:t xml:space="preserve"> attende til Stortinget med ei sak om korleis regjeringa kan </w:t>
      </w:r>
      <w:proofErr w:type="spellStart"/>
      <w:r w:rsidRPr="00580C0D">
        <w:rPr>
          <w:rStyle w:val="kursiv"/>
        </w:rPr>
        <w:t>medverke</w:t>
      </w:r>
      <w:proofErr w:type="spellEnd"/>
      <w:r w:rsidRPr="00580C0D">
        <w:rPr>
          <w:rStyle w:val="kursiv"/>
        </w:rPr>
        <w:t xml:space="preserve"> til at kraftbehovet vert dekt.</w:t>
      </w:r>
      <w:r w:rsidRPr="00580C0D">
        <w:t>»</w:t>
      </w:r>
    </w:p>
    <w:p w14:paraId="4E426A01" w14:textId="77777777" w:rsidR="00F7113A" w:rsidRPr="00580C0D" w:rsidRDefault="00142E5B" w:rsidP="00580C0D">
      <w:r w:rsidRPr="00580C0D">
        <w:t xml:space="preserve">Dokumenta som ligg til grunn for vedtaket er Dokument 8:30 S (2021–2022) og </w:t>
      </w:r>
      <w:proofErr w:type="spellStart"/>
      <w:r w:rsidRPr="00580C0D">
        <w:t>Innst</w:t>
      </w:r>
      <w:proofErr w:type="spellEnd"/>
      <w:r w:rsidRPr="00580C0D">
        <w:t>. 135 S (2021–2022).</w:t>
      </w:r>
    </w:p>
    <w:p w14:paraId="64E998C1" w14:textId="77777777" w:rsidR="00F7113A" w:rsidRPr="00580C0D" w:rsidRDefault="00142E5B" w:rsidP="00580C0D">
      <w:r w:rsidRPr="00580C0D">
        <w:t xml:space="preserve">På oppdrag </w:t>
      </w:r>
      <w:proofErr w:type="spellStart"/>
      <w:r w:rsidRPr="00580C0D">
        <w:t>frå</w:t>
      </w:r>
      <w:proofErr w:type="spellEnd"/>
      <w:r w:rsidRPr="00580C0D">
        <w:t xml:space="preserve"> Klima- og miljødepartementet (KLD) har Sjøfartsdirektoratet sendt på </w:t>
      </w:r>
      <w:proofErr w:type="spellStart"/>
      <w:r w:rsidRPr="00580C0D">
        <w:t>høyring</w:t>
      </w:r>
      <w:proofErr w:type="spellEnd"/>
      <w:r w:rsidRPr="00580C0D">
        <w:t xml:space="preserve"> </w:t>
      </w:r>
      <w:proofErr w:type="spellStart"/>
      <w:r w:rsidRPr="00580C0D">
        <w:t>eit</w:t>
      </w:r>
      <w:proofErr w:type="spellEnd"/>
      <w:r w:rsidRPr="00580C0D">
        <w:t xml:space="preserve"> forslag om endring av </w:t>
      </w:r>
      <w:r w:rsidRPr="00580C0D">
        <w:rPr>
          <w:rStyle w:val="kursiv"/>
        </w:rPr>
        <w:t>forskrift om miljømessig sikkerhet for skip og flyttbare innretninger</w:t>
      </w:r>
      <w:r w:rsidRPr="00580C0D">
        <w:t xml:space="preserve"> for at </w:t>
      </w:r>
      <w:proofErr w:type="spellStart"/>
      <w:r w:rsidRPr="00580C0D">
        <w:t>verdsarvfjordane</w:t>
      </w:r>
      <w:proofErr w:type="spellEnd"/>
      <w:r w:rsidRPr="00580C0D">
        <w:t xml:space="preserve"> skal </w:t>
      </w:r>
      <w:proofErr w:type="spellStart"/>
      <w:r w:rsidRPr="00580C0D">
        <w:t>vere</w:t>
      </w:r>
      <w:proofErr w:type="spellEnd"/>
      <w:r w:rsidRPr="00580C0D">
        <w:t xml:space="preserve"> utsleppsfrie </w:t>
      </w:r>
      <w:proofErr w:type="spellStart"/>
      <w:r w:rsidRPr="00580C0D">
        <w:t>frå</w:t>
      </w:r>
      <w:proofErr w:type="spellEnd"/>
      <w:r w:rsidRPr="00580C0D">
        <w:t xml:space="preserve"> 2026. Forslaget </w:t>
      </w:r>
      <w:proofErr w:type="spellStart"/>
      <w:r w:rsidRPr="00580C0D">
        <w:t>inneber</w:t>
      </w:r>
      <w:proofErr w:type="spellEnd"/>
      <w:r w:rsidRPr="00580C0D">
        <w:t xml:space="preserve"> ei eiga regulering om utslepp av </w:t>
      </w:r>
      <w:proofErr w:type="spellStart"/>
      <w:r w:rsidRPr="00580C0D">
        <w:t>klimagassane</w:t>
      </w:r>
      <w:proofErr w:type="spellEnd"/>
      <w:r w:rsidRPr="00580C0D">
        <w:t xml:space="preserve"> karbondioksid og metan, og bruk av best </w:t>
      </w:r>
      <w:proofErr w:type="spellStart"/>
      <w:r w:rsidRPr="00580C0D">
        <w:t>tilgjengeleg</w:t>
      </w:r>
      <w:proofErr w:type="spellEnd"/>
      <w:r w:rsidRPr="00580C0D">
        <w:t xml:space="preserve"> teknologi for å redusere utslepp av lystgass. Forslaget er utforma teknologinøytralt slik at det er opptil </w:t>
      </w:r>
      <w:proofErr w:type="spellStart"/>
      <w:r w:rsidRPr="00580C0D">
        <w:t>aktørane</w:t>
      </w:r>
      <w:proofErr w:type="spellEnd"/>
      <w:r w:rsidRPr="00580C0D">
        <w:t xml:space="preserve"> som opererer i </w:t>
      </w:r>
      <w:proofErr w:type="spellStart"/>
      <w:r w:rsidRPr="00580C0D">
        <w:t>verdsarvfjordane</w:t>
      </w:r>
      <w:proofErr w:type="spellEnd"/>
      <w:r w:rsidRPr="00580C0D">
        <w:t xml:space="preserve"> å bruke energikjelder som </w:t>
      </w:r>
      <w:proofErr w:type="spellStart"/>
      <w:r w:rsidRPr="00580C0D">
        <w:t>ikkje</w:t>
      </w:r>
      <w:proofErr w:type="spellEnd"/>
      <w:r w:rsidRPr="00580C0D">
        <w:t xml:space="preserve"> gir direkte utslepp av karbondioksid og metan. Forslaget medfører dermed </w:t>
      </w:r>
      <w:proofErr w:type="spellStart"/>
      <w:r w:rsidRPr="00580C0D">
        <w:t>ikkje</w:t>
      </w:r>
      <w:proofErr w:type="spellEnd"/>
      <w:r w:rsidRPr="00580C0D">
        <w:t xml:space="preserve"> </w:t>
      </w:r>
      <w:proofErr w:type="spellStart"/>
      <w:r w:rsidRPr="00580C0D">
        <w:t>noko</w:t>
      </w:r>
      <w:proofErr w:type="spellEnd"/>
      <w:r w:rsidRPr="00580C0D">
        <w:t xml:space="preserve"> krav om at det må </w:t>
      </w:r>
      <w:proofErr w:type="spellStart"/>
      <w:r w:rsidRPr="00580C0D">
        <w:t>byggjast</w:t>
      </w:r>
      <w:proofErr w:type="spellEnd"/>
      <w:r w:rsidRPr="00580C0D">
        <w:t xml:space="preserve"> ut </w:t>
      </w:r>
      <w:proofErr w:type="spellStart"/>
      <w:r w:rsidRPr="00580C0D">
        <w:t>landstraum</w:t>
      </w:r>
      <w:proofErr w:type="spellEnd"/>
      <w:r w:rsidRPr="00580C0D">
        <w:t xml:space="preserve"> i </w:t>
      </w:r>
      <w:proofErr w:type="spellStart"/>
      <w:r w:rsidRPr="00580C0D">
        <w:t>verdsarvfjordane</w:t>
      </w:r>
      <w:proofErr w:type="spellEnd"/>
      <w:r w:rsidRPr="00580C0D">
        <w:t xml:space="preserve">. Det er foreslått at </w:t>
      </w:r>
      <w:proofErr w:type="spellStart"/>
      <w:r w:rsidRPr="00580C0D">
        <w:t>endringane</w:t>
      </w:r>
      <w:proofErr w:type="spellEnd"/>
      <w:r w:rsidRPr="00580C0D">
        <w:t xml:space="preserve"> skal tre i kraft 1. januar 2026.</w:t>
      </w:r>
    </w:p>
    <w:p w14:paraId="70960FA2" w14:textId="77777777" w:rsidR="00F7113A" w:rsidRPr="00580C0D" w:rsidRDefault="00142E5B" w:rsidP="00580C0D">
      <w:r w:rsidRPr="00580C0D">
        <w:t>Departementet vil komme tilbake til Stortinget på eigna måte.</w:t>
      </w:r>
    </w:p>
    <w:p w14:paraId="47E2ACCB" w14:textId="77777777" w:rsidR="00F7113A" w:rsidRPr="00580C0D" w:rsidRDefault="00142E5B" w:rsidP="00580C0D">
      <w:pPr>
        <w:pStyle w:val="avsnitt-tittel"/>
      </w:pPr>
      <w:r w:rsidRPr="00580C0D">
        <w:t xml:space="preserve">Fjerne regulatoriske </w:t>
      </w:r>
      <w:proofErr w:type="spellStart"/>
      <w:r w:rsidRPr="00580C0D">
        <w:t>barrierar</w:t>
      </w:r>
      <w:proofErr w:type="spellEnd"/>
      <w:r w:rsidRPr="00580C0D">
        <w:t xml:space="preserve"> som </w:t>
      </w:r>
      <w:proofErr w:type="spellStart"/>
      <w:r w:rsidRPr="00580C0D">
        <w:t>hindrar</w:t>
      </w:r>
      <w:proofErr w:type="spellEnd"/>
      <w:r w:rsidRPr="00580C0D">
        <w:t xml:space="preserve"> lokal energiproduksjon, energilagring og omsetning av energi mellom bygg</w:t>
      </w:r>
    </w:p>
    <w:p w14:paraId="5E0BB3CC" w14:textId="77777777" w:rsidR="00F7113A" w:rsidRPr="00580C0D" w:rsidRDefault="00142E5B" w:rsidP="00580C0D">
      <w:pPr>
        <w:pStyle w:val="avsnitt-undertittel"/>
      </w:pPr>
      <w:r w:rsidRPr="00580C0D">
        <w:t>Vedtak 548, 10. mai 2022</w:t>
      </w:r>
    </w:p>
    <w:p w14:paraId="01FD80F7" w14:textId="77777777" w:rsidR="00F7113A" w:rsidRPr="00580C0D" w:rsidRDefault="00142E5B" w:rsidP="00580C0D">
      <w:pPr>
        <w:pStyle w:val="blokksit"/>
      </w:pPr>
      <w:r w:rsidRPr="00580C0D">
        <w:t>«</w:t>
      </w:r>
      <w:r w:rsidRPr="00580C0D">
        <w:rPr>
          <w:rStyle w:val="kursiv"/>
        </w:rPr>
        <w:t>Stortinget ber regjeringen fjerne regulatoriske barrierer som hindrer lokal energiproduksjon, lokal energilagring og omsetning av energi mellom bygg.</w:t>
      </w:r>
      <w:r w:rsidRPr="00580C0D">
        <w:t>»</w:t>
      </w:r>
    </w:p>
    <w:p w14:paraId="75492DC3" w14:textId="77777777" w:rsidR="00F7113A" w:rsidRPr="00580C0D" w:rsidRDefault="00142E5B" w:rsidP="00580C0D">
      <w:r w:rsidRPr="00580C0D">
        <w:t xml:space="preserve">Dokumenta som ligg til grunn for vedtaket er Dokument 8:130 S (2021–2022), Dokument 8:148 S (2021–2022) og </w:t>
      </w:r>
      <w:proofErr w:type="spellStart"/>
      <w:r w:rsidRPr="00580C0D">
        <w:t>Innst</w:t>
      </w:r>
      <w:proofErr w:type="spellEnd"/>
      <w:r w:rsidRPr="00580C0D">
        <w:t>. 272 S (2021–2022).</w:t>
      </w:r>
    </w:p>
    <w:p w14:paraId="136D8E3A" w14:textId="77777777" w:rsidR="00F7113A" w:rsidRPr="00580C0D" w:rsidRDefault="00142E5B" w:rsidP="00580C0D">
      <w:r w:rsidRPr="00580C0D">
        <w:t xml:space="preserve">Departementet har i oppfølginga av vedtaket bedt NVE, med </w:t>
      </w:r>
      <w:proofErr w:type="spellStart"/>
      <w:r w:rsidRPr="00580C0D">
        <w:t>innspel</w:t>
      </w:r>
      <w:proofErr w:type="spellEnd"/>
      <w:r w:rsidRPr="00580C0D">
        <w:t xml:space="preserve"> </w:t>
      </w:r>
      <w:proofErr w:type="spellStart"/>
      <w:r w:rsidRPr="00580C0D">
        <w:t>frå</w:t>
      </w:r>
      <w:proofErr w:type="spellEnd"/>
      <w:r w:rsidRPr="00580C0D">
        <w:t xml:space="preserve"> RME og eventuelt andre </w:t>
      </w:r>
      <w:proofErr w:type="spellStart"/>
      <w:r w:rsidRPr="00580C0D">
        <w:t>etatar</w:t>
      </w:r>
      <w:proofErr w:type="spellEnd"/>
      <w:r w:rsidRPr="00580C0D">
        <w:t xml:space="preserve">, kartlegge og vurdere rammevilkåra for lokal energiproduksjon og -lagring og eventuelt foreslå </w:t>
      </w:r>
      <w:proofErr w:type="spellStart"/>
      <w:r w:rsidRPr="00580C0D">
        <w:t>endringar</w:t>
      </w:r>
      <w:proofErr w:type="spellEnd"/>
      <w:r w:rsidRPr="00580C0D">
        <w:t xml:space="preserve"> i </w:t>
      </w:r>
      <w:proofErr w:type="spellStart"/>
      <w:r w:rsidRPr="00580C0D">
        <w:t>eksisterande</w:t>
      </w:r>
      <w:proofErr w:type="spellEnd"/>
      <w:r w:rsidRPr="00580C0D">
        <w:t xml:space="preserve"> </w:t>
      </w:r>
      <w:proofErr w:type="spellStart"/>
      <w:r w:rsidRPr="00580C0D">
        <w:t>reguleringar</w:t>
      </w:r>
      <w:proofErr w:type="spellEnd"/>
      <w:r w:rsidRPr="00580C0D">
        <w:t xml:space="preserve"> og </w:t>
      </w:r>
      <w:proofErr w:type="spellStart"/>
      <w:r w:rsidRPr="00580C0D">
        <w:t>verkemiddel</w:t>
      </w:r>
      <w:proofErr w:type="spellEnd"/>
      <w:r w:rsidRPr="00580C0D">
        <w:t>.</w:t>
      </w:r>
    </w:p>
    <w:p w14:paraId="6CF5FF57" w14:textId="77777777" w:rsidR="00F7113A" w:rsidRPr="00580C0D" w:rsidRDefault="00142E5B" w:rsidP="00580C0D">
      <w:r w:rsidRPr="00580C0D">
        <w:t xml:space="preserve">Departementet har i oppfølginga av vedtaket bedt RME, med </w:t>
      </w:r>
      <w:proofErr w:type="spellStart"/>
      <w:r w:rsidRPr="00580C0D">
        <w:t>innspel</w:t>
      </w:r>
      <w:proofErr w:type="spellEnd"/>
      <w:r w:rsidRPr="00580C0D">
        <w:t xml:space="preserve"> får NVE, om å vurdere ei delingsordning tilpassa næringsområde, slik at deling av eigenprodusert </w:t>
      </w:r>
      <w:proofErr w:type="spellStart"/>
      <w:r w:rsidRPr="00580C0D">
        <w:t>straum</w:t>
      </w:r>
      <w:proofErr w:type="spellEnd"/>
      <w:r w:rsidRPr="00580C0D">
        <w:t xml:space="preserve"> mellom </w:t>
      </w:r>
      <w:proofErr w:type="spellStart"/>
      <w:r w:rsidRPr="00580C0D">
        <w:t>straumkundar</w:t>
      </w:r>
      <w:proofErr w:type="spellEnd"/>
      <w:r w:rsidRPr="00580C0D">
        <w:t xml:space="preserve"> utover vedtatt ordning kan </w:t>
      </w:r>
      <w:proofErr w:type="spellStart"/>
      <w:r w:rsidRPr="00580C0D">
        <w:t>gjerast</w:t>
      </w:r>
      <w:proofErr w:type="spellEnd"/>
      <w:r w:rsidRPr="00580C0D">
        <w:t xml:space="preserve"> på </w:t>
      </w:r>
      <w:proofErr w:type="spellStart"/>
      <w:r w:rsidRPr="00580C0D">
        <w:t>ein</w:t>
      </w:r>
      <w:proofErr w:type="spellEnd"/>
      <w:r w:rsidRPr="00580C0D">
        <w:t xml:space="preserve"> samfunnsmessig rasjonell måte. Deling </w:t>
      </w:r>
      <w:proofErr w:type="spellStart"/>
      <w:r w:rsidRPr="00580C0D">
        <w:t>frå</w:t>
      </w:r>
      <w:proofErr w:type="spellEnd"/>
      <w:r w:rsidRPr="00580C0D">
        <w:t xml:space="preserve"> anlegg med </w:t>
      </w:r>
      <w:proofErr w:type="spellStart"/>
      <w:r w:rsidRPr="00580C0D">
        <w:t>meir</w:t>
      </w:r>
      <w:proofErr w:type="spellEnd"/>
      <w:r w:rsidRPr="00580C0D">
        <w:t xml:space="preserve"> enn 1 MW installert effekt skal inngå i vurderinga.</w:t>
      </w:r>
    </w:p>
    <w:p w14:paraId="34519641" w14:textId="77777777" w:rsidR="00F7113A" w:rsidRPr="00580C0D" w:rsidRDefault="00142E5B" w:rsidP="00580C0D">
      <w:r w:rsidRPr="00580C0D">
        <w:t xml:space="preserve">Departementet har samtidig bedt NVE om å vurdere ei lov-/forskriftsendring som gir </w:t>
      </w:r>
      <w:proofErr w:type="spellStart"/>
      <w:r w:rsidRPr="00580C0D">
        <w:t>konsesjonsmyndigheitene</w:t>
      </w:r>
      <w:proofErr w:type="spellEnd"/>
      <w:r w:rsidRPr="00580C0D">
        <w:t xml:space="preserve"> høve til å </w:t>
      </w:r>
      <w:proofErr w:type="spellStart"/>
      <w:r w:rsidRPr="00580C0D">
        <w:t>gjere</w:t>
      </w:r>
      <w:proofErr w:type="spellEnd"/>
      <w:r w:rsidRPr="00580C0D">
        <w:t xml:space="preserve"> unntak for mindre konsesjonspliktige energiproduksjonsanlegg på industri- og næringsareal (grå areal) </w:t>
      </w:r>
      <w:proofErr w:type="spellStart"/>
      <w:r w:rsidRPr="00580C0D">
        <w:t>frå</w:t>
      </w:r>
      <w:proofErr w:type="spellEnd"/>
      <w:r w:rsidRPr="00580C0D">
        <w:t xml:space="preserve"> konsesjonsplikt. NVE er samtidig bedt om å utarbeide utkast til </w:t>
      </w:r>
      <w:proofErr w:type="spellStart"/>
      <w:r w:rsidRPr="00580C0D">
        <w:t>dei</w:t>
      </w:r>
      <w:proofErr w:type="spellEnd"/>
      <w:r w:rsidRPr="00580C0D">
        <w:t xml:space="preserve"> lov-/</w:t>
      </w:r>
      <w:proofErr w:type="spellStart"/>
      <w:r w:rsidRPr="00580C0D">
        <w:t>forskriftsendringane</w:t>
      </w:r>
      <w:proofErr w:type="spellEnd"/>
      <w:r w:rsidRPr="00580C0D">
        <w:t xml:space="preserve"> </w:t>
      </w:r>
      <w:proofErr w:type="spellStart"/>
      <w:r w:rsidRPr="00580C0D">
        <w:t>dette vil</w:t>
      </w:r>
      <w:proofErr w:type="spellEnd"/>
      <w:r w:rsidRPr="00580C0D">
        <w:t xml:space="preserve"> </w:t>
      </w:r>
      <w:proofErr w:type="spellStart"/>
      <w:r w:rsidRPr="00580C0D">
        <w:t>krevje</w:t>
      </w:r>
      <w:proofErr w:type="spellEnd"/>
      <w:r w:rsidRPr="00580C0D">
        <w:t>.</w:t>
      </w:r>
    </w:p>
    <w:p w14:paraId="38FE19F3" w14:textId="77777777" w:rsidR="00F7113A" w:rsidRPr="00580C0D" w:rsidRDefault="00142E5B" w:rsidP="00580C0D">
      <w:r w:rsidRPr="00580C0D">
        <w:t xml:space="preserve">Departementet vil fremme eventuelle forslag til </w:t>
      </w:r>
      <w:proofErr w:type="spellStart"/>
      <w:r w:rsidRPr="00580C0D">
        <w:t>lovendringar</w:t>
      </w:r>
      <w:proofErr w:type="spellEnd"/>
      <w:r w:rsidRPr="00580C0D">
        <w:t xml:space="preserve"> for Stortinget.</w:t>
      </w:r>
    </w:p>
    <w:p w14:paraId="07364D0F" w14:textId="77777777" w:rsidR="00F7113A" w:rsidRPr="00580C0D" w:rsidRDefault="00142E5B" w:rsidP="00580C0D">
      <w:pPr>
        <w:pStyle w:val="avsnitt-tittel"/>
      </w:pPr>
      <w:r w:rsidRPr="00580C0D">
        <w:t xml:space="preserve">Kraft- og nettutbygging knytt til store </w:t>
      </w:r>
      <w:proofErr w:type="spellStart"/>
      <w:r w:rsidRPr="00580C0D">
        <w:t>industrietableringar</w:t>
      </w:r>
      <w:proofErr w:type="spellEnd"/>
    </w:p>
    <w:p w14:paraId="4936DA64" w14:textId="77777777" w:rsidR="00F7113A" w:rsidRPr="00580C0D" w:rsidRDefault="00142E5B" w:rsidP="00580C0D">
      <w:pPr>
        <w:pStyle w:val="avsnitt-undertittel"/>
      </w:pPr>
      <w:r w:rsidRPr="00580C0D">
        <w:t>Vedtak 701, 10. juni 2022</w:t>
      </w:r>
    </w:p>
    <w:p w14:paraId="58651308" w14:textId="77777777" w:rsidR="00F7113A" w:rsidRPr="00580C0D" w:rsidRDefault="00142E5B" w:rsidP="00580C0D">
      <w:pPr>
        <w:pStyle w:val="blokksit"/>
      </w:pPr>
      <w:r w:rsidRPr="00580C0D">
        <w:t>«</w:t>
      </w:r>
      <w:r w:rsidRPr="00580C0D">
        <w:rPr>
          <w:rStyle w:val="kursiv"/>
        </w:rPr>
        <w:t>Stortinget ber regjeringen utrede et eget hurtigløp for kraft- og nettutbygging knyttet til store industrietableringer og ber regjeringen komme med en utredning i forbindelse med revidert nasjonalbudsjett 2023.</w:t>
      </w:r>
      <w:r w:rsidRPr="00580C0D">
        <w:t>»</w:t>
      </w:r>
    </w:p>
    <w:p w14:paraId="3897F88B"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3926AFC8"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vurderinga under kapittel 1.4 Anmodningsvedtak og omtale på side 177–179 i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 xml:space="preserve"> og departementets arbeid med å følge opp </w:t>
      </w:r>
      <w:proofErr w:type="spellStart"/>
      <w:r w:rsidRPr="00580C0D">
        <w:t>Straumnettutvalet</w:t>
      </w:r>
      <w:proofErr w:type="spellEnd"/>
      <w:r w:rsidRPr="00580C0D">
        <w:t xml:space="preserve"> (NOU 2022: 6 – </w:t>
      </w:r>
      <w:r w:rsidRPr="00580C0D">
        <w:rPr>
          <w:rStyle w:val="kursiv"/>
        </w:rPr>
        <w:t>Nett i tide</w:t>
      </w:r>
      <w:r w:rsidRPr="00580C0D">
        <w:t xml:space="preserve">) og Energikommisjonen (NOU 2023: 3 – </w:t>
      </w:r>
      <w:r w:rsidRPr="00580C0D">
        <w:rPr>
          <w:rStyle w:val="kursiv"/>
        </w:rPr>
        <w:t>Mer av alt – raskere</w:t>
      </w:r>
      <w:r w:rsidRPr="00580C0D">
        <w:t>).</w:t>
      </w:r>
    </w:p>
    <w:p w14:paraId="1C3269D8" w14:textId="77777777" w:rsidR="00F7113A" w:rsidRPr="00580C0D" w:rsidRDefault="00142E5B" w:rsidP="00580C0D">
      <w:r w:rsidRPr="00580C0D">
        <w:t xml:space="preserve">NVE har i </w:t>
      </w:r>
      <w:proofErr w:type="spellStart"/>
      <w:r w:rsidRPr="00580C0D">
        <w:t>innspel</w:t>
      </w:r>
      <w:proofErr w:type="spellEnd"/>
      <w:r w:rsidRPr="00580C0D">
        <w:t xml:space="preserve"> til departementet i samband med nasjonalbudsjettet for 2024 estimert at totale </w:t>
      </w:r>
      <w:proofErr w:type="spellStart"/>
      <w:r w:rsidRPr="00580C0D">
        <w:t>investeringar</w:t>
      </w:r>
      <w:proofErr w:type="spellEnd"/>
      <w:r w:rsidRPr="00580C0D">
        <w:t xml:space="preserve"> i transmisjons-, regional-, og distribusjonsnettet vil </w:t>
      </w:r>
      <w:proofErr w:type="spellStart"/>
      <w:r w:rsidRPr="00580C0D">
        <w:t>vere</w:t>
      </w:r>
      <w:proofErr w:type="spellEnd"/>
      <w:r w:rsidRPr="00580C0D">
        <w:t xml:space="preserve"> mellom 15 og 20 mrd. kroner per år i </w:t>
      </w:r>
      <w:proofErr w:type="spellStart"/>
      <w:r w:rsidRPr="00580C0D">
        <w:t>dei</w:t>
      </w:r>
      <w:proofErr w:type="spellEnd"/>
      <w:r w:rsidRPr="00580C0D">
        <w:t xml:space="preserve"> </w:t>
      </w:r>
      <w:proofErr w:type="spellStart"/>
      <w:r w:rsidRPr="00580C0D">
        <w:t>kommande</w:t>
      </w:r>
      <w:proofErr w:type="spellEnd"/>
      <w:r w:rsidRPr="00580C0D">
        <w:t xml:space="preserve"> åra. </w:t>
      </w:r>
      <w:proofErr w:type="spellStart"/>
      <w:r w:rsidRPr="00580C0D">
        <w:t>Auka</w:t>
      </w:r>
      <w:proofErr w:type="spellEnd"/>
      <w:r w:rsidRPr="00580C0D">
        <w:t xml:space="preserve"> elektrifisering og nytt kraftforbruk er, </w:t>
      </w:r>
      <w:proofErr w:type="spellStart"/>
      <w:r w:rsidRPr="00580C0D">
        <w:t>saman</w:t>
      </w:r>
      <w:proofErr w:type="spellEnd"/>
      <w:r w:rsidRPr="00580C0D">
        <w:t xml:space="preserve"> med behov for </w:t>
      </w:r>
      <w:proofErr w:type="spellStart"/>
      <w:r w:rsidRPr="00580C0D">
        <w:t>reinvesteringar</w:t>
      </w:r>
      <w:proofErr w:type="spellEnd"/>
      <w:r w:rsidRPr="00580C0D">
        <w:t xml:space="preserve">, sterke </w:t>
      </w:r>
      <w:proofErr w:type="spellStart"/>
      <w:r w:rsidRPr="00580C0D">
        <w:t>drivarar</w:t>
      </w:r>
      <w:proofErr w:type="spellEnd"/>
      <w:r w:rsidRPr="00580C0D">
        <w:t xml:space="preserve"> for </w:t>
      </w:r>
      <w:proofErr w:type="spellStart"/>
      <w:r w:rsidRPr="00580C0D">
        <w:t>investeringane</w:t>
      </w:r>
      <w:proofErr w:type="spellEnd"/>
      <w:r w:rsidRPr="00580C0D">
        <w:t>.</w:t>
      </w:r>
    </w:p>
    <w:p w14:paraId="5513434F" w14:textId="77777777" w:rsidR="00F7113A" w:rsidRPr="00580C0D" w:rsidRDefault="00142E5B" w:rsidP="00580C0D">
      <w:proofErr w:type="spellStart"/>
      <w:r w:rsidRPr="00580C0D">
        <w:t>Konsesjonsmyndigheitene</w:t>
      </w:r>
      <w:proofErr w:type="spellEnd"/>
      <w:r w:rsidRPr="00580C0D">
        <w:t xml:space="preserve"> </w:t>
      </w:r>
      <w:proofErr w:type="spellStart"/>
      <w:r w:rsidRPr="00580C0D">
        <w:t>fekk</w:t>
      </w:r>
      <w:proofErr w:type="spellEnd"/>
      <w:r w:rsidRPr="00580C0D">
        <w:t xml:space="preserve"> </w:t>
      </w:r>
      <w:proofErr w:type="spellStart"/>
      <w:r w:rsidRPr="00580C0D">
        <w:t>ein</w:t>
      </w:r>
      <w:proofErr w:type="spellEnd"/>
      <w:r w:rsidRPr="00580C0D">
        <w:t xml:space="preserve"> </w:t>
      </w:r>
      <w:proofErr w:type="spellStart"/>
      <w:r w:rsidRPr="00580C0D">
        <w:t>betydeleg</w:t>
      </w:r>
      <w:proofErr w:type="spellEnd"/>
      <w:r w:rsidRPr="00580C0D">
        <w:t xml:space="preserve"> </w:t>
      </w:r>
      <w:proofErr w:type="spellStart"/>
      <w:r w:rsidRPr="00580C0D">
        <w:t>auke</w:t>
      </w:r>
      <w:proofErr w:type="spellEnd"/>
      <w:r w:rsidRPr="00580C0D">
        <w:t xml:space="preserve"> i </w:t>
      </w:r>
      <w:proofErr w:type="spellStart"/>
      <w:r w:rsidRPr="00580C0D">
        <w:t>løyvingane</w:t>
      </w:r>
      <w:proofErr w:type="spellEnd"/>
      <w:r w:rsidRPr="00580C0D">
        <w:t xml:space="preserve"> i budsjettet for 2022 og 2023, </w:t>
      </w:r>
      <w:proofErr w:type="spellStart"/>
      <w:r w:rsidRPr="00580C0D">
        <w:t>noko</w:t>
      </w:r>
      <w:proofErr w:type="spellEnd"/>
      <w:r w:rsidRPr="00580C0D">
        <w:t xml:space="preserve"> som fører med seg </w:t>
      </w:r>
      <w:proofErr w:type="spellStart"/>
      <w:r w:rsidRPr="00580C0D">
        <w:t>ein</w:t>
      </w:r>
      <w:proofErr w:type="spellEnd"/>
      <w:r w:rsidRPr="00580C0D">
        <w:t xml:space="preserve"> </w:t>
      </w:r>
      <w:proofErr w:type="spellStart"/>
      <w:r w:rsidRPr="00580C0D">
        <w:t>auke</w:t>
      </w:r>
      <w:proofErr w:type="spellEnd"/>
      <w:r w:rsidRPr="00580C0D">
        <w:t xml:space="preserve"> i saksbehandlingskapasiteten i NVE og Olje- og energidepartementet og større </w:t>
      </w:r>
      <w:proofErr w:type="spellStart"/>
      <w:r w:rsidRPr="00580C0D">
        <w:t>midlar</w:t>
      </w:r>
      <w:proofErr w:type="spellEnd"/>
      <w:r w:rsidRPr="00580C0D">
        <w:t xml:space="preserve"> til digitalisering av nettplanlegging og konsesjonsbehandling hos NVE. </w:t>
      </w:r>
      <w:proofErr w:type="spellStart"/>
      <w:r w:rsidRPr="00580C0D">
        <w:t>Løyvingane</w:t>
      </w:r>
      <w:proofErr w:type="spellEnd"/>
      <w:r w:rsidRPr="00580C0D">
        <w:t xml:space="preserve"> er foreslått </w:t>
      </w:r>
      <w:proofErr w:type="spellStart"/>
      <w:r w:rsidRPr="00580C0D">
        <w:t>auka</w:t>
      </w:r>
      <w:proofErr w:type="spellEnd"/>
      <w:r w:rsidRPr="00580C0D">
        <w:t xml:space="preserve"> </w:t>
      </w:r>
      <w:proofErr w:type="spellStart"/>
      <w:r w:rsidRPr="00580C0D">
        <w:t>ytterlegare</w:t>
      </w:r>
      <w:proofErr w:type="spellEnd"/>
      <w:r w:rsidRPr="00580C0D">
        <w:t xml:space="preserve"> i budsjettet for 2024. Regjeringa har også lagt fram </w:t>
      </w:r>
      <w:proofErr w:type="spellStart"/>
      <w:r w:rsidRPr="00580C0D">
        <w:t>ein</w:t>
      </w:r>
      <w:proofErr w:type="spellEnd"/>
      <w:r w:rsidRPr="00580C0D">
        <w:t xml:space="preserve"> handlingsplan for </w:t>
      </w:r>
      <w:proofErr w:type="spellStart"/>
      <w:r w:rsidRPr="00580C0D">
        <w:t>raskare</w:t>
      </w:r>
      <w:proofErr w:type="spellEnd"/>
      <w:r w:rsidRPr="00580C0D">
        <w:t xml:space="preserve"> nettutbygging og betre utnytting av nettet som </w:t>
      </w:r>
      <w:proofErr w:type="spellStart"/>
      <w:r w:rsidRPr="00580C0D">
        <w:t>varslar</w:t>
      </w:r>
      <w:proofErr w:type="spellEnd"/>
      <w:r w:rsidRPr="00580C0D">
        <w:t xml:space="preserve"> grep for å </w:t>
      </w:r>
      <w:proofErr w:type="spellStart"/>
      <w:r w:rsidRPr="00580C0D">
        <w:t>leggje</w:t>
      </w:r>
      <w:proofErr w:type="spellEnd"/>
      <w:r w:rsidRPr="00580C0D">
        <w:t xml:space="preserve"> til rette for </w:t>
      </w:r>
      <w:proofErr w:type="spellStart"/>
      <w:r w:rsidRPr="00580C0D">
        <w:t>ein</w:t>
      </w:r>
      <w:proofErr w:type="spellEnd"/>
      <w:r w:rsidRPr="00580C0D">
        <w:t xml:space="preserve"> </w:t>
      </w:r>
      <w:proofErr w:type="spellStart"/>
      <w:r w:rsidRPr="00580C0D">
        <w:t>raskare</w:t>
      </w:r>
      <w:proofErr w:type="spellEnd"/>
      <w:r w:rsidRPr="00580C0D">
        <w:t xml:space="preserve"> konsesjonsprosess for nettanlegg. Handlingsplanen </w:t>
      </w:r>
      <w:proofErr w:type="spellStart"/>
      <w:r w:rsidRPr="00580C0D">
        <w:t>varslar</w:t>
      </w:r>
      <w:proofErr w:type="spellEnd"/>
      <w:r w:rsidRPr="00580C0D">
        <w:t xml:space="preserve"> også ei rekke </w:t>
      </w:r>
      <w:proofErr w:type="spellStart"/>
      <w:r w:rsidRPr="00580C0D">
        <w:t>forskriftsendringar</w:t>
      </w:r>
      <w:proofErr w:type="spellEnd"/>
      <w:r w:rsidRPr="00580C0D">
        <w:t xml:space="preserve"> for å legge til rette for </w:t>
      </w:r>
      <w:proofErr w:type="spellStart"/>
      <w:r w:rsidRPr="00580C0D">
        <w:t>meir</w:t>
      </w:r>
      <w:proofErr w:type="spellEnd"/>
      <w:r w:rsidRPr="00580C0D">
        <w:t xml:space="preserve"> effektiv bruk av nettet. Ei slik endring er at nettselskapa skal ta omsyn til kor modne </w:t>
      </w:r>
      <w:proofErr w:type="spellStart"/>
      <w:r w:rsidRPr="00580C0D">
        <w:t>kundanes</w:t>
      </w:r>
      <w:proofErr w:type="spellEnd"/>
      <w:r w:rsidRPr="00580C0D">
        <w:t xml:space="preserve"> prosjekt er når </w:t>
      </w:r>
      <w:proofErr w:type="spellStart"/>
      <w:r w:rsidRPr="00580C0D">
        <w:t>dei</w:t>
      </w:r>
      <w:proofErr w:type="spellEnd"/>
      <w:r w:rsidRPr="00580C0D">
        <w:t xml:space="preserve"> fordeler kapasitet. Utforming av kriteria for </w:t>
      </w:r>
      <w:proofErr w:type="spellStart"/>
      <w:r w:rsidRPr="00580C0D">
        <w:t>modnad</w:t>
      </w:r>
      <w:proofErr w:type="spellEnd"/>
      <w:r w:rsidRPr="00580C0D">
        <w:t xml:space="preserve"> skal bidra til prioritet for </w:t>
      </w:r>
      <w:proofErr w:type="spellStart"/>
      <w:r w:rsidRPr="00580C0D">
        <w:t>eksisterande</w:t>
      </w:r>
      <w:proofErr w:type="spellEnd"/>
      <w:r w:rsidRPr="00580C0D">
        <w:t xml:space="preserve"> </w:t>
      </w:r>
      <w:proofErr w:type="spellStart"/>
      <w:r w:rsidRPr="00580C0D">
        <w:t>føretak</w:t>
      </w:r>
      <w:proofErr w:type="spellEnd"/>
      <w:r w:rsidRPr="00580C0D">
        <w:t xml:space="preserve"> slik at </w:t>
      </w:r>
      <w:proofErr w:type="spellStart"/>
      <w:r w:rsidRPr="00580C0D">
        <w:t>desse</w:t>
      </w:r>
      <w:proofErr w:type="spellEnd"/>
      <w:r w:rsidRPr="00580C0D">
        <w:t xml:space="preserve"> kan </w:t>
      </w:r>
      <w:proofErr w:type="spellStart"/>
      <w:r w:rsidRPr="00580C0D">
        <w:t>vekse</w:t>
      </w:r>
      <w:proofErr w:type="spellEnd"/>
      <w:r w:rsidRPr="00580C0D">
        <w:t xml:space="preserve"> og omstille seg, dernest legge til rette for nye </w:t>
      </w:r>
      <w:proofErr w:type="spellStart"/>
      <w:r w:rsidRPr="00580C0D">
        <w:t>arbeidsplassar</w:t>
      </w:r>
      <w:proofErr w:type="spellEnd"/>
      <w:r w:rsidRPr="00580C0D">
        <w:t xml:space="preserve"> og </w:t>
      </w:r>
      <w:proofErr w:type="spellStart"/>
      <w:r w:rsidRPr="00580C0D">
        <w:t>auka</w:t>
      </w:r>
      <w:proofErr w:type="spellEnd"/>
      <w:r w:rsidRPr="00580C0D">
        <w:t xml:space="preserve"> verdiskaping i tråd med regjeringas vegkart for grønt industriløft. RME har fått i oppdrag å greie ut og foreslå konkrete </w:t>
      </w:r>
      <w:proofErr w:type="spellStart"/>
      <w:r w:rsidRPr="00580C0D">
        <w:t>forskriftsendringar</w:t>
      </w:r>
      <w:proofErr w:type="spellEnd"/>
      <w:r w:rsidRPr="00580C0D">
        <w:t xml:space="preserve"> for å følge opp handlingsplanen på dette området.</w:t>
      </w:r>
    </w:p>
    <w:p w14:paraId="5F09FE3F" w14:textId="77777777" w:rsidR="00F7113A" w:rsidRPr="00580C0D" w:rsidRDefault="00142E5B" w:rsidP="00580C0D">
      <w:r w:rsidRPr="00580C0D">
        <w:t xml:space="preserve">Regjeringa har </w:t>
      </w:r>
      <w:proofErr w:type="spellStart"/>
      <w:r w:rsidRPr="00580C0D">
        <w:t>ein</w:t>
      </w:r>
      <w:proofErr w:type="spellEnd"/>
      <w:r w:rsidRPr="00580C0D">
        <w:t xml:space="preserve"> ambisjon om å tildele prosjektområde med potensial for 30 GW havvindproduksjon på norsk sokkel </w:t>
      </w:r>
      <w:proofErr w:type="spellStart"/>
      <w:r w:rsidRPr="00580C0D">
        <w:t>innan</w:t>
      </w:r>
      <w:proofErr w:type="spellEnd"/>
      <w:r w:rsidRPr="00580C0D">
        <w:t xml:space="preserve"> 2040. Departementet lyste våren 2023 ut område knytte til Utsira Nord og </w:t>
      </w:r>
      <w:proofErr w:type="spellStart"/>
      <w:r w:rsidRPr="00580C0D">
        <w:t>Sørlege</w:t>
      </w:r>
      <w:proofErr w:type="spellEnd"/>
      <w:r w:rsidRPr="00580C0D">
        <w:t xml:space="preserve"> </w:t>
      </w:r>
      <w:proofErr w:type="spellStart"/>
      <w:r w:rsidRPr="00580C0D">
        <w:t>Nordsjø</w:t>
      </w:r>
      <w:proofErr w:type="spellEnd"/>
      <w:r w:rsidRPr="00580C0D">
        <w:t xml:space="preserve"> II. </w:t>
      </w:r>
      <w:proofErr w:type="spellStart"/>
      <w:r w:rsidRPr="00580C0D">
        <w:t>Vidare</w:t>
      </w:r>
      <w:proofErr w:type="spellEnd"/>
      <w:r w:rsidRPr="00580C0D">
        <w:t xml:space="preserve"> har Stortinget vedtatt nye </w:t>
      </w:r>
      <w:proofErr w:type="spellStart"/>
      <w:r w:rsidRPr="00580C0D">
        <w:t>lovreglar</w:t>
      </w:r>
      <w:proofErr w:type="spellEnd"/>
      <w:r w:rsidRPr="00580C0D">
        <w:t xml:space="preserve"> som </w:t>
      </w:r>
      <w:proofErr w:type="spellStart"/>
      <w:r w:rsidRPr="00580C0D">
        <w:t>inneber</w:t>
      </w:r>
      <w:proofErr w:type="spellEnd"/>
      <w:r w:rsidRPr="00580C0D">
        <w:t xml:space="preserve"> at vindkraft på land i større grad enn </w:t>
      </w:r>
      <w:proofErr w:type="spellStart"/>
      <w:r w:rsidRPr="00580C0D">
        <w:t>tidlegare</w:t>
      </w:r>
      <w:proofErr w:type="spellEnd"/>
      <w:r w:rsidRPr="00580C0D">
        <w:t xml:space="preserve"> skal </w:t>
      </w:r>
      <w:proofErr w:type="spellStart"/>
      <w:r w:rsidRPr="00580C0D">
        <w:t>behandlast</w:t>
      </w:r>
      <w:proofErr w:type="spellEnd"/>
      <w:r w:rsidRPr="00580C0D">
        <w:t xml:space="preserve"> etter plan- og bygningslova, jf. </w:t>
      </w:r>
      <w:proofErr w:type="spellStart"/>
      <w:r w:rsidRPr="00580C0D">
        <w:t>Prop</w:t>
      </w:r>
      <w:proofErr w:type="spellEnd"/>
      <w:r w:rsidRPr="00580C0D">
        <w:t xml:space="preserve">. 111 L (2022–2023). Dei nye </w:t>
      </w:r>
      <w:proofErr w:type="spellStart"/>
      <w:r w:rsidRPr="00580C0D">
        <w:t>reglane</w:t>
      </w:r>
      <w:proofErr w:type="spellEnd"/>
      <w:r w:rsidRPr="00580C0D">
        <w:t xml:space="preserve"> tredde i kraft 1. juli 2023. Regjeringa vil også legge til rette for solkraft og vurdere om </w:t>
      </w:r>
      <w:proofErr w:type="spellStart"/>
      <w:r w:rsidRPr="00580C0D">
        <w:t>dei</w:t>
      </w:r>
      <w:proofErr w:type="spellEnd"/>
      <w:r w:rsidRPr="00580C0D">
        <w:t xml:space="preserve"> nye </w:t>
      </w:r>
      <w:proofErr w:type="spellStart"/>
      <w:r w:rsidRPr="00580C0D">
        <w:t>reglane</w:t>
      </w:r>
      <w:proofErr w:type="spellEnd"/>
      <w:r w:rsidRPr="00580C0D">
        <w:t xml:space="preserve"> for behandling av vindkraft også skal </w:t>
      </w:r>
      <w:proofErr w:type="spellStart"/>
      <w:r w:rsidRPr="00580C0D">
        <w:t>gjerast</w:t>
      </w:r>
      <w:proofErr w:type="spellEnd"/>
      <w:r w:rsidRPr="00580C0D">
        <w:t xml:space="preserve"> </w:t>
      </w:r>
      <w:proofErr w:type="spellStart"/>
      <w:r w:rsidRPr="00580C0D">
        <w:t>gjeldande</w:t>
      </w:r>
      <w:proofErr w:type="spellEnd"/>
      <w:r w:rsidRPr="00580C0D">
        <w:t xml:space="preserve"> for bakkemonterte anlegg for solkraft.</w:t>
      </w:r>
    </w:p>
    <w:p w14:paraId="1D6B9AD8"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44200FC9" w14:textId="77777777" w:rsidR="00F7113A" w:rsidRPr="00580C0D" w:rsidRDefault="00142E5B" w:rsidP="00580C0D">
      <w:pPr>
        <w:pStyle w:val="avsnitt-tittel"/>
      </w:pPr>
      <w:r w:rsidRPr="00580C0D">
        <w:t>Regulering av energifeltet</w:t>
      </w:r>
    </w:p>
    <w:p w14:paraId="1D0A5828" w14:textId="77777777" w:rsidR="00F7113A" w:rsidRPr="00580C0D" w:rsidRDefault="00142E5B" w:rsidP="00580C0D">
      <w:pPr>
        <w:pStyle w:val="avsnitt-undertittel"/>
      </w:pPr>
      <w:r w:rsidRPr="00580C0D">
        <w:t>Vedtak 702, 10. juni 2022</w:t>
      </w:r>
    </w:p>
    <w:p w14:paraId="30E4AA9C" w14:textId="77777777" w:rsidR="00F7113A" w:rsidRPr="00580C0D" w:rsidRDefault="00142E5B" w:rsidP="00580C0D">
      <w:pPr>
        <w:pStyle w:val="blokksit"/>
      </w:pPr>
      <w:r w:rsidRPr="00580C0D">
        <w:t>«</w:t>
      </w:r>
      <w:r w:rsidRPr="00580C0D">
        <w:rPr>
          <w:rStyle w:val="kursiv"/>
        </w:rPr>
        <w:t>Stortinget ber regjeringen i etterkant av energikommisjonens rapport vurdere behov for ytterligere regulering av energifeltet for å oppnå tilstrekkelig energi til rimelige priser for industri, øvrig næringsliv og husholdning.</w:t>
      </w:r>
      <w:r w:rsidRPr="00580C0D">
        <w:t>»</w:t>
      </w:r>
    </w:p>
    <w:p w14:paraId="4F71DF5D"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5E92D191" w14:textId="77777777" w:rsidR="00F7113A" w:rsidRPr="00580C0D" w:rsidRDefault="00142E5B" w:rsidP="00580C0D">
      <w:r w:rsidRPr="00580C0D">
        <w:t xml:space="preserve">Departementet har sendt på </w:t>
      </w:r>
      <w:proofErr w:type="spellStart"/>
      <w:r w:rsidRPr="00580C0D">
        <w:t>høyring</w:t>
      </w:r>
      <w:proofErr w:type="spellEnd"/>
      <w:r w:rsidRPr="00580C0D">
        <w:t xml:space="preserve"> </w:t>
      </w:r>
      <w:proofErr w:type="spellStart"/>
      <w:r w:rsidRPr="00580C0D">
        <w:t>eit</w:t>
      </w:r>
      <w:proofErr w:type="spellEnd"/>
      <w:r w:rsidRPr="00580C0D">
        <w:t xml:space="preserve"> forslag til </w:t>
      </w:r>
      <w:proofErr w:type="spellStart"/>
      <w:r w:rsidRPr="00580C0D">
        <w:t>endringar</w:t>
      </w:r>
      <w:proofErr w:type="spellEnd"/>
      <w:r w:rsidRPr="00580C0D">
        <w:t xml:space="preserve"> i vassdragsreguleringslova og energilova, og i tillegg forslag til </w:t>
      </w:r>
      <w:proofErr w:type="spellStart"/>
      <w:r w:rsidRPr="00580C0D">
        <w:t>endringar</w:t>
      </w:r>
      <w:proofErr w:type="spellEnd"/>
      <w:r w:rsidRPr="00580C0D">
        <w:t xml:space="preserve"> i </w:t>
      </w:r>
      <w:r w:rsidRPr="00580C0D">
        <w:rPr>
          <w:rStyle w:val="kursiv"/>
        </w:rPr>
        <w:t>forskrift om internkontroll etter vassdragslovgivningen (IK-vassdrag)</w:t>
      </w:r>
      <w:r w:rsidRPr="00580C0D">
        <w:t xml:space="preserve"> og energilovforskrifta (styringsmekanismen). Det blir foreslått å lovfeste at </w:t>
      </w:r>
      <w:proofErr w:type="spellStart"/>
      <w:r w:rsidRPr="00580C0D">
        <w:t>produsentane</w:t>
      </w:r>
      <w:proofErr w:type="spellEnd"/>
      <w:r w:rsidRPr="00580C0D">
        <w:t xml:space="preserve"> samla har </w:t>
      </w:r>
      <w:proofErr w:type="spellStart"/>
      <w:r w:rsidRPr="00580C0D">
        <w:t>eit</w:t>
      </w:r>
      <w:proofErr w:type="spellEnd"/>
      <w:r w:rsidRPr="00580C0D">
        <w:t xml:space="preserve"> ansvar for å bidra til </w:t>
      </w:r>
      <w:proofErr w:type="spellStart"/>
      <w:r w:rsidRPr="00580C0D">
        <w:t>forsyningssikkerheita</w:t>
      </w:r>
      <w:proofErr w:type="spellEnd"/>
      <w:r w:rsidRPr="00580C0D">
        <w:t>.</w:t>
      </w:r>
    </w:p>
    <w:p w14:paraId="417E9F43" w14:textId="77777777" w:rsidR="00F7113A" w:rsidRPr="00580C0D" w:rsidRDefault="00142E5B" w:rsidP="00580C0D">
      <w:r w:rsidRPr="00580C0D">
        <w:t xml:space="preserve">Regjeringa arbeider også for å legge til rette for </w:t>
      </w:r>
      <w:proofErr w:type="spellStart"/>
      <w:r w:rsidRPr="00580C0D">
        <w:t>auka</w:t>
      </w:r>
      <w:proofErr w:type="spellEnd"/>
      <w:r w:rsidRPr="00580C0D">
        <w:t xml:space="preserve"> kraftproduksjon. Stortinget har vedtatt nye </w:t>
      </w:r>
      <w:proofErr w:type="spellStart"/>
      <w:r w:rsidRPr="00580C0D">
        <w:t>lovreglar</w:t>
      </w:r>
      <w:proofErr w:type="spellEnd"/>
      <w:r w:rsidRPr="00580C0D">
        <w:t xml:space="preserve"> som fastsett at vindkraft på land i større grad enn </w:t>
      </w:r>
      <w:proofErr w:type="spellStart"/>
      <w:r w:rsidRPr="00580C0D">
        <w:t>tidlegare</w:t>
      </w:r>
      <w:proofErr w:type="spellEnd"/>
      <w:r w:rsidRPr="00580C0D">
        <w:t xml:space="preserve"> skal </w:t>
      </w:r>
      <w:proofErr w:type="spellStart"/>
      <w:r w:rsidRPr="00580C0D">
        <w:t>behandlast</w:t>
      </w:r>
      <w:proofErr w:type="spellEnd"/>
      <w:r w:rsidRPr="00580C0D">
        <w:t xml:space="preserve"> etter plan- og bygningslova, jf. </w:t>
      </w:r>
      <w:proofErr w:type="spellStart"/>
      <w:r w:rsidRPr="00580C0D">
        <w:t>Prop</w:t>
      </w:r>
      <w:proofErr w:type="spellEnd"/>
      <w:r w:rsidRPr="00580C0D">
        <w:t xml:space="preserve">. 111 L (2022–2023). Dei nye </w:t>
      </w:r>
      <w:proofErr w:type="spellStart"/>
      <w:r w:rsidRPr="00580C0D">
        <w:t>reglane</w:t>
      </w:r>
      <w:proofErr w:type="spellEnd"/>
      <w:r w:rsidRPr="00580C0D">
        <w:t xml:space="preserve"> tredde i kraft 1. juli 2023.</w:t>
      </w:r>
    </w:p>
    <w:p w14:paraId="31B0A349" w14:textId="77777777" w:rsidR="00F7113A" w:rsidRPr="00580C0D" w:rsidRDefault="00142E5B" w:rsidP="00580C0D">
      <w:r w:rsidRPr="00580C0D">
        <w:t xml:space="preserve">I oppfølginga av NOU 2023: 3 </w:t>
      </w:r>
      <w:r w:rsidRPr="00580C0D">
        <w:rPr>
          <w:rStyle w:val="kursiv"/>
        </w:rPr>
        <w:t>Mer av alt – raskere</w:t>
      </w:r>
      <w:r w:rsidRPr="00580C0D">
        <w:t xml:space="preserve"> vil departementet ta </w:t>
      </w:r>
      <w:proofErr w:type="spellStart"/>
      <w:r w:rsidRPr="00580C0D">
        <w:t>ein</w:t>
      </w:r>
      <w:proofErr w:type="spellEnd"/>
      <w:r w:rsidRPr="00580C0D">
        <w:t xml:space="preserve"> grundig gjennomgang av </w:t>
      </w:r>
      <w:proofErr w:type="spellStart"/>
      <w:r w:rsidRPr="00580C0D">
        <w:t>høyringsinnspela</w:t>
      </w:r>
      <w:proofErr w:type="spellEnd"/>
      <w:r w:rsidRPr="00580C0D">
        <w:t xml:space="preserve">. Departementet vil </w:t>
      </w:r>
      <w:proofErr w:type="spellStart"/>
      <w:r w:rsidRPr="00580C0D">
        <w:t>fortløpande</w:t>
      </w:r>
      <w:proofErr w:type="spellEnd"/>
      <w:r w:rsidRPr="00580C0D">
        <w:t xml:space="preserve"> vurdere </w:t>
      </w:r>
      <w:proofErr w:type="spellStart"/>
      <w:r w:rsidRPr="00580C0D">
        <w:t>dei</w:t>
      </w:r>
      <w:proofErr w:type="spellEnd"/>
      <w:r w:rsidRPr="00580C0D">
        <w:t xml:space="preserve"> foreslåtte tiltaka og eventuelle behov for </w:t>
      </w:r>
      <w:proofErr w:type="spellStart"/>
      <w:r w:rsidRPr="00580C0D">
        <w:t>ytterlegare</w:t>
      </w:r>
      <w:proofErr w:type="spellEnd"/>
      <w:r w:rsidRPr="00580C0D">
        <w:t xml:space="preserve"> regulering.</w:t>
      </w:r>
    </w:p>
    <w:p w14:paraId="6074E81B"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7FF943AC" w14:textId="77777777" w:rsidR="00F7113A" w:rsidRPr="00580C0D" w:rsidRDefault="00142E5B" w:rsidP="00580C0D">
      <w:pPr>
        <w:pStyle w:val="avsnitt-tittel"/>
      </w:pPr>
      <w:r w:rsidRPr="00580C0D">
        <w:t>Havvind – tildeling av areal</w:t>
      </w:r>
    </w:p>
    <w:p w14:paraId="18A624F5" w14:textId="77777777" w:rsidR="00F7113A" w:rsidRPr="00580C0D" w:rsidRDefault="00142E5B" w:rsidP="00580C0D">
      <w:pPr>
        <w:pStyle w:val="avsnitt-undertittel"/>
      </w:pPr>
      <w:r w:rsidRPr="00580C0D">
        <w:t>Vedtak 703, 10. juni 2022</w:t>
      </w:r>
    </w:p>
    <w:p w14:paraId="38E48E11" w14:textId="77777777" w:rsidR="00F7113A" w:rsidRPr="00580C0D" w:rsidRDefault="00142E5B" w:rsidP="00580C0D">
      <w:pPr>
        <w:pStyle w:val="blokksit"/>
      </w:pPr>
      <w:r w:rsidRPr="00580C0D">
        <w:t>«</w:t>
      </w:r>
      <w:r w:rsidRPr="00580C0D">
        <w:rPr>
          <w:rStyle w:val="kursiv"/>
        </w:rPr>
        <w:t xml:space="preserve">Stortinget ber regjeringen sørge for at neste tildeling av havvindareal etter Sørlige </w:t>
      </w:r>
      <w:proofErr w:type="spellStart"/>
      <w:r w:rsidRPr="00580C0D">
        <w:rPr>
          <w:rStyle w:val="kursiv"/>
        </w:rPr>
        <w:t>Nordsjø</w:t>
      </w:r>
      <w:proofErr w:type="spellEnd"/>
      <w:r w:rsidRPr="00580C0D">
        <w:rPr>
          <w:rStyle w:val="kursiv"/>
        </w:rPr>
        <w:t xml:space="preserve"> II og Utsira Nord i nye områder skjer senest i løpet av 2025. Stortinget ber om at dette er en større utlysning som legger til rette for skalering og teknologiutvikling og nye industrielle muligheter og at utlysningen sikrer god sameksistens og tar hensyn til viktige naturverdier.</w:t>
      </w:r>
      <w:r w:rsidRPr="00580C0D">
        <w:t>»</w:t>
      </w:r>
    </w:p>
    <w:p w14:paraId="332AEB75"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1097B3B6" w14:textId="77777777" w:rsidR="00F7113A" w:rsidRPr="00580C0D" w:rsidRDefault="00142E5B" w:rsidP="00580C0D">
      <w:r w:rsidRPr="00580C0D">
        <w:t xml:space="preserve">I </w:t>
      </w:r>
      <w:proofErr w:type="spellStart"/>
      <w:r w:rsidRPr="00580C0D">
        <w:t>Innst</w:t>
      </w:r>
      <w:proofErr w:type="spellEnd"/>
      <w:r w:rsidRPr="00580C0D">
        <w:t xml:space="preserve">. 186 S (2022–2023) viser </w:t>
      </w:r>
      <w:proofErr w:type="spellStart"/>
      <w:r w:rsidRPr="00580C0D">
        <w:t>fleirtalet</w:t>
      </w:r>
      <w:proofErr w:type="spellEnd"/>
      <w:r w:rsidRPr="00580C0D">
        <w:t xml:space="preserve"> i kontroll- og konstitusjonskomiteen til at oppmodingsvedtaket </w:t>
      </w:r>
      <w:proofErr w:type="spellStart"/>
      <w:r w:rsidRPr="00580C0D">
        <w:t>ikkje</w:t>
      </w:r>
      <w:proofErr w:type="spellEnd"/>
      <w:r w:rsidRPr="00580C0D">
        <w:t xml:space="preserve"> er oppfylt før tildeling av nye havvindareal er gjennomført i 2025, og at utlysinga </w:t>
      </w:r>
      <w:proofErr w:type="spellStart"/>
      <w:r w:rsidRPr="00580C0D">
        <w:t>særleg</w:t>
      </w:r>
      <w:proofErr w:type="spellEnd"/>
      <w:r w:rsidRPr="00580C0D">
        <w:t xml:space="preserve"> skal legge til rette for skalering, teknologiutvikling og nye industrielle </w:t>
      </w:r>
      <w:proofErr w:type="spellStart"/>
      <w:r w:rsidRPr="00580C0D">
        <w:t>moglegheiter</w:t>
      </w:r>
      <w:proofErr w:type="spellEnd"/>
      <w:r w:rsidRPr="00580C0D">
        <w:t xml:space="preserve">, sikre god sameksistens og ta omsyn til viktige </w:t>
      </w:r>
      <w:proofErr w:type="spellStart"/>
      <w:r w:rsidRPr="00580C0D">
        <w:t>naturverdiar</w:t>
      </w:r>
      <w:proofErr w:type="spellEnd"/>
      <w:r w:rsidRPr="00580C0D">
        <w:t xml:space="preserve">. </w:t>
      </w:r>
      <w:proofErr w:type="spellStart"/>
      <w:r w:rsidRPr="00580C0D">
        <w:t>Fleirtalet</w:t>
      </w:r>
      <w:proofErr w:type="spellEnd"/>
      <w:r w:rsidRPr="00580C0D">
        <w:t xml:space="preserve"> meiner derfor at oppmodingsvedtaket </w:t>
      </w:r>
      <w:proofErr w:type="spellStart"/>
      <w:r w:rsidRPr="00580C0D">
        <w:t>ikkje</w:t>
      </w:r>
      <w:proofErr w:type="spellEnd"/>
      <w:r w:rsidRPr="00580C0D">
        <w:t xml:space="preserve"> kan kvitterast ut før det er gjennomført.</w:t>
      </w:r>
    </w:p>
    <w:p w14:paraId="26D5F62E" w14:textId="77777777" w:rsidR="00F7113A" w:rsidRPr="00580C0D" w:rsidRDefault="00142E5B" w:rsidP="00580C0D">
      <w:r w:rsidRPr="00580C0D">
        <w:t xml:space="preserve">Neste utlysing av areal til havvind etter </w:t>
      </w:r>
      <w:proofErr w:type="spellStart"/>
      <w:r w:rsidRPr="00580C0D">
        <w:t>Sørlege</w:t>
      </w:r>
      <w:proofErr w:type="spellEnd"/>
      <w:r w:rsidRPr="00580C0D">
        <w:t xml:space="preserve"> </w:t>
      </w:r>
      <w:proofErr w:type="spellStart"/>
      <w:r w:rsidRPr="00580C0D">
        <w:t>Nordsjø</w:t>
      </w:r>
      <w:proofErr w:type="spellEnd"/>
      <w:r w:rsidRPr="00580C0D">
        <w:t xml:space="preserve"> II og Utsira Nord er </w:t>
      </w:r>
      <w:proofErr w:type="spellStart"/>
      <w:r w:rsidRPr="00580C0D">
        <w:t>planlagd</w:t>
      </w:r>
      <w:proofErr w:type="spellEnd"/>
      <w:r w:rsidRPr="00580C0D">
        <w:t xml:space="preserve"> i 2025. NVE leverte i 2023, </w:t>
      </w:r>
      <w:proofErr w:type="spellStart"/>
      <w:r w:rsidRPr="00580C0D">
        <w:t>saman</w:t>
      </w:r>
      <w:proofErr w:type="spellEnd"/>
      <w:r w:rsidRPr="00580C0D">
        <w:t xml:space="preserve"> med ei </w:t>
      </w:r>
      <w:proofErr w:type="spellStart"/>
      <w:r w:rsidRPr="00580C0D">
        <w:t>direktoratsgruppe</w:t>
      </w:r>
      <w:proofErr w:type="spellEnd"/>
      <w:r w:rsidRPr="00580C0D">
        <w:t xml:space="preserve">, forslag til 20 område som kan eigne seg for vindkraft til havs. Departementet har bedt NVE om å greie ut Vestavind B </w:t>
      </w:r>
      <w:proofErr w:type="spellStart"/>
      <w:r w:rsidRPr="00580C0D">
        <w:t>saman</w:t>
      </w:r>
      <w:proofErr w:type="spellEnd"/>
      <w:r w:rsidRPr="00580C0D">
        <w:t xml:space="preserve"> med Vestavind F og Sørvest F med sikte på utlysing i 2025, </w:t>
      </w:r>
      <w:proofErr w:type="spellStart"/>
      <w:r w:rsidRPr="00580C0D">
        <w:t>medan</w:t>
      </w:r>
      <w:proofErr w:type="spellEnd"/>
      <w:r w:rsidRPr="00580C0D">
        <w:t xml:space="preserve"> </w:t>
      </w:r>
      <w:proofErr w:type="spellStart"/>
      <w:r w:rsidRPr="00580C0D">
        <w:t>dei</w:t>
      </w:r>
      <w:proofErr w:type="spellEnd"/>
      <w:r w:rsidRPr="00580C0D">
        <w:t xml:space="preserve"> </w:t>
      </w:r>
      <w:proofErr w:type="spellStart"/>
      <w:r w:rsidRPr="00580C0D">
        <w:t>resterande</w:t>
      </w:r>
      <w:proofErr w:type="spellEnd"/>
      <w:r w:rsidRPr="00580C0D">
        <w:t xml:space="preserve"> 17 områda blir </w:t>
      </w:r>
      <w:proofErr w:type="spellStart"/>
      <w:r w:rsidRPr="00580C0D">
        <w:t>utgreidde</w:t>
      </w:r>
      <w:proofErr w:type="spellEnd"/>
      <w:r w:rsidRPr="00580C0D">
        <w:t xml:space="preserve"> med sikte på eventuell </w:t>
      </w:r>
      <w:proofErr w:type="spellStart"/>
      <w:r w:rsidRPr="00580C0D">
        <w:t>opning</w:t>
      </w:r>
      <w:proofErr w:type="spellEnd"/>
      <w:r w:rsidRPr="00580C0D">
        <w:t xml:space="preserve"> og tildeling i </w:t>
      </w:r>
      <w:proofErr w:type="spellStart"/>
      <w:r w:rsidRPr="00580C0D">
        <w:t>seinare</w:t>
      </w:r>
      <w:proofErr w:type="spellEnd"/>
      <w:r w:rsidRPr="00580C0D">
        <w:t xml:space="preserve"> </w:t>
      </w:r>
      <w:proofErr w:type="spellStart"/>
      <w:r w:rsidRPr="00580C0D">
        <w:t>tildelingsrundar</w:t>
      </w:r>
      <w:proofErr w:type="spellEnd"/>
      <w:r w:rsidRPr="00580C0D">
        <w:t>.</w:t>
      </w:r>
    </w:p>
    <w:p w14:paraId="79520ADD" w14:textId="77777777" w:rsidR="00F7113A" w:rsidRPr="00580C0D" w:rsidRDefault="00142E5B" w:rsidP="00580C0D">
      <w:r w:rsidRPr="00580C0D">
        <w:t xml:space="preserve">Som </w:t>
      </w:r>
      <w:proofErr w:type="spellStart"/>
      <w:r w:rsidRPr="00580C0D">
        <w:t>ein</w:t>
      </w:r>
      <w:proofErr w:type="spellEnd"/>
      <w:r w:rsidRPr="00580C0D">
        <w:t xml:space="preserve"> del av </w:t>
      </w:r>
      <w:proofErr w:type="spellStart"/>
      <w:r w:rsidRPr="00580C0D">
        <w:t>opningsprosessen</w:t>
      </w:r>
      <w:proofErr w:type="spellEnd"/>
      <w:r w:rsidRPr="00580C0D">
        <w:t xml:space="preserve"> og førebuing til havvindutlysinga i 2025 blir det i budsjettet for 2024 foreslått </w:t>
      </w:r>
      <w:proofErr w:type="spellStart"/>
      <w:r w:rsidRPr="00580C0D">
        <w:t>løyvingar</w:t>
      </w:r>
      <w:proofErr w:type="spellEnd"/>
      <w:r w:rsidRPr="00580C0D">
        <w:t xml:space="preserve"> til å gjennomføre </w:t>
      </w:r>
      <w:proofErr w:type="spellStart"/>
      <w:r w:rsidRPr="00580C0D">
        <w:t>feltundersøkingar</w:t>
      </w:r>
      <w:proofErr w:type="spellEnd"/>
      <w:r w:rsidRPr="00580C0D">
        <w:t xml:space="preserve"> som </w:t>
      </w:r>
      <w:proofErr w:type="spellStart"/>
      <w:r w:rsidRPr="00580C0D">
        <w:t>aukar</w:t>
      </w:r>
      <w:proofErr w:type="spellEnd"/>
      <w:r w:rsidRPr="00580C0D">
        <w:t xml:space="preserve"> kunnskapsnivået om </w:t>
      </w:r>
      <w:proofErr w:type="spellStart"/>
      <w:r w:rsidRPr="00580C0D">
        <w:t>naturmangfald</w:t>
      </w:r>
      <w:proofErr w:type="spellEnd"/>
      <w:r w:rsidRPr="00580C0D">
        <w:t xml:space="preserve"> og miljø i </w:t>
      </w:r>
      <w:proofErr w:type="spellStart"/>
      <w:r w:rsidRPr="00580C0D">
        <w:t>dei</w:t>
      </w:r>
      <w:proofErr w:type="spellEnd"/>
      <w:r w:rsidRPr="00580C0D">
        <w:t xml:space="preserve"> områda som er aktuelle for utlysing i 2025, jf. omtale av oppfølging av oppmodingsvedtak 839, 14. juni 2023.</w:t>
      </w:r>
    </w:p>
    <w:p w14:paraId="5B77BD6A" w14:textId="77777777" w:rsidR="00F7113A" w:rsidRPr="00580C0D" w:rsidRDefault="00142E5B" w:rsidP="00580C0D">
      <w:r w:rsidRPr="00580C0D">
        <w:t xml:space="preserve">Departementet vil gjennomføre ei evaluering av den første tildelingsrunden, og da også vurdere kva for kriterium som skal ligge til grunn for neste tildeling. Denne evalueringa, </w:t>
      </w:r>
      <w:proofErr w:type="spellStart"/>
      <w:r w:rsidRPr="00580C0D">
        <w:t>saman</w:t>
      </w:r>
      <w:proofErr w:type="spellEnd"/>
      <w:r w:rsidRPr="00580C0D">
        <w:t xml:space="preserve"> med mellom anna Stortingets </w:t>
      </w:r>
      <w:proofErr w:type="spellStart"/>
      <w:r w:rsidRPr="00580C0D">
        <w:t>føringar</w:t>
      </w:r>
      <w:proofErr w:type="spellEnd"/>
      <w:r w:rsidRPr="00580C0D">
        <w:t xml:space="preserve"> på området, er tatt med i førebuinga av utlysinga som er </w:t>
      </w:r>
      <w:proofErr w:type="spellStart"/>
      <w:r w:rsidRPr="00580C0D">
        <w:t>planlagd</w:t>
      </w:r>
      <w:proofErr w:type="spellEnd"/>
      <w:r w:rsidRPr="00580C0D">
        <w:t xml:space="preserve"> i 2025. NVE vil i den strategiske konsekvensutgreiinga mellom anna vurdere sameksistens og omsynet til viktige </w:t>
      </w:r>
      <w:proofErr w:type="spellStart"/>
      <w:r w:rsidRPr="00580C0D">
        <w:t>naturverdiar</w:t>
      </w:r>
      <w:proofErr w:type="spellEnd"/>
      <w:r w:rsidRPr="00580C0D">
        <w:t>.</w:t>
      </w:r>
    </w:p>
    <w:p w14:paraId="1BAA7289" w14:textId="77777777" w:rsidR="00F7113A" w:rsidRPr="00580C0D" w:rsidRDefault="00142E5B" w:rsidP="00580C0D">
      <w:r w:rsidRPr="00580C0D">
        <w:t>Departementet vil komme tilbake til Stortinget på eigna måte.</w:t>
      </w:r>
    </w:p>
    <w:p w14:paraId="74F8C23D" w14:textId="77777777" w:rsidR="00F7113A" w:rsidRPr="00580C0D" w:rsidRDefault="00142E5B" w:rsidP="00580C0D">
      <w:pPr>
        <w:pStyle w:val="avsnitt-tittel"/>
      </w:pPr>
      <w:r w:rsidRPr="00580C0D">
        <w:t xml:space="preserve">Havvind – greie ut </w:t>
      </w:r>
      <w:proofErr w:type="spellStart"/>
      <w:r w:rsidRPr="00580C0D">
        <w:t>støtteordningar</w:t>
      </w:r>
      <w:proofErr w:type="spellEnd"/>
      <w:r w:rsidRPr="00580C0D">
        <w:t xml:space="preserve"> og </w:t>
      </w:r>
      <w:proofErr w:type="spellStart"/>
      <w:r w:rsidRPr="00580C0D">
        <w:t>verkemiddel</w:t>
      </w:r>
      <w:proofErr w:type="spellEnd"/>
      <w:r w:rsidRPr="00580C0D">
        <w:t xml:space="preserve">, deriblant </w:t>
      </w:r>
      <w:proofErr w:type="spellStart"/>
      <w:r w:rsidRPr="00580C0D">
        <w:t>differansekontraktar</w:t>
      </w:r>
      <w:proofErr w:type="spellEnd"/>
    </w:p>
    <w:p w14:paraId="0640A183" w14:textId="77777777" w:rsidR="00F7113A" w:rsidRPr="00580C0D" w:rsidRDefault="00142E5B" w:rsidP="00580C0D">
      <w:pPr>
        <w:pStyle w:val="avsnitt-undertittel"/>
      </w:pPr>
      <w:r w:rsidRPr="00580C0D">
        <w:t>Vedtak 704, 10. juni 2022</w:t>
      </w:r>
    </w:p>
    <w:p w14:paraId="7880E219" w14:textId="77777777" w:rsidR="00F7113A" w:rsidRPr="00580C0D" w:rsidRDefault="00142E5B" w:rsidP="00580C0D">
      <w:pPr>
        <w:pStyle w:val="blokksit"/>
      </w:pPr>
      <w:r w:rsidRPr="00580C0D">
        <w:t>«</w:t>
      </w:r>
      <w:r w:rsidRPr="00580C0D">
        <w:rPr>
          <w:rStyle w:val="kursiv"/>
        </w:rPr>
        <w:t>Stortinget ber regjeringen utrede ulike støtteordninger og virkemidler som kan være utløsende for å få igangsatt prosjekter for flytende havvind, deriblant differansekontrakter.</w:t>
      </w:r>
      <w:r w:rsidRPr="00580C0D">
        <w:t>»</w:t>
      </w:r>
    </w:p>
    <w:p w14:paraId="036ECC2D"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4C9B8DD3"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Stortingets vedtak ved </w:t>
      </w:r>
      <w:proofErr w:type="spellStart"/>
      <w:r w:rsidRPr="00580C0D">
        <w:t>behandlinga</w:t>
      </w:r>
      <w:proofErr w:type="spellEnd"/>
      <w:r w:rsidRPr="00580C0D">
        <w:t xml:space="preserve"> av </w:t>
      </w:r>
      <w:proofErr w:type="spellStart"/>
      <w:r w:rsidRPr="00580C0D">
        <w:t>Prop</w:t>
      </w:r>
      <w:proofErr w:type="spellEnd"/>
      <w:r w:rsidRPr="00580C0D">
        <w:t xml:space="preserve">. 93 S (2022–2023) </w:t>
      </w:r>
      <w:r w:rsidRPr="00580C0D">
        <w:rPr>
          <w:rStyle w:val="kursiv"/>
        </w:rPr>
        <w:t xml:space="preserve">Fullmakt til å inngå </w:t>
      </w:r>
      <w:proofErr w:type="spellStart"/>
      <w:r w:rsidRPr="00580C0D">
        <w:rPr>
          <w:rStyle w:val="kursiv"/>
        </w:rPr>
        <w:t>ein</w:t>
      </w:r>
      <w:proofErr w:type="spellEnd"/>
      <w:r w:rsidRPr="00580C0D">
        <w:rPr>
          <w:rStyle w:val="kursiv"/>
        </w:rPr>
        <w:t xml:space="preserve"> tosidig differansekontrakt for støtte til fornybar energiproduksjon til havs </w:t>
      </w:r>
      <w:proofErr w:type="spellStart"/>
      <w:r w:rsidRPr="00580C0D">
        <w:rPr>
          <w:rStyle w:val="kursiv"/>
        </w:rPr>
        <w:t>frå</w:t>
      </w:r>
      <w:proofErr w:type="spellEnd"/>
      <w:r w:rsidRPr="00580C0D">
        <w:rPr>
          <w:rStyle w:val="kursiv"/>
        </w:rPr>
        <w:t xml:space="preserve"> første fase av </w:t>
      </w:r>
      <w:proofErr w:type="spellStart"/>
      <w:r w:rsidRPr="00580C0D">
        <w:rPr>
          <w:rStyle w:val="kursiv"/>
        </w:rPr>
        <w:t>Sørlege</w:t>
      </w:r>
      <w:proofErr w:type="spellEnd"/>
      <w:r w:rsidRPr="00580C0D">
        <w:rPr>
          <w:rStyle w:val="kursiv"/>
        </w:rPr>
        <w:t xml:space="preserve"> </w:t>
      </w:r>
      <w:proofErr w:type="spellStart"/>
      <w:r w:rsidRPr="00580C0D">
        <w:rPr>
          <w:rStyle w:val="kursiv"/>
        </w:rPr>
        <w:t>Nordsjø</w:t>
      </w:r>
      <w:proofErr w:type="spellEnd"/>
      <w:r w:rsidRPr="00580C0D">
        <w:rPr>
          <w:rStyle w:val="kursiv"/>
        </w:rPr>
        <w:t xml:space="preserve"> II</w:t>
      </w:r>
      <w:r w:rsidRPr="00580C0D">
        <w:t xml:space="preserve">, jf. </w:t>
      </w:r>
      <w:proofErr w:type="spellStart"/>
      <w:r w:rsidRPr="00580C0D">
        <w:t>Innst</w:t>
      </w:r>
      <w:proofErr w:type="spellEnd"/>
      <w:r w:rsidRPr="00580C0D">
        <w:t xml:space="preserve">. 496 S (2022–2023). I proposisjonen foreslår departementet </w:t>
      </w:r>
      <w:proofErr w:type="spellStart"/>
      <w:r w:rsidRPr="00580C0D">
        <w:t>ein</w:t>
      </w:r>
      <w:proofErr w:type="spellEnd"/>
      <w:r w:rsidRPr="00580C0D">
        <w:t xml:space="preserve"> tosidig differansekontrakt som støtteordning for det første havvindprosjektet på Sørlige </w:t>
      </w:r>
      <w:proofErr w:type="spellStart"/>
      <w:r w:rsidRPr="00580C0D">
        <w:t>Nordsjø</w:t>
      </w:r>
      <w:proofErr w:type="spellEnd"/>
      <w:r w:rsidRPr="00580C0D">
        <w:t xml:space="preserve"> II. Departementet vil gjennomføre ei evaluering av den første tildelingsrunden, som også </w:t>
      </w:r>
      <w:proofErr w:type="spellStart"/>
      <w:r w:rsidRPr="00580C0D">
        <w:t>inneber</w:t>
      </w:r>
      <w:proofErr w:type="spellEnd"/>
      <w:r w:rsidRPr="00580C0D">
        <w:t xml:space="preserve"> ei evaluering av støtteordninga.</w:t>
      </w:r>
    </w:p>
    <w:p w14:paraId="069CA954"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4318AE8B" w14:textId="77777777" w:rsidR="00F7113A" w:rsidRPr="00580C0D" w:rsidRDefault="00142E5B" w:rsidP="00580C0D">
      <w:pPr>
        <w:pStyle w:val="avsnitt-tittel"/>
      </w:pPr>
      <w:r w:rsidRPr="00580C0D">
        <w:t xml:space="preserve">Kraftpotensial </w:t>
      </w:r>
      <w:proofErr w:type="spellStart"/>
      <w:r w:rsidRPr="00580C0D">
        <w:t>frå</w:t>
      </w:r>
      <w:proofErr w:type="spellEnd"/>
      <w:r w:rsidRPr="00580C0D">
        <w:t xml:space="preserve"> mindre vindmøller på gardsbruk</w:t>
      </w:r>
    </w:p>
    <w:p w14:paraId="24ECD8B9" w14:textId="77777777" w:rsidR="00F7113A" w:rsidRPr="00580C0D" w:rsidRDefault="00142E5B" w:rsidP="00580C0D">
      <w:pPr>
        <w:pStyle w:val="avsnitt-undertittel"/>
      </w:pPr>
      <w:r w:rsidRPr="00580C0D">
        <w:t>Vedtak 705, 10. juni 2022</w:t>
      </w:r>
    </w:p>
    <w:p w14:paraId="2D42FCF6" w14:textId="77777777" w:rsidR="00F7113A" w:rsidRPr="00580C0D" w:rsidRDefault="00142E5B" w:rsidP="00580C0D">
      <w:pPr>
        <w:pStyle w:val="blokksit"/>
      </w:pPr>
      <w:r w:rsidRPr="00580C0D">
        <w:t>«</w:t>
      </w:r>
      <w:r w:rsidRPr="00580C0D">
        <w:rPr>
          <w:rStyle w:val="kursiv"/>
        </w:rPr>
        <w:t>Stortinget ber regjeringen kartlegge kraftpotensialet fra mindre vindmøller på gårdsbruk og hva som skal til for å realisere en satsing på dette.</w:t>
      </w:r>
      <w:r w:rsidRPr="00580C0D">
        <w:t>»</w:t>
      </w:r>
    </w:p>
    <w:p w14:paraId="7DEF3557"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5CDE51D9" w14:textId="77777777" w:rsidR="00F7113A" w:rsidRPr="00580C0D" w:rsidRDefault="00142E5B" w:rsidP="00580C0D">
      <w:r w:rsidRPr="00580C0D">
        <w:t xml:space="preserve">Departementet har i oppfølginga av vedtaket bedt NVE vurdere potensialet for utbygging av fornybar kraftproduksjon på næringsareal, langs </w:t>
      </w:r>
      <w:proofErr w:type="spellStart"/>
      <w:r w:rsidRPr="00580C0D">
        <w:t>motorvegar</w:t>
      </w:r>
      <w:proofErr w:type="spellEnd"/>
      <w:r w:rsidRPr="00580C0D">
        <w:t xml:space="preserve"> og i andre nedbygde areal mot 2030 og </w:t>
      </w:r>
      <w:proofErr w:type="spellStart"/>
      <w:r w:rsidRPr="00580C0D">
        <w:t>moglegheitene</w:t>
      </w:r>
      <w:proofErr w:type="spellEnd"/>
      <w:r w:rsidRPr="00580C0D">
        <w:t xml:space="preserve"> for å nå </w:t>
      </w:r>
      <w:proofErr w:type="spellStart"/>
      <w:r w:rsidRPr="00580C0D">
        <w:t>eit</w:t>
      </w:r>
      <w:proofErr w:type="spellEnd"/>
      <w:r w:rsidRPr="00580C0D">
        <w:t xml:space="preserve"> mål om 5 </w:t>
      </w:r>
      <w:proofErr w:type="spellStart"/>
      <w:r w:rsidRPr="00580C0D">
        <w:t>TWh</w:t>
      </w:r>
      <w:proofErr w:type="spellEnd"/>
      <w:r w:rsidRPr="00580C0D">
        <w:t xml:space="preserve"> fornybar kraft på slike areal. Vurderinga skal </w:t>
      </w:r>
      <w:proofErr w:type="spellStart"/>
      <w:r w:rsidRPr="00580C0D">
        <w:t>skilje</w:t>
      </w:r>
      <w:proofErr w:type="spellEnd"/>
      <w:r w:rsidRPr="00580C0D">
        <w:t xml:space="preserve"> mellom produksjonsformer, som sol- og vindkraft. Oppdraget skal også bidra til å </w:t>
      </w:r>
      <w:proofErr w:type="spellStart"/>
      <w:r w:rsidRPr="00580C0D">
        <w:t>klargjere</w:t>
      </w:r>
      <w:proofErr w:type="spellEnd"/>
      <w:r w:rsidRPr="00580C0D">
        <w:t xml:space="preserve"> potensialet for vindkraftproduksjon på landbruksareal og gardsbruk.</w:t>
      </w:r>
    </w:p>
    <w:p w14:paraId="57F6ECCA"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36E6DDFF" w14:textId="77777777" w:rsidR="00F7113A" w:rsidRPr="00580C0D" w:rsidRDefault="00142E5B" w:rsidP="00580C0D">
      <w:pPr>
        <w:pStyle w:val="avsnitt-tittel"/>
      </w:pPr>
      <w:r w:rsidRPr="00580C0D">
        <w:t xml:space="preserve">Havvind – etablere eigna regime for </w:t>
      </w:r>
      <w:proofErr w:type="spellStart"/>
      <w:r w:rsidRPr="00580C0D">
        <w:t>risikoavlasting</w:t>
      </w:r>
      <w:proofErr w:type="spellEnd"/>
      <w:r w:rsidRPr="00580C0D">
        <w:t xml:space="preserve"> og statsstøtte, </w:t>
      </w:r>
      <w:proofErr w:type="spellStart"/>
      <w:r w:rsidRPr="00580C0D">
        <w:t>irekna</w:t>
      </w:r>
      <w:proofErr w:type="spellEnd"/>
      <w:r w:rsidRPr="00580C0D">
        <w:t xml:space="preserve"> </w:t>
      </w:r>
      <w:proofErr w:type="spellStart"/>
      <w:r w:rsidRPr="00580C0D">
        <w:t>differansekontraktar</w:t>
      </w:r>
      <w:proofErr w:type="spellEnd"/>
    </w:p>
    <w:p w14:paraId="51DF4698" w14:textId="77777777" w:rsidR="00F7113A" w:rsidRPr="00580C0D" w:rsidRDefault="00142E5B" w:rsidP="00580C0D">
      <w:pPr>
        <w:pStyle w:val="avsnitt-undertittel"/>
      </w:pPr>
      <w:r w:rsidRPr="00580C0D">
        <w:t>Vedtak 708, 10. juni 2022</w:t>
      </w:r>
    </w:p>
    <w:p w14:paraId="7DA40F94" w14:textId="77777777" w:rsidR="00F7113A" w:rsidRPr="00580C0D" w:rsidRDefault="00142E5B" w:rsidP="00580C0D">
      <w:pPr>
        <w:pStyle w:val="blokksit"/>
      </w:pPr>
      <w:r w:rsidRPr="00580C0D">
        <w:t>«</w:t>
      </w:r>
      <w:r w:rsidRPr="00580C0D">
        <w:rPr>
          <w:rStyle w:val="kursiv"/>
        </w:rPr>
        <w:t>Stortinget ber regjeringen bidra til å realisere prosjekter i de første tildelingsrundene blant annet gjennom å etablere egnet regime for risikoavlastning og statsstøtte dersom det er behov for dette. Ulike modeller skal i den sammenheng vurderes, herunder en modell med differansekontrakter knyttet til kraftprisen for utbygging av havvind etter havenergiloven i tildelte områder. Det er et mål å velge en ordning som minimerer kostnadene ved realisering av prosjektet.</w:t>
      </w:r>
      <w:r w:rsidRPr="00580C0D">
        <w:t>»</w:t>
      </w:r>
    </w:p>
    <w:p w14:paraId="19F6A338"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25E057F6"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Stortingets vedtak ved </w:t>
      </w:r>
      <w:proofErr w:type="spellStart"/>
      <w:r w:rsidRPr="00580C0D">
        <w:t>behandlinga</w:t>
      </w:r>
      <w:proofErr w:type="spellEnd"/>
      <w:r w:rsidRPr="00580C0D">
        <w:t xml:space="preserve"> av </w:t>
      </w:r>
      <w:proofErr w:type="spellStart"/>
      <w:r w:rsidRPr="00580C0D">
        <w:t>Prop</w:t>
      </w:r>
      <w:proofErr w:type="spellEnd"/>
      <w:r w:rsidRPr="00580C0D">
        <w:t xml:space="preserve">. 93 S (2022–2023) </w:t>
      </w:r>
      <w:r w:rsidRPr="00580C0D">
        <w:rPr>
          <w:rStyle w:val="kursiv"/>
        </w:rPr>
        <w:t xml:space="preserve">Fullmakt til å inngå </w:t>
      </w:r>
      <w:proofErr w:type="spellStart"/>
      <w:r w:rsidRPr="00580C0D">
        <w:rPr>
          <w:rStyle w:val="kursiv"/>
        </w:rPr>
        <w:t>ein</w:t>
      </w:r>
      <w:proofErr w:type="spellEnd"/>
      <w:r w:rsidRPr="00580C0D">
        <w:rPr>
          <w:rStyle w:val="kursiv"/>
        </w:rPr>
        <w:t xml:space="preserve"> tosidig differansekontrakt for støtte til fornybar energiproduksjon til havs </w:t>
      </w:r>
      <w:proofErr w:type="spellStart"/>
      <w:r w:rsidRPr="00580C0D">
        <w:rPr>
          <w:rStyle w:val="kursiv"/>
        </w:rPr>
        <w:t>frå</w:t>
      </w:r>
      <w:proofErr w:type="spellEnd"/>
      <w:r w:rsidRPr="00580C0D">
        <w:rPr>
          <w:rStyle w:val="kursiv"/>
        </w:rPr>
        <w:t xml:space="preserve"> første fase av </w:t>
      </w:r>
      <w:proofErr w:type="spellStart"/>
      <w:r w:rsidRPr="00580C0D">
        <w:rPr>
          <w:rStyle w:val="kursiv"/>
        </w:rPr>
        <w:t>Sørlege</w:t>
      </w:r>
      <w:proofErr w:type="spellEnd"/>
      <w:r w:rsidRPr="00580C0D">
        <w:rPr>
          <w:rStyle w:val="kursiv"/>
        </w:rPr>
        <w:t xml:space="preserve"> </w:t>
      </w:r>
      <w:proofErr w:type="spellStart"/>
      <w:r w:rsidRPr="00580C0D">
        <w:rPr>
          <w:rStyle w:val="kursiv"/>
        </w:rPr>
        <w:t>Nordsjø</w:t>
      </w:r>
      <w:proofErr w:type="spellEnd"/>
      <w:r w:rsidRPr="00580C0D">
        <w:rPr>
          <w:rStyle w:val="kursiv"/>
        </w:rPr>
        <w:t xml:space="preserve"> II</w:t>
      </w:r>
      <w:r w:rsidRPr="00580C0D">
        <w:t xml:space="preserve">, jf. </w:t>
      </w:r>
      <w:proofErr w:type="spellStart"/>
      <w:r w:rsidRPr="00580C0D">
        <w:t>Innst</w:t>
      </w:r>
      <w:proofErr w:type="spellEnd"/>
      <w:r w:rsidRPr="00580C0D">
        <w:t xml:space="preserve">. 496 S (2022–2023). I proposisjonen foreslår departementet </w:t>
      </w:r>
      <w:proofErr w:type="spellStart"/>
      <w:r w:rsidRPr="00580C0D">
        <w:t>ein</w:t>
      </w:r>
      <w:proofErr w:type="spellEnd"/>
      <w:r w:rsidRPr="00580C0D">
        <w:t xml:space="preserve"> tosidig differansekontrakt som støtteordning for det første havvindprosjektet på </w:t>
      </w:r>
      <w:proofErr w:type="spellStart"/>
      <w:r w:rsidRPr="00580C0D">
        <w:t>Sørlege</w:t>
      </w:r>
      <w:proofErr w:type="spellEnd"/>
      <w:r w:rsidRPr="00580C0D">
        <w:t xml:space="preserve"> </w:t>
      </w:r>
      <w:proofErr w:type="spellStart"/>
      <w:r w:rsidRPr="00580C0D">
        <w:t>Nordsjø</w:t>
      </w:r>
      <w:proofErr w:type="spellEnd"/>
      <w:r w:rsidRPr="00580C0D">
        <w:t xml:space="preserve"> II.</w:t>
      </w:r>
    </w:p>
    <w:p w14:paraId="2A9B502F"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235FF06B" w14:textId="77777777" w:rsidR="00F7113A" w:rsidRPr="00580C0D" w:rsidRDefault="00142E5B" w:rsidP="00580C0D">
      <w:pPr>
        <w:pStyle w:val="avsnitt-tittel"/>
      </w:pPr>
      <w:r w:rsidRPr="00580C0D">
        <w:t xml:space="preserve">Havvind – vurdere å fastsette delmål for arealtildeling </w:t>
      </w:r>
      <w:proofErr w:type="spellStart"/>
      <w:r w:rsidRPr="00580C0D">
        <w:t>innan</w:t>
      </w:r>
      <w:proofErr w:type="spellEnd"/>
      <w:r w:rsidRPr="00580C0D">
        <w:t xml:space="preserve"> 2030</w:t>
      </w:r>
    </w:p>
    <w:p w14:paraId="32970E71" w14:textId="77777777" w:rsidR="00F7113A" w:rsidRPr="00580C0D" w:rsidRDefault="00142E5B" w:rsidP="00580C0D">
      <w:pPr>
        <w:pStyle w:val="avsnitt-undertittel"/>
      </w:pPr>
      <w:r w:rsidRPr="00580C0D">
        <w:t>Vedtak 716, 10. juni 2022</w:t>
      </w:r>
    </w:p>
    <w:p w14:paraId="6811C929" w14:textId="77777777" w:rsidR="00F7113A" w:rsidRPr="00580C0D" w:rsidRDefault="00142E5B" w:rsidP="00580C0D">
      <w:pPr>
        <w:pStyle w:val="blokksit"/>
      </w:pPr>
      <w:r w:rsidRPr="00580C0D">
        <w:t>«</w:t>
      </w:r>
      <w:r w:rsidRPr="00580C0D">
        <w:rPr>
          <w:rStyle w:val="kursiv"/>
        </w:rPr>
        <w:t>Stortinget ber regjeringen i lys av erfaringer og evalueringen som gjøres fra de første tildelingene, vurdere å fastsette et delmål for arealtildeling innen 2030.</w:t>
      </w:r>
      <w:r w:rsidRPr="00580C0D">
        <w:t>»</w:t>
      </w:r>
    </w:p>
    <w:p w14:paraId="0D5F0802"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11C2ED9A" w14:textId="77777777" w:rsidR="00F7113A" w:rsidRPr="00580C0D" w:rsidRDefault="00142E5B" w:rsidP="00580C0D">
      <w:r w:rsidRPr="00580C0D">
        <w:t>Olje- og energidepartementet vil gjennomføre ei evaluering av første runde med tildeling av prosjektområde til havvindproduksjon.</w:t>
      </w:r>
    </w:p>
    <w:p w14:paraId="7E21DB3F" w14:textId="77777777" w:rsidR="00F7113A" w:rsidRPr="00580C0D" w:rsidRDefault="00142E5B" w:rsidP="00580C0D">
      <w:r w:rsidRPr="00580C0D">
        <w:t>Departementet vil komme tilbake til Stortinget på eigna måte når evalueringa er gjennomført.</w:t>
      </w:r>
    </w:p>
    <w:p w14:paraId="73E509D4" w14:textId="77777777" w:rsidR="00F7113A" w:rsidRPr="00580C0D" w:rsidRDefault="00142E5B" w:rsidP="00580C0D">
      <w:pPr>
        <w:pStyle w:val="avsnitt-tittel"/>
      </w:pPr>
      <w:r w:rsidRPr="00580C0D">
        <w:t>Vurdere potensialet for småskala vindkraftproduksjon</w:t>
      </w:r>
    </w:p>
    <w:p w14:paraId="34B6F34A" w14:textId="77777777" w:rsidR="00F7113A" w:rsidRPr="00580C0D" w:rsidRDefault="00142E5B" w:rsidP="00580C0D">
      <w:pPr>
        <w:pStyle w:val="avsnitt-undertittel"/>
      </w:pPr>
      <w:r w:rsidRPr="00580C0D">
        <w:t>Vedtak 724, 10. juni 2022</w:t>
      </w:r>
    </w:p>
    <w:p w14:paraId="69A03FA9" w14:textId="77777777" w:rsidR="00F7113A" w:rsidRPr="00580C0D" w:rsidRDefault="00142E5B" w:rsidP="00580C0D">
      <w:pPr>
        <w:pStyle w:val="blokksit"/>
      </w:pPr>
      <w:r w:rsidRPr="00580C0D">
        <w:t>«</w:t>
      </w:r>
      <w:r w:rsidRPr="00580C0D">
        <w:rPr>
          <w:rStyle w:val="kursiv"/>
        </w:rPr>
        <w:t>Stortinget ber regjeringen vurdere potensialet for småskala vindkraftproduksjon i industriområder, havner og ved annen infrastruktur hvor dette ikke gir nye naturinngrep.</w:t>
      </w:r>
      <w:r w:rsidRPr="00580C0D">
        <w:t>»</w:t>
      </w:r>
    </w:p>
    <w:p w14:paraId="43B7382C"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66F2BA89" w14:textId="77777777" w:rsidR="00F7113A" w:rsidRPr="00580C0D" w:rsidRDefault="00142E5B" w:rsidP="00580C0D">
      <w:r w:rsidRPr="00580C0D">
        <w:t xml:space="preserve">Departementet har i oppfølginga av vedtaket bedt NVE vurdere potensialet for utbygging av fornybar kraftproduksjon på næringsareal, langs </w:t>
      </w:r>
      <w:proofErr w:type="spellStart"/>
      <w:r w:rsidRPr="00580C0D">
        <w:t>motorvegar</w:t>
      </w:r>
      <w:proofErr w:type="spellEnd"/>
      <w:r w:rsidRPr="00580C0D">
        <w:t xml:space="preserve"> og i andre nedbygde areal mot 2030. Vurderinga skal </w:t>
      </w:r>
      <w:proofErr w:type="spellStart"/>
      <w:r w:rsidRPr="00580C0D">
        <w:t>skilje</w:t>
      </w:r>
      <w:proofErr w:type="spellEnd"/>
      <w:r w:rsidRPr="00580C0D">
        <w:t xml:space="preserve"> mellom produksjonsformer, som sol- og vindkraft.</w:t>
      </w:r>
    </w:p>
    <w:p w14:paraId="08EB0FB6"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3CC668D9" w14:textId="77777777" w:rsidR="00F7113A" w:rsidRPr="00580C0D" w:rsidRDefault="00142E5B" w:rsidP="00580C0D">
      <w:pPr>
        <w:pStyle w:val="avsnitt-tittel"/>
      </w:pPr>
      <w:r w:rsidRPr="00580C0D">
        <w:t xml:space="preserve">Mål om </w:t>
      </w:r>
      <w:proofErr w:type="spellStart"/>
      <w:r w:rsidRPr="00580C0D">
        <w:t>auka</w:t>
      </w:r>
      <w:proofErr w:type="spellEnd"/>
      <w:r w:rsidRPr="00580C0D">
        <w:t xml:space="preserve"> energisparing – greie ut ulike </w:t>
      </w:r>
      <w:proofErr w:type="spellStart"/>
      <w:r w:rsidRPr="00580C0D">
        <w:t>ordningar</w:t>
      </w:r>
      <w:proofErr w:type="spellEnd"/>
      <w:r w:rsidRPr="00580C0D">
        <w:t xml:space="preserve"> med energisparesertifikat</w:t>
      </w:r>
    </w:p>
    <w:p w14:paraId="22B11B5C" w14:textId="77777777" w:rsidR="00F7113A" w:rsidRPr="00580C0D" w:rsidRDefault="00142E5B" w:rsidP="00580C0D">
      <w:pPr>
        <w:pStyle w:val="avsnitt-undertittel"/>
      </w:pPr>
      <w:r w:rsidRPr="00580C0D">
        <w:t>Vedtak 727, 10. juni 2022</w:t>
      </w:r>
    </w:p>
    <w:p w14:paraId="7F7359AE" w14:textId="77777777" w:rsidR="00F7113A" w:rsidRPr="00580C0D" w:rsidRDefault="00142E5B" w:rsidP="00580C0D">
      <w:pPr>
        <w:pStyle w:val="blokksit"/>
      </w:pPr>
      <w:r w:rsidRPr="00580C0D">
        <w:t>«</w:t>
      </w:r>
      <w:r w:rsidRPr="00580C0D">
        <w:rPr>
          <w:rStyle w:val="kursiv"/>
        </w:rPr>
        <w:t>Stortinget ber regjeringen utrede ulike ordninger med energisparesertifikater for å utløse mål om økt energisparing med mest mulig effekt.</w:t>
      </w:r>
      <w:r w:rsidRPr="00580C0D">
        <w:t>»</w:t>
      </w:r>
    </w:p>
    <w:p w14:paraId="0744706F"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679A0E7D" w14:textId="77777777" w:rsidR="00F7113A" w:rsidRPr="00580C0D" w:rsidRDefault="00142E5B" w:rsidP="00580C0D">
      <w:r w:rsidRPr="00580C0D">
        <w:t xml:space="preserve">Departementet vil vurdere oppfølging av oppmodingsvedtaket også i lys av regjeringas handlingsplan for energieffektivisering i alle </w:t>
      </w:r>
      <w:proofErr w:type="spellStart"/>
      <w:r w:rsidRPr="00580C0D">
        <w:t>delar</w:t>
      </w:r>
      <w:proofErr w:type="spellEnd"/>
      <w:r w:rsidRPr="00580C0D">
        <w:t xml:space="preserve"> av norsk økonomi.</w:t>
      </w:r>
    </w:p>
    <w:p w14:paraId="1C2ACC25" w14:textId="77777777" w:rsidR="00F7113A" w:rsidRPr="00580C0D" w:rsidRDefault="00142E5B" w:rsidP="00580C0D">
      <w:r w:rsidRPr="00580C0D">
        <w:t>Departementet vil komme tilbake til Stortinget på eigna måte.</w:t>
      </w:r>
    </w:p>
    <w:p w14:paraId="30E66F26" w14:textId="77777777" w:rsidR="00F7113A" w:rsidRPr="00580C0D" w:rsidRDefault="00142E5B" w:rsidP="00580C0D">
      <w:pPr>
        <w:pStyle w:val="avsnitt-tittel"/>
      </w:pPr>
      <w:r w:rsidRPr="00580C0D">
        <w:t xml:space="preserve">Prioritere kven som får </w:t>
      </w:r>
      <w:proofErr w:type="spellStart"/>
      <w:r w:rsidRPr="00580C0D">
        <w:t>tilknyting</w:t>
      </w:r>
      <w:proofErr w:type="spellEnd"/>
      <w:r w:rsidRPr="00580C0D">
        <w:t xml:space="preserve"> til og uttak </w:t>
      </w:r>
      <w:proofErr w:type="spellStart"/>
      <w:r w:rsidRPr="00580C0D">
        <w:t>frå</w:t>
      </w:r>
      <w:proofErr w:type="spellEnd"/>
      <w:r w:rsidRPr="00580C0D">
        <w:t xml:space="preserve"> nettet av større nye </w:t>
      </w:r>
      <w:proofErr w:type="spellStart"/>
      <w:r w:rsidRPr="00580C0D">
        <w:t>forbrukarar</w:t>
      </w:r>
      <w:proofErr w:type="spellEnd"/>
    </w:p>
    <w:p w14:paraId="1342D821" w14:textId="77777777" w:rsidR="00F7113A" w:rsidRPr="00580C0D" w:rsidRDefault="00142E5B" w:rsidP="00580C0D">
      <w:pPr>
        <w:pStyle w:val="avsnitt-undertittel"/>
      </w:pPr>
      <w:r w:rsidRPr="00580C0D">
        <w:t>Vedtak 731, 10. juni 2022</w:t>
      </w:r>
    </w:p>
    <w:p w14:paraId="066A1CDE" w14:textId="77777777" w:rsidR="00F7113A" w:rsidRPr="00580C0D" w:rsidRDefault="00142E5B" w:rsidP="00580C0D">
      <w:pPr>
        <w:pStyle w:val="blokksit"/>
      </w:pPr>
      <w:r w:rsidRPr="00580C0D">
        <w:t>«</w:t>
      </w:r>
      <w:r w:rsidRPr="00580C0D">
        <w:rPr>
          <w:rStyle w:val="kursiv"/>
        </w:rPr>
        <w:t>Stortinget ber regjeringen, i etterkant av at Strømnettutvalget kommer med sine anbefalinger i juni 2022, vurdere og fremme forslag som sørger for at NVE gjennom forskrifter prioriterer hvem som får tilknytning til og uttak fra nettet av større nye forbrukere og komme tilbake til Stortinget i forbindelse med revidert nasjonalbudsjett 2023.</w:t>
      </w:r>
      <w:r w:rsidRPr="00580C0D">
        <w:t>»</w:t>
      </w:r>
    </w:p>
    <w:p w14:paraId="2FE230F0"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137C3B2F" w14:textId="77777777" w:rsidR="00F7113A" w:rsidRPr="00580C0D" w:rsidRDefault="00142E5B" w:rsidP="00580C0D">
      <w:r w:rsidRPr="00580C0D">
        <w:t xml:space="preserve">Departementet </w:t>
      </w:r>
      <w:proofErr w:type="spellStart"/>
      <w:r w:rsidRPr="00580C0D">
        <w:t>legg</w:t>
      </w:r>
      <w:proofErr w:type="spellEnd"/>
      <w:r w:rsidRPr="00580C0D">
        <w:t xml:space="preserve"> til grunn at oppmodingsvedtaket er </w:t>
      </w:r>
      <w:proofErr w:type="spellStart"/>
      <w:r w:rsidRPr="00580C0D">
        <w:t>følgt</w:t>
      </w:r>
      <w:proofErr w:type="spellEnd"/>
      <w:r w:rsidRPr="00580C0D">
        <w:t xml:space="preserve"> opp gjennom vurderinga under kapittel 1.4 Anmodningsvedtak og omtale på side 179 i </w:t>
      </w:r>
      <w:proofErr w:type="spellStart"/>
      <w:r w:rsidRPr="00580C0D">
        <w:t>Prop</w:t>
      </w:r>
      <w:proofErr w:type="spellEnd"/>
      <w:r w:rsidRPr="00580C0D">
        <w:t xml:space="preserve">. 118 S (2022–2023) </w:t>
      </w:r>
      <w:r w:rsidRPr="00580C0D">
        <w:rPr>
          <w:rStyle w:val="kursiv"/>
        </w:rPr>
        <w:t>Tilleggsbevilgninger og omprioriteringer i statsbudsjettet 2023</w:t>
      </w:r>
      <w:r w:rsidRPr="00580C0D">
        <w:t>.</w:t>
      </w:r>
    </w:p>
    <w:p w14:paraId="1FF7454E" w14:textId="77777777" w:rsidR="00F7113A" w:rsidRPr="00580C0D" w:rsidRDefault="00142E5B" w:rsidP="00580C0D">
      <w:proofErr w:type="spellStart"/>
      <w:r w:rsidRPr="00580C0D">
        <w:t>Straumnettutvalets</w:t>
      </w:r>
      <w:proofErr w:type="spellEnd"/>
      <w:r w:rsidRPr="00580C0D">
        <w:t xml:space="preserve"> rapport NOU 2022: 6 </w:t>
      </w:r>
      <w:r w:rsidRPr="00580C0D">
        <w:rPr>
          <w:rStyle w:val="kursiv"/>
        </w:rPr>
        <w:t>Nett i tide – om utvikling av strømnettet</w:t>
      </w:r>
      <w:r w:rsidRPr="00580C0D">
        <w:t xml:space="preserve">, blei lagd fram 14. juni 2022. </w:t>
      </w:r>
      <w:r w:rsidRPr="00580C0D">
        <w:rPr>
          <w:rStyle w:val="kursiv"/>
        </w:rPr>
        <w:t>Regjeringens handlingsplan for raskere nettutbygging og bedre utnyttelse av nettet</w:t>
      </w:r>
      <w:r w:rsidRPr="00580C0D">
        <w:t xml:space="preserve"> blei lagd fram 19. april 2023, som </w:t>
      </w:r>
      <w:proofErr w:type="spellStart"/>
      <w:r w:rsidRPr="00580C0D">
        <w:t>ein</w:t>
      </w:r>
      <w:proofErr w:type="spellEnd"/>
      <w:r w:rsidRPr="00580C0D">
        <w:t xml:space="preserve"> del av oppfølginga av rapporten </w:t>
      </w:r>
      <w:proofErr w:type="spellStart"/>
      <w:r w:rsidRPr="00580C0D">
        <w:t>frå</w:t>
      </w:r>
      <w:proofErr w:type="spellEnd"/>
      <w:r w:rsidRPr="00580C0D">
        <w:t xml:space="preserve"> </w:t>
      </w:r>
      <w:proofErr w:type="spellStart"/>
      <w:r w:rsidRPr="00580C0D">
        <w:t>Straumnettutvalet</w:t>
      </w:r>
      <w:proofErr w:type="spellEnd"/>
      <w:r w:rsidRPr="00580C0D">
        <w:t>.</w:t>
      </w:r>
    </w:p>
    <w:p w14:paraId="6C2A82E5" w14:textId="77777777" w:rsidR="00F7113A" w:rsidRPr="00580C0D" w:rsidRDefault="00142E5B" w:rsidP="00580C0D">
      <w:r w:rsidRPr="00580C0D">
        <w:t xml:space="preserve">Nettselskapa bør i størst </w:t>
      </w:r>
      <w:proofErr w:type="spellStart"/>
      <w:r w:rsidRPr="00580C0D">
        <w:t>mogleg</w:t>
      </w:r>
      <w:proofErr w:type="spellEnd"/>
      <w:r w:rsidRPr="00580C0D">
        <w:t xml:space="preserve"> grad reservere og fordele kapasitet til </w:t>
      </w:r>
      <w:proofErr w:type="spellStart"/>
      <w:r w:rsidRPr="00580C0D">
        <w:t>kundar</w:t>
      </w:r>
      <w:proofErr w:type="spellEnd"/>
      <w:r w:rsidRPr="00580C0D">
        <w:t xml:space="preserve"> som gjennomfører sine prosjekt. Handlingsplanen </w:t>
      </w:r>
      <w:proofErr w:type="spellStart"/>
      <w:r w:rsidRPr="00580C0D">
        <w:t>frå</w:t>
      </w:r>
      <w:proofErr w:type="spellEnd"/>
      <w:r w:rsidRPr="00580C0D">
        <w:t xml:space="preserve"> regjeringa </w:t>
      </w:r>
      <w:proofErr w:type="spellStart"/>
      <w:r w:rsidRPr="00580C0D">
        <w:t>varslar</w:t>
      </w:r>
      <w:proofErr w:type="spellEnd"/>
      <w:r w:rsidRPr="00580C0D">
        <w:t xml:space="preserve"> derfor </w:t>
      </w:r>
      <w:proofErr w:type="spellStart"/>
      <w:r w:rsidRPr="00580C0D">
        <w:t>forskriftsendringar</w:t>
      </w:r>
      <w:proofErr w:type="spellEnd"/>
      <w:r w:rsidRPr="00580C0D">
        <w:t xml:space="preserve"> som </w:t>
      </w:r>
      <w:proofErr w:type="spellStart"/>
      <w:r w:rsidRPr="00580C0D">
        <w:t>inneber</w:t>
      </w:r>
      <w:proofErr w:type="spellEnd"/>
      <w:r w:rsidRPr="00580C0D">
        <w:t xml:space="preserve"> at nettselskapa skal ta omsyn til kor modne prosjekta er, når </w:t>
      </w:r>
      <w:proofErr w:type="spellStart"/>
      <w:r w:rsidRPr="00580C0D">
        <w:t>dei</w:t>
      </w:r>
      <w:proofErr w:type="spellEnd"/>
      <w:r w:rsidRPr="00580C0D">
        <w:t xml:space="preserve"> fordeler kapasitet. Nettselskapa må utarbeide </w:t>
      </w:r>
      <w:proofErr w:type="spellStart"/>
      <w:r w:rsidRPr="00580C0D">
        <w:t>ein</w:t>
      </w:r>
      <w:proofErr w:type="spellEnd"/>
      <w:r w:rsidRPr="00580C0D">
        <w:t xml:space="preserve"> nøytral og </w:t>
      </w:r>
      <w:proofErr w:type="spellStart"/>
      <w:r w:rsidRPr="00580C0D">
        <w:t>ikkje-diskriminerande</w:t>
      </w:r>
      <w:proofErr w:type="spellEnd"/>
      <w:r w:rsidRPr="00580C0D">
        <w:t xml:space="preserve"> praksis for </w:t>
      </w:r>
      <w:proofErr w:type="spellStart"/>
      <w:r w:rsidRPr="00580C0D">
        <w:t>desse</w:t>
      </w:r>
      <w:proofErr w:type="spellEnd"/>
      <w:r w:rsidRPr="00580C0D">
        <w:t xml:space="preserve"> </w:t>
      </w:r>
      <w:proofErr w:type="spellStart"/>
      <w:r w:rsidRPr="00580C0D">
        <w:t>vurderingane</w:t>
      </w:r>
      <w:proofErr w:type="spellEnd"/>
      <w:r w:rsidRPr="00580C0D">
        <w:t xml:space="preserve">. Utforminga av kriteria skal bidra til prioritet for </w:t>
      </w:r>
      <w:proofErr w:type="spellStart"/>
      <w:r w:rsidRPr="00580C0D">
        <w:t>eksisterande</w:t>
      </w:r>
      <w:proofErr w:type="spellEnd"/>
      <w:r w:rsidRPr="00580C0D">
        <w:t xml:space="preserve"> </w:t>
      </w:r>
      <w:proofErr w:type="spellStart"/>
      <w:r w:rsidRPr="00580C0D">
        <w:t>føretak</w:t>
      </w:r>
      <w:proofErr w:type="spellEnd"/>
      <w:r w:rsidRPr="00580C0D">
        <w:t xml:space="preserve">, slik at </w:t>
      </w:r>
      <w:proofErr w:type="spellStart"/>
      <w:r w:rsidRPr="00580C0D">
        <w:t>desse</w:t>
      </w:r>
      <w:proofErr w:type="spellEnd"/>
      <w:r w:rsidRPr="00580C0D">
        <w:t xml:space="preserve"> kan </w:t>
      </w:r>
      <w:proofErr w:type="spellStart"/>
      <w:r w:rsidRPr="00580C0D">
        <w:t>vekse</w:t>
      </w:r>
      <w:proofErr w:type="spellEnd"/>
      <w:r w:rsidRPr="00580C0D">
        <w:t xml:space="preserve"> og omstille seg, dernest legge til rette for nye </w:t>
      </w:r>
      <w:proofErr w:type="spellStart"/>
      <w:r w:rsidRPr="00580C0D">
        <w:t>arbeidsplassar</w:t>
      </w:r>
      <w:proofErr w:type="spellEnd"/>
      <w:r w:rsidRPr="00580C0D">
        <w:t xml:space="preserve"> og </w:t>
      </w:r>
      <w:proofErr w:type="spellStart"/>
      <w:r w:rsidRPr="00580C0D">
        <w:t>auka</w:t>
      </w:r>
      <w:proofErr w:type="spellEnd"/>
      <w:r w:rsidRPr="00580C0D">
        <w:t xml:space="preserve"> verdiskaping i tråd med regjeringas vegkart for grønt industriløft. RME har fått i oppdrag å foreslå konkrete </w:t>
      </w:r>
      <w:proofErr w:type="spellStart"/>
      <w:r w:rsidRPr="00580C0D">
        <w:t>forskriftsendringar</w:t>
      </w:r>
      <w:proofErr w:type="spellEnd"/>
      <w:r w:rsidRPr="00580C0D">
        <w:t xml:space="preserve"> på dette området. </w:t>
      </w:r>
      <w:proofErr w:type="spellStart"/>
      <w:r w:rsidRPr="00580C0D">
        <w:t>Endringane</w:t>
      </w:r>
      <w:proofErr w:type="spellEnd"/>
      <w:r w:rsidRPr="00580C0D">
        <w:t xml:space="preserve"> vil bli gjenstand for </w:t>
      </w:r>
      <w:proofErr w:type="spellStart"/>
      <w:r w:rsidRPr="00580C0D">
        <w:t>høyring</w:t>
      </w:r>
      <w:proofErr w:type="spellEnd"/>
      <w:r w:rsidRPr="00580C0D">
        <w:t xml:space="preserve"> på </w:t>
      </w:r>
      <w:proofErr w:type="spellStart"/>
      <w:r w:rsidRPr="00580C0D">
        <w:t>vanleg</w:t>
      </w:r>
      <w:proofErr w:type="spellEnd"/>
      <w:r w:rsidRPr="00580C0D">
        <w:t xml:space="preserve"> vis.</w:t>
      </w:r>
    </w:p>
    <w:p w14:paraId="35EC88EC"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4E4D97C8" w14:textId="77777777" w:rsidR="00F7113A" w:rsidRPr="00580C0D" w:rsidRDefault="00142E5B" w:rsidP="00580C0D">
      <w:pPr>
        <w:pStyle w:val="avsnitt-tittel"/>
      </w:pPr>
      <w:r w:rsidRPr="00580C0D">
        <w:t xml:space="preserve">Hydrogen – utvikle </w:t>
      </w:r>
      <w:proofErr w:type="spellStart"/>
      <w:r w:rsidRPr="00580C0D">
        <w:t>eit</w:t>
      </w:r>
      <w:proofErr w:type="spellEnd"/>
      <w:r w:rsidRPr="00580C0D">
        <w:t xml:space="preserve"> </w:t>
      </w:r>
      <w:proofErr w:type="spellStart"/>
      <w:r w:rsidRPr="00580C0D">
        <w:t>landsdekkande</w:t>
      </w:r>
      <w:proofErr w:type="spellEnd"/>
      <w:r w:rsidRPr="00580C0D">
        <w:t xml:space="preserve"> nettverk av </w:t>
      </w:r>
      <w:proofErr w:type="spellStart"/>
      <w:r w:rsidRPr="00580C0D">
        <w:t>fyllestasjonar</w:t>
      </w:r>
      <w:proofErr w:type="spellEnd"/>
      <w:r w:rsidRPr="00580C0D">
        <w:t xml:space="preserve"> og knutepunkt</w:t>
      </w:r>
    </w:p>
    <w:p w14:paraId="11C4A987" w14:textId="77777777" w:rsidR="00F7113A" w:rsidRPr="00580C0D" w:rsidRDefault="00142E5B" w:rsidP="00580C0D">
      <w:pPr>
        <w:pStyle w:val="avsnitt-undertittel"/>
      </w:pPr>
      <w:r w:rsidRPr="00580C0D">
        <w:t>Vedtak 742, 10. juni 2022</w:t>
      </w:r>
    </w:p>
    <w:p w14:paraId="40A859AA" w14:textId="77777777" w:rsidR="00F7113A" w:rsidRPr="00580C0D" w:rsidRDefault="00142E5B" w:rsidP="00580C0D">
      <w:pPr>
        <w:pStyle w:val="blokksit"/>
      </w:pPr>
      <w:r w:rsidRPr="00580C0D">
        <w:t>«</w:t>
      </w:r>
      <w:r w:rsidRPr="00580C0D">
        <w:rPr>
          <w:rStyle w:val="kursiv"/>
        </w:rPr>
        <w:t>Stortinget ber regjeringen utrede hvordan markedet eventuelt i samspill med statlige myndigheter raskt kan utvikle et landsdekkende nettverk av fyllestasjoner og knutepunkter for hydrogen for landtransport, sjøtransport og industrielle formål og komme tilbake til dette i revidert statsbudsjett for 2023.</w:t>
      </w:r>
      <w:r w:rsidRPr="00580C0D">
        <w:t>»</w:t>
      </w:r>
    </w:p>
    <w:p w14:paraId="15849C63"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1B703C56" w14:textId="77777777" w:rsidR="00F7113A" w:rsidRPr="00580C0D" w:rsidRDefault="00142E5B" w:rsidP="00580C0D">
      <w:r w:rsidRPr="00580C0D">
        <w:t xml:space="preserve">Regjeringa har i løpet av våren 2023 gjennomført ei ekstern utgreiing av korleis </w:t>
      </w:r>
      <w:proofErr w:type="spellStart"/>
      <w:r w:rsidRPr="00580C0D">
        <w:t>samanhengande</w:t>
      </w:r>
      <w:proofErr w:type="spellEnd"/>
      <w:r w:rsidRPr="00580C0D">
        <w:t xml:space="preserve"> verdikjeder for hydrogen, produsert med ingen eller låge utslepp, kan </w:t>
      </w:r>
      <w:proofErr w:type="spellStart"/>
      <w:r w:rsidRPr="00580C0D">
        <w:t>byggast</w:t>
      </w:r>
      <w:proofErr w:type="spellEnd"/>
      <w:r w:rsidRPr="00580C0D">
        <w:t xml:space="preserve"> opp på </w:t>
      </w:r>
      <w:proofErr w:type="spellStart"/>
      <w:r w:rsidRPr="00580C0D">
        <w:t>ein</w:t>
      </w:r>
      <w:proofErr w:type="spellEnd"/>
      <w:r w:rsidRPr="00580C0D">
        <w:t xml:space="preserve"> samfunnsøkonomisk effektiv måte. Dette er </w:t>
      </w:r>
      <w:proofErr w:type="spellStart"/>
      <w:r w:rsidRPr="00580C0D">
        <w:t>ein</w:t>
      </w:r>
      <w:proofErr w:type="spellEnd"/>
      <w:r w:rsidRPr="00580C0D">
        <w:t xml:space="preserve"> viktig del av kunnskapsgrunnlaget for regjeringas </w:t>
      </w:r>
      <w:proofErr w:type="spellStart"/>
      <w:r w:rsidRPr="00580C0D">
        <w:t>vidare</w:t>
      </w:r>
      <w:proofErr w:type="spellEnd"/>
      <w:r w:rsidRPr="00580C0D">
        <w:t xml:space="preserve"> utvikling av politikken på hydrogenområdet. I utgreiinga er det gitt </w:t>
      </w:r>
      <w:proofErr w:type="spellStart"/>
      <w:r w:rsidRPr="00580C0D">
        <w:t>ein</w:t>
      </w:r>
      <w:proofErr w:type="spellEnd"/>
      <w:r w:rsidRPr="00580C0D">
        <w:t xml:space="preserve"> teknologi- og </w:t>
      </w:r>
      <w:proofErr w:type="spellStart"/>
      <w:r w:rsidRPr="00580C0D">
        <w:t>marknadsstatus</w:t>
      </w:r>
      <w:proofErr w:type="spellEnd"/>
      <w:r w:rsidRPr="00580C0D">
        <w:t xml:space="preserve"> for både produksjon, transport og bruk av hydrogen. </w:t>
      </w:r>
      <w:proofErr w:type="spellStart"/>
      <w:r w:rsidRPr="00580C0D">
        <w:t>Brukarsida</w:t>
      </w:r>
      <w:proofErr w:type="spellEnd"/>
      <w:r w:rsidRPr="00580C0D">
        <w:t xml:space="preserve"> </w:t>
      </w:r>
      <w:proofErr w:type="spellStart"/>
      <w:r w:rsidRPr="00580C0D">
        <w:t>omfattar</w:t>
      </w:r>
      <w:proofErr w:type="spellEnd"/>
      <w:r w:rsidRPr="00580C0D">
        <w:t xml:space="preserve"> mellom anna landtransport, sjøtransport og ulike industrielle formål. Utgreiinga </w:t>
      </w:r>
      <w:proofErr w:type="spellStart"/>
      <w:r w:rsidRPr="00580C0D">
        <w:t>gjer</w:t>
      </w:r>
      <w:proofErr w:type="spellEnd"/>
      <w:r w:rsidRPr="00580C0D">
        <w:t xml:space="preserve"> greie for sentrale </w:t>
      </w:r>
      <w:proofErr w:type="spellStart"/>
      <w:r w:rsidRPr="00580C0D">
        <w:t>marknadssviktar</w:t>
      </w:r>
      <w:proofErr w:type="spellEnd"/>
      <w:r w:rsidRPr="00580C0D">
        <w:t xml:space="preserve"> og </w:t>
      </w:r>
      <w:proofErr w:type="spellStart"/>
      <w:r w:rsidRPr="00580C0D">
        <w:t>barrierar</w:t>
      </w:r>
      <w:proofErr w:type="spellEnd"/>
      <w:r w:rsidRPr="00580C0D">
        <w:t xml:space="preserve"> for at hydrogen, som </w:t>
      </w:r>
      <w:proofErr w:type="spellStart"/>
      <w:r w:rsidRPr="00580C0D">
        <w:t>eit</w:t>
      </w:r>
      <w:proofErr w:type="spellEnd"/>
      <w:r w:rsidRPr="00580C0D">
        <w:t xml:space="preserve"> tiltak for å kutte utslepp, skal kunne </w:t>
      </w:r>
      <w:proofErr w:type="spellStart"/>
      <w:r w:rsidRPr="00580C0D">
        <w:t>takast</w:t>
      </w:r>
      <w:proofErr w:type="spellEnd"/>
      <w:r w:rsidRPr="00580C0D">
        <w:t xml:space="preserve"> i bruk i stor skala. Utgreiinga undersøker også kva </w:t>
      </w:r>
      <w:proofErr w:type="spellStart"/>
      <w:r w:rsidRPr="00580C0D">
        <w:t>konsekvensar</w:t>
      </w:r>
      <w:proofErr w:type="spellEnd"/>
      <w:r w:rsidRPr="00580C0D">
        <w:t xml:space="preserve"> hydrogenproduksjon i </w:t>
      </w:r>
      <w:proofErr w:type="spellStart"/>
      <w:r w:rsidRPr="00580C0D">
        <w:t>Noreg</w:t>
      </w:r>
      <w:proofErr w:type="spellEnd"/>
      <w:r w:rsidRPr="00580C0D">
        <w:t xml:space="preserve"> har for kraftsystemet. I utgreiinga er det også gitt ei vurdering av korleis </w:t>
      </w:r>
      <w:proofErr w:type="spellStart"/>
      <w:r w:rsidRPr="00580C0D">
        <w:t>statlege</w:t>
      </w:r>
      <w:proofErr w:type="spellEnd"/>
      <w:r w:rsidRPr="00580C0D">
        <w:t xml:space="preserve"> tiltak kan </w:t>
      </w:r>
      <w:proofErr w:type="spellStart"/>
      <w:r w:rsidRPr="00580C0D">
        <w:t>medverke</w:t>
      </w:r>
      <w:proofErr w:type="spellEnd"/>
      <w:r w:rsidRPr="00580C0D">
        <w:t xml:space="preserve"> til utviklinga av hydrogenverdikjeder, inkludert infrastruktur for hydrogen for landtransport, sjøtransport og industrielle formål.</w:t>
      </w:r>
    </w:p>
    <w:p w14:paraId="3BC775D3" w14:textId="77777777" w:rsidR="00F7113A" w:rsidRPr="00580C0D" w:rsidRDefault="00142E5B" w:rsidP="00580C0D">
      <w:r w:rsidRPr="00580C0D">
        <w:t xml:space="preserve">Utgreiinga viser at det er stor </w:t>
      </w:r>
      <w:proofErr w:type="spellStart"/>
      <w:r w:rsidRPr="00580C0D">
        <w:t>usikkerheit</w:t>
      </w:r>
      <w:proofErr w:type="spellEnd"/>
      <w:r w:rsidRPr="00580C0D">
        <w:t xml:space="preserve"> knytt til den faktiske utviklinga av hydrogenforbruk i </w:t>
      </w:r>
      <w:proofErr w:type="spellStart"/>
      <w:r w:rsidRPr="00580C0D">
        <w:t>Noreg</w:t>
      </w:r>
      <w:proofErr w:type="spellEnd"/>
      <w:r w:rsidRPr="00580C0D">
        <w:t xml:space="preserve">, mellom anna som følge av usikker </w:t>
      </w:r>
      <w:proofErr w:type="spellStart"/>
      <w:r w:rsidRPr="00580C0D">
        <w:t>hastigheit</w:t>
      </w:r>
      <w:proofErr w:type="spellEnd"/>
      <w:r w:rsidRPr="00580C0D">
        <w:t xml:space="preserve"> på den teknologiske utviklinga og kostnadsutviklinga i ulike </w:t>
      </w:r>
      <w:proofErr w:type="spellStart"/>
      <w:r w:rsidRPr="00580C0D">
        <w:t>sektorar</w:t>
      </w:r>
      <w:proofErr w:type="spellEnd"/>
      <w:r w:rsidRPr="00580C0D">
        <w:t xml:space="preserve">. Det er også </w:t>
      </w:r>
      <w:proofErr w:type="spellStart"/>
      <w:r w:rsidRPr="00580C0D">
        <w:t>usikkerheit</w:t>
      </w:r>
      <w:proofErr w:type="spellEnd"/>
      <w:r w:rsidRPr="00580C0D">
        <w:t xml:space="preserve"> knytt til kva for </w:t>
      </w:r>
      <w:proofErr w:type="spellStart"/>
      <w:r w:rsidRPr="00580C0D">
        <w:t>teknologiløysingar</w:t>
      </w:r>
      <w:proofErr w:type="spellEnd"/>
      <w:r w:rsidRPr="00580C0D">
        <w:t xml:space="preserve"> som eventuelt vil vinne fram. Utgreiinga viser at det eksisterer </w:t>
      </w:r>
      <w:proofErr w:type="spellStart"/>
      <w:r w:rsidRPr="00580C0D">
        <w:t>fleire</w:t>
      </w:r>
      <w:proofErr w:type="spellEnd"/>
      <w:r w:rsidRPr="00580C0D">
        <w:t xml:space="preserve"> </w:t>
      </w:r>
      <w:proofErr w:type="spellStart"/>
      <w:r w:rsidRPr="00580C0D">
        <w:t>barrierar</w:t>
      </w:r>
      <w:proofErr w:type="spellEnd"/>
      <w:r w:rsidRPr="00580C0D">
        <w:t xml:space="preserve"> som </w:t>
      </w:r>
      <w:proofErr w:type="spellStart"/>
      <w:r w:rsidRPr="00580C0D">
        <w:t>hindrar</w:t>
      </w:r>
      <w:proofErr w:type="spellEnd"/>
      <w:r w:rsidRPr="00580C0D">
        <w:t xml:space="preserve"> ei rask utvikling av hydrogen spesielt, til bruk i transport og industrielle formål. Slike </w:t>
      </w:r>
      <w:proofErr w:type="spellStart"/>
      <w:r w:rsidRPr="00580C0D">
        <w:t>barrierar</w:t>
      </w:r>
      <w:proofErr w:type="spellEnd"/>
      <w:r w:rsidRPr="00580C0D">
        <w:t xml:space="preserve"> er mellom anna mangelen på </w:t>
      </w:r>
      <w:proofErr w:type="spellStart"/>
      <w:r w:rsidRPr="00580C0D">
        <w:t>standardar</w:t>
      </w:r>
      <w:proofErr w:type="spellEnd"/>
      <w:r w:rsidRPr="00580C0D">
        <w:t xml:space="preserve"> knytte til kvalitet og </w:t>
      </w:r>
      <w:proofErr w:type="spellStart"/>
      <w:r w:rsidRPr="00580C0D">
        <w:t>sikkerheit</w:t>
      </w:r>
      <w:proofErr w:type="spellEnd"/>
      <w:r w:rsidRPr="00580C0D">
        <w:t xml:space="preserve">, </w:t>
      </w:r>
      <w:proofErr w:type="spellStart"/>
      <w:r w:rsidRPr="00580C0D">
        <w:t>manglande</w:t>
      </w:r>
      <w:proofErr w:type="spellEnd"/>
      <w:r w:rsidRPr="00580C0D">
        <w:t xml:space="preserve"> lovverk og regulering og høge kostnader </w:t>
      </w:r>
      <w:proofErr w:type="spellStart"/>
      <w:r w:rsidRPr="00580C0D">
        <w:t>samanlikna</w:t>
      </w:r>
      <w:proofErr w:type="spellEnd"/>
      <w:r w:rsidRPr="00580C0D">
        <w:t xml:space="preserve"> med fossile alternativ. Utgreiinga </w:t>
      </w:r>
      <w:proofErr w:type="spellStart"/>
      <w:r w:rsidRPr="00580C0D">
        <w:t>peikar</w:t>
      </w:r>
      <w:proofErr w:type="spellEnd"/>
      <w:r w:rsidRPr="00580C0D">
        <w:t xml:space="preserve"> på at det derfor samla kan </w:t>
      </w:r>
      <w:proofErr w:type="spellStart"/>
      <w:r w:rsidRPr="00580C0D">
        <w:t>vere</w:t>
      </w:r>
      <w:proofErr w:type="spellEnd"/>
      <w:r w:rsidRPr="00580C0D">
        <w:t xml:space="preserve"> grunnlag for </w:t>
      </w:r>
      <w:proofErr w:type="spellStart"/>
      <w:r w:rsidRPr="00580C0D">
        <w:t>statlege</w:t>
      </w:r>
      <w:proofErr w:type="spellEnd"/>
      <w:r w:rsidRPr="00580C0D">
        <w:t xml:space="preserve"> </w:t>
      </w:r>
      <w:proofErr w:type="spellStart"/>
      <w:r w:rsidRPr="00580C0D">
        <w:t>verkemiddel</w:t>
      </w:r>
      <w:proofErr w:type="spellEnd"/>
      <w:r w:rsidRPr="00580C0D">
        <w:t xml:space="preserve"> og tiltak som </w:t>
      </w:r>
      <w:proofErr w:type="spellStart"/>
      <w:r w:rsidRPr="00580C0D">
        <w:t>medverkar</w:t>
      </w:r>
      <w:proofErr w:type="spellEnd"/>
      <w:r w:rsidRPr="00580C0D">
        <w:t xml:space="preserve"> til utviklinga av </w:t>
      </w:r>
      <w:proofErr w:type="spellStart"/>
      <w:r w:rsidRPr="00580C0D">
        <w:t>marknader</w:t>
      </w:r>
      <w:proofErr w:type="spellEnd"/>
      <w:r w:rsidRPr="00580C0D">
        <w:t xml:space="preserve"> for </w:t>
      </w:r>
      <w:proofErr w:type="spellStart"/>
      <w:r w:rsidRPr="00580C0D">
        <w:t>hydrogenløysingar</w:t>
      </w:r>
      <w:proofErr w:type="spellEnd"/>
      <w:r w:rsidRPr="00580C0D">
        <w:t xml:space="preserve">. Samtidig </w:t>
      </w:r>
      <w:proofErr w:type="spellStart"/>
      <w:r w:rsidRPr="00580C0D">
        <w:t>peikar</w:t>
      </w:r>
      <w:proofErr w:type="spellEnd"/>
      <w:r w:rsidRPr="00580C0D">
        <w:t xml:space="preserve"> utgreiinga på at </w:t>
      </w:r>
      <w:proofErr w:type="spellStart"/>
      <w:r w:rsidRPr="00580C0D">
        <w:t>knappheit</w:t>
      </w:r>
      <w:proofErr w:type="spellEnd"/>
      <w:r w:rsidRPr="00580C0D">
        <w:t xml:space="preserve"> på fornybar kraft, nettkapasitet, kompetent arbeidskraft og areal </w:t>
      </w:r>
      <w:proofErr w:type="spellStart"/>
      <w:r w:rsidRPr="00580C0D">
        <w:t>gjer</w:t>
      </w:r>
      <w:proofErr w:type="spellEnd"/>
      <w:r w:rsidRPr="00580C0D">
        <w:t xml:space="preserve"> at hydrogenverdikjedene står i </w:t>
      </w:r>
      <w:proofErr w:type="spellStart"/>
      <w:r w:rsidRPr="00580C0D">
        <w:t>eit</w:t>
      </w:r>
      <w:proofErr w:type="spellEnd"/>
      <w:r w:rsidRPr="00580C0D">
        <w:t xml:space="preserve"> konkurranseforhold til utvikling av anna </w:t>
      </w:r>
      <w:proofErr w:type="spellStart"/>
      <w:r w:rsidRPr="00580C0D">
        <w:t>berekraftig</w:t>
      </w:r>
      <w:proofErr w:type="spellEnd"/>
      <w:r w:rsidRPr="00580C0D">
        <w:t xml:space="preserve"> </w:t>
      </w:r>
      <w:proofErr w:type="spellStart"/>
      <w:r w:rsidRPr="00580C0D">
        <w:t>verksemd</w:t>
      </w:r>
      <w:proofErr w:type="spellEnd"/>
      <w:r w:rsidRPr="00580C0D">
        <w:t xml:space="preserve"> i </w:t>
      </w:r>
      <w:proofErr w:type="spellStart"/>
      <w:r w:rsidRPr="00580C0D">
        <w:t>Noreg</w:t>
      </w:r>
      <w:proofErr w:type="spellEnd"/>
      <w:r w:rsidRPr="00580C0D">
        <w:t xml:space="preserve">, og at ei </w:t>
      </w:r>
      <w:proofErr w:type="spellStart"/>
      <w:r w:rsidRPr="00580C0D">
        <w:t>auka</w:t>
      </w:r>
      <w:proofErr w:type="spellEnd"/>
      <w:r w:rsidRPr="00580C0D">
        <w:t xml:space="preserve"> satsing på hydrogen derfor må </w:t>
      </w:r>
      <w:proofErr w:type="spellStart"/>
      <w:r w:rsidRPr="00580C0D">
        <w:t>prioriterast</w:t>
      </w:r>
      <w:proofErr w:type="spellEnd"/>
      <w:r w:rsidRPr="00580C0D">
        <w:t xml:space="preserve"> opp mot andre </w:t>
      </w:r>
      <w:proofErr w:type="spellStart"/>
      <w:r w:rsidRPr="00580C0D">
        <w:t>satsingar</w:t>
      </w:r>
      <w:proofErr w:type="spellEnd"/>
      <w:r w:rsidRPr="00580C0D">
        <w:t xml:space="preserve"> og omsyn til natur og miljø. Utgreiinga anbefaler i første rekke å </w:t>
      </w:r>
      <w:proofErr w:type="spellStart"/>
      <w:r w:rsidRPr="00580C0D">
        <w:t>vidareføre</w:t>
      </w:r>
      <w:proofErr w:type="spellEnd"/>
      <w:r w:rsidRPr="00580C0D">
        <w:t xml:space="preserve"> og </w:t>
      </w:r>
      <w:proofErr w:type="spellStart"/>
      <w:r w:rsidRPr="00580C0D">
        <w:t>forbetre</w:t>
      </w:r>
      <w:proofErr w:type="spellEnd"/>
      <w:r w:rsidRPr="00580C0D">
        <w:t xml:space="preserve"> </w:t>
      </w:r>
      <w:proofErr w:type="spellStart"/>
      <w:r w:rsidRPr="00580C0D">
        <w:t>eksisterande</w:t>
      </w:r>
      <w:proofErr w:type="spellEnd"/>
      <w:r w:rsidRPr="00580C0D">
        <w:t xml:space="preserve"> </w:t>
      </w:r>
      <w:proofErr w:type="spellStart"/>
      <w:r w:rsidRPr="00580C0D">
        <w:t>verkemiddel</w:t>
      </w:r>
      <w:proofErr w:type="spellEnd"/>
      <w:r w:rsidRPr="00580C0D">
        <w:t xml:space="preserve">, </w:t>
      </w:r>
      <w:proofErr w:type="spellStart"/>
      <w:r w:rsidRPr="00580C0D">
        <w:t>særleg</w:t>
      </w:r>
      <w:proofErr w:type="spellEnd"/>
      <w:r w:rsidRPr="00580C0D">
        <w:t xml:space="preserve"> </w:t>
      </w:r>
      <w:proofErr w:type="spellStart"/>
      <w:r w:rsidRPr="00580C0D">
        <w:t>verkemiddel</w:t>
      </w:r>
      <w:proofErr w:type="spellEnd"/>
      <w:r w:rsidRPr="00580C0D">
        <w:t xml:space="preserve"> som </w:t>
      </w:r>
      <w:proofErr w:type="spellStart"/>
      <w:r w:rsidRPr="00580C0D">
        <w:t>legg</w:t>
      </w:r>
      <w:proofErr w:type="spellEnd"/>
      <w:r w:rsidRPr="00580C0D">
        <w:t xml:space="preserve"> til rette for reduksjon av utslepp og </w:t>
      </w:r>
      <w:proofErr w:type="spellStart"/>
      <w:r w:rsidRPr="00580C0D">
        <w:t>klimaløysingar</w:t>
      </w:r>
      <w:proofErr w:type="spellEnd"/>
      <w:r w:rsidRPr="00580C0D">
        <w:t xml:space="preserve"> generelt. Utgreiinga </w:t>
      </w:r>
      <w:proofErr w:type="spellStart"/>
      <w:r w:rsidRPr="00580C0D">
        <w:t>påpeikar</w:t>
      </w:r>
      <w:proofErr w:type="spellEnd"/>
      <w:r w:rsidRPr="00580C0D">
        <w:t xml:space="preserve"> at det vil gi </w:t>
      </w:r>
      <w:proofErr w:type="spellStart"/>
      <w:r w:rsidRPr="00580C0D">
        <w:t>føreseielegheit</w:t>
      </w:r>
      <w:proofErr w:type="spellEnd"/>
      <w:r w:rsidRPr="00580C0D">
        <w:t xml:space="preserve"> og </w:t>
      </w:r>
      <w:proofErr w:type="spellStart"/>
      <w:r w:rsidRPr="00580C0D">
        <w:t>auka</w:t>
      </w:r>
      <w:proofErr w:type="spellEnd"/>
      <w:r w:rsidRPr="00580C0D">
        <w:t xml:space="preserve"> </w:t>
      </w:r>
      <w:proofErr w:type="spellStart"/>
      <w:r w:rsidRPr="00580C0D">
        <w:t>lønnsemd</w:t>
      </w:r>
      <w:proofErr w:type="spellEnd"/>
      <w:r w:rsidRPr="00580C0D">
        <w:t xml:space="preserve"> for låg- og </w:t>
      </w:r>
      <w:proofErr w:type="spellStart"/>
      <w:r w:rsidRPr="00580C0D">
        <w:t>nullutsleppteknologi</w:t>
      </w:r>
      <w:proofErr w:type="spellEnd"/>
      <w:r w:rsidRPr="00580C0D">
        <w:t xml:space="preserve">, inkludert hydrogen, men </w:t>
      </w:r>
      <w:proofErr w:type="spellStart"/>
      <w:r w:rsidRPr="00580C0D">
        <w:t>ikkje</w:t>
      </w:r>
      <w:proofErr w:type="spellEnd"/>
      <w:r w:rsidRPr="00580C0D">
        <w:t xml:space="preserve"> nødvendigvis sterke bidrag til utvikling av hydrogenverdikjeder der det </w:t>
      </w:r>
      <w:proofErr w:type="spellStart"/>
      <w:r w:rsidRPr="00580C0D">
        <w:t>finst</w:t>
      </w:r>
      <w:proofErr w:type="spellEnd"/>
      <w:r w:rsidRPr="00580C0D">
        <w:t xml:space="preserve"> andre, </w:t>
      </w:r>
      <w:proofErr w:type="spellStart"/>
      <w:r w:rsidRPr="00580C0D">
        <w:t>rimelegare</w:t>
      </w:r>
      <w:proofErr w:type="spellEnd"/>
      <w:r w:rsidRPr="00580C0D">
        <w:t xml:space="preserve">, klimatiltak. Utgreiinga anbefaler også at hydrogenspesifikke </w:t>
      </w:r>
      <w:proofErr w:type="spellStart"/>
      <w:r w:rsidRPr="00580C0D">
        <w:t>verkemiddel</w:t>
      </w:r>
      <w:proofErr w:type="spellEnd"/>
      <w:r w:rsidRPr="00580C0D">
        <w:t xml:space="preserve"> </w:t>
      </w:r>
      <w:proofErr w:type="spellStart"/>
      <w:r w:rsidRPr="00580C0D">
        <w:t>innan</w:t>
      </w:r>
      <w:proofErr w:type="spellEnd"/>
      <w:r w:rsidRPr="00580C0D">
        <w:t xml:space="preserve"> forsking og utvikling blir </w:t>
      </w:r>
      <w:proofErr w:type="spellStart"/>
      <w:r w:rsidRPr="00580C0D">
        <w:t>vidareførte</w:t>
      </w:r>
      <w:proofErr w:type="spellEnd"/>
      <w:r w:rsidRPr="00580C0D">
        <w:t xml:space="preserve">. Regjeringa meiner at deltaking i EUs hydrogenbank vil </w:t>
      </w:r>
      <w:proofErr w:type="spellStart"/>
      <w:r w:rsidRPr="00580C0D">
        <w:t>vere</w:t>
      </w:r>
      <w:proofErr w:type="spellEnd"/>
      <w:r w:rsidRPr="00580C0D">
        <w:t xml:space="preserve"> </w:t>
      </w:r>
      <w:proofErr w:type="spellStart"/>
      <w:r w:rsidRPr="00580C0D">
        <w:t>eit</w:t>
      </w:r>
      <w:proofErr w:type="spellEnd"/>
      <w:r w:rsidRPr="00580C0D">
        <w:t xml:space="preserve"> godt </w:t>
      </w:r>
      <w:proofErr w:type="spellStart"/>
      <w:r w:rsidRPr="00580C0D">
        <w:t>verkemiddel</w:t>
      </w:r>
      <w:proofErr w:type="spellEnd"/>
      <w:r w:rsidRPr="00580C0D">
        <w:t xml:space="preserve"> for å utvikle ei </w:t>
      </w:r>
      <w:proofErr w:type="spellStart"/>
      <w:r w:rsidRPr="00580C0D">
        <w:t>samanhengande</w:t>
      </w:r>
      <w:proofErr w:type="spellEnd"/>
      <w:r w:rsidRPr="00580C0D">
        <w:t xml:space="preserve"> verdikjede for hydrogen. Det blir derfor lagt opp til at norske prosjekt så </w:t>
      </w:r>
      <w:proofErr w:type="spellStart"/>
      <w:r w:rsidRPr="00580C0D">
        <w:t>tidleg</w:t>
      </w:r>
      <w:proofErr w:type="spellEnd"/>
      <w:r w:rsidRPr="00580C0D">
        <w:t xml:space="preserve"> som </w:t>
      </w:r>
      <w:proofErr w:type="spellStart"/>
      <w:r w:rsidRPr="00580C0D">
        <w:t>mogleg</w:t>
      </w:r>
      <w:proofErr w:type="spellEnd"/>
      <w:r w:rsidRPr="00580C0D">
        <w:t xml:space="preserve"> skal kunne søke om støtte </w:t>
      </w:r>
      <w:proofErr w:type="spellStart"/>
      <w:r w:rsidRPr="00580C0D">
        <w:t>frå</w:t>
      </w:r>
      <w:proofErr w:type="spellEnd"/>
      <w:r w:rsidRPr="00580C0D">
        <w:t xml:space="preserve"> </w:t>
      </w:r>
      <w:proofErr w:type="spellStart"/>
      <w:r w:rsidRPr="00580C0D">
        <w:t>utlysingar</w:t>
      </w:r>
      <w:proofErr w:type="spellEnd"/>
      <w:r w:rsidRPr="00580C0D">
        <w:t xml:space="preserve"> under dette </w:t>
      </w:r>
      <w:proofErr w:type="spellStart"/>
      <w:r w:rsidRPr="00580C0D">
        <w:t>verkemiddelet</w:t>
      </w:r>
      <w:proofErr w:type="spellEnd"/>
      <w:r w:rsidRPr="00580C0D">
        <w:t xml:space="preserve">. Ifølge utgreiinga vil </w:t>
      </w:r>
      <w:proofErr w:type="spellStart"/>
      <w:r w:rsidRPr="00580C0D">
        <w:t>eit</w:t>
      </w:r>
      <w:proofErr w:type="spellEnd"/>
      <w:r w:rsidRPr="00580C0D">
        <w:t xml:space="preserve"> </w:t>
      </w:r>
      <w:proofErr w:type="spellStart"/>
      <w:r w:rsidRPr="00580C0D">
        <w:t>marknadsgrunnlag</w:t>
      </w:r>
      <w:proofErr w:type="spellEnd"/>
      <w:r w:rsidRPr="00580C0D">
        <w:t xml:space="preserve"> for hydrogen også kunne </w:t>
      </w:r>
      <w:proofErr w:type="spellStart"/>
      <w:r w:rsidRPr="00580C0D">
        <w:t>skapast</w:t>
      </w:r>
      <w:proofErr w:type="spellEnd"/>
      <w:r w:rsidRPr="00580C0D">
        <w:t xml:space="preserve"> gjennom direkte regulering eller </w:t>
      </w:r>
      <w:proofErr w:type="spellStart"/>
      <w:r w:rsidRPr="00580C0D">
        <w:t>offentlege</w:t>
      </w:r>
      <w:proofErr w:type="spellEnd"/>
      <w:r w:rsidRPr="00580C0D">
        <w:t xml:space="preserve"> innkjøp. </w:t>
      </w:r>
      <w:proofErr w:type="spellStart"/>
      <w:r w:rsidRPr="00580C0D">
        <w:t>Truleg</w:t>
      </w:r>
      <w:proofErr w:type="spellEnd"/>
      <w:r w:rsidRPr="00580C0D">
        <w:t xml:space="preserve"> må utvikling av infrastruktur for hydrogen for transport eller industrielle formål </w:t>
      </w:r>
      <w:proofErr w:type="spellStart"/>
      <w:r w:rsidRPr="00580C0D">
        <w:t>fremmast</w:t>
      </w:r>
      <w:proofErr w:type="spellEnd"/>
      <w:r w:rsidRPr="00580C0D">
        <w:t xml:space="preserve"> gjennom </w:t>
      </w:r>
      <w:proofErr w:type="spellStart"/>
      <w:r w:rsidRPr="00580C0D">
        <w:t>ein</w:t>
      </w:r>
      <w:proofErr w:type="spellEnd"/>
      <w:r w:rsidRPr="00580C0D">
        <w:t xml:space="preserve"> kombinasjon av </w:t>
      </w:r>
      <w:proofErr w:type="spellStart"/>
      <w:r w:rsidRPr="00580C0D">
        <w:t>verkemiddel</w:t>
      </w:r>
      <w:proofErr w:type="spellEnd"/>
      <w:r w:rsidRPr="00580C0D">
        <w:t xml:space="preserve">. På brukssida har </w:t>
      </w:r>
      <w:proofErr w:type="spellStart"/>
      <w:r w:rsidRPr="00580C0D">
        <w:t>Enova</w:t>
      </w:r>
      <w:proofErr w:type="spellEnd"/>
      <w:r w:rsidRPr="00580C0D">
        <w:t xml:space="preserve"> elles lagt fram to nye støtteprogram med rom for å gi </w:t>
      </w:r>
      <w:proofErr w:type="spellStart"/>
      <w:r w:rsidRPr="00580C0D">
        <w:t>meir</w:t>
      </w:r>
      <w:proofErr w:type="spellEnd"/>
      <w:r w:rsidRPr="00580C0D">
        <w:t xml:space="preserve"> støtte enn </w:t>
      </w:r>
      <w:proofErr w:type="spellStart"/>
      <w:r w:rsidRPr="00580C0D">
        <w:t>tidlegare</w:t>
      </w:r>
      <w:proofErr w:type="spellEnd"/>
      <w:r w:rsidRPr="00580C0D">
        <w:t xml:space="preserve">. Maksimal støttesats vil </w:t>
      </w:r>
      <w:proofErr w:type="spellStart"/>
      <w:r w:rsidRPr="00580C0D">
        <w:t>vere</w:t>
      </w:r>
      <w:proofErr w:type="spellEnd"/>
      <w:r w:rsidRPr="00580C0D">
        <w:t xml:space="preserve"> opptil 80 prosent av </w:t>
      </w:r>
      <w:proofErr w:type="spellStart"/>
      <w:r w:rsidRPr="00580C0D">
        <w:t>godkjende</w:t>
      </w:r>
      <w:proofErr w:type="spellEnd"/>
      <w:r w:rsidRPr="00580C0D">
        <w:t xml:space="preserve"> </w:t>
      </w:r>
      <w:proofErr w:type="spellStart"/>
      <w:r w:rsidRPr="00580C0D">
        <w:t>meirkostnader</w:t>
      </w:r>
      <w:proofErr w:type="spellEnd"/>
      <w:r w:rsidRPr="00580C0D">
        <w:t xml:space="preserve">. </w:t>
      </w:r>
      <w:proofErr w:type="spellStart"/>
      <w:r w:rsidRPr="00580C0D">
        <w:t>Desse</w:t>
      </w:r>
      <w:proofErr w:type="spellEnd"/>
      <w:r w:rsidRPr="00580C0D">
        <w:t xml:space="preserve"> vil bidra til </w:t>
      </w:r>
      <w:proofErr w:type="spellStart"/>
      <w:r w:rsidRPr="00580C0D">
        <w:t>auka</w:t>
      </w:r>
      <w:proofErr w:type="spellEnd"/>
      <w:r w:rsidRPr="00580C0D">
        <w:t xml:space="preserve"> realisering av hydrogen- og </w:t>
      </w:r>
      <w:proofErr w:type="spellStart"/>
      <w:r w:rsidRPr="00580C0D">
        <w:t>ammoniakkdrivne</w:t>
      </w:r>
      <w:proofErr w:type="spellEnd"/>
      <w:r w:rsidRPr="00580C0D">
        <w:t xml:space="preserve"> fartøy og skape </w:t>
      </w:r>
      <w:proofErr w:type="spellStart"/>
      <w:r w:rsidRPr="00580C0D">
        <w:t>ein</w:t>
      </w:r>
      <w:proofErr w:type="spellEnd"/>
      <w:r w:rsidRPr="00580C0D">
        <w:t xml:space="preserve"> større </w:t>
      </w:r>
      <w:proofErr w:type="spellStart"/>
      <w:r w:rsidRPr="00580C0D">
        <w:t>marknad</w:t>
      </w:r>
      <w:proofErr w:type="spellEnd"/>
      <w:r w:rsidRPr="00580C0D">
        <w:t xml:space="preserve"> for produksjon av hydrogen/ammoniakk. Til </w:t>
      </w:r>
      <w:proofErr w:type="spellStart"/>
      <w:r w:rsidRPr="00580C0D">
        <w:t>saman</w:t>
      </w:r>
      <w:proofErr w:type="spellEnd"/>
      <w:r w:rsidRPr="00580C0D">
        <w:t xml:space="preserve"> vil </w:t>
      </w:r>
      <w:proofErr w:type="spellStart"/>
      <w:r w:rsidRPr="00580C0D">
        <w:t>desse</w:t>
      </w:r>
      <w:proofErr w:type="spellEnd"/>
      <w:r w:rsidRPr="00580C0D">
        <w:t xml:space="preserve"> og </w:t>
      </w:r>
      <w:proofErr w:type="spellStart"/>
      <w:r w:rsidRPr="00580C0D">
        <w:t>eksisterande</w:t>
      </w:r>
      <w:proofErr w:type="spellEnd"/>
      <w:r w:rsidRPr="00580C0D">
        <w:t xml:space="preserve"> </w:t>
      </w:r>
      <w:proofErr w:type="spellStart"/>
      <w:r w:rsidRPr="00580C0D">
        <w:t>verkemiddel</w:t>
      </w:r>
      <w:proofErr w:type="spellEnd"/>
      <w:r w:rsidRPr="00580C0D">
        <w:t xml:space="preserve"> bidra til utvikling av </w:t>
      </w:r>
      <w:proofErr w:type="spellStart"/>
      <w:r w:rsidRPr="00580C0D">
        <w:t>løysingar</w:t>
      </w:r>
      <w:proofErr w:type="spellEnd"/>
      <w:r w:rsidRPr="00580C0D">
        <w:t xml:space="preserve"> og til </w:t>
      </w:r>
      <w:proofErr w:type="spellStart"/>
      <w:r w:rsidRPr="00580C0D">
        <w:t>marknaden</w:t>
      </w:r>
      <w:proofErr w:type="spellEnd"/>
      <w:r w:rsidRPr="00580C0D">
        <w:t xml:space="preserve"> for hydrogen som </w:t>
      </w:r>
      <w:proofErr w:type="spellStart"/>
      <w:r w:rsidRPr="00580C0D">
        <w:t>energiberar</w:t>
      </w:r>
      <w:proofErr w:type="spellEnd"/>
      <w:r w:rsidRPr="00580C0D">
        <w:t xml:space="preserve"> med ingen eller låge utslepp.</w:t>
      </w:r>
    </w:p>
    <w:p w14:paraId="6DFFFD89"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10AE6177" w14:textId="77777777" w:rsidR="00F7113A" w:rsidRPr="00580C0D" w:rsidRDefault="00142E5B" w:rsidP="00580C0D">
      <w:pPr>
        <w:pStyle w:val="avsnitt-tittel"/>
      </w:pPr>
      <w:r w:rsidRPr="00580C0D">
        <w:t xml:space="preserve">Krav om utnytting av </w:t>
      </w:r>
      <w:proofErr w:type="spellStart"/>
      <w:r w:rsidRPr="00580C0D">
        <w:t>overskotsvarme</w:t>
      </w:r>
      <w:proofErr w:type="spellEnd"/>
    </w:p>
    <w:p w14:paraId="0CDDCCE7" w14:textId="77777777" w:rsidR="00F7113A" w:rsidRPr="00580C0D" w:rsidRDefault="00142E5B" w:rsidP="00580C0D">
      <w:pPr>
        <w:pStyle w:val="avsnitt-undertittel"/>
      </w:pPr>
      <w:r w:rsidRPr="00580C0D">
        <w:t>Vedtak 743, 10. juni 2022</w:t>
      </w:r>
    </w:p>
    <w:p w14:paraId="340A7603" w14:textId="77777777" w:rsidR="00F7113A" w:rsidRPr="00580C0D" w:rsidRDefault="00142E5B" w:rsidP="00580C0D">
      <w:pPr>
        <w:pStyle w:val="blokksit"/>
      </w:pPr>
      <w:r w:rsidRPr="00580C0D">
        <w:t>«</w:t>
      </w:r>
      <w:r w:rsidRPr="00580C0D">
        <w:rPr>
          <w:rStyle w:val="kursiv"/>
        </w:rPr>
        <w:t xml:space="preserve">Stortinget ber regjeringen utrede krav om at </w:t>
      </w:r>
      <w:proofErr w:type="spellStart"/>
      <w:r w:rsidRPr="00580C0D">
        <w:rPr>
          <w:rStyle w:val="kursiv"/>
        </w:rPr>
        <w:t>spillvarme</w:t>
      </w:r>
      <w:proofErr w:type="spellEnd"/>
      <w:r w:rsidRPr="00580C0D">
        <w:rPr>
          <w:rStyle w:val="kursiv"/>
        </w:rPr>
        <w:t xml:space="preserve"> utnyttes fra prosesser som </w:t>
      </w:r>
      <w:proofErr w:type="gramStart"/>
      <w:r w:rsidRPr="00580C0D">
        <w:rPr>
          <w:rStyle w:val="kursiv"/>
        </w:rPr>
        <w:t>avgir</w:t>
      </w:r>
      <w:proofErr w:type="gramEnd"/>
      <w:r w:rsidRPr="00580C0D">
        <w:rPr>
          <w:rStyle w:val="kursiv"/>
        </w:rPr>
        <w:t xml:space="preserve"> mye varme, for eksempel industrianlegg, avfallsforbrenning, datasentre, hydrogenproduksjon og energiproduksjonsanlegg, der det er egnet.</w:t>
      </w:r>
      <w:r w:rsidRPr="00580C0D">
        <w:t>»</w:t>
      </w:r>
    </w:p>
    <w:p w14:paraId="105E1E7E"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05C4939B"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Stortingets vedtak ved </w:t>
      </w:r>
      <w:proofErr w:type="spellStart"/>
      <w:r w:rsidRPr="00580C0D">
        <w:t>behandlinga</w:t>
      </w:r>
      <w:proofErr w:type="spellEnd"/>
      <w:r w:rsidRPr="00580C0D">
        <w:t xml:space="preserve"> av </w:t>
      </w:r>
      <w:proofErr w:type="spellStart"/>
      <w:r w:rsidRPr="00580C0D">
        <w:t>Prop</w:t>
      </w:r>
      <w:proofErr w:type="spellEnd"/>
      <w:r w:rsidRPr="00580C0D">
        <w:t xml:space="preserve">. 100 L (2022–2023) </w:t>
      </w:r>
      <w:r w:rsidRPr="00580C0D">
        <w:rPr>
          <w:rStyle w:val="kursiv"/>
        </w:rPr>
        <w:t>Endringer i energiloven og naturgassloven (overskuddsvarme, energikartlegging, måling og fakturering)</w:t>
      </w:r>
      <w:r w:rsidRPr="00580C0D">
        <w:t xml:space="preserve">, jf. </w:t>
      </w:r>
      <w:proofErr w:type="spellStart"/>
      <w:r w:rsidRPr="00580C0D">
        <w:t>Innst</w:t>
      </w:r>
      <w:proofErr w:type="spellEnd"/>
      <w:r w:rsidRPr="00580C0D">
        <w:t xml:space="preserve">. 360 L (2022–2023). </w:t>
      </w:r>
      <w:proofErr w:type="spellStart"/>
      <w:r w:rsidRPr="00580C0D">
        <w:t>Lovendringane</w:t>
      </w:r>
      <w:proofErr w:type="spellEnd"/>
      <w:r w:rsidRPr="00580C0D">
        <w:t xml:space="preserve"> </w:t>
      </w:r>
      <w:proofErr w:type="spellStart"/>
      <w:r w:rsidRPr="00580C0D">
        <w:t>inneber</w:t>
      </w:r>
      <w:proofErr w:type="spellEnd"/>
      <w:r w:rsidRPr="00580C0D">
        <w:t xml:space="preserve"> mellom anna at </w:t>
      </w:r>
      <w:proofErr w:type="spellStart"/>
      <w:r w:rsidRPr="00580C0D">
        <w:t>aktørar</w:t>
      </w:r>
      <w:proofErr w:type="spellEnd"/>
      <w:r w:rsidRPr="00580C0D">
        <w:t xml:space="preserve"> som etablerer eller oppgraderer energiintensive anlegg, skal gjennomføre </w:t>
      </w:r>
      <w:proofErr w:type="spellStart"/>
      <w:r w:rsidRPr="00580C0D">
        <w:t>ein</w:t>
      </w:r>
      <w:proofErr w:type="spellEnd"/>
      <w:r w:rsidRPr="00580C0D">
        <w:t xml:space="preserve"> kost-nytte-analyse av </w:t>
      </w:r>
      <w:proofErr w:type="spellStart"/>
      <w:r w:rsidRPr="00580C0D">
        <w:t>moglegheitene</w:t>
      </w:r>
      <w:proofErr w:type="spellEnd"/>
      <w:r w:rsidRPr="00580C0D">
        <w:t xml:space="preserve"> for å utnytte </w:t>
      </w:r>
      <w:proofErr w:type="spellStart"/>
      <w:r w:rsidRPr="00580C0D">
        <w:t>overskotsvarme</w:t>
      </w:r>
      <w:proofErr w:type="spellEnd"/>
      <w:r w:rsidRPr="00580C0D">
        <w:t xml:space="preserve">. Krava gjeld for kraftverk, industrianlegg og anlegg for energiproduksjon med over 20 MW samla tilført varmeeffekt. I tillegg blir fjernvarme- og fjernkjøleanlegg omfatta </w:t>
      </w:r>
      <w:proofErr w:type="spellStart"/>
      <w:r w:rsidRPr="00580C0D">
        <w:t>utan</w:t>
      </w:r>
      <w:proofErr w:type="spellEnd"/>
      <w:r w:rsidRPr="00580C0D">
        <w:t xml:space="preserve"> ei slik grense. Datasenter med over 2 MW samla tilført elektrisk effekt blir også omfatta, i tillegg til andre anlegg med ei </w:t>
      </w:r>
      <w:proofErr w:type="spellStart"/>
      <w:r w:rsidRPr="00580C0D">
        <w:t>tilsvarande</w:t>
      </w:r>
      <w:proofErr w:type="spellEnd"/>
      <w:r w:rsidRPr="00580C0D">
        <w:t xml:space="preserve"> grense på 20 MW.</w:t>
      </w:r>
    </w:p>
    <w:p w14:paraId="615F4DE4" w14:textId="77777777" w:rsidR="00F7113A" w:rsidRPr="00580C0D" w:rsidRDefault="00142E5B" w:rsidP="00580C0D">
      <w:r w:rsidRPr="00580C0D">
        <w:t xml:space="preserve">Analysen skal </w:t>
      </w:r>
      <w:proofErr w:type="spellStart"/>
      <w:r w:rsidRPr="00580C0D">
        <w:t>sendast</w:t>
      </w:r>
      <w:proofErr w:type="spellEnd"/>
      <w:r w:rsidRPr="00580C0D">
        <w:t xml:space="preserve"> til departementet for godkjenning før anlegget blir bygd eller oppgraderinga gjennomført. Departementet kan i enkeltvedtak gi pålegg om at anlegg </w:t>
      </w:r>
      <w:proofErr w:type="spellStart"/>
      <w:r w:rsidRPr="00580C0D">
        <w:t>ikkje</w:t>
      </w:r>
      <w:proofErr w:type="spellEnd"/>
      <w:r w:rsidRPr="00580C0D">
        <w:t xml:space="preserve"> kan </w:t>
      </w:r>
      <w:proofErr w:type="spellStart"/>
      <w:r w:rsidRPr="00580C0D">
        <w:t>byggast</w:t>
      </w:r>
      <w:proofErr w:type="spellEnd"/>
      <w:r w:rsidRPr="00580C0D">
        <w:t xml:space="preserve"> eller </w:t>
      </w:r>
      <w:proofErr w:type="spellStart"/>
      <w:r w:rsidRPr="00580C0D">
        <w:t>oppgraderast</w:t>
      </w:r>
      <w:proofErr w:type="spellEnd"/>
      <w:r w:rsidRPr="00580C0D">
        <w:t xml:space="preserve"> </w:t>
      </w:r>
      <w:proofErr w:type="spellStart"/>
      <w:r w:rsidRPr="00580C0D">
        <w:t>utan</w:t>
      </w:r>
      <w:proofErr w:type="spellEnd"/>
      <w:r w:rsidRPr="00580C0D">
        <w:t xml:space="preserve"> at </w:t>
      </w:r>
      <w:proofErr w:type="spellStart"/>
      <w:r w:rsidRPr="00580C0D">
        <w:t>overskotsvarmen</w:t>
      </w:r>
      <w:proofErr w:type="spellEnd"/>
      <w:r w:rsidRPr="00580C0D">
        <w:t xml:space="preserve"> blir utnytta, dersom kost-nytte-analysen viser at nytten overstig kostnadene. Høvet til å gi slike pålegg </w:t>
      </w:r>
      <w:proofErr w:type="gramStart"/>
      <w:r w:rsidRPr="00580C0D">
        <w:t>gjeld anlegg</w:t>
      </w:r>
      <w:proofErr w:type="gramEnd"/>
      <w:r w:rsidRPr="00580C0D">
        <w:t xml:space="preserve"> som bruker gass, olje, kol eller </w:t>
      </w:r>
      <w:proofErr w:type="spellStart"/>
      <w:r w:rsidRPr="00580C0D">
        <w:t>bio</w:t>
      </w:r>
      <w:proofErr w:type="spellEnd"/>
      <w:r w:rsidRPr="00580C0D">
        <w:t xml:space="preserve"> – </w:t>
      </w:r>
      <w:proofErr w:type="spellStart"/>
      <w:r w:rsidRPr="00580C0D">
        <w:t>ikkje</w:t>
      </w:r>
      <w:proofErr w:type="spellEnd"/>
      <w:r w:rsidRPr="00580C0D">
        <w:t xml:space="preserve"> anlegg som går på </w:t>
      </w:r>
      <w:proofErr w:type="spellStart"/>
      <w:r w:rsidRPr="00580C0D">
        <w:t>straum</w:t>
      </w:r>
      <w:proofErr w:type="spellEnd"/>
      <w:r w:rsidRPr="00580C0D">
        <w:t xml:space="preserve">. Departementet kan gi </w:t>
      </w:r>
      <w:proofErr w:type="spellStart"/>
      <w:r w:rsidRPr="00580C0D">
        <w:t>nærmare</w:t>
      </w:r>
      <w:proofErr w:type="spellEnd"/>
      <w:r w:rsidRPr="00580C0D">
        <w:t xml:space="preserve"> føresegner om </w:t>
      </w:r>
      <w:proofErr w:type="spellStart"/>
      <w:r w:rsidRPr="00580C0D">
        <w:t>innhaldet</w:t>
      </w:r>
      <w:proofErr w:type="spellEnd"/>
      <w:r w:rsidRPr="00580C0D">
        <w:t xml:space="preserve"> i analysen og kva anlegg som skal </w:t>
      </w:r>
      <w:proofErr w:type="spellStart"/>
      <w:r w:rsidRPr="00580C0D">
        <w:t>omfattast</w:t>
      </w:r>
      <w:proofErr w:type="spellEnd"/>
      <w:r w:rsidRPr="00580C0D">
        <w:t xml:space="preserve"> i forskrift. Departementet arbeider med </w:t>
      </w:r>
      <w:proofErr w:type="spellStart"/>
      <w:r w:rsidRPr="00580C0D">
        <w:t>eit</w:t>
      </w:r>
      <w:proofErr w:type="spellEnd"/>
      <w:r w:rsidRPr="00580C0D">
        <w:t xml:space="preserve"> forslag til forskrift, som vil bli sendt ut på </w:t>
      </w:r>
      <w:proofErr w:type="spellStart"/>
      <w:r w:rsidRPr="00580C0D">
        <w:t>offentleg</w:t>
      </w:r>
      <w:proofErr w:type="spellEnd"/>
      <w:r w:rsidRPr="00580C0D">
        <w:t xml:space="preserve"> </w:t>
      </w:r>
      <w:proofErr w:type="spellStart"/>
      <w:r w:rsidRPr="00580C0D">
        <w:t>høyring</w:t>
      </w:r>
      <w:proofErr w:type="spellEnd"/>
      <w:r w:rsidRPr="00580C0D">
        <w:t xml:space="preserve"> på </w:t>
      </w:r>
      <w:proofErr w:type="spellStart"/>
      <w:r w:rsidRPr="00580C0D">
        <w:t>vanleg</w:t>
      </w:r>
      <w:proofErr w:type="spellEnd"/>
      <w:r w:rsidRPr="00580C0D">
        <w:t xml:space="preserve"> måte.</w:t>
      </w:r>
    </w:p>
    <w:p w14:paraId="203C0097"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38EF75C0" w14:textId="77777777" w:rsidR="00F7113A" w:rsidRPr="00580C0D" w:rsidRDefault="00142E5B" w:rsidP="00580C0D">
      <w:pPr>
        <w:pStyle w:val="avsnitt-tittel"/>
      </w:pPr>
      <w:r w:rsidRPr="00580C0D">
        <w:t xml:space="preserve">Prøveordning for </w:t>
      </w:r>
      <w:proofErr w:type="spellStart"/>
      <w:r w:rsidRPr="00580C0D">
        <w:t>handverksbedrifter</w:t>
      </w:r>
      <w:proofErr w:type="spellEnd"/>
      <w:r w:rsidRPr="00580C0D">
        <w:t xml:space="preserve"> – energitiltak</w:t>
      </w:r>
    </w:p>
    <w:p w14:paraId="558518DF" w14:textId="77777777" w:rsidR="00F7113A" w:rsidRPr="00580C0D" w:rsidRDefault="00142E5B" w:rsidP="00580C0D">
      <w:pPr>
        <w:pStyle w:val="avsnitt-undertittel"/>
      </w:pPr>
      <w:r w:rsidRPr="00580C0D">
        <w:t>Vedtak 746, 10. juni 2022</w:t>
      </w:r>
    </w:p>
    <w:p w14:paraId="6E17FFD8" w14:textId="77777777" w:rsidR="00F7113A" w:rsidRPr="00580C0D" w:rsidRDefault="00142E5B" w:rsidP="00580C0D">
      <w:pPr>
        <w:pStyle w:val="blokksit"/>
      </w:pPr>
      <w:r w:rsidRPr="00580C0D">
        <w:t>«</w:t>
      </w:r>
      <w:r w:rsidRPr="00580C0D">
        <w:rPr>
          <w:rStyle w:val="kursiv"/>
        </w:rPr>
        <w:t>Stortinget ber regjeringen i forbindelse med revidert nasjonalbudsjett 2023 vurdere å opprette en prøveordning der håndverksbedrifter kan få støtte til kompetanseheving innen energitiltak.</w:t>
      </w:r>
      <w:r w:rsidRPr="00580C0D">
        <w:t>»</w:t>
      </w:r>
    </w:p>
    <w:p w14:paraId="29BF03B2"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1FFD91D1" w14:textId="77777777" w:rsidR="00F7113A" w:rsidRPr="00580C0D" w:rsidRDefault="00142E5B" w:rsidP="00580C0D">
      <w:r w:rsidRPr="00580C0D">
        <w:t xml:space="preserve">Departementet vil i samråd med aktuelle departement kartlegge behovet for tiltak for å styrke kompetansen om energitiltak i byggenæringa, mellom anna tiltak for å styrke kompetansen om energieffektivisering og energifleksibilitet blant </w:t>
      </w:r>
      <w:proofErr w:type="spellStart"/>
      <w:r w:rsidRPr="00580C0D">
        <w:t>handverksbedrifter</w:t>
      </w:r>
      <w:proofErr w:type="spellEnd"/>
      <w:r w:rsidRPr="00580C0D">
        <w:t>.</w:t>
      </w:r>
    </w:p>
    <w:p w14:paraId="5DCFC3B5" w14:textId="77777777" w:rsidR="00F7113A" w:rsidRPr="00580C0D" w:rsidRDefault="00142E5B" w:rsidP="00580C0D">
      <w:r w:rsidRPr="00580C0D">
        <w:t>Departementet vil komme tilbake til Stortinget på eigna måte.</w:t>
      </w:r>
    </w:p>
    <w:p w14:paraId="0693ED38" w14:textId="77777777" w:rsidR="00F7113A" w:rsidRPr="00580C0D" w:rsidRDefault="00142E5B" w:rsidP="00580C0D">
      <w:pPr>
        <w:pStyle w:val="avsnitt-tittel"/>
      </w:pPr>
      <w:r w:rsidRPr="00580C0D">
        <w:t xml:space="preserve">Solenergi – </w:t>
      </w:r>
      <w:proofErr w:type="spellStart"/>
      <w:r w:rsidRPr="00580C0D">
        <w:t>auka</w:t>
      </w:r>
      <w:proofErr w:type="spellEnd"/>
      <w:r w:rsidRPr="00580C0D">
        <w:t xml:space="preserve"> bruk</w:t>
      </w:r>
    </w:p>
    <w:p w14:paraId="7400377C" w14:textId="77777777" w:rsidR="00F7113A" w:rsidRPr="00580C0D" w:rsidRDefault="00142E5B" w:rsidP="00580C0D">
      <w:pPr>
        <w:pStyle w:val="avsnitt-undertittel"/>
      </w:pPr>
      <w:r w:rsidRPr="00580C0D">
        <w:t>Vedtak 747, 10. juni 2022</w:t>
      </w:r>
    </w:p>
    <w:p w14:paraId="475D8E73" w14:textId="77777777" w:rsidR="00F7113A" w:rsidRPr="00580C0D" w:rsidRDefault="00142E5B" w:rsidP="00580C0D">
      <w:pPr>
        <w:pStyle w:val="blokksit"/>
      </w:pPr>
      <w:r w:rsidRPr="00580C0D">
        <w:t>«</w:t>
      </w:r>
      <w:r w:rsidRPr="00580C0D">
        <w:rPr>
          <w:rStyle w:val="kursiv"/>
        </w:rPr>
        <w:t>Stortinget ber regjeringen gjennomgå regelverket og virkemiddelapparatet for å stimulere til bruk av solenergi, blant annet for å stimulere til områdeutbygginger med solenergi og nabolagsstrøm.</w:t>
      </w:r>
      <w:r w:rsidRPr="00580C0D">
        <w:t>»</w:t>
      </w:r>
    </w:p>
    <w:p w14:paraId="6B2EBC19"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7AF3019E" w14:textId="77777777" w:rsidR="00F7113A" w:rsidRPr="00580C0D" w:rsidRDefault="00142E5B" w:rsidP="00580C0D">
      <w:r w:rsidRPr="00580C0D">
        <w:t xml:space="preserve">Departementet har i oppfølginga av vedtaket bedt NVE, med </w:t>
      </w:r>
      <w:proofErr w:type="spellStart"/>
      <w:r w:rsidRPr="00580C0D">
        <w:t>innspel</w:t>
      </w:r>
      <w:proofErr w:type="spellEnd"/>
      <w:r w:rsidRPr="00580C0D">
        <w:t xml:space="preserve"> </w:t>
      </w:r>
      <w:proofErr w:type="spellStart"/>
      <w:r w:rsidRPr="00580C0D">
        <w:t>frå</w:t>
      </w:r>
      <w:proofErr w:type="spellEnd"/>
      <w:r w:rsidRPr="00580C0D">
        <w:t xml:space="preserve"> RME og eventuelt andre </w:t>
      </w:r>
      <w:proofErr w:type="spellStart"/>
      <w:r w:rsidRPr="00580C0D">
        <w:t>etatar</w:t>
      </w:r>
      <w:proofErr w:type="spellEnd"/>
      <w:r w:rsidRPr="00580C0D">
        <w:t xml:space="preserve">, kartlegge og vurdere rammevilkåra for lokal energiproduksjon og -lagring, og eventuelt foreslå </w:t>
      </w:r>
      <w:proofErr w:type="spellStart"/>
      <w:r w:rsidRPr="00580C0D">
        <w:t>endringar</w:t>
      </w:r>
      <w:proofErr w:type="spellEnd"/>
      <w:r w:rsidRPr="00580C0D">
        <w:t xml:space="preserve"> i </w:t>
      </w:r>
      <w:proofErr w:type="spellStart"/>
      <w:r w:rsidRPr="00580C0D">
        <w:t>eksisterande</w:t>
      </w:r>
      <w:proofErr w:type="spellEnd"/>
      <w:r w:rsidRPr="00580C0D">
        <w:t xml:space="preserve"> </w:t>
      </w:r>
      <w:proofErr w:type="spellStart"/>
      <w:r w:rsidRPr="00580C0D">
        <w:t>reguleringar</w:t>
      </w:r>
      <w:proofErr w:type="spellEnd"/>
      <w:r w:rsidRPr="00580C0D">
        <w:t xml:space="preserve"> og </w:t>
      </w:r>
      <w:proofErr w:type="spellStart"/>
      <w:r w:rsidRPr="00580C0D">
        <w:t>verkemiddel</w:t>
      </w:r>
      <w:proofErr w:type="spellEnd"/>
      <w:r w:rsidRPr="00580C0D">
        <w:t>.</w:t>
      </w:r>
    </w:p>
    <w:p w14:paraId="5791F206" w14:textId="77777777" w:rsidR="00F7113A" w:rsidRPr="00580C0D" w:rsidRDefault="00142E5B" w:rsidP="00580C0D">
      <w:r w:rsidRPr="00580C0D">
        <w:t xml:space="preserve">Departementet har i oppfølginga av vedtaket bedt RME om å vurdere ei delingsordning tilpassa næringsområde, slik at deling av eigenprodusert </w:t>
      </w:r>
      <w:proofErr w:type="spellStart"/>
      <w:r w:rsidRPr="00580C0D">
        <w:t>straum</w:t>
      </w:r>
      <w:proofErr w:type="spellEnd"/>
      <w:r w:rsidRPr="00580C0D">
        <w:t xml:space="preserve"> mellom </w:t>
      </w:r>
      <w:proofErr w:type="spellStart"/>
      <w:r w:rsidRPr="00580C0D">
        <w:t>straumkundar</w:t>
      </w:r>
      <w:proofErr w:type="spellEnd"/>
      <w:r w:rsidRPr="00580C0D">
        <w:t xml:space="preserve"> utover vedtatt ordning kan </w:t>
      </w:r>
      <w:proofErr w:type="spellStart"/>
      <w:r w:rsidRPr="00580C0D">
        <w:t>gjerast</w:t>
      </w:r>
      <w:proofErr w:type="spellEnd"/>
      <w:r w:rsidRPr="00580C0D">
        <w:t xml:space="preserve"> på </w:t>
      </w:r>
      <w:proofErr w:type="spellStart"/>
      <w:r w:rsidRPr="00580C0D">
        <w:t>ein</w:t>
      </w:r>
      <w:proofErr w:type="spellEnd"/>
      <w:r w:rsidRPr="00580C0D">
        <w:t xml:space="preserve"> samfunnsmessig rasjonell måte. Deling </w:t>
      </w:r>
      <w:proofErr w:type="spellStart"/>
      <w:r w:rsidRPr="00580C0D">
        <w:t>frå</w:t>
      </w:r>
      <w:proofErr w:type="spellEnd"/>
      <w:r w:rsidRPr="00580C0D">
        <w:t xml:space="preserve"> anlegg med </w:t>
      </w:r>
      <w:proofErr w:type="spellStart"/>
      <w:r w:rsidRPr="00580C0D">
        <w:t>meir</w:t>
      </w:r>
      <w:proofErr w:type="spellEnd"/>
      <w:r w:rsidRPr="00580C0D">
        <w:t xml:space="preserve"> enn 1 MW installert effekt skal inngå i vurderinga.</w:t>
      </w:r>
    </w:p>
    <w:p w14:paraId="14FEB21D" w14:textId="77777777" w:rsidR="00F7113A" w:rsidRPr="00580C0D" w:rsidRDefault="00142E5B" w:rsidP="00580C0D">
      <w:r w:rsidRPr="00580C0D">
        <w:t xml:space="preserve">Departementet har samtidig bedt NVE om å vurdere ei lov-/forskriftsendring som gir </w:t>
      </w:r>
      <w:proofErr w:type="spellStart"/>
      <w:r w:rsidRPr="00580C0D">
        <w:t>konsesjonsmyndigheitene</w:t>
      </w:r>
      <w:proofErr w:type="spellEnd"/>
      <w:r w:rsidRPr="00580C0D">
        <w:t xml:space="preserve"> høve til å unnta mindre energiproduksjonsanlegg på industri- og næringsareal (grå areal) </w:t>
      </w:r>
      <w:proofErr w:type="spellStart"/>
      <w:r w:rsidRPr="00580C0D">
        <w:t>frå</w:t>
      </w:r>
      <w:proofErr w:type="spellEnd"/>
      <w:r w:rsidRPr="00580C0D">
        <w:t xml:space="preserve"> konsesjonsplikt.</w:t>
      </w:r>
    </w:p>
    <w:p w14:paraId="0A03C586"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4DBD67FE" w14:textId="77777777" w:rsidR="00F7113A" w:rsidRPr="00580C0D" w:rsidRDefault="00142E5B" w:rsidP="00580C0D">
      <w:pPr>
        <w:pStyle w:val="avsnitt-tittel"/>
      </w:pPr>
      <w:r w:rsidRPr="00580C0D">
        <w:t>Solenergi – kartlegging av potensialet for produksjon på landbruksareal</w:t>
      </w:r>
    </w:p>
    <w:p w14:paraId="764B4B98" w14:textId="77777777" w:rsidR="00F7113A" w:rsidRPr="00580C0D" w:rsidRDefault="00142E5B" w:rsidP="00580C0D">
      <w:pPr>
        <w:pStyle w:val="avsnitt-undertittel"/>
      </w:pPr>
      <w:r w:rsidRPr="00580C0D">
        <w:t>Vedtak 751, 10. juni 2022</w:t>
      </w:r>
    </w:p>
    <w:p w14:paraId="419FFBA2" w14:textId="77777777" w:rsidR="00F7113A" w:rsidRPr="00580C0D" w:rsidRDefault="00142E5B" w:rsidP="00580C0D">
      <w:pPr>
        <w:pStyle w:val="blokksit"/>
      </w:pPr>
      <w:r w:rsidRPr="00580C0D">
        <w:t>«</w:t>
      </w:r>
      <w:r w:rsidRPr="00580C0D">
        <w:rPr>
          <w:rStyle w:val="kursiv"/>
        </w:rPr>
        <w:t>Stortinget ber regjeringen kartlegge potensialet for solenergiproduksjon på landbruksareal, samtidig som landbruksproduksjonen opprettholdes.</w:t>
      </w:r>
      <w:r w:rsidRPr="00580C0D">
        <w:t>»</w:t>
      </w:r>
    </w:p>
    <w:p w14:paraId="3185419B"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6032A349" w14:textId="77777777" w:rsidR="00F7113A" w:rsidRPr="00580C0D" w:rsidRDefault="00142E5B" w:rsidP="00580C0D">
      <w:r w:rsidRPr="00580C0D">
        <w:t xml:space="preserve">Departementet har i oppfølginga av vedtaket bedt NVE vurdere potensialet for utbygging av fornybar kraftproduksjon på næringsareal, langs </w:t>
      </w:r>
      <w:proofErr w:type="spellStart"/>
      <w:r w:rsidRPr="00580C0D">
        <w:t>motorvegar</w:t>
      </w:r>
      <w:proofErr w:type="spellEnd"/>
      <w:r w:rsidRPr="00580C0D">
        <w:t xml:space="preserve"> og i andre nedbygde areal mot 2030. Vurderinga skal </w:t>
      </w:r>
      <w:proofErr w:type="spellStart"/>
      <w:r w:rsidRPr="00580C0D">
        <w:t>skilje</w:t>
      </w:r>
      <w:proofErr w:type="spellEnd"/>
      <w:r w:rsidRPr="00580C0D">
        <w:t xml:space="preserve"> mellom produksjonsformer, som sol- og vindkraft. Oppdraget skal også bidra til å </w:t>
      </w:r>
      <w:proofErr w:type="spellStart"/>
      <w:r w:rsidRPr="00580C0D">
        <w:t>klargjere</w:t>
      </w:r>
      <w:proofErr w:type="spellEnd"/>
      <w:r w:rsidRPr="00580C0D">
        <w:t xml:space="preserve"> potensialet for vindkraftproduksjon på landbruksareal og gardsbruk.</w:t>
      </w:r>
    </w:p>
    <w:p w14:paraId="11AF0868"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02E22BF1" w14:textId="77777777" w:rsidR="00F7113A" w:rsidRPr="00580C0D" w:rsidRDefault="00142E5B" w:rsidP="00580C0D">
      <w:pPr>
        <w:pStyle w:val="avsnitt-tittel"/>
      </w:pPr>
      <w:r w:rsidRPr="00580C0D">
        <w:t xml:space="preserve">Solenergi – kartlegge potensialet og tilrettelegging for solenergiproduksjon på </w:t>
      </w:r>
      <w:proofErr w:type="spellStart"/>
      <w:r w:rsidRPr="00580C0D">
        <w:t>eksisterande</w:t>
      </w:r>
      <w:proofErr w:type="spellEnd"/>
      <w:r w:rsidRPr="00580C0D">
        <w:t xml:space="preserve"> infrastruktur</w:t>
      </w:r>
    </w:p>
    <w:p w14:paraId="39BC6BD5" w14:textId="77777777" w:rsidR="00F7113A" w:rsidRPr="00580C0D" w:rsidRDefault="00142E5B" w:rsidP="00580C0D">
      <w:pPr>
        <w:pStyle w:val="avsnitt-undertittel"/>
      </w:pPr>
      <w:r w:rsidRPr="00580C0D">
        <w:t>Vedtak 752, 10. juni 2022</w:t>
      </w:r>
    </w:p>
    <w:p w14:paraId="0C819576" w14:textId="77777777" w:rsidR="00F7113A" w:rsidRPr="00580C0D" w:rsidRDefault="00142E5B" w:rsidP="00580C0D">
      <w:pPr>
        <w:pStyle w:val="blokksit"/>
      </w:pPr>
      <w:r w:rsidRPr="00580C0D">
        <w:t>«</w:t>
      </w:r>
      <w:r w:rsidRPr="00580C0D">
        <w:rPr>
          <w:rStyle w:val="kursiv"/>
        </w:rPr>
        <w:t>Stortinget ber regjeringen kartlegge potensialet og tilrettelegging for solenergiproduksjon på eksisterende infrastruktur, som for eksempel parkeringsplasser.</w:t>
      </w:r>
      <w:r w:rsidRPr="00580C0D">
        <w:t>»</w:t>
      </w:r>
    </w:p>
    <w:p w14:paraId="624F9A7E" w14:textId="77777777" w:rsidR="00F7113A" w:rsidRPr="00580C0D" w:rsidRDefault="00142E5B" w:rsidP="00580C0D">
      <w:r w:rsidRPr="00580C0D">
        <w:t xml:space="preserve">Dokumenta som ligg til grunn for vedtaket er Meld. St. 36 (2020–2021), Meld. St. 11 (2021–2022) og </w:t>
      </w:r>
      <w:proofErr w:type="spellStart"/>
      <w:r w:rsidRPr="00580C0D">
        <w:t>Innst</w:t>
      </w:r>
      <w:proofErr w:type="spellEnd"/>
      <w:r w:rsidRPr="00580C0D">
        <w:t>. 446 S (2021–2022).</w:t>
      </w:r>
    </w:p>
    <w:p w14:paraId="22E6D0AE" w14:textId="77777777" w:rsidR="00F7113A" w:rsidRPr="00580C0D" w:rsidRDefault="00142E5B" w:rsidP="00580C0D">
      <w:r w:rsidRPr="00580C0D">
        <w:t xml:space="preserve">Departementet har i oppfølginga av vedtaket bedt NVE vurdere potensialet for utbygging av fornybar kraftproduksjon på næringsareal, langs </w:t>
      </w:r>
      <w:proofErr w:type="spellStart"/>
      <w:r w:rsidRPr="00580C0D">
        <w:t>motorvegar</w:t>
      </w:r>
      <w:proofErr w:type="spellEnd"/>
      <w:r w:rsidRPr="00580C0D">
        <w:t xml:space="preserve"> og i andre nedbygde areal mot 2030. Vurderinga skal </w:t>
      </w:r>
      <w:proofErr w:type="spellStart"/>
      <w:r w:rsidRPr="00580C0D">
        <w:t>skilje</w:t>
      </w:r>
      <w:proofErr w:type="spellEnd"/>
      <w:r w:rsidRPr="00580C0D">
        <w:t xml:space="preserve"> mellom produksjonsformer, som sol- og vindkraft.</w:t>
      </w:r>
    </w:p>
    <w:p w14:paraId="0BE07530"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3CFC5AF9" w14:textId="77777777" w:rsidR="00F7113A" w:rsidRPr="00580C0D" w:rsidRDefault="00142E5B" w:rsidP="00580C0D">
      <w:pPr>
        <w:pStyle w:val="Overskrift2"/>
      </w:pPr>
      <w:r w:rsidRPr="00580C0D">
        <w:t>Stortingssesjon 2020–2021</w:t>
      </w:r>
    </w:p>
    <w:p w14:paraId="383AE690" w14:textId="77777777" w:rsidR="00F7113A" w:rsidRPr="00580C0D" w:rsidRDefault="00142E5B" w:rsidP="00580C0D">
      <w:pPr>
        <w:pStyle w:val="avsnitt-tittel"/>
      </w:pPr>
      <w:r w:rsidRPr="00580C0D">
        <w:t>Vindkraft på land – innlemme planlegging og bygging av vindkraftverk i plan- og bygningslova</w:t>
      </w:r>
    </w:p>
    <w:p w14:paraId="46ABEF90" w14:textId="77777777" w:rsidR="00F7113A" w:rsidRPr="00580C0D" w:rsidRDefault="00142E5B" w:rsidP="00580C0D">
      <w:pPr>
        <w:pStyle w:val="avsnitt-undertittel"/>
      </w:pPr>
      <w:r w:rsidRPr="00580C0D">
        <w:t>Vedtak 143, 1. desember 2020</w:t>
      </w:r>
    </w:p>
    <w:p w14:paraId="4D124B91" w14:textId="77777777" w:rsidR="00F7113A" w:rsidRPr="00580C0D" w:rsidRDefault="00142E5B" w:rsidP="00580C0D">
      <w:pPr>
        <w:pStyle w:val="blokksit"/>
      </w:pPr>
      <w:r w:rsidRPr="00580C0D">
        <w:t>«</w:t>
      </w:r>
      <w:r w:rsidRPr="00580C0D">
        <w:rPr>
          <w:rStyle w:val="kursiv"/>
        </w:rPr>
        <w:t>Stortinget ber regjeringen komme tilbake til Stortinget med et forslag om å innlemme planlegging og bygging av vindkraftanlegg i plan- og bygningsloven.</w:t>
      </w:r>
      <w:r w:rsidRPr="00580C0D">
        <w:t>»</w:t>
      </w:r>
    </w:p>
    <w:p w14:paraId="51E9D4DD" w14:textId="77777777" w:rsidR="00F7113A" w:rsidRPr="00580C0D" w:rsidRDefault="00142E5B" w:rsidP="00580C0D">
      <w:r w:rsidRPr="00580C0D">
        <w:t xml:space="preserve">Dokumenta som ligg til grunn for vedtaket er Meld. St. 28 (2019–2020) og </w:t>
      </w:r>
      <w:proofErr w:type="spellStart"/>
      <w:r w:rsidRPr="00580C0D">
        <w:t>Innst</w:t>
      </w:r>
      <w:proofErr w:type="spellEnd"/>
      <w:r w:rsidRPr="00580C0D">
        <w:t>. 101 S (2020–2021).</w:t>
      </w:r>
    </w:p>
    <w:p w14:paraId="1297FE4D" w14:textId="77777777" w:rsidR="00F7113A" w:rsidRPr="00580C0D" w:rsidRDefault="00142E5B" w:rsidP="00580C0D">
      <w:r w:rsidRPr="00580C0D">
        <w:t xml:space="preserve">Oppmodingsvedtaket er </w:t>
      </w:r>
      <w:proofErr w:type="spellStart"/>
      <w:r w:rsidRPr="00580C0D">
        <w:t>følgt</w:t>
      </w:r>
      <w:proofErr w:type="spellEnd"/>
      <w:r w:rsidRPr="00580C0D">
        <w:t xml:space="preserve"> opp gjennom Stortingets vedtak ved </w:t>
      </w:r>
      <w:proofErr w:type="spellStart"/>
      <w:r w:rsidRPr="00580C0D">
        <w:t>behandlinga</w:t>
      </w:r>
      <w:proofErr w:type="spellEnd"/>
      <w:r w:rsidRPr="00580C0D">
        <w:t xml:space="preserve"> av </w:t>
      </w:r>
      <w:proofErr w:type="spellStart"/>
      <w:r w:rsidRPr="00580C0D">
        <w:t>Prop</w:t>
      </w:r>
      <w:proofErr w:type="spellEnd"/>
      <w:r w:rsidRPr="00580C0D">
        <w:t xml:space="preserve">. 111 L (2022–2023) </w:t>
      </w:r>
      <w:r w:rsidRPr="00580C0D">
        <w:rPr>
          <w:rStyle w:val="kursiv"/>
        </w:rPr>
        <w:t>Endringer i energiloven og plan- og bygningsloven (vindkraft på land)</w:t>
      </w:r>
      <w:r w:rsidRPr="00580C0D">
        <w:t xml:space="preserve">, jf. </w:t>
      </w:r>
      <w:proofErr w:type="spellStart"/>
      <w:r w:rsidRPr="00580C0D">
        <w:t>Innst</w:t>
      </w:r>
      <w:proofErr w:type="spellEnd"/>
      <w:r w:rsidRPr="00580C0D">
        <w:t xml:space="preserve">. 483 L (2022–2023). Etter </w:t>
      </w:r>
      <w:proofErr w:type="spellStart"/>
      <w:r w:rsidRPr="00580C0D">
        <w:t>dei</w:t>
      </w:r>
      <w:proofErr w:type="spellEnd"/>
      <w:r w:rsidRPr="00580C0D">
        <w:t xml:space="preserve"> nye </w:t>
      </w:r>
      <w:proofErr w:type="spellStart"/>
      <w:r w:rsidRPr="00580C0D">
        <w:t>reglane</w:t>
      </w:r>
      <w:proofErr w:type="spellEnd"/>
      <w:r w:rsidRPr="00580C0D">
        <w:t xml:space="preserve"> kan </w:t>
      </w:r>
      <w:proofErr w:type="spellStart"/>
      <w:r w:rsidRPr="00580C0D">
        <w:t>ein</w:t>
      </w:r>
      <w:proofErr w:type="spellEnd"/>
      <w:r w:rsidRPr="00580C0D">
        <w:t xml:space="preserve"> </w:t>
      </w:r>
      <w:proofErr w:type="spellStart"/>
      <w:r w:rsidRPr="00580C0D">
        <w:t>ikkje</w:t>
      </w:r>
      <w:proofErr w:type="spellEnd"/>
      <w:r w:rsidRPr="00580C0D">
        <w:t xml:space="preserve"> gi konsesjon etter energilova før kommunen har vedtatt ei overordna områderegulering. </w:t>
      </w:r>
      <w:proofErr w:type="spellStart"/>
      <w:r w:rsidRPr="00580C0D">
        <w:t>Lovendringane</w:t>
      </w:r>
      <w:proofErr w:type="spellEnd"/>
      <w:r w:rsidRPr="00580C0D">
        <w:t xml:space="preserve"> blei vedtatt av Stortinget 12. juni 2023 og tredde i kraft 1. juli 2023.</w:t>
      </w:r>
    </w:p>
    <w:p w14:paraId="6C03858B"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5E2720D4" w14:textId="77777777" w:rsidR="00F7113A" w:rsidRPr="00580C0D" w:rsidRDefault="00142E5B" w:rsidP="00580C0D">
      <w:pPr>
        <w:pStyle w:val="Overskrift2"/>
      </w:pPr>
      <w:r w:rsidRPr="00580C0D">
        <w:t>Stortingssesjon 2019–2020</w:t>
      </w:r>
    </w:p>
    <w:p w14:paraId="1E233E42" w14:textId="77777777" w:rsidR="00F7113A" w:rsidRPr="00580C0D" w:rsidRDefault="00142E5B" w:rsidP="00580C0D">
      <w:pPr>
        <w:pStyle w:val="avsnitt-tittel"/>
      </w:pPr>
      <w:r w:rsidRPr="00580C0D">
        <w:t xml:space="preserve">Null- og </w:t>
      </w:r>
      <w:proofErr w:type="spellStart"/>
      <w:r w:rsidRPr="00580C0D">
        <w:t>lågutsleppsløysingar</w:t>
      </w:r>
      <w:proofErr w:type="spellEnd"/>
      <w:r w:rsidRPr="00580C0D">
        <w:t xml:space="preserve"> for offshorefartøy i petroleumsproduksjon</w:t>
      </w:r>
    </w:p>
    <w:p w14:paraId="49182A44" w14:textId="77777777" w:rsidR="00F7113A" w:rsidRPr="00580C0D" w:rsidRDefault="00142E5B" w:rsidP="00580C0D">
      <w:pPr>
        <w:pStyle w:val="avsnitt-undertittel"/>
      </w:pPr>
      <w:r w:rsidRPr="00580C0D">
        <w:t>Vedtak 683, 12. juni 2020</w:t>
      </w:r>
    </w:p>
    <w:p w14:paraId="3F1A46B3" w14:textId="77777777" w:rsidR="00F7113A" w:rsidRPr="00580C0D" w:rsidRDefault="00142E5B" w:rsidP="00580C0D">
      <w:pPr>
        <w:pStyle w:val="blokksit"/>
      </w:pPr>
      <w:r w:rsidRPr="00580C0D">
        <w:t>«</w:t>
      </w:r>
      <w:r w:rsidRPr="00580C0D">
        <w:rPr>
          <w:rStyle w:val="kursiv"/>
        </w:rPr>
        <w:t>Stortinget ber regjeringen legge frem forslag som sikrer null- og lavutslippsløsninger for offshorefartøy i petroleumsproduksjon.</w:t>
      </w:r>
      <w:r w:rsidRPr="00580C0D">
        <w:t>»</w:t>
      </w:r>
    </w:p>
    <w:p w14:paraId="6E170C41"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113 L (2019–2020) og </w:t>
      </w:r>
      <w:proofErr w:type="spellStart"/>
      <w:r w:rsidRPr="00580C0D">
        <w:t>Innst</w:t>
      </w:r>
      <w:proofErr w:type="spellEnd"/>
      <w:r w:rsidRPr="00580C0D">
        <w:t>. 351 L (2019–2020).</w:t>
      </w:r>
    </w:p>
    <w:p w14:paraId="053E018B" w14:textId="77777777" w:rsidR="00F7113A" w:rsidRPr="00580C0D" w:rsidRDefault="00142E5B" w:rsidP="00580C0D">
      <w:r w:rsidRPr="00580C0D">
        <w:t xml:space="preserve">Departementet viser til omtale av oppmodingsvedtaket i del I </w:t>
      </w:r>
      <w:proofErr w:type="spellStart"/>
      <w:r w:rsidRPr="00580C0D">
        <w:t>i</w:t>
      </w:r>
      <w:proofErr w:type="spellEnd"/>
      <w:r w:rsidRPr="00580C0D">
        <w:t xml:space="preserve"> </w:t>
      </w:r>
      <w:proofErr w:type="spellStart"/>
      <w:r w:rsidRPr="00580C0D">
        <w:t>Prop</w:t>
      </w:r>
      <w:proofErr w:type="spellEnd"/>
      <w:r w:rsidRPr="00580C0D">
        <w:t xml:space="preserve">. 1 S (2022–2023). Under </w:t>
      </w:r>
      <w:proofErr w:type="spellStart"/>
      <w:r w:rsidRPr="00580C0D">
        <w:t>behandlinga</w:t>
      </w:r>
      <w:proofErr w:type="spellEnd"/>
      <w:r w:rsidRPr="00580C0D">
        <w:t xml:space="preserve"> av innstillinga </w:t>
      </w:r>
      <w:proofErr w:type="spellStart"/>
      <w:r w:rsidRPr="00580C0D">
        <w:t>frå</w:t>
      </w:r>
      <w:proofErr w:type="spellEnd"/>
      <w:r w:rsidRPr="00580C0D">
        <w:t xml:space="preserve"> finanskomiteen om nasjonalbudsjettet for 2023 og forslaget til statsbudsjett for 2023, jf. </w:t>
      </w:r>
      <w:proofErr w:type="spellStart"/>
      <w:r w:rsidRPr="00580C0D">
        <w:t>Innst</w:t>
      </w:r>
      <w:proofErr w:type="spellEnd"/>
      <w:r w:rsidRPr="00580C0D">
        <w:t xml:space="preserve">. 2 S (2022–2023), gjorde Stortinget </w:t>
      </w:r>
      <w:proofErr w:type="spellStart"/>
      <w:r w:rsidRPr="00580C0D">
        <w:t>følgande</w:t>
      </w:r>
      <w:proofErr w:type="spellEnd"/>
      <w:r w:rsidRPr="00580C0D">
        <w:t xml:space="preserve"> vedtak:</w:t>
      </w:r>
    </w:p>
    <w:p w14:paraId="36CDE293" w14:textId="77777777" w:rsidR="00F7113A" w:rsidRPr="00580C0D" w:rsidRDefault="00142E5B" w:rsidP="00580C0D">
      <w:pPr>
        <w:pStyle w:val="avsnitt-under-undertittel"/>
      </w:pPr>
      <w:r w:rsidRPr="00580C0D">
        <w:t>Vedtak 92, 1. desember 2022</w:t>
      </w:r>
    </w:p>
    <w:p w14:paraId="1379FA45" w14:textId="77777777" w:rsidR="00F7113A" w:rsidRPr="00580C0D" w:rsidRDefault="00142E5B" w:rsidP="00580C0D">
      <w:pPr>
        <w:pStyle w:val="blokksit"/>
      </w:pPr>
      <w:r w:rsidRPr="00580C0D">
        <w:t>«</w:t>
      </w:r>
      <w:r w:rsidRPr="00580C0D">
        <w:rPr>
          <w:rStyle w:val="kursiv"/>
        </w:rPr>
        <w:t>Stortinget ber regjeringen i løpet av 2023 fremme krav om lavutslipp til offshorefartøy med sikte på innføring fra 2025 og nullutslipp fra 2029, eller tilsvarende krav som gir samme utslippseffekt for offshorefartøy.</w:t>
      </w:r>
      <w:r w:rsidRPr="00580C0D">
        <w:t>»</w:t>
      </w:r>
    </w:p>
    <w:p w14:paraId="4982ECE0" w14:textId="77777777" w:rsidR="00F7113A" w:rsidRPr="00580C0D" w:rsidRDefault="00142E5B" w:rsidP="00580C0D">
      <w:r w:rsidRPr="00580C0D">
        <w:t xml:space="preserve">Dokumenta som ligg til grunn for vedtaket er Meld. St. 1 (2022–2023) og </w:t>
      </w:r>
      <w:proofErr w:type="spellStart"/>
      <w:r w:rsidRPr="00580C0D">
        <w:t>Innst</w:t>
      </w:r>
      <w:proofErr w:type="spellEnd"/>
      <w:r w:rsidRPr="00580C0D">
        <w:t>. 2 S (2022–2023).</w:t>
      </w:r>
    </w:p>
    <w:p w14:paraId="3EC635FA" w14:textId="77777777" w:rsidR="00F7113A" w:rsidRPr="00580C0D" w:rsidRDefault="00142E5B" w:rsidP="00580C0D">
      <w:r w:rsidRPr="00580C0D">
        <w:t xml:space="preserve">Dei to vedtaka er nært knytte til </w:t>
      </w:r>
      <w:proofErr w:type="spellStart"/>
      <w:r w:rsidRPr="00580C0D">
        <w:t>kvarandre</w:t>
      </w:r>
      <w:proofErr w:type="spellEnd"/>
      <w:r w:rsidRPr="00580C0D">
        <w:t xml:space="preserve"> og må </w:t>
      </w:r>
      <w:proofErr w:type="spellStart"/>
      <w:r w:rsidRPr="00580C0D">
        <w:t>sjåast</w:t>
      </w:r>
      <w:proofErr w:type="spellEnd"/>
      <w:r w:rsidRPr="00580C0D">
        <w:t xml:space="preserve"> i </w:t>
      </w:r>
      <w:proofErr w:type="spellStart"/>
      <w:r w:rsidRPr="00580C0D">
        <w:t>samanheng</w:t>
      </w:r>
      <w:proofErr w:type="spellEnd"/>
      <w:r w:rsidRPr="00580C0D">
        <w:t xml:space="preserve">. Klima- og miljødepartementet har gitt Sjøfartsdirektoratet i oppdrag </w:t>
      </w:r>
      <w:proofErr w:type="gramStart"/>
      <w:r w:rsidRPr="00580C0D">
        <w:t>å sjå</w:t>
      </w:r>
      <w:proofErr w:type="gramEnd"/>
      <w:r w:rsidRPr="00580C0D">
        <w:t xml:space="preserve"> på korleis krav til låg- og nullutslepp for offshorefartøy kan </w:t>
      </w:r>
      <w:proofErr w:type="spellStart"/>
      <w:r w:rsidRPr="00580C0D">
        <w:t>utformast</w:t>
      </w:r>
      <w:proofErr w:type="spellEnd"/>
      <w:r w:rsidRPr="00580C0D">
        <w:t xml:space="preserve"> både i lys av vedtak 683, 12. juni 2020, og i lys av det nye vedtaket 92, 1. desember 2022. Olje- og energidepartementet viser derfor til </w:t>
      </w:r>
      <w:proofErr w:type="spellStart"/>
      <w:r w:rsidRPr="00580C0D">
        <w:t>Prop</w:t>
      </w:r>
      <w:proofErr w:type="spellEnd"/>
      <w:r w:rsidRPr="00580C0D">
        <w:t xml:space="preserve">. 1 S (2023–2024) </w:t>
      </w:r>
      <w:proofErr w:type="spellStart"/>
      <w:r w:rsidRPr="00580C0D">
        <w:t>frå</w:t>
      </w:r>
      <w:proofErr w:type="spellEnd"/>
      <w:r w:rsidRPr="00580C0D">
        <w:t xml:space="preserve"> Klima- og miljødepartementet for </w:t>
      </w:r>
      <w:proofErr w:type="spellStart"/>
      <w:r w:rsidRPr="00580C0D">
        <w:t>ein</w:t>
      </w:r>
      <w:proofErr w:type="spellEnd"/>
      <w:r w:rsidRPr="00580C0D">
        <w:t xml:space="preserve"> omtale av status for oppfølginga av </w:t>
      </w:r>
      <w:proofErr w:type="spellStart"/>
      <w:r w:rsidRPr="00580C0D">
        <w:t>dei</w:t>
      </w:r>
      <w:proofErr w:type="spellEnd"/>
      <w:r w:rsidRPr="00580C0D">
        <w:t xml:space="preserve"> to oppmodingsvedtaka.</w:t>
      </w:r>
    </w:p>
    <w:p w14:paraId="5511812D" w14:textId="77777777" w:rsidR="00F7113A" w:rsidRPr="00580C0D" w:rsidRDefault="00142E5B" w:rsidP="00580C0D">
      <w:proofErr w:type="spellStart"/>
      <w:r w:rsidRPr="00580C0D">
        <w:t>Frå</w:t>
      </w:r>
      <w:proofErr w:type="spellEnd"/>
      <w:r w:rsidRPr="00580C0D">
        <w:t xml:space="preserve"> neste år av vil omtalen av oppfølging av </w:t>
      </w:r>
      <w:proofErr w:type="spellStart"/>
      <w:r w:rsidRPr="00580C0D">
        <w:t>dei</w:t>
      </w:r>
      <w:proofErr w:type="spellEnd"/>
      <w:r w:rsidRPr="00580C0D">
        <w:t xml:space="preserve"> to vedtaka </w:t>
      </w:r>
      <w:proofErr w:type="spellStart"/>
      <w:r w:rsidRPr="00580C0D">
        <w:t>vere</w:t>
      </w:r>
      <w:proofErr w:type="spellEnd"/>
      <w:r w:rsidRPr="00580C0D">
        <w:t xml:space="preserve"> å finne i budsjettproposisjonen </w:t>
      </w:r>
      <w:proofErr w:type="spellStart"/>
      <w:r w:rsidRPr="00580C0D">
        <w:t>frå</w:t>
      </w:r>
      <w:proofErr w:type="spellEnd"/>
      <w:r w:rsidRPr="00580C0D">
        <w:t xml:space="preserve"> Klima- og miljødepartementet.</w:t>
      </w:r>
    </w:p>
    <w:p w14:paraId="1B956E85" w14:textId="77777777" w:rsidR="00F7113A" w:rsidRPr="00580C0D" w:rsidRDefault="00142E5B" w:rsidP="00580C0D">
      <w:pPr>
        <w:pStyle w:val="avsnitt-tittel"/>
      </w:pPr>
      <w:r w:rsidRPr="00580C0D">
        <w:t xml:space="preserve">Greie ut ringverknader på fastlandet ved nye </w:t>
      </w:r>
      <w:proofErr w:type="spellStart"/>
      <w:r w:rsidRPr="00580C0D">
        <w:t>utbyggingar</w:t>
      </w:r>
      <w:proofErr w:type="spellEnd"/>
      <w:r w:rsidRPr="00580C0D">
        <w:t xml:space="preserve"> som blir omfatta av </w:t>
      </w:r>
      <w:proofErr w:type="spellStart"/>
      <w:r w:rsidRPr="00580C0D">
        <w:t>dei</w:t>
      </w:r>
      <w:proofErr w:type="spellEnd"/>
      <w:r w:rsidRPr="00580C0D">
        <w:t xml:space="preserve"> </w:t>
      </w:r>
      <w:proofErr w:type="spellStart"/>
      <w:r w:rsidRPr="00580C0D">
        <w:t>mellombelse</w:t>
      </w:r>
      <w:proofErr w:type="spellEnd"/>
      <w:r w:rsidRPr="00580C0D">
        <w:t xml:space="preserve"> </w:t>
      </w:r>
      <w:proofErr w:type="spellStart"/>
      <w:r w:rsidRPr="00580C0D">
        <w:t>endringane</w:t>
      </w:r>
      <w:proofErr w:type="spellEnd"/>
      <w:r w:rsidRPr="00580C0D">
        <w:t xml:space="preserve"> i petroleumsskatten</w:t>
      </w:r>
    </w:p>
    <w:p w14:paraId="4EBDAF9E" w14:textId="77777777" w:rsidR="00F7113A" w:rsidRPr="00580C0D" w:rsidRDefault="00142E5B" w:rsidP="00580C0D">
      <w:pPr>
        <w:pStyle w:val="avsnitt-undertittel"/>
      </w:pPr>
      <w:r w:rsidRPr="00580C0D">
        <w:t>Vedtak 687, 12. juni 2020</w:t>
      </w:r>
    </w:p>
    <w:p w14:paraId="5E072F4A" w14:textId="77777777" w:rsidR="00F7113A" w:rsidRPr="00580C0D" w:rsidRDefault="00142E5B" w:rsidP="00580C0D">
      <w:pPr>
        <w:pStyle w:val="blokksit"/>
      </w:pPr>
      <w:r w:rsidRPr="00580C0D">
        <w:t>«</w:t>
      </w:r>
      <w:r w:rsidRPr="00580C0D">
        <w:rPr>
          <w:rStyle w:val="kursiv"/>
        </w:rPr>
        <w:t>Stortinget ber regjeringen sørge for at ringvirkninger på fastlandet utredes ved nye utbygginger, og gjennomføre en evaluering av lokale, regionale og netto nasjonale ringvirkninger/sysselsetting ved nye prosjekter som omfattes av de midlertidige endringene i petroleumsskatten, samt bruk av null- og lavutslippsteknologi, og legge dette frem for Stortinget i en vurdering i løpet av første halvår 2023.</w:t>
      </w:r>
      <w:r w:rsidRPr="00580C0D">
        <w:t>»</w:t>
      </w:r>
    </w:p>
    <w:p w14:paraId="54AE237E" w14:textId="77777777" w:rsidR="00F7113A" w:rsidRPr="00580C0D" w:rsidRDefault="00142E5B" w:rsidP="00580C0D">
      <w:r w:rsidRPr="00580C0D">
        <w:t xml:space="preserve">Dokumenta som ligg til grunn for vedtaket er </w:t>
      </w:r>
      <w:proofErr w:type="spellStart"/>
      <w:r w:rsidRPr="00580C0D">
        <w:t>Prop</w:t>
      </w:r>
      <w:proofErr w:type="spellEnd"/>
      <w:r w:rsidRPr="00580C0D">
        <w:t xml:space="preserve">. 113 L (2019–2020) og </w:t>
      </w:r>
      <w:proofErr w:type="spellStart"/>
      <w:r w:rsidRPr="00580C0D">
        <w:t>Innst</w:t>
      </w:r>
      <w:proofErr w:type="spellEnd"/>
      <w:r w:rsidRPr="00580C0D">
        <w:t>. 351 L (2019–2020).</w:t>
      </w:r>
    </w:p>
    <w:p w14:paraId="37946B0C" w14:textId="77777777" w:rsidR="00F7113A" w:rsidRPr="00580C0D" w:rsidRDefault="00142E5B" w:rsidP="00580C0D">
      <w:r w:rsidRPr="00580C0D">
        <w:t xml:space="preserve">Departementet viser til omtale av oppmodingsvedtaket i </w:t>
      </w:r>
      <w:proofErr w:type="spellStart"/>
      <w:r w:rsidRPr="00580C0D">
        <w:t>Prop</w:t>
      </w:r>
      <w:proofErr w:type="spellEnd"/>
      <w:r w:rsidRPr="00580C0D">
        <w:t xml:space="preserve">. 97 S (2022–2023) </w:t>
      </w:r>
      <w:r w:rsidRPr="00580C0D">
        <w:rPr>
          <w:rStyle w:val="kursiv"/>
        </w:rPr>
        <w:t xml:space="preserve">Utbygging og drift av Yggdrasil-området og </w:t>
      </w:r>
      <w:proofErr w:type="spellStart"/>
      <w:r w:rsidRPr="00580C0D">
        <w:rPr>
          <w:rStyle w:val="kursiv"/>
        </w:rPr>
        <w:t>Fenris</w:t>
      </w:r>
      <w:proofErr w:type="spellEnd"/>
      <w:r w:rsidRPr="00580C0D">
        <w:rPr>
          <w:rStyle w:val="kursiv"/>
        </w:rPr>
        <w:t>, samt videreutvikling av Valhall, med status for olje- og gassvirksomheten mv.</w:t>
      </w:r>
      <w:r w:rsidRPr="00580C0D">
        <w:t xml:space="preserve"> i kapittel 3.4 Ringvirkninger fra utbygginger omfattet av midlertidige skatteendringer.</w:t>
      </w:r>
    </w:p>
    <w:p w14:paraId="53DB6FC5" w14:textId="77777777" w:rsidR="00F7113A" w:rsidRPr="00580C0D" w:rsidRDefault="00142E5B" w:rsidP="00580C0D">
      <w:r w:rsidRPr="00580C0D">
        <w:t xml:space="preserve">Departementet </w:t>
      </w:r>
      <w:proofErr w:type="spellStart"/>
      <w:r w:rsidRPr="00580C0D">
        <w:t>reknar</w:t>
      </w:r>
      <w:proofErr w:type="spellEnd"/>
      <w:r w:rsidRPr="00580C0D">
        <w:t xml:space="preserve"> med dette oppmodingsvedtaket som </w:t>
      </w:r>
      <w:proofErr w:type="spellStart"/>
      <w:r w:rsidRPr="00580C0D">
        <w:t>følgt</w:t>
      </w:r>
      <w:proofErr w:type="spellEnd"/>
      <w:r w:rsidRPr="00580C0D">
        <w:t xml:space="preserve"> opp.</w:t>
      </w:r>
    </w:p>
    <w:p w14:paraId="245BAC30" w14:textId="77777777" w:rsidR="00F7113A" w:rsidRPr="00580C0D" w:rsidRDefault="00142E5B" w:rsidP="00580C0D">
      <w:pPr>
        <w:pStyle w:val="Overskrift1"/>
      </w:pPr>
      <w:r w:rsidRPr="00580C0D">
        <w:t>Samferdselsdepartementet</w:t>
      </w:r>
    </w:p>
    <w:p w14:paraId="6BE97C2F" w14:textId="51B64237" w:rsidR="00F7113A" w:rsidRDefault="00142E5B" w:rsidP="00580C0D">
      <w:r w:rsidRPr="00580C0D">
        <w:t xml:space="preserve">Tabell 2.1 gir </w:t>
      </w:r>
      <w:proofErr w:type="spellStart"/>
      <w:r w:rsidRPr="00580C0D">
        <w:t>ein</w:t>
      </w:r>
      <w:proofErr w:type="spellEnd"/>
      <w:r w:rsidRPr="00580C0D">
        <w:t xml:space="preserve"> oversikt over oppmodingsvedtak under Samferdselsdepartementet. Oversikten </w:t>
      </w:r>
      <w:proofErr w:type="spellStart"/>
      <w:r w:rsidRPr="00580C0D">
        <w:t>omfattar</w:t>
      </w:r>
      <w:proofErr w:type="spellEnd"/>
      <w:r w:rsidRPr="00580C0D">
        <w:t xml:space="preserve"> alle vedtaka </w:t>
      </w:r>
      <w:proofErr w:type="spellStart"/>
      <w:r w:rsidRPr="00580C0D">
        <w:t>frå</w:t>
      </w:r>
      <w:proofErr w:type="spellEnd"/>
      <w:r w:rsidRPr="00580C0D">
        <w:t xml:space="preserve"> stortingssesjonen 2022–2023 og </w:t>
      </w:r>
      <w:proofErr w:type="spellStart"/>
      <w:r w:rsidRPr="00580C0D">
        <w:t>dei</w:t>
      </w:r>
      <w:proofErr w:type="spellEnd"/>
      <w:r w:rsidRPr="00580C0D">
        <w:t xml:space="preserve"> vedtaka </w:t>
      </w:r>
      <w:proofErr w:type="spellStart"/>
      <w:r w:rsidRPr="00580C0D">
        <w:t>frå</w:t>
      </w:r>
      <w:proofErr w:type="spellEnd"/>
      <w:r w:rsidRPr="00580C0D">
        <w:t xml:space="preserve"> </w:t>
      </w:r>
      <w:proofErr w:type="spellStart"/>
      <w:r w:rsidRPr="00580C0D">
        <w:t>tidlegare</w:t>
      </w:r>
      <w:proofErr w:type="spellEnd"/>
      <w:r w:rsidRPr="00580C0D">
        <w:t xml:space="preserve"> </w:t>
      </w:r>
      <w:proofErr w:type="spellStart"/>
      <w:r w:rsidRPr="00580C0D">
        <w:t>stortingssesjonar</w:t>
      </w:r>
      <w:proofErr w:type="spellEnd"/>
      <w:r w:rsidRPr="00580C0D">
        <w:t xml:space="preserve"> som kontroll- og konstitusjonskomiteen i </w:t>
      </w:r>
      <w:proofErr w:type="spellStart"/>
      <w:r w:rsidRPr="00580C0D">
        <w:t>Innst</w:t>
      </w:r>
      <w:proofErr w:type="spellEnd"/>
      <w:r w:rsidRPr="00580C0D">
        <w:t xml:space="preserve">. 186 S (2022–2023) meinte </w:t>
      </w:r>
      <w:proofErr w:type="spellStart"/>
      <w:r w:rsidRPr="00580C0D">
        <w:t>ikkje</w:t>
      </w:r>
      <w:proofErr w:type="spellEnd"/>
      <w:r w:rsidRPr="00580C0D">
        <w:t xml:space="preserve"> var kvitterte ut. I tabellen går det fram om Samferdselsdepartementet </w:t>
      </w:r>
      <w:proofErr w:type="spellStart"/>
      <w:r w:rsidRPr="00580C0D">
        <w:t>no</w:t>
      </w:r>
      <w:proofErr w:type="spellEnd"/>
      <w:r w:rsidRPr="00580C0D">
        <w:t xml:space="preserve"> </w:t>
      </w:r>
      <w:proofErr w:type="spellStart"/>
      <w:r w:rsidRPr="00580C0D">
        <w:t>legg</w:t>
      </w:r>
      <w:proofErr w:type="spellEnd"/>
      <w:r w:rsidRPr="00580C0D">
        <w:t xml:space="preserve"> opp til å avslutte rapporteringa av oppmodingsvedtaket eller om departementet òg vil rapportere på vedtaket i budsjettproposisjonen for 2025.</w:t>
      </w:r>
    </w:p>
    <w:p w14:paraId="58171351" w14:textId="084CF461" w:rsidR="00BD6CF4" w:rsidRPr="00580C0D" w:rsidRDefault="00BD6CF4" w:rsidP="00BD6CF4">
      <w:pPr>
        <w:pStyle w:val="tabell-tittel"/>
      </w:pPr>
      <w:r w:rsidRPr="00580C0D">
        <w:t>Oversikt over oppmodingsvedtak ordna etter sesjon og nummer</w:t>
      </w:r>
    </w:p>
    <w:p w14:paraId="774E139A" w14:textId="77777777" w:rsidR="00F7113A" w:rsidRPr="00580C0D" w:rsidRDefault="00142E5B" w:rsidP="00580C0D">
      <w:pPr>
        <w:pStyle w:val="Tabellnavn"/>
      </w:pPr>
      <w:r w:rsidRPr="00580C0D">
        <w:t>05J1tx2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1120"/>
        <w:gridCol w:w="840"/>
        <w:gridCol w:w="4860"/>
        <w:gridCol w:w="1400"/>
      </w:tblGrid>
      <w:tr w:rsidR="00F7113A" w:rsidRPr="00580C0D" w14:paraId="7532BE42" w14:textId="77777777">
        <w:trPr>
          <w:trHeight w:val="860"/>
        </w:trPr>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C81B3" w14:textId="77777777" w:rsidR="00F7113A" w:rsidRPr="00580C0D" w:rsidRDefault="00142E5B" w:rsidP="00BD6CF4">
            <w:r w:rsidRPr="00580C0D">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E8B1E1" w14:textId="77777777" w:rsidR="00F7113A" w:rsidRPr="00580C0D" w:rsidRDefault="00142E5B" w:rsidP="00BD6CF4">
            <w:pPr>
              <w:jc w:val="center"/>
            </w:pPr>
            <w:r w:rsidRPr="00580C0D">
              <w:t>Vedtak nr.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FCD656" w14:textId="77777777" w:rsidR="00F7113A" w:rsidRPr="00580C0D" w:rsidRDefault="00142E5B" w:rsidP="00BD6CF4">
            <w:pPr>
              <w:jc w:val="center"/>
            </w:pPr>
            <w:r w:rsidRPr="00580C0D">
              <w:t>Punkt</w:t>
            </w:r>
          </w:p>
        </w:tc>
        <w:tc>
          <w:tcPr>
            <w:tcW w:w="4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773A9" w14:textId="77777777" w:rsidR="00F7113A" w:rsidRPr="00580C0D" w:rsidRDefault="00142E5B" w:rsidP="00BD6CF4">
            <w:r w:rsidRPr="00580C0D">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D131B" w14:textId="77777777" w:rsidR="00F7113A" w:rsidRPr="00580C0D" w:rsidRDefault="00142E5B" w:rsidP="00BD6CF4">
            <w:pPr>
              <w:jc w:val="right"/>
            </w:pPr>
            <w:r w:rsidRPr="00580C0D">
              <w:t xml:space="preserve">Rapportering blir avslutta </w:t>
            </w:r>
            <w:r w:rsidRPr="00580C0D">
              <w:br/>
              <w:t>(ja/nei)</w:t>
            </w:r>
          </w:p>
        </w:tc>
      </w:tr>
      <w:tr w:rsidR="00F7113A" w:rsidRPr="00580C0D" w14:paraId="3BFF758A" w14:textId="77777777">
        <w:trPr>
          <w:trHeight w:val="640"/>
        </w:trPr>
        <w:tc>
          <w:tcPr>
            <w:tcW w:w="1300" w:type="dxa"/>
            <w:tcBorders>
              <w:top w:val="single" w:sz="4" w:space="0" w:color="000000"/>
              <w:left w:val="nil"/>
              <w:bottom w:val="nil"/>
              <w:right w:val="nil"/>
            </w:tcBorders>
            <w:tcMar>
              <w:top w:w="128" w:type="dxa"/>
              <w:left w:w="43" w:type="dxa"/>
              <w:bottom w:w="43" w:type="dxa"/>
              <w:right w:w="43" w:type="dxa"/>
            </w:tcMar>
          </w:tcPr>
          <w:p w14:paraId="36B9E6CF" w14:textId="77777777" w:rsidR="00F7113A" w:rsidRPr="00580C0D" w:rsidRDefault="00142E5B" w:rsidP="00BD6CF4">
            <w:r w:rsidRPr="00580C0D">
              <w:t>2022–2023</w:t>
            </w:r>
          </w:p>
        </w:tc>
        <w:tc>
          <w:tcPr>
            <w:tcW w:w="1120" w:type="dxa"/>
            <w:tcBorders>
              <w:top w:val="single" w:sz="4" w:space="0" w:color="000000"/>
              <w:left w:val="nil"/>
              <w:bottom w:val="nil"/>
              <w:right w:val="nil"/>
            </w:tcBorders>
            <w:tcMar>
              <w:top w:w="128" w:type="dxa"/>
              <w:left w:w="43" w:type="dxa"/>
              <w:bottom w:w="43" w:type="dxa"/>
              <w:right w:w="43" w:type="dxa"/>
            </w:tcMar>
          </w:tcPr>
          <w:p w14:paraId="14D85E5B" w14:textId="77777777" w:rsidR="00F7113A" w:rsidRPr="00580C0D" w:rsidRDefault="00142E5B" w:rsidP="00BD6CF4">
            <w:pPr>
              <w:ind w:right="284"/>
              <w:jc w:val="right"/>
            </w:pPr>
            <w:r w:rsidRPr="00580C0D">
              <w:t>71</w:t>
            </w:r>
          </w:p>
        </w:tc>
        <w:tc>
          <w:tcPr>
            <w:tcW w:w="840" w:type="dxa"/>
            <w:tcBorders>
              <w:top w:val="single" w:sz="4" w:space="0" w:color="000000"/>
              <w:left w:val="nil"/>
              <w:bottom w:val="nil"/>
              <w:right w:val="nil"/>
            </w:tcBorders>
            <w:tcMar>
              <w:top w:w="128" w:type="dxa"/>
              <w:left w:w="43" w:type="dxa"/>
              <w:bottom w:w="43" w:type="dxa"/>
              <w:right w:w="43" w:type="dxa"/>
            </w:tcMar>
          </w:tcPr>
          <w:p w14:paraId="4BA883A7" w14:textId="77777777" w:rsidR="00F7113A" w:rsidRPr="00580C0D" w:rsidRDefault="00F7113A" w:rsidP="00BD6CF4">
            <w:pPr>
              <w:ind w:right="284"/>
              <w:jc w:val="right"/>
            </w:pPr>
          </w:p>
        </w:tc>
        <w:tc>
          <w:tcPr>
            <w:tcW w:w="4860" w:type="dxa"/>
            <w:tcBorders>
              <w:top w:val="single" w:sz="4" w:space="0" w:color="000000"/>
              <w:left w:val="nil"/>
              <w:bottom w:val="nil"/>
              <w:right w:val="nil"/>
            </w:tcBorders>
            <w:tcMar>
              <w:top w:w="128" w:type="dxa"/>
              <w:left w:w="43" w:type="dxa"/>
              <w:bottom w:w="43" w:type="dxa"/>
              <w:right w:w="43" w:type="dxa"/>
            </w:tcMar>
            <w:vAlign w:val="bottom"/>
          </w:tcPr>
          <w:p w14:paraId="1ACF7928" w14:textId="776A3305" w:rsidR="00F7113A" w:rsidRPr="00580C0D" w:rsidRDefault="00142E5B" w:rsidP="00BD6CF4">
            <w:r w:rsidRPr="00580C0D">
              <w:t xml:space="preserve">Vurdere korleis regelverket for autonome </w:t>
            </w:r>
            <w:proofErr w:type="spellStart"/>
            <w:r w:rsidRPr="00580C0D">
              <w:t>køyretøy</w:t>
            </w:r>
            <w:proofErr w:type="spellEnd"/>
            <w:r w:rsidRPr="00580C0D">
              <w:t xml:space="preserve"> kan </w:t>
            </w:r>
            <w:proofErr w:type="spellStart"/>
            <w:r w:rsidRPr="00580C0D">
              <w:t>medverke</w:t>
            </w:r>
            <w:proofErr w:type="spellEnd"/>
            <w:r w:rsidRPr="00580C0D">
              <w:t xml:space="preserve"> til teknologi- og industri</w:t>
            </w:r>
            <w:r w:rsidR="00E13315">
              <w:softHyphen/>
            </w:r>
            <w:r w:rsidRPr="00580C0D">
              <w:t>utvikling</w:t>
            </w:r>
          </w:p>
        </w:tc>
        <w:tc>
          <w:tcPr>
            <w:tcW w:w="1400" w:type="dxa"/>
            <w:tcBorders>
              <w:top w:val="single" w:sz="4" w:space="0" w:color="000000"/>
              <w:left w:val="nil"/>
              <w:bottom w:val="nil"/>
              <w:right w:val="nil"/>
            </w:tcBorders>
            <w:tcMar>
              <w:top w:w="128" w:type="dxa"/>
              <w:left w:w="43" w:type="dxa"/>
              <w:bottom w:w="43" w:type="dxa"/>
              <w:right w:w="43" w:type="dxa"/>
            </w:tcMar>
          </w:tcPr>
          <w:p w14:paraId="2467C50E" w14:textId="77777777" w:rsidR="00F7113A" w:rsidRPr="00580C0D" w:rsidRDefault="00142E5B" w:rsidP="00BD6CF4">
            <w:pPr>
              <w:jc w:val="right"/>
            </w:pPr>
            <w:r w:rsidRPr="00580C0D">
              <w:t>Nei</w:t>
            </w:r>
          </w:p>
        </w:tc>
      </w:tr>
      <w:tr w:rsidR="00F7113A" w:rsidRPr="00580C0D" w14:paraId="39886B1F" w14:textId="77777777">
        <w:trPr>
          <w:trHeight w:val="640"/>
        </w:trPr>
        <w:tc>
          <w:tcPr>
            <w:tcW w:w="1300" w:type="dxa"/>
            <w:tcBorders>
              <w:top w:val="nil"/>
              <w:left w:val="nil"/>
              <w:bottom w:val="nil"/>
              <w:right w:val="nil"/>
            </w:tcBorders>
            <w:tcMar>
              <w:top w:w="128" w:type="dxa"/>
              <w:left w:w="43" w:type="dxa"/>
              <w:bottom w:w="43" w:type="dxa"/>
              <w:right w:w="43" w:type="dxa"/>
            </w:tcMar>
          </w:tcPr>
          <w:p w14:paraId="524D0599"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6FDCAFF2" w14:textId="77777777" w:rsidR="00F7113A" w:rsidRPr="00580C0D" w:rsidRDefault="00142E5B" w:rsidP="00BD6CF4">
            <w:pPr>
              <w:ind w:right="284"/>
              <w:jc w:val="right"/>
            </w:pPr>
            <w:r w:rsidRPr="00580C0D">
              <w:t>72</w:t>
            </w:r>
          </w:p>
        </w:tc>
        <w:tc>
          <w:tcPr>
            <w:tcW w:w="840" w:type="dxa"/>
            <w:tcBorders>
              <w:top w:val="nil"/>
              <w:left w:val="nil"/>
              <w:bottom w:val="nil"/>
              <w:right w:val="nil"/>
            </w:tcBorders>
            <w:tcMar>
              <w:top w:w="128" w:type="dxa"/>
              <w:left w:w="43" w:type="dxa"/>
              <w:bottom w:w="43" w:type="dxa"/>
              <w:right w:w="43" w:type="dxa"/>
            </w:tcMar>
          </w:tcPr>
          <w:p w14:paraId="0056D04D"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1D81D757" w14:textId="77777777" w:rsidR="00F7113A" w:rsidRPr="00580C0D" w:rsidRDefault="00142E5B" w:rsidP="00BD6CF4">
            <w:r w:rsidRPr="00580C0D">
              <w:t xml:space="preserve">Foreslå varierte </w:t>
            </w:r>
            <w:proofErr w:type="spellStart"/>
            <w:r w:rsidRPr="00580C0D">
              <w:t>strekningar</w:t>
            </w:r>
            <w:proofErr w:type="spellEnd"/>
            <w:r w:rsidRPr="00580C0D">
              <w:t xml:space="preserve"> som kan </w:t>
            </w:r>
            <w:proofErr w:type="spellStart"/>
            <w:r w:rsidRPr="00580C0D">
              <w:t>førehandsgodkjennast</w:t>
            </w:r>
            <w:proofErr w:type="spellEnd"/>
            <w:r w:rsidRPr="00580C0D">
              <w:t xml:space="preserve"> for autonom køyring</w:t>
            </w:r>
          </w:p>
        </w:tc>
        <w:tc>
          <w:tcPr>
            <w:tcW w:w="1400" w:type="dxa"/>
            <w:tcBorders>
              <w:top w:val="nil"/>
              <w:left w:val="nil"/>
              <w:bottom w:val="nil"/>
              <w:right w:val="nil"/>
            </w:tcBorders>
            <w:tcMar>
              <w:top w:w="128" w:type="dxa"/>
              <w:left w:w="43" w:type="dxa"/>
              <w:bottom w:w="43" w:type="dxa"/>
              <w:right w:w="43" w:type="dxa"/>
            </w:tcMar>
          </w:tcPr>
          <w:p w14:paraId="192EF562" w14:textId="77777777" w:rsidR="00F7113A" w:rsidRPr="00580C0D" w:rsidRDefault="00142E5B" w:rsidP="00BD6CF4">
            <w:pPr>
              <w:jc w:val="right"/>
            </w:pPr>
            <w:r w:rsidRPr="00580C0D">
              <w:t>Nei</w:t>
            </w:r>
          </w:p>
        </w:tc>
      </w:tr>
      <w:tr w:rsidR="00F7113A" w:rsidRPr="00580C0D" w14:paraId="3B779CB8" w14:textId="77777777">
        <w:trPr>
          <w:trHeight w:val="880"/>
        </w:trPr>
        <w:tc>
          <w:tcPr>
            <w:tcW w:w="1300" w:type="dxa"/>
            <w:tcBorders>
              <w:top w:val="nil"/>
              <w:left w:val="nil"/>
              <w:bottom w:val="nil"/>
              <w:right w:val="nil"/>
            </w:tcBorders>
            <w:tcMar>
              <w:top w:w="128" w:type="dxa"/>
              <w:left w:w="43" w:type="dxa"/>
              <w:bottom w:w="43" w:type="dxa"/>
              <w:right w:w="43" w:type="dxa"/>
            </w:tcMar>
          </w:tcPr>
          <w:p w14:paraId="418258C8"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4094C64D" w14:textId="77777777" w:rsidR="00F7113A" w:rsidRPr="00580C0D" w:rsidRDefault="00142E5B" w:rsidP="00BD6CF4">
            <w:pPr>
              <w:ind w:right="284"/>
              <w:jc w:val="right"/>
            </w:pPr>
            <w:r w:rsidRPr="00580C0D">
              <w:t>73</w:t>
            </w:r>
          </w:p>
        </w:tc>
        <w:tc>
          <w:tcPr>
            <w:tcW w:w="840" w:type="dxa"/>
            <w:tcBorders>
              <w:top w:val="nil"/>
              <w:left w:val="nil"/>
              <w:bottom w:val="nil"/>
              <w:right w:val="nil"/>
            </w:tcBorders>
            <w:tcMar>
              <w:top w:w="128" w:type="dxa"/>
              <w:left w:w="43" w:type="dxa"/>
              <w:bottom w:w="43" w:type="dxa"/>
              <w:right w:w="43" w:type="dxa"/>
            </w:tcMar>
          </w:tcPr>
          <w:p w14:paraId="2688430D"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48123B6" w14:textId="22D1B1B1" w:rsidR="00F7113A" w:rsidRPr="00580C0D" w:rsidRDefault="00142E5B" w:rsidP="00BD6CF4">
            <w:r w:rsidRPr="00580C0D">
              <w:t xml:space="preserve">Vurdere korleis kompleksiteten i testinga av </w:t>
            </w:r>
            <w:r w:rsidR="00901405">
              <w:br/>
            </w:r>
            <w:r w:rsidRPr="00580C0D">
              <w:t xml:space="preserve">autonome </w:t>
            </w:r>
            <w:proofErr w:type="spellStart"/>
            <w:r w:rsidRPr="00580C0D">
              <w:t>køyretøy</w:t>
            </w:r>
            <w:proofErr w:type="spellEnd"/>
            <w:r w:rsidRPr="00580C0D">
              <w:t xml:space="preserve"> kan </w:t>
            </w:r>
            <w:proofErr w:type="spellStart"/>
            <w:r w:rsidRPr="00580C0D">
              <w:t>aukast</w:t>
            </w:r>
            <w:proofErr w:type="spellEnd"/>
            <w:r w:rsidRPr="00580C0D">
              <w:t xml:space="preserve"> og </w:t>
            </w:r>
            <w:proofErr w:type="spellStart"/>
            <w:r w:rsidRPr="00580C0D">
              <w:t>tilpassast</w:t>
            </w:r>
            <w:proofErr w:type="spellEnd"/>
            <w:r w:rsidRPr="00580C0D">
              <w:t xml:space="preserve"> </w:t>
            </w:r>
            <w:r w:rsidR="00901405">
              <w:br/>
            </w:r>
            <w:r w:rsidRPr="00580C0D">
              <w:t xml:space="preserve">godkjenningsprosedyren for </w:t>
            </w:r>
            <w:proofErr w:type="spellStart"/>
            <w:r w:rsidRPr="00580C0D">
              <w:t>testane</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tcPr>
          <w:p w14:paraId="7943DCB9" w14:textId="77777777" w:rsidR="00F7113A" w:rsidRPr="00580C0D" w:rsidRDefault="00142E5B" w:rsidP="00BD6CF4">
            <w:pPr>
              <w:jc w:val="right"/>
            </w:pPr>
            <w:r w:rsidRPr="00580C0D">
              <w:t>Nei</w:t>
            </w:r>
          </w:p>
        </w:tc>
      </w:tr>
      <w:tr w:rsidR="00F7113A" w:rsidRPr="00580C0D" w14:paraId="560C50E5" w14:textId="77777777">
        <w:trPr>
          <w:trHeight w:val="880"/>
        </w:trPr>
        <w:tc>
          <w:tcPr>
            <w:tcW w:w="1300" w:type="dxa"/>
            <w:tcBorders>
              <w:top w:val="nil"/>
              <w:left w:val="nil"/>
              <w:bottom w:val="nil"/>
              <w:right w:val="nil"/>
            </w:tcBorders>
            <w:tcMar>
              <w:top w:w="128" w:type="dxa"/>
              <w:left w:w="43" w:type="dxa"/>
              <w:bottom w:w="43" w:type="dxa"/>
              <w:right w:w="43" w:type="dxa"/>
            </w:tcMar>
          </w:tcPr>
          <w:p w14:paraId="76C40DE4"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5A55D5DE" w14:textId="77777777" w:rsidR="00F7113A" w:rsidRPr="00580C0D" w:rsidRDefault="00142E5B" w:rsidP="00BD6CF4">
            <w:pPr>
              <w:ind w:right="284"/>
              <w:jc w:val="right"/>
            </w:pPr>
            <w:r w:rsidRPr="00580C0D">
              <w:t>74</w:t>
            </w:r>
          </w:p>
        </w:tc>
        <w:tc>
          <w:tcPr>
            <w:tcW w:w="840" w:type="dxa"/>
            <w:tcBorders>
              <w:top w:val="nil"/>
              <w:left w:val="nil"/>
              <w:bottom w:val="nil"/>
              <w:right w:val="nil"/>
            </w:tcBorders>
            <w:tcMar>
              <w:top w:w="128" w:type="dxa"/>
              <w:left w:w="43" w:type="dxa"/>
              <w:bottom w:w="43" w:type="dxa"/>
              <w:right w:w="43" w:type="dxa"/>
            </w:tcMar>
          </w:tcPr>
          <w:p w14:paraId="29FA912C"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CA01191" w14:textId="77777777" w:rsidR="00F7113A" w:rsidRPr="00580C0D" w:rsidRDefault="00142E5B" w:rsidP="00BD6CF4">
            <w:r w:rsidRPr="00580C0D">
              <w:t xml:space="preserve">Endre regelverket slik at autonome </w:t>
            </w:r>
            <w:proofErr w:type="spellStart"/>
            <w:r w:rsidRPr="00580C0D">
              <w:t>køyretøy</w:t>
            </w:r>
            <w:proofErr w:type="spellEnd"/>
            <w:r w:rsidRPr="00580C0D">
              <w:t xml:space="preserve"> kan </w:t>
            </w:r>
            <w:proofErr w:type="spellStart"/>
            <w:r w:rsidRPr="00580C0D">
              <w:t>køyre</w:t>
            </w:r>
            <w:proofErr w:type="spellEnd"/>
            <w:r w:rsidRPr="00580C0D">
              <w:t xml:space="preserve"> i normal trafikk og i normal </w:t>
            </w:r>
            <w:proofErr w:type="spellStart"/>
            <w:r w:rsidRPr="00580C0D">
              <w:t>hastigheit</w:t>
            </w:r>
            <w:proofErr w:type="spellEnd"/>
            <w:r w:rsidRPr="00580C0D">
              <w:t xml:space="preserve"> på </w:t>
            </w:r>
            <w:proofErr w:type="spellStart"/>
            <w:r w:rsidRPr="00580C0D">
              <w:t>delar</w:t>
            </w:r>
            <w:proofErr w:type="spellEnd"/>
            <w:r w:rsidRPr="00580C0D">
              <w:t xml:space="preserve"> av vegnettet</w:t>
            </w:r>
          </w:p>
        </w:tc>
        <w:tc>
          <w:tcPr>
            <w:tcW w:w="1400" w:type="dxa"/>
            <w:tcBorders>
              <w:top w:val="nil"/>
              <w:left w:val="nil"/>
              <w:bottom w:val="nil"/>
              <w:right w:val="nil"/>
            </w:tcBorders>
            <w:tcMar>
              <w:top w:w="128" w:type="dxa"/>
              <w:left w:w="43" w:type="dxa"/>
              <w:bottom w:w="43" w:type="dxa"/>
              <w:right w:w="43" w:type="dxa"/>
            </w:tcMar>
          </w:tcPr>
          <w:p w14:paraId="73CE8D36" w14:textId="77777777" w:rsidR="00F7113A" w:rsidRPr="00580C0D" w:rsidRDefault="00142E5B" w:rsidP="00BD6CF4">
            <w:pPr>
              <w:jc w:val="right"/>
            </w:pPr>
            <w:r w:rsidRPr="00580C0D">
              <w:t>Nei</w:t>
            </w:r>
          </w:p>
        </w:tc>
      </w:tr>
      <w:tr w:rsidR="00F7113A" w:rsidRPr="00580C0D" w14:paraId="64E04CE8" w14:textId="77777777">
        <w:trPr>
          <w:trHeight w:val="380"/>
        </w:trPr>
        <w:tc>
          <w:tcPr>
            <w:tcW w:w="1300" w:type="dxa"/>
            <w:tcBorders>
              <w:top w:val="nil"/>
              <w:left w:val="nil"/>
              <w:bottom w:val="nil"/>
              <w:right w:val="nil"/>
            </w:tcBorders>
            <w:tcMar>
              <w:top w:w="128" w:type="dxa"/>
              <w:left w:w="43" w:type="dxa"/>
              <w:bottom w:w="43" w:type="dxa"/>
              <w:right w:w="43" w:type="dxa"/>
            </w:tcMar>
          </w:tcPr>
          <w:p w14:paraId="318839D5"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521F75A6" w14:textId="77777777" w:rsidR="00F7113A" w:rsidRPr="00580C0D" w:rsidRDefault="00142E5B" w:rsidP="00BD6CF4">
            <w:pPr>
              <w:ind w:right="284"/>
              <w:jc w:val="right"/>
            </w:pPr>
            <w:r w:rsidRPr="00580C0D">
              <w:t>77</w:t>
            </w:r>
          </w:p>
        </w:tc>
        <w:tc>
          <w:tcPr>
            <w:tcW w:w="840" w:type="dxa"/>
            <w:tcBorders>
              <w:top w:val="nil"/>
              <w:left w:val="nil"/>
              <w:bottom w:val="nil"/>
              <w:right w:val="nil"/>
            </w:tcBorders>
            <w:tcMar>
              <w:top w:w="128" w:type="dxa"/>
              <w:left w:w="43" w:type="dxa"/>
              <w:bottom w:w="43" w:type="dxa"/>
              <w:right w:w="43" w:type="dxa"/>
            </w:tcMar>
          </w:tcPr>
          <w:p w14:paraId="1BF12FE8"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EC79F84" w14:textId="77777777" w:rsidR="00F7113A" w:rsidRPr="00580C0D" w:rsidRDefault="00142E5B" w:rsidP="00BD6CF4">
            <w:r w:rsidRPr="00580C0D">
              <w:t>Etablere mellombels bru ved Tretten</w:t>
            </w:r>
          </w:p>
        </w:tc>
        <w:tc>
          <w:tcPr>
            <w:tcW w:w="1400" w:type="dxa"/>
            <w:tcBorders>
              <w:top w:val="nil"/>
              <w:left w:val="nil"/>
              <w:bottom w:val="nil"/>
              <w:right w:val="nil"/>
            </w:tcBorders>
            <w:tcMar>
              <w:top w:w="128" w:type="dxa"/>
              <w:left w:w="43" w:type="dxa"/>
              <w:bottom w:w="43" w:type="dxa"/>
              <w:right w:w="43" w:type="dxa"/>
            </w:tcMar>
          </w:tcPr>
          <w:p w14:paraId="1B3F4254" w14:textId="77777777" w:rsidR="00F7113A" w:rsidRPr="00580C0D" w:rsidRDefault="00142E5B" w:rsidP="00BD6CF4">
            <w:pPr>
              <w:jc w:val="right"/>
            </w:pPr>
            <w:r w:rsidRPr="00580C0D">
              <w:t>Ja</w:t>
            </w:r>
          </w:p>
        </w:tc>
      </w:tr>
      <w:tr w:rsidR="00F7113A" w:rsidRPr="00580C0D" w14:paraId="2E991E2C" w14:textId="77777777">
        <w:trPr>
          <w:trHeight w:val="640"/>
        </w:trPr>
        <w:tc>
          <w:tcPr>
            <w:tcW w:w="1300" w:type="dxa"/>
            <w:tcBorders>
              <w:top w:val="nil"/>
              <w:left w:val="nil"/>
              <w:bottom w:val="nil"/>
              <w:right w:val="nil"/>
            </w:tcBorders>
            <w:tcMar>
              <w:top w:w="128" w:type="dxa"/>
              <w:left w:w="43" w:type="dxa"/>
              <w:bottom w:w="43" w:type="dxa"/>
              <w:right w:w="43" w:type="dxa"/>
            </w:tcMar>
          </w:tcPr>
          <w:p w14:paraId="0BF3498F"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0F59AE4C" w14:textId="77777777" w:rsidR="00F7113A" w:rsidRPr="00580C0D" w:rsidRDefault="00142E5B" w:rsidP="00BD6CF4">
            <w:pPr>
              <w:ind w:right="284"/>
              <w:jc w:val="right"/>
            </w:pPr>
            <w:r w:rsidRPr="00580C0D">
              <w:t>84</w:t>
            </w:r>
          </w:p>
        </w:tc>
        <w:tc>
          <w:tcPr>
            <w:tcW w:w="840" w:type="dxa"/>
            <w:tcBorders>
              <w:top w:val="nil"/>
              <w:left w:val="nil"/>
              <w:bottom w:val="nil"/>
              <w:right w:val="nil"/>
            </w:tcBorders>
            <w:tcMar>
              <w:top w:w="128" w:type="dxa"/>
              <w:left w:w="43" w:type="dxa"/>
              <w:bottom w:w="43" w:type="dxa"/>
              <w:right w:w="43" w:type="dxa"/>
            </w:tcMar>
          </w:tcPr>
          <w:p w14:paraId="7E8047B0"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1A4B1FFA" w14:textId="6758347A" w:rsidR="00F7113A" w:rsidRPr="00580C0D" w:rsidRDefault="00142E5B" w:rsidP="00BD6CF4">
            <w:r w:rsidRPr="00580C0D">
              <w:t xml:space="preserve">Gjeninnføre plikta til å </w:t>
            </w:r>
            <w:proofErr w:type="spellStart"/>
            <w:r w:rsidRPr="00580C0D">
              <w:t>vere</w:t>
            </w:r>
            <w:proofErr w:type="spellEnd"/>
            <w:r w:rsidRPr="00580C0D">
              <w:t xml:space="preserve"> tilknytt </w:t>
            </w:r>
            <w:proofErr w:type="spellStart"/>
            <w:r w:rsidRPr="00580C0D">
              <w:t>ein</w:t>
            </w:r>
            <w:proofErr w:type="spellEnd"/>
            <w:r w:rsidRPr="00580C0D">
              <w:t xml:space="preserve"> drosjesentral og driveplikt og </w:t>
            </w:r>
            <w:proofErr w:type="spellStart"/>
            <w:r w:rsidRPr="00580C0D">
              <w:t>talavgrensing</w:t>
            </w:r>
            <w:proofErr w:type="spellEnd"/>
            <w:r w:rsidRPr="00580C0D">
              <w:t xml:space="preserve"> i drosje</w:t>
            </w:r>
            <w:r w:rsidR="00E13315">
              <w:softHyphen/>
            </w:r>
            <w:r w:rsidRPr="00580C0D">
              <w:t xml:space="preserve">næringa </w:t>
            </w:r>
          </w:p>
        </w:tc>
        <w:tc>
          <w:tcPr>
            <w:tcW w:w="1400" w:type="dxa"/>
            <w:tcBorders>
              <w:top w:val="nil"/>
              <w:left w:val="nil"/>
              <w:bottom w:val="nil"/>
              <w:right w:val="nil"/>
            </w:tcBorders>
            <w:tcMar>
              <w:top w:w="128" w:type="dxa"/>
              <w:left w:w="43" w:type="dxa"/>
              <w:bottom w:w="43" w:type="dxa"/>
              <w:right w:w="43" w:type="dxa"/>
            </w:tcMar>
          </w:tcPr>
          <w:p w14:paraId="4F16892B" w14:textId="77777777" w:rsidR="00F7113A" w:rsidRPr="00580C0D" w:rsidRDefault="00142E5B" w:rsidP="00BD6CF4">
            <w:pPr>
              <w:jc w:val="right"/>
            </w:pPr>
            <w:r w:rsidRPr="00580C0D">
              <w:t>Nei</w:t>
            </w:r>
          </w:p>
        </w:tc>
      </w:tr>
      <w:tr w:rsidR="00F7113A" w:rsidRPr="00580C0D" w14:paraId="2748E009" w14:textId="77777777">
        <w:trPr>
          <w:trHeight w:val="380"/>
        </w:trPr>
        <w:tc>
          <w:tcPr>
            <w:tcW w:w="1300" w:type="dxa"/>
            <w:tcBorders>
              <w:top w:val="nil"/>
              <w:left w:val="nil"/>
              <w:bottom w:val="nil"/>
              <w:right w:val="nil"/>
            </w:tcBorders>
            <w:tcMar>
              <w:top w:w="128" w:type="dxa"/>
              <w:left w:w="43" w:type="dxa"/>
              <w:bottom w:w="43" w:type="dxa"/>
              <w:right w:w="43" w:type="dxa"/>
            </w:tcMar>
          </w:tcPr>
          <w:p w14:paraId="432758DF"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57894983" w14:textId="77777777" w:rsidR="00F7113A" w:rsidRPr="00580C0D" w:rsidRDefault="00142E5B" w:rsidP="00BD6CF4">
            <w:pPr>
              <w:ind w:right="284"/>
              <w:jc w:val="right"/>
            </w:pPr>
            <w:r w:rsidRPr="00580C0D">
              <w:t>94</w:t>
            </w:r>
          </w:p>
        </w:tc>
        <w:tc>
          <w:tcPr>
            <w:tcW w:w="840" w:type="dxa"/>
            <w:tcBorders>
              <w:top w:val="nil"/>
              <w:left w:val="nil"/>
              <w:bottom w:val="nil"/>
              <w:right w:val="nil"/>
            </w:tcBorders>
            <w:tcMar>
              <w:top w:w="128" w:type="dxa"/>
              <w:left w:w="43" w:type="dxa"/>
              <w:bottom w:w="43" w:type="dxa"/>
              <w:right w:w="43" w:type="dxa"/>
            </w:tcMar>
          </w:tcPr>
          <w:p w14:paraId="48D61303"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7A42D8F" w14:textId="77777777" w:rsidR="00F7113A" w:rsidRPr="00580C0D" w:rsidRDefault="00142E5B" w:rsidP="00BD6CF4">
            <w:r w:rsidRPr="00580C0D">
              <w:t xml:space="preserve">Nullutsleppskrav til all løyvebasert </w:t>
            </w:r>
            <w:proofErr w:type="spellStart"/>
            <w:r w:rsidRPr="00580C0D">
              <w:t>verksemd</w:t>
            </w:r>
            <w:proofErr w:type="spellEnd"/>
          </w:p>
        </w:tc>
        <w:tc>
          <w:tcPr>
            <w:tcW w:w="1400" w:type="dxa"/>
            <w:tcBorders>
              <w:top w:val="nil"/>
              <w:left w:val="nil"/>
              <w:bottom w:val="nil"/>
              <w:right w:val="nil"/>
            </w:tcBorders>
            <w:tcMar>
              <w:top w:w="128" w:type="dxa"/>
              <w:left w:w="43" w:type="dxa"/>
              <w:bottom w:w="43" w:type="dxa"/>
              <w:right w:w="43" w:type="dxa"/>
            </w:tcMar>
          </w:tcPr>
          <w:p w14:paraId="5074AE20" w14:textId="77777777" w:rsidR="00F7113A" w:rsidRPr="00580C0D" w:rsidRDefault="00142E5B" w:rsidP="00BD6CF4">
            <w:pPr>
              <w:jc w:val="right"/>
            </w:pPr>
            <w:r w:rsidRPr="00580C0D">
              <w:t>Nei</w:t>
            </w:r>
          </w:p>
        </w:tc>
      </w:tr>
      <w:tr w:rsidR="00F7113A" w:rsidRPr="00580C0D" w14:paraId="6105F049" w14:textId="77777777">
        <w:trPr>
          <w:trHeight w:val="380"/>
        </w:trPr>
        <w:tc>
          <w:tcPr>
            <w:tcW w:w="1300" w:type="dxa"/>
            <w:tcBorders>
              <w:top w:val="nil"/>
              <w:left w:val="nil"/>
              <w:bottom w:val="nil"/>
              <w:right w:val="nil"/>
            </w:tcBorders>
            <w:tcMar>
              <w:top w:w="128" w:type="dxa"/>
              <w:left w:w="43" w:type="dxa"/>
              <w:bottom w:w="43" w:type="dxa"/>
              <w:right w:w="43" w:type="dxa"/>
            </w:tcMar>
          </w:tcPr>
          <w:p w14:paraId="31C78E04"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4F9FF3A3" w14:textId="77777777" w:rsidR="00F7113A" w:rsidRPr="00580C0D" w:rsidRDefault="00142E5B" w:rsidP="00BD6CF4">
            <w:pPr>
              <w:ind w:right="284"/>
              <w:jc w:val="right"/>
            </w:pPr>
            <w:r w:rsidRPr="00580C0D">
              <w:t>96</w:t>
            </w:r>
          </w:p>
        </w:tc>
        <w:tc>
          <w:tcPr>
            <w:tcW w:w="840" w:type="dxa"/>
            <w:tcBorders>
              <w:top w:val="nil"/>
              <w:left w:val="nil"/>
              <w:bottom w:val="nil"/>
              <w:right w:val="nil"/>
            </w:tcBorders>
            <w:tcMar>
              <w:top w:w="128" w:type="dxa"/>
              <w:left w:w="43" w:type="dxa"/>
              <w:bottom w:w="43" w:type="dxa"/>
              <w:right w:w="43" w:type="dxa"/>
            </w:tcMar>
          </w:tcPr>
          <w:p w14:paraId="4652994B"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69CFAD5B" w14:textId="77777777" w:rsidR="00F7113A" w:rsidRPr="00580C0D" w:rsidRDefault="00142E5B" w:rsidP="00BD6CF4">
            <w:r w:rsidRPr="00580C0D">
              <w:t xml:space="preserve">Null- og </w:t>
            </w:r>
            <w:proofErr w:type="spellStart"/>
            <w:r w:rsidRPr="00580C0D">
              <w:t>lågutsleppskrav</w:t>
            </w:r>
            <w:proofErr w:type="spellEnd"/>
            <w:r w:rsidRPr="00580C0D">
              <w:t xml:space="preserve"> i det </w:t>
            </w:r>
            <w:proofErr w:type="spellStart"/>
            <w:r w:rsidRPr="00580C0D">
              <w:t>komande</w:t>
            </w:r>
            <w:proofErr w:type="spellEnd"/>
            <w:r w:rsidRPr="00580C0D">
              <w:t xml:space="preserve"> FOT-kjøpet</w:t>
            </w:r>
          </w:p>
        </w:tc>
        <w:tc>
          <w:tcPr>
            <w:tcW w:w="1400" w:type="dxa"/>
            <w:tcBorders>
              <w:top w:val="nil"/>
              <w:left w:val="nil"/>
              <w:bottom w:val="nil"/>
              <w:right w:val="nil"/>
            </w:tcBorders>
            <w:tcMar>
              <w:top w:w="128" w:type="dxa"/>
              <w:left w:w="43" w:type="dxa"/>
              <w:bottom w:w="43" w:type="dxa"/>
              <w:right w:w="43" w:type="dxa"/>
            </w:tcMar>
          </w:tcPr>
          <w:p w14:paraId="5F3A7777" w14:textId="77777777" w:rsidR="00F7113A" w:rsidRPr="00580C0D" w:rsidRDefault="00142E5B" w:rsidP="00BD6CF4">
            <w:pPr>
              <w:jc w:val="right"/>
            </w:pPr>
            <w:r w:rsidRPr="00580C0D">
              <w:t>Ja</w:t>
            </w:r>
          </w:p>
        </w:tc>
      </w:tr>
      <w:tr w:rsidR="00F7113A" w:rsidRPr="00580C0D" w14:paraId="4EA9D0D3" w14:textId="77777777">
        <w:trPr>
          <w:trHeight w:val="640"/>
        </w:trPr>
        <w:tc>
          <w:tcPr>
            <w:tcW w:w="1300" w:type="dxa"/>
            <w:tcBorders>
              <w:top w:val="nil"/>
              <w:left w:val="nil"/>
              <w:bottom w:val="nil"/>
              <w:right w:val="nil"/>
            </w:tcBorders>
            <w:tcMar>
              <w:top w:w="128" w:type="dxa"/>
              <w:left w:w="43" w:type="dxa"/>
              <w:bottom w:w="43" w:type="dxa"/>
              <w:right w:w="43" w:type="dxa"/>
            </w:tcMar>
          </w:tcPr>
          <w:p w14:paraId="3BE01B7A"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1F8AF3EF" w14:textId="77777777" w:rsidR="00F7113A" w:rsidRPr="00580C0D" w:rsidRDefault="00142E5B" w:rsidP="00BD6CF4">
            <w:pPr>
              <w:ind w:right="284"/>
              <w:jc w:val="right"/>
            </w:pPr>
            <w:r w:rsidRPr="00580C0D">
              <w:t>104</w:t>
            </w:r>
          </w:p>
        </w:tc>
        <w:tc>
          <w:tcPr>
            <w:tcW w:w="840" w:type="dxa"/>
            <w:tcBorders>
              <w:top w:val="nil"/>
              <w:left w:val="nil"/>
              <w:bottom w:val="nil"/>
              <w:right w:val="nil"/>
            </w:tcBorders>
            <w:tcMar>
              <w:top w:w="128" w:type="dxa"/>
              <w:left w:w="43" w:type="dxa"/>
              <w:bottom w:w="43" w:type="dxa"/>
              <w:right w:w="43" w:type="dxa"/>
            </w:tcMar>
          </w:tcPr>
          <w:p w14:paraId="30BCDEC8"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8BB7905" w14:textId="77777777" w:rsidR="00F7113A" w:rsidRPr="00580C0D" w:rsidRDefault="00142E5B" w:rsidP="00BD6CF4">
            <w:proofErr w:type="spellStart"/>
            <w:r w:rsidRPr="00580C0D">
              <w:t>Vidareføre</w:t>
            </w:r>
            <w:proofErr w:type="spellEnd"/>
            <w:r w:rsidRPr="00580C0D">
              <w:t xml:space="preserve"> Ringeriksbanen og E16 Skaret–Høgkastet som </w:t>
            </w:r>
            <w:proofErr w:type="spellStart"/>
            <w:r w:rsidRPr="00580C0D">
              <w:t>eit</w:t>
            </w:r>
            <w:proofErr w:type="spellEnd"/>
            <w:r w:rsidRPr="00580C0D">
              <w:t xml:space="preserve"> fellesprosjekt</w:t>
            </w:r>
          </w:p>
        </w:tc>
        <w:tc>
          <w:tcPr>
            <w:tcW w:w="1400" w:type="dxa"/>
            <w:tcBorders>
              <w:top w:val="nil"/>
              <w:left w:val="nil"/>
              <w:bottom w:val="nil"/>
              <w:right w:val="nil"/>
            </w:tcBorders>
            <w:tcMar>
              <w:top w:w="128" w:type="dxa"/>
              <w:left w:w="43" w:type="dxa"/>
              <w:bottom w:w="43" w:type="dxa"/>
              <w:right w:w="43" w:type="dxa"/>
            </w:tcMar>
          </w:tcPr>
          <w:p w14:paraId="2B1E90E8" w14:textId="77777777" w:rsidR="00F7113A" w:rsidRPr="00580C0D" w:rsidRDefault="00142E5B" w:rsidP="00BD6CF4">
            <w:pPr>
              <w:jc w:val="right"/>
            </w:pPr>
            <w:r w:rsidRPr="00580C0D">
              <w:t>Nei</w:t>
            </w:r>
          </w:p>
        </w:tc>
      </w:tr>
      <w:tr w:rsidR="00F7113A" w:rsidRPr="00580C0D" w14:paraId="594DFCE1" w14:textId="77777777">
        <w:trPr>
          <w:trHeight w:val="640"/>
        </w:trPr>
        <w:tc>
          <w:tcPr>
            <w:tcW w:w="1300" w:type="dxa"/>
            <w:tcBorders>
              <w:top w:val="nil"/>
              <w:left w:val="nil"/>
              <w:bottom w:val="nil"/>
              <w:right w:val="nil"/>
            </w:tcBorders>
            <w:tcMar>
              <w:top w:w="128" w:type="dxa"/>
              <w:left w:w="43" w:type="dxa"/>
              <w:bottom w:w="43" w:type="dxa"/>
              <w:right w:w="43" w:type="dxa"/>
            </w:tcMar>
          </w:tcPr>
          <w:p w14:paraId="63BCFF80"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64A2AAF6" w14:textId="77777777" w:rsidR="00F7113A" w:rsidRPr="00580C0D" w:rsidRDefault="00142E5B" w:rsidP="00BD6CF4">
            <w:pPr>
              <w:ind w:right="284"/>
              <w:jc w:val="right"/>
            </w:pPr>
            <w:r w:rsidRPr="00580C0D">
              <w:t>105</w:t>
            </w:r>
          </w:p>
        </w:tc>
        <w:tc>
          <w:tcPr>
            <w:tcW w:w="840" w:type="dxa"/>
            <w:tcBorders>
              <w:top w:val="nil"/>
              <w:left w:val="nil"/>
              <w:bottom w:val="nil"/>
              <w:right w:val="nil"/>
            </w:tcBorders>
            <w:tcMar>
              <w:top w:w="128" w:type="dxa"/>
              <w:left w:w="43" w:type="dxa"/>
              <w:bottom w:w="43" w:type="dxa"/>
              <w:right w:w="43" w:type="dxa"/>
            </w:tcMar>
          </w:tcPr>
          <w:p w14:paraId="4F859AEC"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3953DBA" w14:textId="77777777" w:rsidR="00F7113A" w:rsidRPr="00580C0D" w:rsidRDefault="00142E5B" w:rsidP="00BD6CF4">
            <w:proofErr w:type="spellStart"/>
            <w:r w:rsidRPr="00580C0D">
              <w:t>Vidareføre</w:t>
            </w:r>
            <w:proofErr w:type="spellEnd"/>
            <w:r w:rsidRPr="00580C0D">
              <w:t xml:space="preserve"> maksimal bompengetakst for lette </w:t>
            </w:r>
            <w:proofErr w:type="spellStart"/>
            <w:r w:rsidRPr="00580C0D">
              <w:t>nullutsleppskøyretøy</w:t>
            </w:r>
            <w:proofErr w:type="spellEnd"/>
            <w:r w:rsidRPr="00580C0D">
              <w:t xml:space="preserve"> på inntil 70 pst. av ordinær takst</w:t>
            </w:r>
          </w:p>
        </w:tc>
        <w:tc>
          <w:tcPr>
            <w:tcW w:w="1400" w:type="dxa"/>
            <w:tcBorders>
              <w:top w:val="nil"/>
              <w:left w:val="nil"/>
              <w:bottom w:val="nil"/>
              <w:right w:val="nil"/>
            </w:tcBorders>
            <w:tcMar>
              <w:top w:w="128" w:type="dxa"/>
              <w:left w:w="43" w:type="dxa"/>
              <w:bottom w:w="43" w:type="dxa"/>
              <w:right w:w="43" w:type="dxa"/>
            </w:tcMar>
          </w:tcPr>
          <w:p w14:paraId="1F6DFB4A" w14:textId="77777777" w:rsidR="00F7113A" w:rsidRPr="00580C0D" w:rsidRDefault="00142E5B" w:rsidP="00BD6CF4">
            <w:pPr>
              <w:jc w:val="right"/>
            </w:pPr>
            <w:r w:rsidRPr="00580C0D">
              <w:t>Ja</w:t>
            </w:r>
          </w:p>
        </w:tc>
      </w:tr>
      <w:tr w:rsidR="00F7113A" w:rsidRPr="00580C0D" w14:paraId="34AC293B" w14:textId="77777777">
        <w:trPr>
          <w:trHeight w:val="640"/>
        </w:trPr>
        <w:tc>
          <w:tcPr>
            <w:tcW w:w="1300" w:type="dxa"/>
            <w:tcBorders>
              <w:top w:val="nil"/>
              <w:left w:val="nil"/>
              <w:bottom w:val="nil"/>
              <w:right w:val="nil"/>
            </w:tcBorders>
            <w:tcMar>
              <w:top w:w="128" w:type="dxa"/>
              <w:left w:w="43" w:type="dxa"/>
              <w:bottom w:w="43" w:type="dxa"/>
              <w:right w:w="43" w:type="dxa"/>
            </w:tcMar>
          </w:tcPr>
          <w:p w14:paraId="1FEB2A05"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1BB7B2F9" w14:textId="77777777" w:rsidR="00F7113A" w:rsidRPr="00580C0D" w:rsidRDefault="00142E5B" w:rsidP="00BD6CF4">
            <w:pPr>
              <w:ind w:right="284"/>
              <w:jc w:val="right"/>
            </w:pPr>
            <w:r w:rsidRPr="00580C0D">
              <w:t>107</w:t>
            </w:r>
          </w:p>
        </w:tc>
        <w:tc>
          <w:tcPr>
            <w:tcW w:w="840" w:type="dxa"/>
            <w:tcBorders>
              <w:top w:val="nil"/>
              <w:left w:val="nil"/>
              <w:bottom w:val="nil"/>
              <w:right w:val="nil"/>
            </w:tcBorders>
            <w:tcMar>
              <w:top w:w="128" w:type="dxa"/>
              <w:left w:w="43" w:type="dxa"/>
              <w:bottom w:w="43" w:type="dxa"/>
              <w:right w:w="43" w:type="dxa"/>
            </w:tcMar>
          </w:tcPr>
          <w:p w14:paraId="7159B3ED"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19587127" w14:textId="0E75D89F" w:rsidR="00F7113A" w:rsidRPr="00580C0D" w:rsidRDefault="00142E5B" w:rsidP="00BD6CF4">
            <w:proofErr w:type="spellStart"/>
            <w:r w:rsidRPr="00580C0D">
              <w:t>Forhandlingar</w:t>
            </w:r>
            <w:proofErr w:type="spellEnd"/>
            <w:r w:rsidRPr="00580C0D">
              <w:t xml:space="preserve"> om byvekstavtale med </w:t>
            </w:r>
            <w:r w:rsidR="00901405">
              <w:br/>
            </w:r>
            <w:r w:rsidRPr="00580C0D">
              <w:t>Kristiansandsregionen og Nedre Glomma</w:t>
            </w:r>
          </w:p>
        </w:tc>
        <w:tc>
          <w:tcPr>
            <w:tcW w:w="1400" w:type="dxa"/>
            <w:tcBorders>
              <w:top w:val="nil"/>
              <w:left w:val="nil"/>
              <w:bottom w:val="nil"/>
              <w:right w:val="nil"/>
            </w:tcBorders>
            <w:tcMar>
              <w:top w:w="128" w:type="dxa"/>
              <w:left w:w="43" w:type="dxa"/>
              <w:bottom w:w="43" w:type="dxa"/>
              <w:right w:w="43" w:type="dxa"/>
            </w:tcMar>
          </w:tcPr>
          <w:p w14:paraId="70F9A7ED" w14:textId="77777777" w:rsidR="00F7113A" w:rsidRPr="00580C0D" w:rsidRDefault="00142E5B" w:rsidP="00BD6CF4">
            <w:pPr>
              <w:jc w:val="right"/>
            </w:pPr>
            <w:r w:rsidRPr="00580C0D">
              <w:t>Ja</w:t>
            </w:r>
          </w:p>
        </w:tc>
      </w:tr>
      <w:tr w:rsidR="00F7113A" w:rsidRPr="00580C0D" w14:paraId="454EF011" w14:textId="77777777">
        <w:trPr>
          <w:trHeight w:val="640"/>
        </w:trPr>
        <w:tc>
          <w:tcPr>
            <w:tcW w:w="1300" w:type="dxa"/>
            <w:tcBorders>
              <w:top w:val="nil"/>
              <w:left w:val="nil"/>
              <w:bottom w:val="nil"/>
              <w:right w:val="nil"/>
            </w:tcBorders>
            <w:tcMar>
              <w:top w:w="128" w:type="dxa"/>
              <w:left w:w="43" w:type="dxa"/>
              <w:bottom w:w="43" w:type="dxa"/>
              <w:right w:w="43" w:type="dxa"/>
            </w:tcMar>
          </w:tcPr>
          <w:p w14:paraId="4BB69945"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3722C7EE" w14:textId="77777777" w:rsidR="00F7113A" w:rsidRPr="00580C0D" w:rsidRDefault="00142E5B" w:rsidP="00BD6CF4">
            <w:pPr>
              <w:ind w:right="284"/>
              <w:jc w:val="right"/>
            </w:pPr>
            <w:r w:rsidRPr="00580C0D">
              <w:t>115</w:t>
            </w:r>
          </w:p>
        </w:tc>
        <w:tc>
          <w:tcPr>
            <w:tcW w:w="840" w:type="dxa"/>
            <w:tcBorders>
              <w:top w:val="nil"/>
              <w:left w:val="nil"/>
              <w:bottom w:val="nil"/>
              <w:right w:val="nil"/>
            </w:tcBorders>
            <w:tcMar>
              <w:top w:w="128" w:type="dxa"/>
              <w:left w:w="43" w:type="dxa"/>
              <w:bottom w:w="43" w:type="dxa"/>
              <w:right w:w="43" w:type="dxa"/>
            </w:tcMar>
          </w:tcPr>
          <w:p w14:paraId="4C5CC376"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1DC36315" w14:textId="77777777" w:rsidR="00F7113A" w:rsidRPr="00580C0D" w:rsidRDefault="00142E5B" w:rsidP="00BD6CF4">
            <w:proofErr w:type="spellStart"/>
            <w:r w:rsidRPr="00580C0D">
              <w:t>Framskunde</w:t>
            </w:r>
            <w:proofErr w:type="spellEnd"/>
            <w:r w:rsidRPr="00580C0D">
              <w:t xml:space="preserve"> kravet om nullutslepp i </w:t>
            </w:r>
            <w:proofErr w:type="spellStart"/>
            <w:r w:rsidRPr="00580C0D">
              <w:t>offentlege</w:t>
            </w:r>
            <w:proofErr w:type="spellEnd"/>
            <w:r w:rsidRPr="00580C0D">
              <w:t xml:space="preserve"> kjøp av </w:t>
            </w:r>
            <w:proofErr w:type="spellStart"/>
            <w:r w:rsidRPr="00580C0D">
              <w:t>bybussar</w:t>
            </w:r>
            <w:proofErr w:type="spellEnd"/>
          </w:p>
        </w:tc>
        <w:tc>
          <w:tcPr>
            <w:tcW w:w="1400" w:type="dxa"/>
            <w:tcBorders>
              <w:top w:val="nil"/>
              <w:left w:val="nil"/>
              <w:bottom w:val="nil"/>
              <w:right w:val="nil"/>
            </w:tcBorders>
            <w:tcMar>
              <w:top w:w="128" w:type="dxa"/>
              <w:left w:w="43" w:type="dxa"/>
              <w:bottom w:w="43" w:type="dxa"/>
              <w:right w:w="43" w:type="dxa"/>
            </w:tcMar>
          </w:tcPr>
          <w:p w14:paraId="6BBCCE9B" w14:textId="77777777" w:rsidR="00F7113A" w:rsidRPr="00580C0D" w:rsidRDefault="00142E5B" w:rsidP="00BD6CF4">
            <w:pPr>
              <w:jc w:val="right"/>
            </w:pPr>
            <w:r w:rsidRPr="00580C0D">
              <w:t>Ja</w:t>
            </w:r>
          </w:p>
        </w:tc>
      </w:tr>
      <w:tr w:rsidR="00F7113A" w:rsidRPr="00580C0D" w14:paraId="2BD14CD1" w14:textId="77777777">
        <w:trPr>
          <w:trHeight w:val="380"/>
        </w:trPr>
        <w:tc>
          <w:tcPr>
            <w:tcW w:w="1300" w:type="dxa"/>
            <w:tcBorders>
              <w:top w:val="nil"/>
              <w:left w:val="nil"/>
              <w:bottom w:val="nil"/>
              <w:right w:val="nil"/>
            </w:tcBorders>
            <w:tcMar>
              <w:top w:w="128" w:type="dxa"/>
              <w:left w:w="43" w:type="dxa"/>
              <w:bottom w:w="43" w:type="dxa"/>
              <w:right w:w="43" w:type="dxa"/>
            </w:tcMar>
          </w:tcPr>
          <w:p w14:paraId="005C9B6A"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7BC2DFCF" w14:textId="77777777" w:rsidR="00F7113A" w:rsidRPr="00580C0D" w:rsidRDefault="00142E5B" w:rsidP="00BD6CF4">
            <w:pPr>
              <w:ind w:right="284"/>
              <w:jc w:val="right"/>
            </w:pPr>
            <w:r w:rsidRPr="00580C0D">
              <w:t>116</w:t>
            </w:r>
          </w:p>
        </w:tc>
        <w:tc>
          <w:tcPr>
            <w:tcW w:w="840" w:type="dxa"/>
            <w:tcBorders>
              <w:top w:val="nil"/>
              <w:left w:val="nil"/>
              <w:bottom w:val="nil"/>
              <w:right w:val="nil"/>
            </w:tcBorders>
            <w:tcMar>
              <w:top w:w="128" w:type="dxa"/>
              <w:left w:w="43" w:type="dxa"/>
              <w:bottom w:w="43" w:type="dxa"/>
              <w:right w:w="43" w:type="dxa"/>
            </w:tcMar>
          </w:tcPr>
          <w:p w14:paraId="7E111224"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6FF1E6BC" w14:textId="77777777" w:rsidR="00F7113A" w:rsidRPr="00580C0D" w:rsidRDefault="00142E5B" w:rsidP="00BD6CF4">
            <w:r w:rsidRPr="00580C0D">
              <w:t xml:space="preserve">Innfase null- og </w:t>
            </w:r>
            <w:proofErr w:type="spellStart"/>
            <w:r w:rsidRPr="00580C0D">
              <w:t>lågutsleppsfly</w:t>
            </w:r>
            <w:proofErr w:type="spellEnd"/>
            <w:r w:rsidRPr="00580C0D">
              <w:t xml:space="preserve"> på FOT-rutene</w:t>
            </w:r>
          </w:p>
        </w:tc>
        <w:tc>
          <w:tcPr>
            <w:tcW w:w="1400" w:type="dxa"/>
            <w:tcBorders>
              <w:top w:val="nil"/>
              <w:left w:val="nil"/>
              <w:bottom w:val="nil"/>
              <w:right w:val="nil"/>
            </w:tcBorders>
            <w:tcMar>
              <w:top w:w="128" w:type="dxa"/>
              <w:left w:w="43" w:type="dxa"/>
              <w:bottom w:w="43" w:type="dxa"/>
              <w:right w:w="43" w:type="dxa"/>
            </w:tcMar>
          </w:tcPr>
          <w:p w14:paraId="2E2DBDA6" w14:textId="77777777" w:rsidR="00F7113A" w:rsidRPr="00580C0D" w:rsidRDefault="00142E5B" w:rsidP="00BD6CF4">
            <w:pPr>
              <w:jc w:val="right"/>
            </w:pPr>
            <w:r w:rsidRPr="00580C0D">
              <w:t>Ja</w:t>
            </w:r>
          </w:p>
        </w:tc>
      </w:tr>
      <w:tr w:rsidR="00F7113A" w:rsidRPr="00580C0D" w14:paraId="4BE518D5" w14:textId="77777777">
        <w:trPr>
          <w:trHeight w:val="640"/>
        </w:trPr>
        <w:tc>
          <w:tcPr>
            <w:tcW w:w="1300" w:type="dxa"/>
            <w:tcBorders>
              <w:top w:val="nil"/>
              <w:left w:val="nil"/>
              <w:bottom w:val="nil"/>
              <w:right w:val="nil"/>
            </w:tcBorders>
            <w:tcMar>
              <w:top w:w="128" w:type="dxa"/>
              <w:left w:w="43" w:type="dxa"/>
              <w:bottom w:w="43" w:type="dxa"/>
              <w:right w:w="43" w:type="dxa"/>
            </w:tcMar>
          </w:tcPr>
          <w:p w14:paraId="177CBAA8"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27117282" w14:textId="77777777" w:rsidR="00F7113A" w:rsidRPr="00580C0D" w:rsidRDefault="00142E5B" w:rsidP="00BD6CF4">
            <w:pPr>
              <w:ind w:right="284"/>
              <w:jc w:val="right"/>
            </w:pPr>
            <w:r w:rsidRPr="00580C0D">
              <w:t>117</w:t>
            </w:r>
          </w:p>
        </w:tc>
        <w:tc>
          <w:tcPr>
            <w:tcW w:w="840" w:type="dxa"/>
            <w:tcBorders>
              <w:top w:val="nil"/>
              <w:left w:val="nil"/>
              <w:bottom w:val="nil"/>
              <w:right w:val="nil"/>
            </w:tcBorders>
            <w:tcMar>
              <w:top w:w="128" w:type="dxa"/>
              <w:left w:w="43" w:type="dxa"/>
              <w:bottom w:w="43" w:type="dxa"/>
              <w:right w:w="43" w:type="dxa"/>
            </w:tcMar>
          </w:tcPr>
          <w:p w14:paraId="6362B6E6"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D0F6EF1" w14:textId="77777777" w:rsidR="00F7113A" w:rsidRPr="00580C0D" w:rsidRDefault="00142E5B" w:rsidP="00BD6CF4">
            <w:r w:rsidRPr="00580C0D">
              <w:t xml:space="preserve">Pilot/utviklingskontrakt for å innfase null- og </w:t>
            </w:r>
            <w:proofErr w:type="spellStart"/>
            <w:r w:rsidRPr="00580C0D">
              <w:t>lågutsleppsfly</w:t>
            </w:r>
            <w:proofErr w:type="spellEnd"/>
            <w:r w:rsidRPr="00580C0D">
              <w:t xml:space="preserve"> for </w:t>
            </w:r>
            <w:proofErr w:type="gramStart"/>
            <w:r w:rsidRPr="00580C0D">
              <w:t>ei eigna</w:t>
            </w:r>
            <w:proofErr w:type="gramEnd"/>
            <w:r w:rsidRPr="00580C0D">
              <w:t xml:space="preserve"> rute</w:t>
            </w:r>
          </w:p>
        </w:tc>
        <w:tc>
          <w:tcPr>
            <w:tcW w:w="1400" w:type="dxa"/>
            <w:tcBorders>
              <w:top w:val="nil"/>
              <w:left w:val="nil"/>
              <w:bottom w:val="nil"/>
              <w:right w:val="nil"/>
            </w:tcBorders>
            <w:tcMar>
              <w:top w:w="128" w:type="dxa"/>
              <w:left w:w="43" w:type="dxa"/>
              <w:bottom w:w="43" w:type="dxa"/>
              <w:right w:w="43" w:type="dxa"/>
            </w:tcMar>
          </w:tcPr>
          <w:p w14:paraId="34200824" w14:textId="77777777" w:rsidR="00F7113A" w:rsidRPr="00580C0D" w:rsidRDefault="00142E5B" w:rsidP="00BD6CF4">
            <w:pPr>
              <w:jc w:val="right"/>
            </w:pPr>
            <w:r w:rsidRPr="00580C0D">
              <w:t>Nei</w:t>
            </w:r>
          </w:p>
        </w:tc>
      </w:tr>
      <w:tr w:rsidR="00F7113A" w:rsidRPr="00580C0D" w14:paraId="5DACA828" w14:textId="77777777">
        <w:trPr>
          <w:trHeight w:val="880"/>
        </w:trPr>
        <w:tc>
          <w:tcPr>
            <w:tcW w:w="1300" w:type="dxa"/>
            <w:tcBorders>
              <w:top w:val="nil"/>
              <w:left w:val="nil"/>
              <w:bottom w:val="nil"/>
              <w:right w:val="nil"/>
            </w:tcBorders>
            <w:tcMar>
              <w:top w:w="128" w:type="dxa"/>
              <w:left w:w="43" w:type="dxa"/>
              <w:bottom w:w="43" w:type="dxa"/>
              <w:right w:w="43" w:type="dxa"/>
            </w:tcMar>
          </w:tcPr>
          <w:p w14:paraId="2EF66F5C"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3F1AD6F1" w14:textId="77777777" w:rsidR="00F7113A" w:rsidRPr="00580C0D" w:rsidRDefault="00142E5B" w:rsidP="00BD6CF4">
            <w:pPr>
              <w:ind w:right="284"/>
              <w:jc w:val="right"/>
            </w:pPr>
            <w:r w:rsidRPr="00580C0D">
              <w:t>119</w:t>
            </w:r>
          </w:p>
        </w:tc>
        <w:tc>
          <w:tcPr>
            <w:tcW w:w="840" w:type="dxa"/>
            <w:tcBorders>
              <w:top w:val="nil"/>
              <w:left w:val="nil"/>
              <w:bottom w:val="nil"/>
              <w:right w:val="nil"/>
            </w:tcBorders>
            <w:tcMar>
              <w:top w:w="128" w:type="dxa"/>
              <w:left w:w="43" w:type="dxa"/>
              <w:bottom w:w="43" w:type="dxa"/>
              <w:right w:w="43" w:type="dxa"/>
            </w:tcMar>
          </w:tcPr>
          <w:p w14:paraId="03B4B013"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45D3782F" w14:textId="266F1498" w:rsidR="00F7113A" w:rsidRPr="00580C0D" w:rsidRDefault="00142E5B" w:rsidP="00BD6CF4">
            <w:r w:rsidRPr="00580C0D">
              <w:t xml:space="preserve">Endre kriteriet for </w:t>
            </w:r>
            <w:proofErr w:type="spellStart"/>
            <w:r w:rsidRPr="00580C0D">
              <w:t>tilskot</w:t>
            </w:r>
            <w:proofErr w:type="spellEnd"/>
            <w:r w:rsidRPr="00580C0D">
              <w:t xml:space="preserve"> på kap. 1301, post 70 og greie ut korleis omfanget av «utsleppsfrie </w:t>
            </w:r>
            <w:r w:rsidR="00901405">
              <w:br/>
            </w:r>
            <w:proofErr w:type="spellStart"/>
            <w:r w:rsidRPr="00580C0D">
              <w:t>anleggsplassar</w:t>
            </w:r>
            <w:proofErr w:type="spellEnd"/>
            <w:r w:rsidRPr="00580C0D">
              <w:t xml:space="preserve">» kan </w:t>
            </w:r>
            <w:proofErr w:type="spellStart"/>
            <w:r w:rsidRPr="00580C0D">
              <w:t>aukast</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tcPr>
          <w:p w14:paraId="5CB66E27" w14:textId="77777777" w:rsidR="00F7113A" w:rsidRPr="00580C0D" w:rsidRDefault="00142E5B" w:rsidP="00BD6CF4">
            <w:pPr>
              <w:jc w:val="right"/>
            </w:pPr>
            <w:r w:rsidRPr="00580C0D">
              <w:t>Ja</w:t>
            </w:r>
          </w:p>
        </w:tc>
      </w:tr>
      <w:tr w:rsidR="00F7113A" w:rsidRPr="00580C0D" w14:paraId="716490BF" w14:textId="77777777">
        <w:trPr>
          <w:trHeight w:val="640"/>
        </w:trPr>
        <w:tc>
          <w:tcPr>
            <w:tcW w:w="1300" w:type="dxa"/>
            <w:tcBorders>
              <w:top w:val="nil"/>
              <w:left w:val="nil"/>
              <w:bottom w:val="nil"/>
              <w:right w:val="nil"/>
            </w:tcBorders>
            <w:tcMar>
              <w:top w:w="128" w:type="dxa"/>
              <w:left w:w="43" w:type="dxa"/>
              <w:bottom w:w="43" w:type="dxa"/>
              <w:right w:w="43" w:type="dxa"/>
            </w:tcMar>
          </w:tcPr>
          <w:p w14:paraId="43BBE624"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1A78C43A" w14:textId="77777777" w:rsidR="00F7113A" w:rsidRPr="00580C0D" w:rsidRDefault="00142E5B" w:rsidP="00BD6CF4">
            <w:pPr>
              <w:ind w:right="284"/>
              <w:jc w:val="right"/>
            </w:pPr>
            <w:r w:rsidRPr="00580C0D">
              <w:t>121</w:t>
            </w:r>
          </w:p>
        </w:tc>
        <w:tc>
          <w:tcPr>
            <w:tcW w:w="840" w:type="dxa"/>
            <w:tcBorders>
              <w:top w:val="nil"/>
              <w:left w:val="nil"/>
              <w:bottom w:val="nil"/>
              <w:right w:val="nil"/>
            </w:tcBorders>
            <w:tcMar>
              <w:top w:w="128" w:type="dxa"/>
              <w:left w:w="43" w:type="dxa"/>
              <w:bottom w:w="43" w:type="dxa"/>
              <w:right w:w="43" w:type="dxa"/>
            </w:tcMar>
          </w:tcPr>
          <w:p w14:paraId="260CB40C"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063F511" w14:textId="77777777" w:rsidR="00F7113A" w:rsidRPr="00580C0D" w:rsidRDefault="00142E5B" w:rsidP="00BD6CF4">
            <w:r w:rsidRPr="00580C0D">
              <w:t xml:space="preserve">Ta opp att </w:t>
            </w:r>
            <w:proofErr w:type="spellStart"/>
            <w:r w:rsidRPr="00580C0D">
              <w:t>forhandlingane</w:t>
            </w:r>
            <w:proofErr w:type="spellEnd"/>
            <w:r w:rsidRPr="00580C0D">
              <w:t xml:space="preserve"> om byvekstavtale med Tromsø</w:t>
            </w:r>
          </w:p>
        </w:tc>
        <w:tc>
          <w:tcPr>
            <w:tcW w:w="1400" w:type="dxa"/>
            <w:tcBorders>
              <w:top w:val="nil"/>
              <w:left w:val="nil"/>
              <w:bottom w:val="nil"/>
              <w:right w:val="nil"/>
            </w:tcBorders>
            <w:tcMar>
              <w:top w:w="128" w:type="dxa"/>
              <w:left w:w="43" w:type="dxa"/>
              <w:bottom w:w="43" w:type="dxa"/>
              <w:right w:w="43" w:type="dxa"/>
            </w:tcMar>
          </w:tcPr>
          <w:p w14:paraId="25BD7CAC" w14:textId="77777777" w:rsidR="00F7113A" w:rsidRPr="00580C0D" w:rsidRDefault="00142E5B" w:rsidP="00BD6CF4">
            <w:pPr>
              <w:jc w:val="right"/>
            </w:pPr>
            <w:r w:rsidRPr="00580C0D">
              <w:t>Ja</w:t>
            </w:r>
          </w:p>
        </w:tc>
      </w:tr>
      <w:tr w:rsidR="00F7113A" w:rsidRPr="00580C0D" w14:paraId="5537C23F" w14:textId="77777777">
        <w:trPr>
          <w:trHeight w:val="640"/>
        </w:trPr>
        <w:tc>
          <w:tcPr>
            <w:tcW w:w="1300" w:type="dxa"/>
            <w:tcBorders>
              <w:top w:val="nil"/>
              <w:left w:val="nil"/>
              <w:bottom w:val="nil"/>
              <w:right w:val="nil"/>
            </w:tcBorders>
            <w:tcMar>
              <w:top w:w="128" w:type="dxa"/>
              <w:left w:w="43" w:type="dxa"/>
              <w:bottom w:w="43" w:type="dxa"/>
              <w:right w:w="43" w:type="dxa"/>
            </w:tcMar>
          </w:tcPr>
          <w:p w14:paraId="3A11ED6B"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5CCDE96D" w14:textId="77777777" w:rsidR="00F7113A" w:rsidRPr="00580C0D" w:rsidRDefault="00142E5B" w:rsidP="00BD6CF4">
            <w:pPr>
              <w:ind w:right="284"/>
              <w:jc w:val="right"/>
            </w:pPr>
            <w:r w:rsidRPr="00580C0D">
              <w:t>464</w:t>
            </w:r>
          </w:p>
        </w:tc>
        <w:tc>
          <w:tcPr>
            <w:tcW w:w="840" w:type="dxa"/>
            <w:tcBorders>
              <w:top w:val="nil"/>
              <w:left w:val="nil"/>
              <w:bottom w:val="nil"/>
              <w:right w:val="nil"/>
            </w:tcBorders>
            <w:tcMar>
              <w:top w:w="128" w:type="dxa"/>
              <w:left w:w="43" w:type="dxa"/>
              <w:bottom w:w="43" w:type="dxa"/>
              <w:right w:w="43" w:type="dxa"/>
            </w:tcMar>
          </w:tcPr>
          <w:p w14:paraId="6280E658"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6119F74" w14:textId="77777777" w:rsidR="00F7113A" w:rsidRPr="00580C0D" w:rsidRDefault="00142E5B" w:rsidP="00BD6CF4">
            <w:r w:rsidRPr="00580C0D">
              <w:t>Ettermontering av kontaktlaus kortbetaling på ladeinfrastruktur</w:t>
            </w:r>
          </w:p>
        </w:tc>
        <w:tc>
          <w:tcPr>
            <w:tcW w:w="1400" w:type="dxa"/>
            <w:tcBorders>
              <w:top w:val="nil"/>
              <w:left w:val="nil"/>
              <w:bottom w:val="nil"/>
              <w:right w:val="nil"/>
            </w:tcBorders>
            <w:tcMar>
              <w:top w:w="128" w:type="dxa"/>
              <w:left w:w="43" w:type="dxa"/>
              <w:bottom w:w="43" w:type="dxa"/>
              <w:right w:w="43" w:type="dxa"/>
            </w:tcMar>
          </w:tcPr>
          <w:p w14:paraId="6D1EE4AD" w14:textId="77777777" w:rsidR="00F7113A" w:rsidRPr="00580C0D" w:rsidRDefault="00142E5B" w:rsidP="00BD6CF4">
            <w:pPr>
              <w:jc w:val="right"/>
            </w:pPr>
            <w:r w:rsidRPr="00580C0D">
              <w:t xml:space="preserve">Nei </w:t>
            </w:r>
          </w:p>
        </w:tc>
      </w:tr>
      <w:tr w:rsidR="00F7113A" w:rsidRPr="00580C0D" w14:paraId="6C92B7F7" w14:textId="77777777">
        <w:trPr>
          <w:trHeight w:val="640"/>
        </w:trPr>
        <w:tc>
          <w:tcPr>
            <w:tcW w:w="1300" w:type="dxa"/>
            <w:tcBorders>
              <w:top w:val="nil"/>
              <w:left w:val="nil"/>
              <w:bottom w:val="nil"/>
              <w:right w:val="nil"/>
            </w:tcBorders>
            <w:tcMar>
              <w:top w:w="128" w:type="dxa"/>
              <w:left w:w="43" w:type="dxa"/>
              <w:bottom w:w="43" w:type="dxa"/>
              <w:right w:w="43" w:type="dxa"/>
            </w:tcMar>
          </w:tcPr>
          <w:p w14:paraId="5723DF66"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163E3734" w14:textId="77777777" w:rsidR="00F7113A" w:rsidRPr="00580C0D" w:rsidRDefault="00142E5B" w:rsidP="00BD6CF4">
            <w:pPr>
              <w:ind w:right="284"/>
              <w:jc w:val="right"/>
            </w:pPr>
            <w:r w:rsidRPr="00580C0D">
              <w:t>634</w:t>
            </w:r>
          </w:p>
        </w:tc>
        <w:tc>
          <w:tcPr>
            <w:tcW w:w="840" w:type="dxa"/>
            <w:tcBorders>
              <w:top w:val="nil"/>
              <w:left w:val="nil"/>
              <w:bottom w:val="nil"/>
              <w:right w:val="nil"/>
            </w:tcBorders>
            <w:tcMar>
              <w:top w:w="128" w:type="dxa"/>
              <w:left w:w="43" w:type="dxa"/>
              <w:bottom w:w="43" w:type="dxa"/>
              <w:right w:w="43" w:type="dxa"/>
            </w:tcMar>
          </w:tcPr>
          <w:p w14:paraId="6BD895FD"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6EFEEB6A" w14:textId="77777777" w:rsidR="00F7113A" w:rsidRPr="00580C0D" w:rsidRDefault="00142E5B" w:rsidP="00BD6CF4">
            <w:r w:rsidRPr="00580C0D">
              <w:t xml:space="preserve">Plan for å handtere FOT-rutene viss det </w:t>
            </w:r>
            <w:proofErr w:type="spellStart"/>
            <w:r w:rsidRPr="00580C0D">
              <w:t>ikkje</w:t>
            </w:r>
            <w:proofErr w:type="spellEnd"/>
            <w:r w:rsidRPr="00580C0D">
              <w:t xml:space="preserve"> blir </w:t>
            </w:r>
            <w:proofErr w:type="spellStart"/>
            <w:r w:rsidRPr="00580C0D">
              <w:t>mogeleg</w:t>
            </w:r>
            <w:proofErr w:type="spellEnd"/>
            <w:r w:rsidRPr="00580C0D">
              <w:t xml:space="preserve"> å erstatte dagens rutefly</w:t>
            </w:r>
          </w:p>
        </w:tc>
        <w:tc>
          <w:tcPr>
            <w:tcW w:w="1400" w:type="dxa"/>
            <w:tcBorders>
              <w:top w:val="nil"/>
              <w:left w:val="nil"/>
              <w:bottom w:val="nil"/>
              <w:right w:val="nil"/>
            </w:tcBorders>
            <w:tcMar>
              <w:top w:w="128" w:type="dxa"/>
              <w:left w:w="43" w:type="dxa"/>
              <w:bottom w:w="43" w:type="dxa"/>
              <w:right w:w="43" w:type="dxa"/>
            </w:tcMar>
          </w:tcPr>
          <w:p w14:paraId="449A3FE9" w14:textId="77777777" w:rsidR="00F7113A" w:rsidRPr="00580C0D" w:rsidRDefault="00142E5B" w:rsidP="00BD6CF4">
            <w:pPr>
              <w:jc w:val="right"/>
            </w:pPr>
            <w:r w:rsidRPr="00580C0D">
              <w:t>Nei</w:t>
            </w:r>
          </w:p>
        </w:tc>
      </w:tr>
      <w:tr w:rsidR="00F7113A" w:rsidRPr="00580C0D" w14:paraId="1674C04A" w14:textId="77777777">
        <w:trPr>
          <w:trHeight w:val="640"/>
        </w:trPr>
        <w:tc>
          <w:tcPr>
            <w:tcW w:w="1300" w:type="dxa"/>
            <w:tcBorders>
              <w:top w:val="nil"/>
              <w:left w:val="nil"/>
              <w:bottom w:val="nil"/>
              <w:right w:val="nil"/>
            </w:tcBorders>
            <w:tcMar>
              <w:top w:w="128" w:type="dxa"/>
              <w:left w:w="43" w:type="dxa"/>
              <w:bottom w:w="43" w:type="dxa"/>
              <w:right w:w="43" w:type="dxa"/>
            </w:tcMar>
          </w:tcPr>
          <w:p w14:paraId="53A87544"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00A79955" w14:textId="77777777" w:rsidR="00F7113A" w:rsidRPr="00580C0D" w:rsidRDefault="00142E5B" w:rsidP="00BD6CF4">
            <w:pPr>
              <w:ind w:right="284"/>
              <w:jc w:val="right"/>
            </w:pPr>
            <w:r w:rsidRPr="00580C0D">
              <w:t>675</w:t>
            </w:r>
          </w:p>
        </w:tc>
        <w:tc>
          <w:tcPr>
            <w:tcW w:w="840" w:type="dxa"/>
            <w:tcBorders>
              <w:top w:val="nil"/>
              <w:left w:val="nil"/>
              <w:bottom w:val="nil"/>
              <w:right w:val="nil"/>
            </w:tcBorders>
            <w:tcMar>
              <w:top w:w="128" w:type="dxa"/>
              <w:left w:w="43" w:type="dxa"/>
              <w:bottom w:w="43" w:type="dxa"/>
              <w:right w:w="43" w:type="dxa"/>
            </w:tcMar>
          </w:tcPr>
          <w:p w14:paraId="38B20D5F"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21B7D7E5" w14:textId="77777777" w:rsidR="00F7113A" w:rsidRPr="00580C0D" w:rsidRDefault="00142E5B" w:rsidP="00BD6CF4">
            <w:r w:rsidRPr="00580C0D">
              <w:t xml:space="preserve">Greie ut om </w:t>
            </w:r>
            <w:proofErr w:type="spellStart"/>
            <w:r w:rsidRPr="00580C0D">
              <w:t>nokre</w:t>
            </w:r>
            <w:proofErr w:type="spellEnd"/>
            <w:r w:rsidRPr="00580C0D">
              <w:t xml:space="preserve"> </w:t>
            </w:r>
            <w:proofErr w:type="spellStart"/>
            <w:r w:rsidRPr="00580C0D">
              <w:t>offentlege</w:t>
            </w:r>
            <w:proofErr w:type="spellEnd"/>
            <w:r w:rsidRPr="00580C0D">
              <w:t xml:space="preserve"> ferjesamband kan </w:t>
            </w:r>
            <w:proofErr w:type="spellStart"/>
            <w:r w:rsidRPr="00580C0D">
              <w:t>driftast</w:t>
            </w:r>
            <w:proofErr w:type="spellEnd"/>
            <w:r w:rsidRPr="00580C0D">
              <w:t xml:space="preserve"> på biogass</w:t>
            </w:r>
          </w:p>
        </w:tc>
        <w:tc>
          <w:tcPr>
            <w:tcW w:w="1400" w:type="dxa"/>
            <w:tcBorders>
              <w:top w:val="nil"/>
              <w:left w:val="nil"/>
              <w:bottom w:val="nil"/>
              <w:right w:val="nil"/>
            </w:tcBorders>
            <w:tcMar>
              <w:top w:w="128" w:type="dxa"/>
              <w:left w:w="43" w:type="dxa"/>
              <w:bottom w:w="43" w:type="dxa"/>
              <w:right w:w="43" w:type="dxa"/>
            </w:tcMar>
          </w:tcPr>
          <w:p w14:paraId="24E23E17" w14:textId="77777777" w:rsidR="00F7113A" w:rsidRPr="00580C0D" w:rsidRDefault="00142E5B" w:rsidP="00BD6CF4">
            <w:pPr>
              <w:jc w:val="right"/>
            </w:pPr>
            <w:r w:rsidRPr="00580C0D">
              <w:t>Ja</w:t>
            </w:r>
          </w:p>
        </w:tc>
      </w:tr>
      <w:tr w:rsidR="00F7113A" w:rsidRPr="00580C0D" w14:paraId="6B9ECA36" w14:textId="77777777">
        <w:trPr>
          <w:trHeight w:val="640"/>
        </w:trPr>
        <w:tc>
          <w:tcPr>
            <w:tcW w:w="1300" w:type="dxa"/>
            <w:tcBorders>
              <w:top w:val="nil"/>
              <w:left w:val="nil"/>
              <w:bottom w:val="nil"/>
              <w:right w:val="nil"/>
            </w:tcBorders>
            <w:tcMar>
              <w:top w:w="128" w:type="dxa"/>
              <w:left w:w="43" w:type="dxa"/>
              <w:bottom w:w="43" w:type="dxa"/>
              <w:right w:w="43" w:type="dxa"/>
            </w:tcMar>
          </w:tcPr>
          <w:p w14:paraId="180198BF"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104DA444" w14:textId="77777777" w:rsidR="00F7113A" w:rsidRPr="00580C0D" w:rsidRDefault="00142E5B" w:rsidP="00BD6CF4">
            <w:pPr>
              <w:ind w:right="284"/>
              <w:jc w:val="right"/>
            </w:pPr>
            <w:r w:rsidRPr="00580C0D">
              <w:t>755</w:t>
            </w:r>
          </w:p>
        </w:tc>
        <w:tc>
          <w:tcPr>
            <w:tcW w:w="840" w:type="dxa"/>
            <w:tcBorders>
              <w:top w:val="nil"/>
              <w:left w:val="nil"/>
              <w:bottom w:val="nil"/>
              <w:right w:val="nil"/>
            </w:tcBorders>
            <w:tcMar>
              <w:top w:w="128" w:type="dxa"/>
              <w:left w:w="43" w:type="dxa"/>
              <w:bottom w:w="43" w:type="dxa"/>
              <w:right w:w="43" w:type="dxa"/>
            </w:tcMar>
          </w:tcPr>
          <w:p w14:paraId="0DA3861E"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55CF654" w14:textId="77777777" w:rsidR="00F7113A" w:rsidRPr="00580C0D" w:rsidRDefault="00142E5B" w:rsidP="00BD6CF4">
            <w:r w:rsidRPr="00580C0D">
              <w:t xml:space="preserve">Plan for å redusere </w:t>
            </w:r>
            <w:proofErr w:type="spellStart"/>
            <w:r w:rsidRPr="00580C0D">
              <w:t>vedlikehaldsetterslepet</w:t>
            </w:r>
            <w:proofErr w:type="spellEnd"/>
            <w:r w:rsidRPr="00580C0D">
              <w:t xml:space="preserve"> på </w:t>
            </w:r>
            <w:r w:rsidRPr="00580C0D">
              <w:br/>
              <w:t xml:space="preserve">riks- og </w:t>
            </w:r>
            <w:proofErr w:type="spellStart"/>
            <w:r w:rsidRPr="00580C0D">
              <w:t>fylkesvegar</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tcPr>
          <w:p w14:paraId="6A62CEA7" w14:textId="77777777" w:rsidR="00F7113A" w:rsidRPr="00580C0D" w:rsidRDefault="00142E5B" w:rsidP="00BD6CF4">
            <w:pPr>
              <w:jc w:val="right"/>
            </w:pPr>
            <w:r w:rsidRPr="00580C0D">
              <w:t>Nei</w:t>
            </w:r>
          </w:p>
        </w:tc>
      </w:tr>
      <w:tr w:rsidR="00F7113A" w:rsidRPr="00580C0D" w14:paraId="06D08726" w14:textId="77777777">
        <w:trPr>
          <w:trHeight w:val="640"/>
        </w:trPr>
        <w:tc>
          <w:tcPr>
            <w:tcW w:w="1300" w:type="dxa"/>
            <w:tcBorders>
              <w:top w:val="nil"/>
              <w:left w:val="nil"/>
              <w:bottom w:val="nil"/>
              <w:right w:val="nil"/>
            </w:tcBorders>
            <w:tcMar>
              <w:top w:w="128" w:type="dxa"/>
              <w:left w:w="43" w:type="dxa"/>
              <w:bottom w:w="43" w:type="dxa"/>
              <w:right w:w="43" w:type="dxa"/>
            </w:tcMar>
          </w:tcPr>
          <w:p w14:paraId="45C068E3"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01849C45" w14:textId="77777777" w:rsidR="00F7113A" w:rsidRPr="00580C0D" w:rsidRDefault="00142E5B" w:rsidP="00BD6CF4">
            <w:pPr>
              <w:ind w:right="284"/>
              <w:jc w:val="right"/>
            </w:pPr>
            <w:r w:rsidRPr="00580C0D">
              <w:t>827</w:t>
            </w:r>
          </w:p>
        </w:tc>
        <w:tc>
          <w:tcPr>
            <w:tcW w:w="840" w:type="dxa"/>
            <w:tcBorders>
              <w:top w:val="nil"/>
              <w:left w:val="nil"/>
              <w:bottom w:val="nil"/>
              <w:right w:val="nil"/>
            </w:tcBorders>
            <w:tcMar>
              <w:top w:w="128" w:type="dxa"/>
              <w:left w:w="43" w:type="dxa"/>
              <w:bottom w:w="43" w:type="dxa"/>
              <w:right w:w="43" w:type="dxa"/>
            </w:tcMar>
          </w:tcPr>
          <w:p w14:paraId="576BA156"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71948C4" w14:textId="77777777" w:rsidR="00F7113A" w:rsidRPr="00580C0D" w:rsidRDefault="00142E5B" w:rsidP="00BD6CF4">
            <w:r w:rsidRPr="00580C0D">
              <w:t>Oppdatere kostnader for å innføre nullutslippsferjer og -hurtigbåter</w:t>
            </w:r>
          </w:p>
        </w:tc>
        <w:tc>
          <w:tcPr>
            <w:tcW w:w="1400" w:type="dxa"/>
            <w:tcBorders>
              <w:top w:val="nil"/>
              <w:left w:val="nil"/>
              <w:bottom w:val="nil"/>
              <w:right w:val="nil"/>
            </w:tcBorders>
            <w:tcMar>
              <w:top w:w="128" w:type="dxa"/>
              <w:left w:w="43" w:type="dxa"/>
              <w:bottom w:w="43" w:type="dxa"/>
              <w:right w:w="43" w:type="dxa"/>
            </w:tcMar>
          </w:tcPr>
          <w:p w14:paraId="00097B6C" w14:textId="77777777" w:rsidR="00F7113A" w:rsidRPr="00580C0D" w:rsidRDefault="00142E5B" w:rsidP="00BD6CF4">
            <w:pPr>
              <w:jc w:val="right"/>
            </w:pPr>
            <w:r w:rsidRPr="00580C0D">
              <w:t>Nei</w:t>
            </w:r>
          </w:p>
        </w:tc>
      </w:tr>
      <w:tr w:rsidR="00F7113A" w:rsidRPr="00580C0D" w14:paraId="1A2505C5" w14:textId="77777777">
        <w:trPr>
          <w:trHeight w:val="640"/>
        </w:trPr>
        <w:tc>
          <w:tcPr>
            <w:tcW w:w="1300" w:type="dxa"/>
            <w:tcBorders>
              <w:top w:val="nil"/>
              <w:left w:val="nil"/>
              <w:bottom w:val="nil"/>
              <w:right w:val="nil"/>
            </w:tcBorders>
            <w:tcMar>
              <w:top w:w="128" w:type="dxa"/>
              <w:left w:w="43" w:type="dxa"/>
              <w:bottom w:w="43" w:type="dxa"/>
              <w:right w:w="43" w:type="dxa"/>
            </w:tcMar>
          </w:tcPr>
          <w:p w14:paraId="08DD7707" w14:textId="77777777" w:rsidR="00F7113A" w:rsidRPr="00580C0D" w:rsidRDefault="00142E5B" w:rsidP="00BD6CF4">
            <w:r w:rsidRPr="00580C0D">
              <w:t>2022–2023</w:t>
            </w:r>
          </w:p>
        </w:tc>
        <w:tc>
          <w:tcPr>
            <w:tcW w:w="1120" w:type="dxa"/>
            <w:tcBorders>
              <w:top w:val="nil"/>
              <w:left w:val="nil"/>
              <w:bottom w:val="nil"/>
              <w:right w:val="nil"/>
            </w:tcBorders>
            <w:tcMar>
              <w:top w:w="128" w:type="dxa"/>
              <w:left w:w="43" w:type="dxa"/>
              <w:bottom w:w="43" w:type="dxa"/>
              <w:right w:w="43" w:type="dxa"/>
            </w:tcMar>
          </w:tcPr>
          <w:p w14:paraId="332C0DD8" w14:textId="77777777" w:rsidR="00F7113A" w:rsidRPr="00580C0D" w:rsidRDefault="00142E5B" w:rsidP="00BD6CF4">
            <w:pPr>
              <w:ind w:right="284"/>
              <w:jc w:val="right"/>
            </w:pPr>
            <w:r w:rsidRPr="00580C0D">
              <w:t>935</w:t>
            </w:r>
          </w:p>
        </w:tc>
        <w:tc>
          <w:tcPr>
            <w:tcW w:w="840" w:type="dxa"/>
            <w:tcBorders>
              <w:top w:val="nil"/>
              <w:left w:val="nil"/>
              <w:bottom w:val="nil"/>
              <w:right w:val="nil"/>
            </w:tcBorders>
            <w:tcMar>
              <w:top w:w="128" w:type="dxa"/>
              <w:left w:w="43" w:type="dxa"/>
              <w:bottom w:w="43" w:type="dxa"/>
              <w:right w:w="43" w:type="dxa"/>
            </w:tcMar>
          </w:tcPr>
          <w:p w14:paraId="3C1BF7FF"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1805C1D0" w14:textId="77777777" w:rsidR="00F7113A" w:rsidRPr="00580C0D" w:rsidRDefault="00142E5B" w:rsidP="00BD6CF4">
            <w:r w:rsidRPr="00580C0D">
              <w:t xml:space="preserve">Automatisk trafikkontroll der fartsgrensa er sett ned av omsyn til luft- eller </w:t>
            </w:r>
            <w:proofErr w:type="spellStart"/>
            <w:r w:rsidRPr="00580C0D">
              <w:t>støyforureining</w:t>
            </w:r>
            <w:proofErr w:type="spellEnd"/>
          </w:p>
        </w:tc>
        <w:tc>
          <w:tcPr>
            <w:tcW w:w="1400" w:type="dxa"/>
            <w:tcBorders>
              <w:top w:val="nil"/>
              <w:left w:val="nil"/>
              <w:bottom w:val="nil"/>
              <w:right w:val="nil"/>
            </w:tcBorders>
            <w:tcMar>
              <w:top w:w="128" w:type="dxa"/>
              <w:left w:w="43" w:type="dxa"/>
              <w:bottom w:w="43" w:type="dxa"/>
              <w:right w:w="43" w:type="dxa"/>
            </w:tcMar>
          </w:tcPr>
          <w:p w14:paraId="2FE909AD" w14:textId="77777777" w:rsidR="00F7113A" w:rsidRPr="00580C0D" w:rsidRDefault="00142E5B" w:rsidP="00BD6CF4">
            <w:pPr>
              <w:jc w:val="right"/>
            </w:pPr>
            <w:r w:rsidRPr="00580C0D">
              <w:t>Nei</w:t>
            </w:r>
          </w:p>
        </w:tc>
      </w:tr>
      <w:tr w:rsidR="00F7113A" w:rsidRPr="00580C0D" w14:paraId="29F8E03C" w14:textId="77777777">
        <w:trPr>
          <w:trHeight w:val="640"/>
        </w:trPr>
        <w:tc>
          <w:tcPr>
            <w:tcW w:w="1300" w:type="dxa"/>
            <w:tcBorders>
              <w:top w:val="nil"/>
              <w:left w:val="nil"/>
              <w:bottom w:val="nil"/>
              <w:right w:val="nil"/>
            </w:tcBorders>
            <w:tcMar>
              <w:top w:w="128" w:type="dxa"/>
              <w:left w:w="43" w:type="dxa"/>
              <w:bottom w:w="43" w:type="dxa"/>
              <w:right w:w="43" w:type="dxa"/>
            </w:tcMar>
          </w:tcPr>
          <w:p w14:paraId="195B1AD4"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5720FCB3" w14:textId="77777777" w:rsidR="00F7113A" w:rsidRPr="00580C0D" w:rsidRDefault="00142E5B" w:rsidP="00BD6CF4">
            <w:pPr>
              <w:ind w:right="284"/>
              <w:jc w:val="right"/>
            </w:pPr>
            <w:r w:rsidRPr="00580C0D">
              <w:t>35</w:t>
            </w:r>
          </w:p>
        </w:tc>
        <w:tc>
          <w:tcPr>
            <w:tcW w:w="840" w:type="dxa"/>
            <w:tcBorders>
              <w:top w:val="nil"/>
              <w:left w:val="nil"/>
              <w:bottom w:val="nil"/>
              <w:right w:val="nil"/>
            </w:tcBorders>
            <w:tcMar>
              <w:top w:w="128" w:type="dxa"/>
              <w:left w:w="43" w:type="dxa"/>
              <w:bottom w:w="43" w:type="dxa"/>
              <w:right w:w="43" w:type="dxa"/>
            </w:tcMar>
          </w:tcPr>
          <w:p w14:paraId="278B3605" w14:textId="77777777" w:rsidR="00F7113A" w:rsidRPr="00580C0D" w:rsidRDefault="00142E5B" w:rsidP="00BD6CF4">
            <w:pPr>
              <w:ind w:right="284"/>
              <w:jc w:val="right"/>
            </w:pPr>
            <w:r w:rsidRPr="00580C0D">
              <w:t>1</w:t>
            </w:r>
          </w:p>
        </w:tc>
        <w:tc>
          <w:tcPr>
            <w:tcW w:w="4860" w:type="dxa"/>
            <w:tcBorders>
              <w:top w:val="nil"/>
              <w:left w:val="nil"/>
              <w:bottom w:val="nil"/>
              <w:right w:val="nil"/>
            </w:tcBorders>
            <w:tcMar>
              <w:top w:w="128" w:type="dxa"/>
              <w:left w:w="43" w:type="dxa"/>
              <w:bottom w:w="43" w:type="dxa"/>
              <w:right w:w="43" w:type="dxa"/>
            </w:tcMar>
            <w:vAlign w:val="bottom"/>
          </w:tcPr>
          <w:p w14:paraId="22A4333D" w14:textId="53F61BCC" w:rsidR="00F7113A" w:rsidRPr="00580C0D" w:rsidRDefault="00142E5B" w:rsidP="00BD6CF4">
            <w:r w:rsidRPr="00580C0D">
              <w:t xml:space="preserve">Basere </w:t>
            </w:r>
            <w:proofErr w:type="spellStart"/>
            <w:r w:rsidRPr="00580C0D">
              <w:t>anbod</w:t>
            </w:r>
            <w:proofErr w:type="spellEnd"/>
            <w:r w:rsidRPr="00580C0D">
              <w:t xml:space="preserve"> i fylkeskommunal ferje- og båt</w:t>
            </w:r>
            <w:r w:rsidR="00E13315">
              <w:softHyphen/>
            </w:r>
            <w:r w:rsidRPr="00580C0D">
              <w:t>trafikk på nullutsleppsteknologi</w:t>
            </w:r>
          </w:p>
        </w:tc>
        <w:tc>
          <w:tcPr>
            <w:tcW w:w="1400" w:type="dxa"/>
            <w:tcBorders>
              <w:top w:val="nil"/>
              <w:left w:val="nil"/>
              <w:bottom w:val="nil"/>
              <w:right w:val="nil"/>
            </w:tcBorders>
            <w:tcMar>
              <w:top w:w="128" w:type="dxa"/>
              <w:left w:w="43" w:type="dxa"/>
              <w:bottom w:w="43" w:type="dxa"/>
              <w:right w:w="43" w:type="dxa"/>
            </w:tcMar>
          </w:tcPr>
          <w:p w14:paraId="104E6156" w14:textId="77777777" w:rsidR="00F7113A" w:rsidRPr="00580C0D" w:rsidRDefault="00142E5B" w:rsidP="00BD6CF4">
            <w:pPr>
              <w:jc w:val="right"/>
            </w:pPr>
            <w:r w:rsidRPr="00580C0D">
              <w:t>Ja</w:t>
            </w:r>
          </w:p>
        </w:tc>
      </w:tr>
      <w:tr w:rsidR="00F7113A" w:rsidRPr="00580C0D" w14:paraId="488CF8E6" w14:textId="77777777">
        <w:trPr>
          <w:trHeight w:val="640"/>
        </w:trPr>
        <w:tc>
          <w:tcPr>
            <w:tcW w:w="1300" w:type="dxa"/>
            <w:tcBorders>
              <w:top w:val="nil"/>
              <w:left w:val="nil"/>
              <w:bottom w:val="nil"/>
              <w:right w:val="nil"/>
            </w:tcBorders>
            <w:tcMar>
              <w:top w:w="128" w:type="dxa"/>
              <w:left w:w="43" w:type="dxa"/>
              <w:bottom w:w="43" w:type="dxa"/>
              <w:right w:w="43" w:type="dxa"/>
            </w:tcMar>
          </w:tcPr>
          <w:p w14:paraId="4BBF15EB"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7CB8B414" w14:textId="77777777" w:rsidR="00F7113A" w:rsidRPr="00580C0D" w:rsidRDefault="00142E5B" w:rsidP="00BD6CF4">
            <w:pPr>
              <w:ind w:right="284"/>
              <w:jc w:val="right"/>
            </w:pPr>
            <w:r w:rsidRPr="00580C0D">
              <w:t>35</w:t>
            </w:r>
          </w:p>
        </w:tc>
        <w:tc>
          <w:tcPr>
            <w:tcW w:w="840" w:type="dxa"/>
            <w:tcBorders>
              <w:top w:val="nil"/>
              <w:left w:val="nil"/>
              <w:bottom w:val="nil"/>
              <w:right w:val="nil"/>
            </w:tcBorders>
            <w:tcMar>
              <w:top w:w="128" w:type="dxa"/>
              <w:left w:w="43" w:type="dxa"/>
              <w:bottom w:w="43" w:type="dxa"/>
              <w:right w:w="43" w:type="dxa"/>
            </w:tcMar>
          </w:tcPr>
          <w:p w14:paraId="54E1700E" w14:textId="77777777" w:rsidR="00F7113A" w:rsidRPr="00580C0D" w:rsidRDefault="00142E5B" w:rsidP="00BD6CF4">
            <w:pPr>
              <w:ind w:right="284"/>
              <w:jc w:val="right"/>
            </w:pPr>
            <w:r w:rsidRPr="00580C0D">
              <w:t>14</w:t>
            </w:r>
          </w:p>
        </w:tc>
        <w:tc>
          <w:tcPr>
            <w:tcW w:w="4860" w:type="dxa"/>
            <w:tcBorders>
              <w:top w:val="nil"/>
              <w:left w:val="nil"/>
              <w:bottom w:val="nil"/>
              <w:right w:val="nil"/>
            </w:tcBorders>
            <w:tcMar>
              <w:top w:w="128" w:type="dxa"/>
              <w:left w:w="43" w:type="dxa"/>
              <w:bottom w:w="43" w:type="dxa"/>
              <w:right w:w="43" w:type="dxa"/>
            </w:tcMar>
            <w:vAlign w:val="bottom"/>
          </w:tcPr>
          <w:p w14:paraId="6794AE9D" w14:textId="77777777" w:rsidR="00F7113A" w:rsidRPr="00580C0D" w:rsidRDefault="00142E5B" w:rsidP="00BD6CF4">
            <w:r w:rsidRPr="00580C0D">
              <w:t xml:space="preserve">Etablere nasjonal ordning med miljørabatt for </w:t>
            </w:r>
            <w:r w:rsidRPr="00580C0D">
              <w:br/>
              <w:t xml:space="preserve">el-varebil ved </w:t>
            </w:r>
            <w:proofErr w:type="spellStart"/>
            <w:r w:rsidRPr="00580C0D">
              <w:t>bompasseringar</w:t>
            </w:r>
            <w:proofErr w:type="spellEnd"/>
          </w:p>
        </w:tc>
        <w:tc>
          <w:tcPr>
            <w:tcW w:w="1400" w:type="dxa"/>
            <w:tcBorders>
              <w:top w:val="nil"/>
              <w:left w:val="nil"/>
              <w:bottom w:val="nil"/>
              <w:right w:val="nil"/>
            </w:tcBorders>
            <w:tcMar>
              <w:top w:w="128" w:type="dxa"/>
              <w:left w:w="43" w:type="dxa"/>
              <w:bottom w:w="43" w:type="dxa"/>
              <w:right w:w="43" w:type="dxa"/>
            </w:tcMar>
          </w:tcPr>
          <w:p w14:paraId="4DFB9B98" w14:textId="77777777" w:rsidR="00F7113A" w:rsidRPr="00580C0D" w:rsidRDefault="00142E5B" w:rsidP="00BD6CF4">
            <w:pPr>
              <w:jc w:val="right"/>
            </w:pPr>
            <w:r w:rsidRPr="00580C0D">
              <w:t>Ja</w:t>
            </w:r>
          </w:p>
        </w:tc>
      </w:tr>
      <w:tr w:rsidR="00F7113A" w:rsidRPr="00580C0D" w14:paraId="2C011BCF" w14:textId="77777777">
        <w:trPr>
          <w:trHeight w:val="640"/>
        </w:trPr>
        <w:tc>
          <w:tcPr>
            <w:tcW w:w="1300" w:type="dxa"/>
            <w:tcBorders>
              <w:top w:val="nil"/>
              <w:left w:val="nil"/>
              <w:bottom w:val="nil"/>
              <w:right w:val="nil"/>
            </w:tcBorders>
            <w:tcMar>
              <w:top w:w="128" w:type="dxa"/>
              <w:left w:w="43" w:type="dxa"/>
              <w:bottom w:w="43" w:type="dxa"/>
              <w:right w:w="43" w:type="dxa"/>
            </w:tcMar>
          </w:tcPr>
          <w:p w14:paraId="633571DC"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145DEAC1" w14:textId="77777777" w:rsidR="00F7113A" w:rsidRPr="00580C0D" w:rsidRDefault="00142E5B" w:rsidP="00BD6CF4">
            <w:pPr>
              <w:ind w:right="284"/>
              <w:jc w:val="right"/>
            </w:pPr>
            <w:r w:rsidRPr="00580C0D">
              <w:t>466</w:t>
            </w:r>
          </w:p>
        </w:tc>
        <w:tc>
          <w:tcPr>
            <w:tcW w:w="840" w:type="dxa"/>
            <w:tcBorders>
              <w:top w:val="nil"/>
              <w:left w:val="nil"/>
              <w:bottom w:val="nil"/>
              <w:right w:val="nil"/>
            </w:tcBorders>
            <w:tcMar>
              <w:top w:w="128" w:type="dxa"/>
              <w:left w:w="43" w:type="dxa"/>
              <w:bottom w:w="43" w:type="dxa"/>
              <w:right w:w="43" w:type="dxa"/>
            </w:tcMar>
          </w:tcPr>
          <w:p w14:paraId="72039BD1"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F7D997D" w14:textId="77777777" w:rsidR="00F7113A" w:rsidRPr="00580C0D" w:rsidRDefault="00142E5B" w:rsidP="00BD6CF4">
            <w:r w:rsidRPr="00580C0D">
              <w:t>Følgje opp skredfaktormodellen og vurdere alle relevante prosjekt på to sikringsnivå</w:t>
            </w:r>
          </w:p>
        </w:tc>
        <w:tc>
          <w:tcPr>
            <w:tcW w:w="1400" w:type="dxa"/>
            <w:tcBorders>
              <w:top w:val="nil"/>
              <w:left w:val="nil"/>
              <w:bottom w:val="nil"/>
              <w:right w:val="nil"/>
            </w:tcBorders>
            <w:tcMar>
              <w:top w:w="128" w:type="dxa"/>
              <w:left w:w="43" w:type="dxa"/>
              <w:bottom w:w="43" w:type="dxa"/>
              <w:right w:w="43" w:type="dxa"/>
            </w:tcMar>
          </w:tcPr>
          <w:p w14:paraId="60760DED" w14:textId="77777777" w:rsidR="00F7113A" w:rsidRPr="00580C0D" w:rsidRDefault="00142E5B" w:rsidP="00BD6CF4">
            <w:pPr>
              <w:jc w:val="right"/>
            </w:pPr>
            <w:r w:rsidRPr="00580C0D">
              <w:t>Nei</w:t>
            </w:r>
          </w:p>
        </w:tc>
      </w:tr>
      <w:tr w:rsidR="00F7113A" w:rsidRPr="00580C0D" w14:paraId="33CC799E" w14:textId="77777777">
        <w:trPr>
          <w:trHeight w:val="380"/>
        </w:trPr>
        <w:tc>
          <w:tcPr>
            <w:tcW w:w="1300" w:type="dxa"/>
            <w:tcBorders>
              <w:top w:val="nil"/>
              <w:left w:val="nil"/>
              <w:bottom w:val="nil"/>
              <w:right w:val="nil"/>
            </w:tcBorders>
            <w:tcMar>
              <w:top w:w="128" w:type="dxa"/>
              <w:left w:w="43" w:type="dxa"/>
              <w:bottom w:w="43" w:type="dxa"/>
              <w:right w:w="43" w:type="dxa"/>
            </w:tcMar>
          </w:tcPr>
          <w:p w14:paraId="41949E74"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7D8FA233" w14:textId="77777777" w:rsidR="00F7113A" w:rsidRPr="00580C0D" w:rsidRDefault="00142E5B" w:rsidP="00BD6CF4">
            <w:pPr>
              <w:ind w:right="284"/>
              <w:jc w:val="right"/>
            </w:pPr>
            <w:r w:rsidRPr="00580C0D">
              <w:t>467</w:t>
            </w:r>
          </w:p>
        </w:tc>
        <w:tc>
          <w:tcPr>
            <w:tcW w:w="840" w:type="dxa"/>
            <w:tcBorders>
              <w:top w:val="nil"/>
              <w:left w:val="nil"/>
              <w:bottom w:val="nil"/>
              <w:right w:val="nil"/>
            </w:tcBorders>
            <w:tcMar>
              <w:top w:w="128" w:type="dxa"/>
              <w:left w:w="43" w:type="dxa"/>
              <w:bottom w:w="43" w:type="dxa"/>
              <w:right w:w="43" w:type="dxa"/>
            </w:tcMar>
          </w:tcPr>
          <w:p w14:paraId="0A4E8B79"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24947B3" w14:textId="77777777" w:rsidR="00F7113A" w:rsidRPr="00580C0D" w:rsidRDefault="00142E5B" w:rsidP="00BD6CF4">
            <w:r w:rsidRPr="00580C0D">
              <w:t>Innovasjonsprogram for skredsikring</w:t>
            </w:r>
          </w:p>
        </w:tc>
        <w:tc>
          <w:tcPr>
            <w:tcW w:w="1400" w:type="dxa"/>
            <w:tcBorders>
              <w:top w:val="nil"/>
              <w:left w:val="nil"/>
              <w:bottom w:val="nil"/>
              <w:right w:val="nil"/>
            </w:tcBorders>
            <w:tcMar>
              <w:top w:w="128" w:type="dxa"/>
              <w:left w:w="43" w:type="dxa"/>
              <w:bottom w:w="43" w:type="dxa"/>
              <w:right w:w="43" w:type="dxa"/>
            </w:tcMar>
          </w:tcPr>
          <w:p w14:paraId="50504DFB" w14:textId="77777777" w:rsidR="00F7113A" w:rsidRPr="00580C0D" w:rsidRDefault="00142E5B" w:rsidP="00BD6CF4">
            <w:pPr>
              <w:jc w:val="right"/>
            </w:pPr>
            <w:r w:rsidRPr="00580C0D">
              <w:t>Ja</w:t>
            </w:r>
          </w:p>
        </w:tc>
      </w:tr>
      <w:tr w:rsidR="00F7113A" w:rsidRPr="00580C0D" w14:paraId="2DEF28E1" w14:textId="77777777">
        <w:trPr>
          <w:trHeight w:val="640"/>
        </w:trPr>
        <w:tc>
          <w:tcPr>
            <w:tcW w:w="1300" w:type="dxa"/>
            <w:tcBorders>
              <w:top w:val="nil"/>
              <w:left w:val="nil"/>
              <w:bottom w:val="nil"/>
              <w:right w:val="nil"/>
            </w:tcBorders>
            <w:tcMar>
              <w:top w:w="128" w:type="dxa"/>
              <w:left w:w="43" w:type="dxa"/>
              <w:bottom w:w="43" w:type="dxa"/>
              <w:right w:w="43" w:type="dxa"/>
            </w:tcMar>
          </w:tcPr>
          <w:p w14:paraId="46626E4D"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492E59E3" w14:textId="77777777" w:rsidR="00F7113A" w:rsidRPr="00580C0D" w:rsidRDefault="00142E5B" w:rsidP="00BD6CF4">
            <w:pPr>
              <w:ind w:right="284"/>
              <w:jc w:val="right"/>
            </w:pPr>
            <w:r w:rsidRPr="00580C0D">
              <w:t>469</w:t>
            </w:r>
          </w:p>
        </w:tc>
        <w:tc>
          <w:tcPr>
            <w:tcW w:w="840" w:type="dxa"/>
            <w:tcBorders>
              <w:top w:val="nil"/>
              <w:left w:val="nil"/>
              <w:bottom w:val="nil"/>
              <w:right w:val="nil"/>
            </w:tcBorders>
            <w:tcMar>
              <w:top w:w="128" w:type="dxa"/>
              <w:left w:w="43" w:type="dxa"/>
              <w:bottom w:w="43" w:type="dxa"/>
              <w:right w:w="43" w:type="dxa"/>
            </w:tcMar>
          </w:tcPr>
          <w:p w14:paraId="123B321C"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3FE0B15" w14:textId="23955074" w:rsidR="00F7113A" w:rsidRPr="00580C0D" w:rsidRDefault="00142E5B" w:rsidP="00BD6CF4">
            <w:proofErr w:type="spellStart"/>
            <w:r w:rsidRPr="00580C0D">
              <w:t>Insentivordning</w:t>
            </w:r>
            <w:proofErr w:type="spellEnd"/>
            <w:r w:rsidRPr="00580C0D">
              <w:t xml:space="preserve"> for </w:t>
            </w:r>
            <w:proofErr w:type="spellStart"/>
            <w:r w:rsidRPr="00580C0D">
              <w:t>førebyggjande</w:t>
            </w:r>
            <w:proofErr w:type="spellEnd"/>
            <w:r w:rsidRPr="00580C0D">
              <w:t xml:space="preserve"> skred</w:t>
            </w:r>
            <w:r w:rsidR="00E13315">
              <w:softHyphen/>
            </w:r>
            <w:r w:rsidRPr="00580C0D">
              <w:t>kontrollanlegg og varslingssystem</w:t>
            </w:r>
          </w:p>
        </w:tc>
        <w:tc>
          <w:tcPr>
            <w:tcW w:w="1400" w:type="dxa"/>
            <w:tcBorders>
              <w:top w:val="nil"/>
              <w:left w:val="nil"/>
              <w:bottom w:val="nil"/>
              <w:right w:val="nil"/>
            </w:tcBorders>
            <w:tcMar>
              <w:top w:w="128" w:type="dxa"/>
              <w:left w:w="43" w:type="dxa"/>
              <w:bottom w:w="43" w:type="dxa"/>
              <w:right w:w="43" w:type="dxa"/>
            </w:tcMar>
          </w:tcPr>
          <w:p w14:paraId="43FBCCDE" w14:textId="77777777" w:rsidR="00F7113A" w:rsidRPr="00580C0D" w:rsidRDefault="00142E5B" w:rsidP="00BD6CF4">
            <w:pPr>
              <w:jc w:val="right"/>
            </w:pPr>
            <w:r w:rsidRPr="00580C0D">
              <w:t>Ja</w:t>
            </w:r>
          </w:p>
        </w:tc>
      </w:tr>
      <w:tr w:rsidR="00F7113A" w:rsidRPr="00580C0D" w14:paraId="0A99EA29" w14:textId="77777777">
        <w:trPr>
          <w:trHeight w:val="640"/>
        </w:trPr>
        <w:tc>
          <w:tcPr>
            <w:tcW w:w="1300" w:type="dxa"/>
            <w:tcBorders>
              <w:top w:val="nil"/>
              <w:left w:val="nil"/>
              <w:bottom w:val="nil"/>
              <w:right w:val="nil"/>
            </w:tcBorders>
            <w:tcMar>
              <w:top w:w="128" w:type="dxa"/>
              <w:left w:w="43" w:type="dxa"/>
              <w:bottom w:w="43" w:type="dxa"/>
              <w:right w:w="43" w:type="dxa"/>
            </w:tcMar>
          </w:tcPr>
          <w:p w14:paraId="4B001D79"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5E778DB6" w14:textId="77777777" w:rsidR="00F7113A" w:rsidRPr="00580C0D" w:rsidRDefault="00142E5B" w:rsidP="00BD6CF4">
            <w:pPr>
              <w:ind w:right="284"/>
              <w:jc w:val="right"/>
            </w:pPr>
            <w:r w:rsidRPr="00580C0D">
              <w:t>470</w:t>
            </w:r>
          </w:p>
        </w:tc>
        <w:tc>
          <w:tcPr>
            <w:tcW w:w="840" w:type="dxa"/>
            <w:tcBorders>
              <w:top w:val="nil"/>
              <w:left w:val="nil"/>
              <w:bottom w:val="nil"/>
              <w:right w:val="nil"/>
            </w:tcBorders>
            <w:tcMar>
              <w:top w:w="128" w:type="dxa"/>
              <w:left w:w="43" w:type="dxa"/>
              <w:bottom w:w="43" w:type="dxa"/>
              <w:right w:w="43" w:type="dxa"/>
            </w:tcMar>
          </w:tcPr>
          <w:p w14:paraId="2B846865"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11A5A60A" w14:textId="77777777" w:rsidR="00F7113A" w:rsidRPr="00580C0D" w:rsidRDefault="00142E5B" w:rsidP="00BD6CF4">
            <w:proofErr w:type="spellStart"/>
            <w:r w:rsidRPr="00580C0D">
              <w:t>Heilskaplege</w:t>
            </w:r>
            <w:proofErr w:type="spellEnd"/>
            <w:r w:rsidRPr="00580C0D">
              <w:t xml:space="preserve"> nasjonale ras- og skredsikringsplanar for riks- og fylkesvegnettet</w:t>
            </w:r>
          </w:p>
        </w:tc>
        <w:tc>
          <w:tcPr>
            <w:tcW w:w="1400" w:type="dxa"/>
            <w:tcBorders>
              <w:top w:val="nil"/>
              <w:left w:val="nil"/>
              <w:bottom w:val="nil"/>
              <w:right w:val="nil"/>
            </w:tcBorders>
            <w:tcMar>
              <w:top w:w="128" w:type="dxa"/>
              <w:left w:w="43" w:type="dxa"/>
              <w:bottom w:w="43" w:type="dxa"/>
              <w:right w:w="43" w:type="dxa"/>
            </w:tcMar>
          </w:tcPr>
          <w:p w14:paraId="1ADF7BB7" w14:textId="77777777" w:rsidR="00F7113A" w:rsidRPr="00580C0D" w:rsidRDefault="00142E5B" w:rsidP="00BD6CF4">
            <w:pPr>
              <w:jc w:val="right"/>
            </w:pPr>
            <w:r w:rsidRPr="00580C0D">
              <w:t>Nei</w:t>
            </w:r>
          </w:p>
        </w:tc>
      </w:tr>
      <w:tr w:rsidR="00F7113A" w:rsidRPr="00580C0D" w14:paraId="74BA85FA" w14:textId="77777777">
        <w:trPr>
          <w:trHeight w:val="640"/>
        </w:trPr>
        <w:tc>
          <w:tcPr>
            <w:tcW w:w="1300" w:type="dxa"/>
            <w:tcBorders>
              <w:top w:val="nil"/>
              <w:left w:val="nil"/>
              <w:bottom w:val="nil"/>
              <w:right w:val="nil"/>
            </w:tcBorders>
            <w:tcMar>
              <w:top w:w="128" w:type="dxa"/>
              <w:left w:w="43" w:type="dxa"/>
              <w:bottom w:w="43" w:type="dxa"/>
              <w:right w:w="43" w:type="dxa"/>
            </w:tcMar>
          </w:tcPr>
          <w:p w14:paraId="4DB8CFBB"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4606128C" w14:textId="77777777" w:rsidR="00F7113A" w:rsidRPr="00580C0D" w:rsidRDefault="00142E5B" w:rsidP="00BD6CF4">
            <w:pPr>
              <w:ind w:right="284"/>
              <w:jc w:val="right"/>
            </w:pPr>
            <w:r w:rsidRPr="00580C0D">
              <w:t>541</w:t>
            </w:r>
          </w:p>
        </w:tc>
        <w:tc>
          <w:tcPr>
            <w:tcW w:w="840" w:type="dxa"/>
            <w:tcBorders>
              <w:top w:val="nil"/>
              <w:left w:val="nil"/>
              <w:bottom w:val="nil"/>
              <w:right w:val="nil"/>
            </w:tcBorders>
            <w:tcMar>
              <w:top w:w="128" w:type="dxa"/>
              <w:left w:w="43" w:type="dxa"/>
              <w:bottom w:w="43" w:type="dxa"/>
              <w:right w:w="43" w:type="dxa"/>
            </w:tcMar>
          </w:tcPr>
          <w:p w14:paraId="720267FD"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615C3AA9" w14:textId="77777777" w:rsidR="00F7113A" w:rsidRPr="00580C0D" w:rsidRDefault="00142E5B" w:rsidP="00BD6CF4">
            <w:r w:rsidRPr="00580C0D">
              <w:t xml:space="preserve">Låg- og nullutsleppsteknologi i </w:t>
            </w:r>
            <w:proofErr w:type="spellStart"/>
            <w:r w:rsidRPr="00580C0D">
              <w:t>anboda</w:t>
            </w:r>
            <w:proofErr w:type="spellEnd"/>
            <w:r w:rsidRPr="00580C0D">
              <w:t xml:space="preserve"> på kortbanenettet</w:t>
            </w:r>
          </w:p>
        </w:tc>
        <w:tc>
          <w:tcPr>
            <w:tcW w:w="1400" w:type="dxa"/>
            <w:tcBorders>
              <w:top w:val="nil"/>
              <w:left w:val="nil"/>
              <w:bottom w:val="nil"/>
              <w:right w:val="nil"/>
            </w:tcBorders>
            <w:tcMar>
              <w:top w:w="128" w:type="dxa"/>
              <w:left w:w="43" w:type="dxa"/>
              <w:bottom w:w="43" w:type="dxa"/>
              <w:right w:w="43" w:type="dxa"/>
            </w:tcMar>
          </w:tcPr>
          <w:p w14:paraId="2A435903" w14:textId="77777777" w:rsidR="00F7113A" w:rsidRPr="00580C0D" w:rsidRDefault="00142E5B" w:rsidP="00BD6CF4">
            <w:pPr>
              <w:jc w:val="right"/>
            </w:pPr>
            <w:r w:rsidRPr="00580C0D">
              <w:t>Ja</w:t>
            </w:r>
          </w:p>
        </w:tc>
      </w:tr>
      <w:tr w:rsidR="00F7113A" w:rsidRPr="00580C0D" w14:paraId="2FA9163F" w14:textId="77777777">
        <w:trPr>
          <w:trHeight w:val="640"/>
        </w:trPr>
        <w:tc>
          <w:tcPr>
            <w:tcW w:w="1300" w:type="dxa"/>
            <w:tcBorders>
              <w:top w:val="nil"/>
              <w:left w:val="nil"/>
              <w:bottom w:val="nil"/>
              <w:right w:val="nil"/>
            </w:tcBorders>
            <w:tcMar>
              <w:top w:w="128" w:type="dxa"/>
              <w:left w:w="43" w:type="dxa"/>
              <w:bottom w:w="43" w:type="dxa"/>
              <w:right w:w="43" w:type="dxa"/>
            </w:tcMar>
          </w:tcPr>
          <w:p w14:paraId="32B2C95F"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0FE41D9A" w14:textId="77777777" w:rsidR="00F7113A" w:rsidRPr="00580C0D" w:rsidRDefault="00142E5B" w:rsidP="00BD6CF4">
            <w:pPr>
              <w:ind w:right="284"/>
              <w:jc w:val="right"/>
            </w:pPr>
            <w:r w:rsidRPr="00580C0D">
              <w:t>542</w:t>
            </w:r>
          </w:p>
        </w:tc>
        <w:tc>
          <w:tcPr>
            <w:tcW w:w="840" w:type="dxa"/>
            <w:tcBorders>
              <w:top w:val="nil"/>
              <w:left w:val="nil"/>
              <w:bottom w:val="nil"/>
              <w:right w:val="nil"/>
            </w:tcBorders>
            <w:tcMar>
              <w:top w:w="128" w:type="dxa"/>
              <w:left w:w="43" w:type="dxa"/>
              <w:bottom w:w="43" w:type="dxa"/>
              <w:right w:w="43" w:type="dxa"/>
            </w:tcMar>
          </w:tcPr>
          <w:p w14:paraId="3D50597D"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4E85E142" w14:textId="77777777" w:rsidR="00F7113A" w:rsidRPr="00580C0D" w:rsidRDefault="00142E5B" w:rsidP="00BD6CF4">
            <w:r w:rsidRPr="00580C0D">
              <w:t xml:space="preserve">Foreslå </w:t>
            </w:r>
            <w:proofErr w:type="spellStart"/>
            <w:r w:rsidRPr="00580C0D">
              <w:t>verkemiddel</w:t>
            </w:r>
            <w:proofErr w:type="spellEnd"/>
            <w:r w:rsidRPr="00580C0D">
              <w:t xml:space="preserve"> for å redusere utsleppa </w:t>
            </w:r>
            <w:proofErr w:type="spellStart"/>
            <w:r w:rsidRPr="00580C0D">
              <w:t>frå</w:t>
            </w:r>
            <w:proofErr w:type="spellEnd"/>
            <w:r w:rsidRPr="00580C0D">
              <w:t xml:space="preserve"> luftfarten</w:t>
            </w:r>
          </w:p>
        </w:tc>
        <w:tc>
          <w:tcPr>
            <w:tcW w:w="1400" w:type="dxa"/>
            <w:tcBorders>
              <w:top w:val="nil"/>
              <w:left w:val="nil"/>
              <w:bottom w:val="nil"/>
              <w:right w:val="nil"/>
            </w:tcBorders>
            <w:tcMar>
              <w:top w:w="128" w:type="dxa"/>
              <w:left w:w="43" w:type="dxa"/>
              <w:bottom w:w="43" w:type="dxa"/>
              <w:right w:w="43" w:type="dxa"/>
            </w:tcMar>
          </w:tcPr>
          <w:p w14:paraId="011F7A72" w14:textId="77777777" w:rsidR="00F7113A" w:rsidRPr="00580C0D" w:rsidRDefault="00142E5B" w:rsidP="00BD6CF4">
            <w:pPr>
              <w:jc w:val="right"/>
            </w:pPr>
            <w:r w:rsidRPr="00580C0D">
              <w:t>Ja</w:t>
            </w:r>
          </w:p>
        </w:tc>
      </w:tr>
      <w:tr w:rsidR="00F7113A" w:rsidRPr="00580C0D" w14:paraId="54F10CDF" w14:textId="77777777">
        <w:trPr>
          <w:trHeight w:val="380"/>
        </w:trPr>
        <w:tc>
          <w:tcPr>
            <w:tcW w:w="1300" w:type="dxa"/>
            <w:tcBorders>
              <w:top w:val="nil"/>
              <w:left w:val="nil"/>
              <w:bottom w:val="nil"/>
              <w:right w:val="nil"/>
            </w:tcBorders>
            <w:tcMar>
              <w:top w:w="128" w:type="dxa"/>
              <w:left w:w="43" w:type="dxa"/>
              <w:bottom w:w="43" w:type="dxa"/>
              <w:right w:w="43" w:type="dxa"/>
            </w:tcMar>
          </w:tcPr>
          <w:p w14:paraId="04C73686"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6983642B" w14:textId="77777777" w:rsidR="00F7113A" w:rsidRPr="00580C0D" w:rsidRDefault="00142E5B" w:rsidP="00BD6CF4">
            <w:pPr>
              <w:ind w:right="284"/>
              <w:jc w:val="right"/>
            </w:pPr>
            <w:r w:rsidRPr="00580C0D">
              <w:t>543</w:t>
            </w:r>
          </w:p>
        </w:tc>
        <w:tc>
          <w:tcPr>
            <w:tcW w:w="840" w:type="dxa"/>
            <w:tcBorders>
              <w:top w:val="nil"/>
              <w:left w:val="nil"/>
              <w:bottom w:val="nil"/>
              <w:right w:val="nil"/>
            </w:tcBorders>
            <w:tcMar>
              <w:top w:w="128" w:type="dxa"/>
              <w:left w:w="43" w:type="dxa"/>
              <w:bottom w:w="43" w:type="dxa"/>
              <w:right w:w="43" w:type="dxa"/>
            </w:tcMar>
          </w:tcPr>
          <w:p w14:paraId="70A6B1A1"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45F95424" w14:textId="77777777" w:rsidR="00F7113A" w:rsidRPr="00580C0D" w:rsidRDefault="00142E5B" w:rsidP="00BD6CF4">
            <w:r w:rsidRPr="00580C0D">
              <w:t xml:space="preserve">Senter for klimanøytral regional luftfart </w:t>
            </w:r>
          </w:p>
        </w:tc>
        <w:tc>
          <w:tcPr>
            <w:tcW w:w="1400" w:type="dxa"/>
            <w:tcBorders>
              <w:top w:val="nil"/>
              <w:left w:val="nil"/>
              <w:bottom w:val="nil"/>
              <w:right w:val="nil"/>
            </w:tcBorders>
            <w:tcMar>
              <w:top w:w="128" w:type="dxa"/>
              <w:left w:w="43" w:type="dxa"/>
              <w:bottom w:w="43" w:type="dxa"/>
              <w:right w:w="43" w:type="dxa"/>
            </w:tcMar>
          </w:tcPr>
          <w:p w14:paraId="091DBD3A" w14:textId="77777777" w:rsidR="00F7113A" w:rsidRPr="00580C0D" w:rsidRDefault="00142E5B" w:rsidP="00BD6CF4">
            <w:pPr>
              <w:jc w:val="right"/>
            </w:pPr>
            <w:r w:rsidRPr="00580C0D">
              <w:t>Ja</w:t>
            </w:r>
          </w:p>
        </w:tc>
      </w:tr>
      <w:tr w:rsidR="00F7113A" w:rsidRPr="00580C0D" w14:paraId="06A9A34B" w14:textId="77777777">
        <w:trPr>
          <w:trHeight w:val="640"/>
        </w:trPr>
        <w:tc>
          <w:tcPr>
            <w:tcW w:w="1300" w:type="dxa"/>
            <w:tcBorders>
              <w:top w:val="nil"/>
              <w:left w:val="nil"/>
              <w:bottom w:val="nil"/>
              <w:right w:val="nil"/>
            </w:tcBorders>
            <w:tcMar>
              <w:top w:w="128" w:type="dxa"/>
              <w:left w:w="43" w:type="dxa"/>
              <w:bottom w:w="43" w:type="dxa"/>
              <w:right w:w="43" w:type="dxa"/>
            </w:tcMar>
          </w:tcPr>
          <w:p w14:paraId="3E87A6B2"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7512D2C7" w14:textId="77777777" w:rsidR="00F7113A" w:rsidRPr="00580C0D" w:rsidRDefault="00142E5B" w:rsidP="00BD6CF4">
            <w:pPr>
              <w:ind w:right="284"/>
              <w:jc w:val="right"/>
            </w:pPr>
            <w:r w:rsidRPr="00580C0D">
              <w:t>553</w:t>
            </w:r>
          </w:p>
        </w:tc>
        <w:tc>
          <w:tcPr>
            <w:tcW w:w="840" w:type="dxa"/>
            <w:tcBorders>
              <w:top w:val="nil"/>
              <w:left w:val="nil"/>
              <w:bottom w:val="nil"/>
              <w:right w:val="nil"/>
            </w:tcBorders>
            <w:tcMar>
              <w:top w:w="128" w:type="dxa"/>
              <w:left w:w="43" w:type="dxa"/>
              <w:bottom w:w="43" w:type="dxa"/>
              <w:right w:w="43" w:type="dxa"/>
            </w:tcMar>
          </w:tcPr>
          <w:p w14:paraId="6E2D0D82"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516C1FBF" w14:textId="77777777" w:rsidR="00F7113A" w:rsidRPr="00580C0D" w:rsidRDefault="00142E5B" w:rsidP="00BD6CF4">
            <w:r w:rsidRPr="00580C0D">
              <w:t xml:space="preserve">Framdriftsplan for å få </w:t>
            </w:r>
            <w:proofErr w:type="spellStart"/>
            <w:r w:rsidRPr="00580C0D">
              <w:t>dieseldrivne</w:t>
            </w:r>
            <w:proofErr w:type="spellEnd"/>
            <w:r w:rsidRPr="00580C0D">
              <w:t xml:space="preserve"> </w:t>
            </w:r>
            <w:proofErr w:type="spellStart"/>
            <w:r w:rsidRPr="00580C0D">
              <w:t>jernbanestrekningar</w:t>
            </w:r>
            <w:proofErr w:type="spellEnd"/>
            <w:r w:rsidRPr="00580C0D">
              <w:t xml:space="preserve"> over på nullutsleppsteknologi</w:t>
            </w:r>
          </w:p>
        </w:tc>
        <w:tc>
          <w:tcPr>
            <w:tcW w:w="1400" w:type="dxa"/>
            <w:tcBorders>
              <w:top w:val="nil"/>
              <w:left w:val="nil"/>
              <w:bottom w:val="nil"/>
              <w:right w:val="nil"/>
            </w:tcBorders>
            <w:tcMar>
              <w:top w:w="128" w:type="dxa"/>
              <w:left w:w="43" w:type="dxa"/>
              <w:bottom w:w="43" w:type="dxa"/>
              <w:right w:w="43" w:type="dxa"/>
            </w:tcMar>
          </w:tcPr>
          <w:p w14:paraId="3C0AD567" w14:textId="77777777" w:rsidR="00F7113A" w:rsidRPr="00580C0D" w:rsidRDefault="00142E5B" w:rsidP="00BD6CF4">
            <w:pPr>
              <w:jc w:val="right"/>
            </w:pPr>
            <w:r w:rsidRPr="00580C0D">
              <w:t>Nei</w:t>
            </w:r>
          </w:p>
        </w:tc>
      </w:tr>
      <w:tr w:rsidR="00F7113A" w:rsidRPr="00580C0D" w14:paraId="027A7A55" w14:textId="77777777">
        <w:trPr>
          <w:trHeight w:val="640"/>
        </w:trPr>
        <w:tc>
          <w:tcPr>
            <w:tcW w:w="1300" w:type="dxa"/>
            <w:tcBorders>
              <w:top w:val="nil"/>
              <w:left w:val="nil"/>
              <w:bottom w:val="nil"/>
              <w:right w:val="nil"/>
            </w:tcBorders>
            <w:tcMar>
              <w:top w:w="128" w:type="dxa"/>
              <w:left w:w="43" w:type="dxa"/>
              <w:bottom w:w="43" w:type="dxa"/>
              <w:right w:w="43" w:type="dxa"/>
            </w:tcMar>
          </w:tcPr>
          <w:p w14:paraId="34EA23AD"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15677CDE" w14:textId="77777777" w:rsidR="00F7113A" w:rsidRPr="00580C0D" w:rsidRDefault="00142E5B" w:rsidP="00BD6CF4">
            <w:pPr>
              <w:ind w:right="284"/>
              <w:jc w:val="right"/>
            </w:pPr>
            <w:r w:rsidRPr="00580C0D">
              <w:t>709</w:t>
            </w:r>
          </w:p>
        </w:tc>
        <w:tc>
          <w:tcPr>
            <w:tcW w:w="840" w:type="dxa"/>
            <w:tcBorders>
              <w:top w:val="nil"/>
              <w:left w:val="nil"/>
              <w:bottom w:val="nil"/>
              <w:right w:val="nil"/>
            </w:tcBorders>
            <w:tcMar>
              <w:top w:w="128" w:type="dxa"/>
              <w:left w:w="43" w:type="dxa"/>
              <w:bottom w:w="43" w:type="dxa"/>
              <w:right w:w="43" w:type="dxa"/>
            </w:tcMar>
          </w:tcPr>
          <w:p w14:paraId="3E2DFC08"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52A9F45" w14:textId="77777777" w:rsidR="00F7113A" w:rsidRPr="00580C0D" w:rsidRDefault="00142E5B" w:rsidP="00BD6CF4">
            <w:r w:rsidRPr="00580C0D">
              <w:t xml:space="preserve">Forsøksprosjekt med nullutsleppsteknologi på dieselbaserte </w:t>
            </w:r>
            <w:proofErr w:type="spellStart"/>
            <w:r w:rsidRPr="00580C0D">
              <w:t>banestrekningar</w:t>
            </w:r>
            <w:proofErr w:type="spellEnd"/>
          </w:p>
        </w:tc>
        <w:tc>
          <w:tcPr>
            <w:tcW w:w="1400" w:type="dxa"/>
            <w:tcBorders>
              <w:top w:val="nil"/>
              <w:left w:val="nil"/>
              <w:bottom w:val="nil"/>
              <w:right w:val="nil"/>
            </w:tcBorders>
            <w:tcMar>
              <w:top w:w="128" w:type="dxa"/>
              <w:left w:w="43" w:type="dxa"/>
              <w:bottom w:w="43" w:type="dxa"/>
              <w:right w:w="43" w:type="dxa"/>
            </w:tcMar>
          </w:tcPr>
          <w:p w14:paraId="4F2CBDCE" w14:textId="77777777" w:rsidR="00F7113A" w:rsidRPr="00580C0D" w:rsidRDefault="00142E5B" w:rsidP="00BD6CF4">
            <w:pPr>
              <w:jc w:val="right"/>
            </w:pPr>
            <w:r w:rsidRPr="00580C0D">
              <w:t>Nei</w:t>
            </w:r>
          </w:p>
        </w:tc>
      </w:tr>
      <w:tr w:rsidR="00F7113A" w:rsidRPr="00580C0D" w14:paraId="16334335" w14:textId="77777777">
        <w:trPr>
          <w:trHeight w:val="640"/>
        </w:trPr>
        <w:tc>
          <w:tcPr>
            <w:tcW w:w="1300" w:type="dxa"/>
            <w:tcBorders>
              <w:top w:val="nil"/>
              <w:left w:val="nil"/>
              <w:bottom w:val="nil"/>
              <w:right w:val="nil"/>
            </w:tcBorders>
            <w:tcMar>
              <w:top w:w="128" w:type="dxa"/>
              <w:left w:w="43" w:type="dxa"/>
              <w:bottom w:w="43" w:type="dxa"/>
              <w:right w:w="43" w:type="dxa"/>
            </w:tcMar>
          </w:tcPr>
          <w:p w14:paraId="2FB3B0F9"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1B990CBD" w14:textId="77777777" w:rsidR="00F7113A" w:rsidRPr="00580C0D" w:rsidRDefault="00142E5B" w:rsidP="00BD6CF4">
            <w:pPr>
              <w:ind w:right="284"/>
              <w:jc w:val="right"/>
            </w:pPr>
            <w:r w:rsidRPr="00580C0D">
              <w:t>757</w:t>
            </w:r>
          </w:p>
        </w:tc>
        <w:tc>
          <w:tcPr>
            <w:tcW w:w="840" w:type="dxa"/>
            <w:tcBorders>
              <w:top w:val="nil"/>
              <w:left w:val="nil"/>
              <w:bottom w:val="nil"/>
              <w:right w:val="nil"/>
            </w:tcBorders>
            <w:tcMar>
              <w:top w:w="128" w:type="dxa"/>
              <w:left w:w="43" w:type="dxa"/>
              <w:bottom w:w="43" w:type="dxa"/>
              <w:right w:w="43" w:type="dxa"/>
            </w:tcMar>
          </w:tcPr>
          <w:p w14:paraId="598A75B1"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2FD1E8A2" w14:textId="77777777" w:rsidR="00F7113A" w:rsidRPr="00580C0D" w:rsidRDefault="00142E5B" w:rsidP="00BD6CF4">
            <w:r w:rsidRPr="00580C0D">
              <w:t xml:space="preserve">Obligatorisk takstfritak for </w:t>
            </w:r>
            <w:proofErr w:type="spellStart"/>
            <w:r w:rsidRPr="00580C0D">
              <w:t>biogasskøyretøy</w:t>
            </w:r>
            <w:proofErr w:type="spellEnd"/>
            <w:r w:rsidRPr="00580C0D">
              <w:t xml:space="preserve"> på </w:t>
            </w:r>
            <w:proofErr w:type="spellStart"/>
            <w:r w:rsidRPr="00580C0D">
              <w:t>strekningar</w:t>
            </w:r>
            <w:proofErr w:type="spellEnd"/>
            <w:r w:rsidRPr="00580C0D">
              <w:t xml:space="preserve"> finansierte av </w:t>
            </w:r>
            <w:proofErr w:type="spellStart"/>
            <w:r w:rsidRPr="00580C0D">
              <w:t>bompengar</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tcPr>
          <w:p w14:paraId="22D666D2" w14:textId="77777777" w:rsidR="00F7113A" w:rsidRPr="00580C0D" w:rsidRDefault="00142E5B" w:rsidP="00BD6CF4">
            <w:pPr>
              <w:jc w:val="right"/>
            </w:pPr>
            <w:r w:rsidRPr="00580C0D">
              <w:t>Ja</w:t>
            </w:r>
          </w:p>
        </w:tc>
      </w:tr>
      <w:tr w:rsidR="00F7113A" w:rsidRPr="00580C0D" w14:paraId="3CCD7FD9" w14:textId="77777777">
        <w:trPr>
          <w:trHeight w:val="640"/>
        </w:trPr>
        <w:tc>
          <w:tcPr>
            <w:tcW w:w="1300" w:type="dxa"/>
            <w:tcBorders>
              <w:top w:val="nil"/>
              <w:left w:val="nil"/>
              <w:bottom w:val="nil"/>
              <w:right w:val="nil"/>
            </w:tcBorders>
            <w:tcMar>
              <w:top w:w="128" w:type="dxa"/>
              <w:left w:w="43" w:type="dxa"/>
              <w:bottom w:w="43" w:type="dxa"/>
              <w:right w:w="43" w:type="dxa"/>
            </w:tcMar>
          </w:tcPr>
          <w:p w14:paraId="47A61594"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4996B9FD" w14:textId="77777777" w:rsidR="00F7113A" w:rsidRPr="00580C0D" w:rsidRDefault="00142E5B" w:rsidP="00BD6CF4">
            <w:pPr>
              <w:ind w:right="284"/>
              <w:jc w:val="right"/>
            </w:pPr>
            <w:r w:rsidRPr="00580C0D">
              <w:t>839</w:t>
            </w:r>
          </w:p>
        </w:tc>
        <w:tc>
          <w:tcPr>
            <w:tcW w:w="840" w:type="dxa"/>
            <w:tcBorders>
              <w:top w:val="nil"/>
              <w:left w:val="nil"/>
              <w:bottom w:val="nil"/>
              <w:right w:val="nil"/>
            </w:tcBorders>
            <w:tcMar>
              <w:top w:w="128" w:type="dxa"/>
              <w:left w:w="43" w:type="dxa"/>
              <w:bottom w:w="43" w:type="dxa"/>
              <w:right w:w="43" w:type="dxa"/>
            </w:tcMar>
          </w:tcPr>
          <w:p w14:paraId="3669F5FA"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1A0E5436" w14:textId="77777777" w:rsidR="00F7113A" w:rsidRPr="00580C0D" w:rsidRDefault="00142E5B" w:rsidP="00BD6CF4">
            <w:proofErr w:type="spellStart"/>
            <w:r w:rsidRPr="00580C0D">
              <w:t>Vidareføre</w:t>
            </w:r>
            <w:proofErr w:type="spellEnd"/>
            <w:r w:rsidRPr="00580C0D">
              <w:t xml:space="preserve"> </w:t>
            </w:r>
            <w:proofErr w:type="spellStart"/>
            <w:r w:rsidRPr="00580C0D">
              <w:t>tilskotsordninga</w:t>
            </w:r>
            <w:proofErr w:type="spellEnd"/>
            <w:r w:rsidRPr="00580C0D">
              <w:t xml:space="preserve"> til mindre byområde </w:t>
            </w:r>
            <w:proofErr w:type="spellStart"/>
            <w:r w:rsidRPr="00580C0D">
              <w:t>utan</w:t>
            </w:r>
            <w:proofErr w:type="spellEnd"/>
            <w:r w:rsidRPr="00580C0D">
              <w:t xml:space="preserve"> </w:t>
            </w:r>
            <w:proofErr w:type="spellStart"/>
            <w:r w:rsidRPr="00580C0D">
              <w:t>byvekstavtalar</w:t>
            </w:r>
            <w:proofErr w:type="spellEnd"/>
          </w:p>
        </w:tc>
        <w:tc>
          <w:tcPr>
            <w:tcW w:w="1400" w:type="dxa"/>
            <w:tcBorders>
              <w:top w:val="nil"/>
              <w:left w:val="nil"/>
              <w:bottom w:val="nil"/>
              <w:right w:val="nil"/>
            </w:tcBorders>
            <w:tcMar>
              <w:top w:w="128" w:type="dxa"/>
              <w:left w:w="43" w:type="dxa"/>
              <w:bottom w:w="43" w:type="dxa"/>
              <w:right w:w="43" w:type="dxa"/>
            </w:tcMar>
          </w:tcPr>
          <w:p w14:paraId="32C14DAC" w14:textId="77777777" w:rsidR="00F7113A" w:rsidRPr="00580C0D" w:rsidRDefault="00142E5B" w:rsidP="00BD6CF4">
            <w:pPr>
              <w:jc w:val="right"/>
            </w:pPr>
            <w:r w:rsidRPr="00580C0D">
              <w:t>Ja</w:t>
            </w:r>
          </w:p>
        </w:tc>
      </w:tr>
      <w:tr w:rsidR="00F7113A" w:rsidRPr="00580C0D" w14:paraId="7D0A3CD5" w14:textId="77777777">
        <w:trPr>
          <w:trHeight w:val="640"/>
        </w:trPr>
        <w:tc>
          <w:tcPr>
            <w:tcW w:w="1300" w:type="dxa"/>
            <w:tcBorders>
              <w:top w:val="nil"/>
              <w:left w:val="nil"/>
              <w:bottom w:val="nil"/>
              <w:right w:val="nil"/>
            </w:tcBorders>
            <w:tcMar>
              <w:top w:w="128" w:type="dxa"/>
              <w:left w:w="43" w:type="dxa"/>
              <w:bottom w:w="43" w:type="dxa"/>
              <w:right w:w="43" w:type="dxa"/>
            </w:tcMar>
          </w:tcPr>
          <w:p w14:paraId="32AE82CC" w14:textId="77777777" w:rsidR="00F7113A" w:rsidRPr="00580C0D" w:rsidRDefault="00142E5B" w:rsidP="00BD6CF4">
            <w:r w:rsidRPr="00580C0D">
              <w:t>2021–2022</w:t>
            </w:r>
          </w:p>
        </w:tc>
        <w:tc>
          <w:tcPr>
            <w:tcW w:w="1120" w:type="dxa"/>
            <w:tcBorders>
              <w:top w:val="nil"/>
              <w:left w:val="nil"/>
              <w:bottom w:val="nil"/>
              <w:right w:val="nil"/>
            </w:tcBorders>
            <w:tcMar>
              <w:top w:w="128" w:type="dxa"/>
              <w:left w:w="43" w:type="dxa"/>
              <w:bottom w:w="43" w:type="dxa"/>
              <w:right w:w="43" w:type="dxa"/>
            </w:tcMar>
          </w:tcPr>
          <w:p w14:paraId="6BDC9337" w14:textId="77777777" w:rsidR="00F7113A" w:rsidRPr="00580C0D" w:rsidRDefault="00142E5B" w:rsidP="00BD6CF4">
            <w:pPr>
              <w:ind w:right="284"/>
              <w:jc w:val="right"/>
            </w:pPr>
            <w:r w:rsidRPr="00580C0D">
              <w:t>842</w:t>
            </w:r>
          </w:p>
        </w:tc>
        <w:tc>
          <w:tcPr>
            <w:tcW w:w="840" w:type="dxa"/>
            <w:tcBorders>
              <w:top w:val="nil"/>
              <w:left w:val="nil"/>
              <w:bottom w:val="nil"/>
              <w:right w:val="nil"/>
            </w:tcBorders>
            <w:tcMar>
              <w:top w:w="128" w:type="dxa"/>
              <w:left w:w="43" w:type="dxa"/>
              <w:bottom w:w="43" w:type="dxa"/>
              <w:right w:w="43" w:type="dxa"/>
            </w:tcMar>
          </w:tcPr>
          <w:p w14:paraId="08088D49"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4B20D700" w14:textId="77777777" w:rsidR="00F7113A" w:rsidRPr="00580C0D" w:rsidRDefault="00142E5B" w:rsidP="00BD6CF4">
            <w:r w:rsidRPr="00580C0D">
              <w:t xml:space="preserve">Nullutslepp eller biogass i alle nye </w:t>
            </w:r>
            <w:proofErr w:type="spellStart"/>
            <w:r w:rsidRPr="00580C0D">
              <w:t>anbod</w:t>
            </w:r>
            <w:proofErr w:type="spellEnd"/>
            <w:r w:rsidRPr="00580C0D">
              <w:t xml:space="preserve"> for ferjer og fossilfritt i nye </w:t>
            </w:r>
            <w:proofErr w:type="spellStart"/>
            <w:r w:rsidRPr="00580C0D">
              <w:t>anbod</w:t>
            </w:r>
            <w:proofErr w:type="spellEnd"/>
            <w:r w:rsidRPr="00580C0D">
              <w:t xml:space="preserve"> for </w:t>
            </w:r>
            <w:proofErr w:type="spellStart"/>
            <w:r w:rsidRPr="00580C0D">
              <w:t>hurtigbåtar</w:t>
            </w:r>
            <w:proofErr w:type="spellEnd"/>
          </w:p>
        </w:tc>
        <w:tc>
          <w:tcPr>
            <w:tcW w:w="1400" w:type="dxa"/>
            <w:tcBorders>
              <w:top w:val="nil"/>
              <w:left w:val="nil"/>
              <w:bottom w:val="nil"/>
              <w:right w:val="nil"/>
            </w:tcBorders>
            <w:tcMar>
              <w:top w:w="128" w:type="dxa"/>
              <w:left w:w="43" w:type="dxa"/>
              <w:bottom w:w="43" w:type="dxa"/>
              <w:right w:w="43" w:type="dxa"/>
            </w:tcMar>
          </w:tcPr>
          <w:p w14:paraId="45E4FEA8" w14:textId="77777777" w:rsidR="00F7113A" w:rsidRPr="00580C0D" w:rsidRDefault="00142E5B" w:rsidP="00BD6CF4">
            <w:pPr>
              <w:jc w:val="right"/>
            </w:pPr>
            <w:r w:rsidRPr="00580C0D">
              <w:t>Ja</w:t>
            </w:r>
          </w:p>
        </w:tc>
      </w:tr>
      <w:tr w:rsidR="00F7113A" w:rsidRPr="00580C0D" w14:paraId="00CC18F9" w14:textId="77777777">
        <w:trPr>
          <w:trHeight w:val="380"/>
        </w:trPr>
        <w:tc>
          <w:tcPr>
            <w:tcW w:w="1300" w:type="dxa"/>
            <w:tcBorders>
              <w:top w:val="nil"/>
              <w:left w:val="nil"/>
              <w:bottom w:val="nil"/>
              <w:right w:val="nil"/>
            </w:tcBorders>
            <w:tcMar>
              <w:top w:w="128" w:type="dxa"/>
              <w:left w:w="43" w:type="dxa"/>
              <w:bottom w:w="43" w:type="dxa"/>
              <w:right w:w="43" w:type="dxa"/>
            </w:tcMar>
          </w:tcPr>
          <w:p w14:paraId="0CCCB45D"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2430065D" w14:textId="77777777" w:rsidR="00F7113A" w:rsidRPr="00580C0D" w:rsidRDefault="00142E5B" w:rsidP="00BD6CF4">
            <w:pPr>
              <w:ind w:right="284"/>
              <w:jc w:val="right"/>
            </w:pPr>
            <w:r w:rsidRPr="00580C0D">
              <w:t>589</w:t>
            </w:r>
          </w:p>
        </w:tc>
        <w:tc>
          <w:tcPr>
            <w:tcW w:w="840" w:type="dxa"/>
            <w:tcBorders>
              <w:top w:val="nil"/>
              <w:left w:val="nil"/>
              <w:bottom w:val="nil"/>
              <w:right w:val="nil"/>
            </w:tcBorders>
            <w:tcMar>
              <w:top w:w="128" w:type="dxa"/>
              <w:left w:w="43" w:type="dxa"/>
              <w:bottom w:w="43" w:type="dxa"/>
              <w:right w:w="43" w:type="dxa"/>
            </w:tcMar>
          </w:tcPr>
          <w:p w14:paraId="6170E890"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4396C0CB" w14:textId="77777777" w:rsidR="00F7113A" w:rsidRPr="00580C0D" w:rsidRDefault="00142E5B" w:rsidP="00BD6CF4">
            <w:r w:rsidRPr="00580C0D">
              <w:t xml:space="preserve">Stortingsmelding om nasjonal luftfartsstrategi </w:t>
            </w:r>
          </w:p>
        </w:tc>
        <w:tc>
          <w:tcPr>
            <w:tcW w:w="1400" w:type="dxa"/>
            <w:tcBorders>
              <w:top w:val="nil"/>
              <w:left w:val="nil"/>
              <w:bottom w:val="nil"/>
              <w:right w:val="nil"/>
            </w:tcBorders>
            <w:tcMar>
              <w:top w:w="128" w:type="dxa"/>
              <w:left w:w="43" w:type="dxa"/>
              <w:bottom w:w="43" w:type="dxa"/>
              <w:right w:w="43" w:type="dxa"/>
            </w:tcMar>
          </w:tcPr>
          <w:p w14:paraId="096EF57B" w14:textId="77777777" w:rsidR="00F7113A" w:rsidRPr="00580C0D" w:rsidRDefault="00142E5B" w:rsidP="00BD6CF4">
            <w:pPr>
              <w:jc w:val="right"/>
            </w:pPr>
            <w:r w:rsidRPr="00580C0D">
              <w:t>Ja</w:t>
            </w:r>
          </w:p>
        </w:tc>
      </w:tr>
      <w:tr w:rsidR="00F7113A" w:rsidRPr="00580C0D" w14:paraId="63E1192C" w14:textId="77777777">
        <w:trPr>
          <w:trHeight w:val="640"/>
        </w:trPr>
        <w:tc>
          <w:tcPr>
            <w:tcW w:w="1300" w:type="dxa"/>
            <w:tcBorders>
              <w:top w:val="nil"/>
              <w:left w:val="nil"/>
              <w:bottom w:val="nil"/>
              <w:right w:val="nil"/>
            </w:tcBorders>
            <w:tcMar>
              <w:top w:w="128" w:type="dxa"/>
              <w:left w:w="43" w:type="dxa"/>
              <w:bottom w:w="43" w:type="dxa"/>
              <w:right w:w="43" w:type="dxa"/>
            </w:tcMar>
          </w:tcPr>
          <w:p w14:paraId="30E6BF28"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1F402BF0" w14:textId="77777777" w:rsidR="00F7113A" w:rsidRPr="00580C0D" w:rsidRDefault="00142E5B" w:rsidP="00BD6CF4">
            <w:pPr>
              <w:ind w:right="284"/>
              <w:jc w:val="right"/>
            </w:pPr>
            <w:r w:rsidRPr="00580C0D">
              <w:t>800</w:t>
            </w:r>
          </w:p>
        </w:tc>
        <w:tc>
          <w:tcPr>
            <w:tcW w:w="840" w:type="dxa"/>
            <w:tcBorders>
              <w:top w:val="nil"/>
              <w:left w:val="nil"/>
              <w:bottom w:val="nil"/>
              <w:right w:val="nil"/>
            </w:tcBorders>
            <w:tcMar>
              <w:top w:w="128" w:type="dxa"/>
              <w:left w:w="43" w:type="dxa"/>
              <w:bottom w:w="43" w:type="dxa"/>
              <w:right w:w="43" w:type="dxa"/>
            </w:tcMar>
          </w:tcPr>
          <w:p w14:paraId="7BE26353"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37095423" w14:textId="323C48D5" w:rsidR="00F7113A" w:rsidRPr="00580C0D" w:rsidRDefault="00142E5B" w:rsidP="00BD6CF4">
            <w:r w:rsidRPr="00580C0D">
              <w:t xml:space="preserve">Forskriftsendring knytt til endring av </w:t>
            </w:r>
            <w:proofErr w:type="gramStart"/>
            <w:r w:rsidRPr="00580C0D">
              <w:t>tillate</w:t>
            </w:r>
            <w:proofErr w:type="gramEnd"/>
            <w:r w:rsidRPr="00580C0D">
              <w:t xml:space="preserve"> </w:t>
            </w:r>
            <w:r w:rsidR="00E13315">
              <w:br/>
            </w:r>
            <w:r w:rsidRPr="00580C0D">
              <w:t xml:space="preserve">totalvekt på 7 500 kg eller </w:t>
            </w:r>
            <w:proofErr w:type="spellStart"/>
            <w:r w:rsidRPr="00580C0D">
              <w:t>meir</w:t>
            </w:r>
            <w:proofErr w:type="spellEnd"/>
          </w:p>
        </w:tc>
        <w:tc>
          <w:tcPr>
            <w:tcW w:w="1400" w:type="dxa"/>
            <w:tcBorders>
              <w:top w:val="nil"/>
              <w:left w:val="nil"/>
              <w:bottom w:val="nil"/>
              <w:right w:val="nil"/>
            </w:tcBorders>
            <w:tcMar>
              <w:top w:w="128" w:type="dxa"/>
              <w:left w:w="43" w:type="dxa"/>
              <w:bottom w:w="43" w:type="dxa"/>
              <w:right w:w="43" w:type="dxa"/>
            </w:tcMar>
          </w:tcPr>
          <w:p w14:paraId="7BED9103" w14:textId="77777777" w:rsidR="00F7113A" w:rsidRPr="00580C0D" w:rsidRDefault="00142E5B" w:rsidP="00BD6CF4">
            <w:pPr>
              <w:jc w:val="right"/>
            </w:pPr>
            <w:r w:rsidRPr="00580C0D">
              <w:t>Nei</w:t>
            </w:r>
          </w:p>
        </w:tc>
      </w:tr>
      <w:tr w:rsidR="00F7113A" w:rsidRPr="00580C0D" w14:paraId="354FD0E6" w14:textId="77777777">
        <w:trPr>
          <w:trHeight w:val="640"/>
        </w:trPr>
        <w:tc>
          <w:tcPr>
            <w:tcW w:w="1300" w:type="dxa"/>
            <w:tcBorders>
              <w:top w:val="nil"/>
              <w:left w:val="nil"/>
              <w:bottom w:val="nil"/>
              <w:right w:val="nil"/>
            </w:tcBorders>
            <w:tcMar>
              <w:top w:w="128" w:type="dxa"/>
              <w:left w:w="43" w:type="dxa"/>
              <w:bottom w:w="43" w:type="dxa"/>
              <w:right w:w="43" w:type="dxa"/>
            </w:tcMar>
          </w:tcPr>
          <w:p w14:paraId="4D8F9B34"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1941FB26" w14:textId="77777777" w:rsidR="00F7113A" w:rsidRPr="00580C0D" w:rsidRDefault="00142E5B" w:rsidP="00BD6CF4">
            <w:pPr>
              <w:ind w:right="284"/>
              <w:jc w:val="right"/>
            </w:pPr>
            <w:r w:rsidRPr="00580C0D">
              <w:t>960</w:t>
            </w:r>
          </w:p>
        </w:tc>
        <w:tc>
          <w:tcPr>
            <w:tcW w:w="840" w:type="dxa"/>
            <w:tcBorders>
              <w:top w:val="nil"/>
              <w:left w:val="nil"/>
              <w:bottom w:val="nil"/>
              <w:right w:val="nil"/>
            </w:tcBorders>
            <w:tcMar>
              <w:top w:w="128" w:type="dxa"/>
              <w:left w:w="43" w:type="dxa"/>
              <w:bottom w:w="43" w:type="dxa"/>
              <w:right w:w="43" w:type="dxa"/>
            </w:tcMar>
          </w:tcPr>
          <w:p w14:paraId="134CB1CE"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04DECE1" w14:textId="4DC2F349" w:rsidR="00F7113A" w:rsidRPr="00580C0D" w:rsidRDefault="00142E5B" w:rsidP="00BD6CF4">
            <w:r w:rsidRPr="00580C0D">
              <w:t xml:space="preserve">Medisinsk grunna dispensasjon etter </w:t>
            </w:r>
            <w:proofErr w:type="spellStart"/>
            <w:r w:rsidRPr="00580C0D">
              <w:t>førarkort</w:t>
            </w:r>
            <w:r w:rsidR="00E13315">
              <w:softHyphen/>
            </w:r>
            <w:r w:rsidRPr="00580C0D">
              <w:t>regelverket</w:t>
            </w:r>
            <w:proofErr w:type="spellEnd"/>
            <w:r w:rsidRPr="00580C0D">
              <w:t xml:space="preserve"> for svaksynte</w:t>
            </w:r>
          </w:p>
        </w:tc>
        <w:tc>
          <w:tcPr>
            <w:tcW w:w="1400" w:type="dxa"/>
            <w:tcBorders>
              <w:top w:val="nil"/>
              <w:left w:val="nil"/>
              <w:bottom w:val="nil"/>
              <w:right w:val="nil"/>
            </w:tcBorders>
            <w:tcMar>
              <w:top w:w="128" w:type="dxa"/>
              <w:left w:w="43" w:type="dxa"/>
              <w:bottom w:w="43" w:type="dxa"/>
              <w:right w:w="43" w:type="dxa"/>
            </w:tcMar>
          </w:tcPr>
          <w:p w14:paraId="48851A53" w14:textId="77777777" w:rsidR="00F7113A" w:rsidRPr="00580C0D" w:rsidRDefault="00142E5B" w:rsidP="00BD6CF4">
            <w:pPr>
              <w:jc w:val="right"/>
            </w:pPr>
            <w:r w:rsidRPr="00580C0D">
              <w:t>Nei</w:t>
            </w:r>
          </w:p>
        </w:tc>
      </w:tr>
      <w:tr w:rsidR="00F7113A" w:rsidRPr="00580C0D" w14:paraId="1AE6C713" w14:textId="77777777">
        <w:trPr>
          <w:trHeight w:val="640"/>
        </w:trPr>
        <w:tc>
          <w:tcPr>
            <w:tcW w:w="1300" w:type="dxa"/>
            <w:tcBorders>
              <w:top w:val="nil"/>
              <w:left w:val="nil"/>
              <w:bottom w:val="nil"/>
              <w:right w:val="nil"/>
            </w:tcBorders>
            <w:tcMar>
              <w:top w:w="128" w:type="dxa"/>
              <w:left w:w="43" w:type="dxa"/>
              <w:bottom w:w="43" w:type="dxa"/>
              <w:right w:w="43" w:type="dxa"/>
            </w:tcMar>
          </w:tcPr>
          <w:p w14:paraId="520DDB40"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78A0FBF7" w14:textId="77777777" w:rsidR="00F7113A" w:rsidRPr="00580C0D" w:rsidRDefault="00142E5B" w:rsidP="00BD6CF4">
            <w:pPr>
              <w:ind w:right="284"/>
              <w:jc w:val="right"/>
            </w:pPr>
            <w:r w:rsidRPr="00580C0D">
              <w:t>1065</w:t>
            </w:r>
          </w:p>
        </w:tc>
        <w:tc>
          <w:tcPr>
            <w:tcW w:w="840" w:type="dxa"/>
            <w:tcBorders>
              <w:top w:val="nil"/>
              <w:left w:val="nil"/>
              <w:bottom w:val="nil"/>
              <w:right w:val="nil"/>
            </w:tcBorders>
            <w:tcMar>
              <w:top w:w="128" w:type="dxa"/>
              <w:left w:w="43" w:type="dxa"/>
              <w:bottom w:w="43" w:type="dxa"/>
              <w:right w:w="43" w:type="dxa"/>
            </w:tcMar>
          </w:tcPr>
          <w:p w14:paraId="52EF2B24"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3C56DA05" w14:textId="4AFC248A" w:rsidR="00F7113A" w:rsidRPr="00580C0D" w:rsidRDefault="00142E5B" w:rsidP="00BD6CF4">
            <w:r w:rsidRPr="00580C0D">
              <w:t>Mobil- og internettdekking i alle nye riksveg</w:t>
            </w:r>
            <w:r w:rsidR="00E13315">
              <w:softHyphen/>
            </w:r>
            <w:r w:rsidRPr="00580C0D">
              <w:t>prosjekt</w:t>
            </w:r>
          </w:p>
        </w:tc>
        <w:tc>
          <w:tcPr>
            <w:tcW w:w="1400" w:type="dxa"/>
            <w:tcBorders>
              <w:top w:val="nil"/>
              <w:left w:val="nil"/>
              <w:bottom w:val="nil"/>
              <w:right w:val="nil"/>
            </w:tcBorders>
            <w:tcMar>
              <w:top w:w="128" w:type="dxa"/>
              <w:left w:w="43" w:type="dxa"/>
              <w:bottom w:w="43" w:type="dxa"/>
              <w:right w:w="43" w:type="dxa"/>
            </w:tcMar>
          </w:tcPr>
          <w:p w14:paraId="6AF6D8C4" w14:textId="77777777" w:rsidR="00F7113A" w:rsidRPr="00580C0D" w:rsidRDefault="00142E5B" w:rsidP="00BD6CF4">
            <w:pPr>
              <w:jc w:val="right"/>
            </w:pPr>
            <w:r w:rsidRPr="00580C0D">
              <w:t>Ja</w:t>
            </w:r>
          </w:p>
        </w:tc>
      </w:tr>
      <w:tr w:rsidR="00F7113A" w:rsidRPr="00580C0D" w14:paraId="1D2532A4" w14:textId="77777777">
        <w:trPr>
          <w:trHeight w:val="640"/>
        </w:trPr>
        <w:tc>
          <w:tcPr>
            <w:tcW w:w="1300" w:type="dxa"/>
            <w:tcBorders>
              <w:top w:val="nil"/>
              <w:left w:val="nil"/>
              <w:bottom w:val="nil"/>
              <w:right w:val="nil"/>
            </w:tcBorders>
            <w:tcMar>
              <w:top w:w="128" w:type="dxa"/>
              <w:left w:w="43" w:type="dxa"/>
              <w:bottom w:w="43" w:type="dxa"/>
              <w:right w:w="43" w:type="dxa"/>
            </w:tcMar>
          </w:tcPr>
          <w:p w14:paraId="226FDEB9"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38C0293D" w14:textId="77777777" w:rsidR="00F7113A" w:rsidRPr="00580C0D" w:rsidRDefault="00142E5B" w:rsidP="00BD6CF4">
            <w:pPr>
              <w:ind w:right="284"/>
              <w:jc w:val="right"/>
            </w:pPr>
            <w:r w:rsidRPr="00580C0D">
              <w:t>1098</w:t>
            </w:r>
          </w:p>
        </w:tc>
        <w:tc>
          <w:tcPr>
            <w:tcW w:w="840" w:type="dxa"/>
            <w:tcBorders>
              <w:top w:val="nil"/>
              <w:left w:val="nil"/>
              <w:bottom w:val="nil"/>
              <w:right w:val="nil"/>
            </w:tcBorders>
            <w:tcMar>
              <w:top w:w="128" w:type="dxa"/>
              <w:left w:w="43" w:type="dxa"/>
              <w:bottom w:w="43" w:type="dxa"/>
              <w:right w:w="43" w:type="dxa"/>
            </w:tcMar>
          </w:tcPr>
          <w:p w14:paraId="3EFACE52"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36C9EC5E" w14:textId="77777777" w:rsidR="00F7113A" w:rsidRPr="00580C0D" w:rsidRDefault="00142E5B" w:rsidP="00BD6CF4">
            <w:r w:rsidRPr="00580C0D">
              <w:t>Permanent løysing for småflyaktiviteten i Oslo-området</w:t>
            </w:r>
          </w:p>
        </w:tc>
        <w:tc>
          <w:tcPr>
            <w:tcW w:w="1400" w:type="dxa"/>
            <w:tcBorders>
              <w:top w:val="nil"/>
              <w:left w:val="nil"/>
              <w:bottom w:val="nil"/>
              <w:right w:val="nil"/>
            </w:tcBorders>
            <w:tcMar>
              <w:top w:w="128" w:type="dxa"/>
              <w:left w:w="43" w:type="dxa"/>
              <w:bottom w:w="43" w:type="dxa"/>
              <w:right w:w="43" w:type="dxa"/>
            </w:tcMar>
          </w:tcPr>
          <w:p w14:paraId="7B7D9E0C" w14:textId="77777777" w:rsidR="00F7113A" w:rsidRPr="00580C0D" w:rsidRDefault="00142E5B" w:rsidP="00BD6CF4">
            <w:pPr>
              <w:jc w:val="right"/>
            </w:pPr>
            <w:r w:rsidRPr="00580C0D">
              <w:t>Nei</w:t>
            </w:r>
          </w:p>
        </w:tc>
      </w:tr>
      <w:tr w:rsidR="00F7113A" w:rsidRPr="00580C0D" w14:paraId="3D6EB877" w14:textId="77777777">
        <w:trPr>
          <w:trHeight w:val="640"/>
        </w:trPr>
        <w:tc>
          <w:tcPr>
            <w:tcW w:w="1300" w:type="dxa"/>
            <w:tcBorders>
              <w:top w:val="nil"/>
              <w:left w:val="nil"/>
              <w:bottom w:val="nil"/>
              <w:right w:val="nil"/>
            </w:tcBorders>
            <w:tcMar>
              <w:top w:w="128" w:type="dxa"/>
              <w:left w:w="43" w:type="dxa"/>
              <w:bottom w:w="43" w:type="dxa"/>
              <w:right w:w="43" w:type="dxa"/>
            </w:tcMar>
          </w:tcPr>
          <w:p w14:paraId="37146FDB"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2613F9D4" w14:textId="77777777" w:rsidR="00F7113A" w:rsidRPr="00580C0D" w:rsidRDefault="00142E5B" w:rsidP="00BD6CF4">
            <w:pPr>
              <w:ind w:right="284"/>
              <w:jc w:val="right"/>
            </w:pPr>
            <w:r w:rsidRPr="00580C0D">
              <w:t>1210</w:t>
            </w:r>
          </w:p>
        </w:tc>
        <w:tc>
          <w:tcPr>
            <w:tcW w:w="840" w:type="dxa"/>
            <w:tcBorders>
              <w:top w:val="nil"/>
              <w:left w:val="nil"/>
              <w:bottom w:val="nil"/>
              <w:right w:val="nil"/>
            </w:tcBorders>
            <w:tcMar>
              <w:top w:w="128" w:type="dxa"/>
              <w:left w:w="43" w:type="dxa"/>
              <w:bottom w:w="43" w:type="dxa"/>
              <w:right w:w="43" w:type="dxa"/>
            </w:tcMar>
          </w:tcPr>
          <w:p w14:paraId="6764089D"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03AB5DA2" w14:textId="77777777" w:rsidR="00F7113A" w:rsidRPr="00580C0D" w:rsidRDefault="00142E5B" w:rsidP="00BD6CF4">
            <w:r w:rsidRPr="00580C0D">
              <w:t xml:space="preserve">Evaluere lov om </w:t>
            </w:r>
            <w:proofErr w:type="spellStart"/>
            <w:r w:rsidRPr="00580C0D">
              <w:t>utleige</w:t>
            </w:r>
            <w:proofErr w:type="spellEnd"/>
            <w:r w:rsidRPr="00580C0D">
              <w:t xml:space="preserve"> av små elektriske </w:t>
            </w:r>
            <w:proofErr w:type="spellStart"/>
            <w:r w:rsidRPr="00580C0D">
              <w:t>køyretøy</w:t>
            </w:r>
            <w:proofErr w:type="spellEnd"/>
            <w:r w:rsidRPr="00580C0D">
              <w:t xml:space="preserve"> på </w:t>
            </w:r>
            <w:proofErr w:type="spellStart"/>
            <w:r w:rsidRPr="00580C0D">
              <w:t>offentleg</w:t>
            </w:r>
            <w:proofErr w:type="spellEnd"/>
            <w:r w:rsidRPr="00580C0D">
              <w:t xml:space="preserve"> grunn</w:t>
            </w:r>
          </w:p>
        </w:tc>
        <w:tc>
          <w:tcPr>
            <w:tcW w:w="1400" w:type="dxa"/>
            <w:tcBorders>
              <w:top w:val="nil"/>
              <w:left w:val="nil"/>
              <w:bottom w:val="nil"/>
              <w:right w:val="nil"/>
            </w:tcBorders>
            <w:tcMar>
              <w:top w:w="128" w:type="dxa"/>
              <w:left w:w="43" w:type="dxa"/>
              <w:bottom w:w="43" w:type="dxa"/>
              <w:right w:w="43" w:type="dxa"/>
            </w:tcMar>
          </w:tcPr>
          <w:p w14:paraId="6033C739" w14:textId="77777777" w:rsidR="00F7113A" w:rsidRPr="00580C0D" w:rsidRDefault="00142E5B" w:rsidP="00BD6CF4">
            <w:pPr>
              <w:jc w:val="right"/>
            </w:pPr>
            <w:r w:rsidRPr="00580C0D">
              <w:t>Ja</w:t>
            </w:r>
          </w:p>
        </w:tc>
      </w:tr>
      <w:tr w:rsidR="00F7113A" w:rsidRPr="00580C0D" w14:paraId="14A53F4D" w14:textId="77777777">
        <w:trPr>
          <w:trHeight w:val="880"/>
        </w:trPr>
        <w:tc>
          <w:tcPr>
            <w:tcW w:w="1300" w:type="dxa"/>
            <w:tcBorders>
              <w:top w:val="nil"/>
              <w:left w:val="nil"/>
              <w:bottom w:val="nil"/>
              <w:right w:val="nil"/>
            </w:tcBorders>
            <w:tcMar>
              <w:top w:w="128" w:type="dxa"/>
              <w:left w:w="43" w:type="dxa"/>
              <w:bottom w:w="43" w:type="dxa"/>
              <w:right w:w="43" w:type="dxa"/>
            </w:tcMar>
          </w:tcPr>
          <w:p w14:paraId="5BA77024"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4185F6C9" w14:textId="77777777" w:rsidR="00F7113A" w:rsidRPr="00580C0D" w:rsidRDefault="00142E5B" w:rsidP="00BD6CF4">
            <w:pPr>
              <w:ind w:right="284"/>
              <w:jc w:val="right"/>
            </w:pPr>
            <w:r w:rsidRPr="00580C0D">
              <w:t>1233</w:t>
            </w:r>
          </w:p>
        </w:tc>
        <w:tc>
          <w:tcPr>
            <w:tcW w:w="840" w:type="dxa"/>
            <w:tcBorders>
              <w:top w:val="nil"/>
              <w:left w:val="nil"/>
              <w:bottom w:val="nil"/>
              <w:right w:val="nil"/>
            </w:tcBorders>
            <w:tcMar>
              <w:top w:w="128" w:type="dxa"/>
              <w:left w:w="43" w:type="dxa"/>
              <w:bottom w:w="43" w:type="dxa"/>
              <w:right w:w="43" w:type="dxa"/>
            </w:tcMar>
          </w:tcPr>
          <w:p w14:paraId="4B595177"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3C9710E8" w14:textId="77777777" w:rsidR="00F7113A" w:rsidRPr="00580C0D" w:rsidRDefault="00142E5B" w:rsidP="00BD6CF4">
            <w:r w:rsidRPr="00580C0D">
              <w:t xml:space="preserve">Innarbeide universell utforming av samferdselssektoren som </w:t>
            </w:r>
            <w:proofErr w:type="spellStart"/>
            <w:r w:rsidRPr="00580C0D">
              <w:t>eit</w:t>
            </w:r>
            <w:proofErr w:type="spellEnd"/>
            <w:r w:rsidRPr="00580C0D">
              <w:t xml:space="preserve"> overordna mål i all transportplanlegging</w:t>
            </w:r>
          </w:p>
        </w:tc>
        <w:tc>
          <w:tcPr>
            <w:tcW w:w="1400" w:type="dxa"/>
            <w:tcBorders>
              <w:top w:val="nil"/>
              <w:left w:val="nil"/>
              <w:bottom w:val="nil"/>
              <w:right w:val="nil"/>
            </w:tcBorders>
            <w:tcMar>
              <w:top w:w="128" w:type="dxa"/>
              <w:left w:w="43" w:type="dxa"/>
              <w:bottom w:w="43" w:type="dxa"/>
              <w:right w:w="43" w:type="dxa"/>
            </w:tcMar>
          </w:tcPr>
          <w:p w14:paraId="0A70637C" w14:textId="77777777" w:rsidR="00F7113A" w:rsidRPr="00580C0D" w:rsidRDefault="00142E5B" w:rsidP="00BD6CF4">
            <w:pPr>
              <w:jc w:val="right"/>
            </w:pPr>
            <w:r w:rsidRPr="00580C0D">
              <w:t>Nei</w:t>
            </w:r>
          </w:p>
        </w:tc>
      </w:tr>
      <w:tr w:rsidR="00F7113A" w:rsidRPr="00580C0D" w14:paraId="4AF2DBDE" w14:textId="77777777">
        <w:trPr>
          <w:trHeight w:val="380"/>
        </w:trPr>
        <w:tc>
          <w:tcPr>
            <w:tcW w:w="1300" w:type="dxa"/>
            <w:tcBorders>
              <w:top w:val="nil"/>
              <w:left w:val="nil"/>
              <w:bottom w:val="nil"/>
              <w:right w:val="nil"/>
            </w:tcBorders>
            <w:tcMar>
              <w:top w:w="128" w:type="dxa"/>
              <w:left w:w="43" w:type="dxa"/>
              <w:bottom w:w="43" w:type="dxa"/>
              <w:right w:w="43" w:type="dxa"/>
            </w:tcMar>
          </w:tcPr>
          <w:p w14:paraId="227A29BE" w14:textId="77777777" w:rsidR="00F7113A" w:rsidRPr="00580C0D" w:rsidRDefault="00142E5B" w:rsidP="00BD6CF4">
            <w:r w:rsidRPr="00580C0D">
              <w:t>2020–2021</w:t>
            </w:r>
          </w:p>
        </w:tc>
        <w:tc>
          <w:tcPr>
            <w:tcW w:w="1120" w:type="dxa"/>
            <w:tcBorders>
              <w:top w:val="nil"/>
              <w:left w:val="nil"/>
              <w:bottom w:val="nil"/>
              <w:right w:val="nil"/>
            </w:tcBorders>
            <w:tcMar>
              <w:top w:w="128" w:type="dxa"/>
              <w:left w:w="43" w:type="dxa"/>
              <w:bottom w:w="43" w:type="dxa"/>
              <w:right w:w="43" w:type="dxa"/>
            </w:tcMar>
          </w:tcPr>
          <w:p w14:paraId="43A01D6A" w14:textId="77777777" w:rsidR="00F7113A" w:rsidRPr="00580C0D" w:rsidRDefault="00142E5B" w:rsidP="00BD6CF4">
            <w:pPr>
              <w:ind w:right="284"/>
              <w:jc w:val="right"/>
            </w:pPr>
            <w:r w:rsidRPr="00580C0D">
              <w:t>1242</w:t>
            </w:r>
          </w:p>
        </w:tc>
        <w:tc>
          <w:tcPr>
            <w:tcW w:w="840" w:type="dxa"/>
            <w:tcBorders>
              <w:top w:val="nil"/>
              <w:left w:val="nil"/>
              <w:bottom w:val="nil"/>
              <w:right w:val="nil"/>
            </w:tcBorders>
            <w:tcMar>
              <w:top w:w="128" w:type="dxa"/>
              <w:left w:w="43" w:type="dxa"/>
              <w:bottom w:w="43" w:type="dxa"/>
              <w:right w:w="43" w:type="dxa"/>
            </w:tcMar>
          </w:tcPr>
          <w:p w14:paraId="7095389B"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27A98EFE" w14:textId="77777777" w:rsidR="00F7113A" w:rsidRPr="00580C0D" w:rsidRDefault="00142E5B" w:rsidP="00BD6CF4">
            <w:r w:rsidRPr="00580C0D">
              <w:t xml:space="preserve">Informasjonsskilt langs </w:t>
            </w:r>
            <w:proofErr w:type="spellStart"/>
            <w:r w:rsidRPr="00580C0D">
              <w:t>vegane</w:t>
            </w:r>
            <w:proofErr w:type="spellEnd"/>
            <w:r w:rsidRPr="00580C0D">
              <w:t xml:space="preserve"> </w:t>
            </w:r>
          </w:p>
        </w:tc>
        <w:tc>
          <w:tcPr>
            <w:tcW w:w="1400" w:type="dxa"/>
            <w:tcBorders>
              <w:top w:val="nil"/>
              <w:left w:val="nil"/>
              <w:bottom w:val="nil"/>
              <w:right w:val="nil"/>
            </w:tcBorders>
            <w:tcMar>
              <w:top w:w="128" w:type="dxa"/>
              <w:left w:w="43" w:type="dxa"/>
              <w:bottom w:w="43" w:type="dxa"/>
              <w:right w:w="43" w:type="dxa"/>
            </w:tcMar>
          </w:tcPr>
          <w:p w14:paraId="2EDF6357" w14:textId="77777777" w:rsidR="00F7113A" w:rsidRPr="00580C0D" w:rsidRDefault="00142E5B" w:rsidP="00BD6CF4">
            <w:pPr>
              <w:jc w:val="right"/>
            </w:pPr>
            <w:r w:rsidRPr="00580C0D">
              <w:t>Ja</w:t>
            </w:r>
          </w:p>
        </w:tc>
      </w:tr>
      <w:tr w:rsidR="00F7113A" w:rsidRPr="00580C0D" w14:paraId="46CB4050" w14:textId="77777777">
        <w:trPr>
          <w:trHeight w:val="880"/>
        </w:trPr>
        <w:tc>
          <w:tcPr>
            <w:tcW w:w="1300" w:type="dxa"/>
            <w:tcBorders>
              <w:top w:val="nil"/>
              <w:left w:val="nil"/>
              <w:bottom w:val="nil"/>
              <w:right w:val="nil"/>
            </w:tcBorders>
            <w:tcMar>
              <w:top w:w="128" w:type="dxa"/>
              <w:left w:w="43" w:type="dxa"/>
              <w:bottom w:w="43" w:type="dxa"/>
              <w:right w:w="43" w:type="dxa"/>
            </w:tcMar>
          </w:tcPr>
          <w:p w14:paraId="61E9B6A1" w14:textId="77777777" w:rsidR="00F7113A" w:rsidRPr="00580C0D" w:rsidRDefault="00142E5B" w:rsidP="00BD6CF4">
            <w:r w:rsidRPr="00580C0D">
              <w:t>2019–2020</w:t>
            </w:r>
          </w:p>
        </w:tc>
        <w:tc>
          <w:tcPr>
            <w:tcW w:w="1120" w:type="dxa"/>
            <w:tcBorders>
              <w:top w:val="nil"/>
              <w:left w:val="nil"/>
              <w:bottom w:val="nil"/>
              <w:right w:val="nil"/>
            </w:tcBorders>
            <w:tcMar>
              <w:top w:w="128" w:type="dxa"/>
              <w:left w:w="43" w:type="dxa"/>
              <w:bottom w:w="43" w:type="dxa"/>
              <w:right w:w="43" w:type="dxa"/>
            </w:tcMar>
          </w:tcPr>
          <w:p w14:paraId="5E10164D" w14:textId="77777777" w:rsidR="00F7113A" w:rsidRPr="00580C0D" w:rsidRDefault="00142E5B" w:rsidP="00BD6CF4">
            <w:pPr>
              <w:ind w:right="284"/>
              <w:jc w:val="right"/>
            </w:pPr>
            <w:r w:rsidRPr="00580C0D">
              <w:t>435</w:t>
            </w:r>
          </w:p>
        </w:tc>
        <w:tc>
          <w:tcPr>
            <w:tcW w:w="840" w:type="dxa"/>
            <w:tcBorders>
              <w:top w:val="nil"/>
              <w:left w:val="nil"/>
              <w:bottom w:val="nil"/>
              <w:right w:val="nil"/>
            </w:tcBorders>
            <w:tcMar>
              <w:top w:w="128" w:type="dxa"/>
              <w:left w:w="43" w:type="dxa"/>
              <w:bottom w:w="43" w:type="dxa"/>
              <w:right w:w="43" w:type="dxa"/>
            </w:tcMar>
          </w:tcPr>
          <w:p w14:paraId="2A3483AE" w14:textId="77777777" w:rsidR="00F7113A" w:rsidRPr="00580C0D" w:rsidRDefault="00F7113A" w:rsidP="00BD6CF4">
            <w:pPr>
              <w:ind w:right="284"/>
              <w:jc w:val="right"/>
            </w:pPr>
          </w:p>
        </w:tc>
        <w:tc>
          <w:tcPr>
            <w:tcW w:w="4860" w:type="dxa"/>
            <w:tcBorders>
              <w:top w:val="nil"/>
              <w:left w:val="nil"/>
              <w:bottom w:val="nil"/>
              <w:right w:val="nil"/>
            </w:tcBorders>
            <w:tcMar>
              <w:top w:w="128" w:type="dxa"/>
              <w:left w:w="43" w:type="dxa"/>
              <w:bottom w:w="43" w:type="dxa"/>
              <w:right w:w="43" w:type="dxa"/>
            </w:tcMar>
            <w:vAlign w:val="bottom"/>
          </w:tcPr>
          <w:p w14:paraId="3BAC7FC8" w14:textId="4612A6FC" w:rsidR="00F7113A" w:rsidRPr="00580C0D" w:rsidRDefault="00142E5B" w:rsidP="00BD6CF4">
            <w:r w:rsidRPr="00580C0D">
              <w:t xml:space="preserve">Digitalt transportregister for all internasjonal godstrafikk, kombinerte </w:t>
            </w:r>
            <w:proofErr w:type="spellStart"/>
            <w:r w:rsidRPr="00580C0D">
              <w:t>transportar</w:t>
            </w:r>
            <w:proofErr w:type="spellEnd"/>
            <w:r w:rsidRPr="00580C0D">
              <w:t xml:space="preserve"> og </w:t>
            </w:r>
            <w:proofErr w:type="spellStart"/>
            <w:r w:rsidRPr="00580C0D">
              <w:t>kabotasje</w:t>
            </w:r>
            <w:r w:rsidR="00E13315">
              <w:softHyphen/>
            </w:r>
            <w:r w:rsidRPr="00580C0D">
              <w:t>turar</w:t>
            </w:r>
            <w:proofErr w:type="spellEnd"/>
            <w:r w:rsidRPr="00580C0D">
              <w:t xml:space="preserve"> i </w:t>
            </w:r>
            <w:proofErr w:type="spellStart"/>
            <w:r w:rsidRPr="00580C0D">
              <w:t>Noreg</w:t>
            </w:r>
            <w:proofErr w:type="spellEnd"/>
          </w:p>
        </w:tc>
        <w:tc>
          <w:tcPr>
            <w:tcW w:w="1400" w:type="dxa"/>
            <w:tcBorders>
              <w:top w:val="nil"/>
              <w:left w:val="nil"/>
              <w:bottom w:val="nil"/>
              <w:right w:val="nil"/>
            </w:tcBorders>
            <w:tcMar>
              <w:top w:w="128" w:type="dxa"/>
              <w:left w:w="43" w:type="dxa"/>
              <w:bottom w:w="43" w:type="dxa"/>
              <w:right w:w="43" w:type="dxa"/>
            </w:tcMar>
          </w:tcPr>
          <w:p w14:paraId="63AEDFC4" w14:textId="77777777" w:rsidR="00F7113A" w:rsidRPr="00580C0D" w:rsidRDefault="00142E5B" w:rsidP="00BD6CF4">
            <w:pPr>
              <w:jc w:val="right"/>
            </w:pPr>
            <w:r w:rsidRPr="00580C0D">
              <w:t>Ja</w:t>
            </w:r>
          </w:p>
        </w:tc>
      </w:tr>
      <w:tr w:rsidR="00F7113A" w:rsidRPr="00580C0D" w14:paraId="1A633E88" w14:textId="77777777">
        <w:trPr>
          <w:trHeight w:val="640"/>
        </w:trPr>
        <w:tc>
          <w:tcPr>
            <w:tcW w:w="1300" w:type="dxa"/>
            <w:tcBorders>
              <w:top w:val="nil"/>
              <w:left w:val="nil"/>
              <w:bottom w:val="single" w:sz="4" w:space="0" w:color="000000"/>
              <w:right w:val="nil"/>
            </w:tcBorders>
            <w:tcMar>
              <w:top w:w="128" w:type="dxa"/>
              <w:left w:w="43" w:type="dxa"/>
              <w:bottom w:w="43" w:type="dxa"/>
              <w:right w:w="43" w:type="dxa"/>
            </w:tcMar>
          </w:tcPr>
          <w:p w14:paraId="7E6F1C4B" w14:textId="77777777" w:rsidR="00F7113A" w:rsidRPr="00580C0D" w:rsidRDefault="00142E5B" w:rsidP="00BD6CF4">
            <w:r w:rsidRPr="00580C0D">
              <w:t>2018–2019</w:t>
            </w:r>
          </w:p>
        </w:tc>
        <w:tc>
          <w:tcPr>
            <w:tcW w:w="1120" w:type="dxa"/>
            <w:tcBorders>
              <w:top w:val="nil"/>
              <w:left w:val="nil"/>
              <w:bottom w:val="single" w:sz="4" w:space="0" w:color="000000"/>
              <w:right w:val="nil"/>
            </w:tcBorders>
            <w:tcMar>
              <w:top w:w="128" w:type="dxa"/>
              <w:left w:w="43" w:type="dxa"/>
              <w:bottom w:w="43" w:type="dxa"/>
              <w:right w:w="43" w:type="dxa"/>
            </w:tcMar>
          </w:tcPr>
          <w:p w14:paraId="079D6448" w14:textId="77777777" w:rsidR="00F7113A" w:rsidRPr="00580C0D" w:rsidRDefault="00142E5B" w:rsidP="00BD6CF4">
            <w:pPr>
              <w:ind w:right="284"/>
              <w:jc w:val="right"/>
            </w:pPr>
            <w:r w:rsidRPr="00580C0D">
              <w:t>345</w:t>
            </w:r>
          </w:p>
        </w:tc>
        <w:tc>
          <w:tcPr>
            <w:tcW w:w="840" w:type="dxa"/>
            <w:tcBorders>
              <w:top w:val="nil"/>
              <w:left w:val="nil"/>
              <w:bottom w:val="single" w:sz="4" w:space="0" w:color="000000"/>
              <w:right w:val="nil"/>
            </w:tcBorders>
            <w:tcMar>
              <w:top w:w="128" w:type="dxa"/>
              <w:left w:w="43" w:type="dxa"/>
              <w:bottom w:w="43" w:type="dxa"/>
              <w:right w:w="43" w:type="dxa"/>
            </w:tcMar>
          </w:tcPr>
          <w:p w14:paraId="3C1CDB86" w14:textId="77777777" w:rsidR="00F7113A" w:rsidRPr="00580C0D" w:rsidRDefault="00F7113A" w:rsidP="00BD6CF4">
            <w:pPr>
              <w:ind w:right="284"/>
              <w:jc w:val="right"/>
            </w:pPr>
          </w:p>
        </w:tc>
        <w:tc>
          <w:tcPr>
            <w:tcW w:w="4860" w:type="dxa"/>
            <w:tcBorders>
              <w:top w:val="nil"/>
              <w:left w:val="nil"/>
              <w:bottom w:val="single" w:sz="4" w:space="0" w:color="000000"/>
              <w:right w:val="nil"/>
            </w:tcBorders>
            <w:tcMar>
              <w:top w:w="128" w:type="dxa"/>
              <w:left w:w="43" w:type="dxa"/>
              <w:bottom w:w="43" w:type="dxa"/>
              <w:right w:w="43" w:type="dxa"/>
            </w:tcMar>
            <w:vAlign w:val="bottom"/>
          </w:tcPr>
          <w:p w14:paraId="3A1E7474" w14:textId="77777777" w:rsidR="00F7113A" w:rsidRPr="00580C0D" w:rsidRDefault="00142E5B" w:rsidP="00BD6CF4">
            <w:r w:rsidRPr="00580C0D">
              <w:t xml:space="preserve">Administrative </w:t>
            </w:r>
            <w:proofErr w:type="spellStart"/>
            <w:r w:rsidRPr="00580C0D">
              <w:t>sanksjonar</w:t>
            </w:r>
            <w:proofErr w:type="spellEnd"/>
            <w:r w:rsidRPr="00580C0D">
              <w:t xml:space="preserve"> ved </w:t>
            </w:r>
            <w:proofErr w:type="spellStart"/>
            <w:r w:rsidRPr="00580C0D">
              <w:t>brot</w:t>
            </w:r>
            <w:proofErr w:type="spellEnd"/>
            <w:r w:rsidRPr="00580C0D">
              <w:t xml:space="preserve"> på kabotasjeregelverket</w:t>
            </w:r>
          </w:p>
        </w:tc>
        <w:tc>
          <w:tcPr>
            <w:tcW w:w="1400" w:type="dxa"/>
            <w:tcBorders>
              <w:top w:val="nil"/>
              <w:left w:val="nil"/>
              <w:bottom w:val="single" w:sz="4" w:space="0" w:color="000000"/>
              <w:right w:val="nil"/>
            </w:tcBorders>
            <w:tcMar>
              <w:top w:w="128" w:type="dxa"/>
              <w:left w:w="43" w:type="dxa"/>
              <w:bottom w:w="43" w:type="dxa"/>
              <w:right w:w="43" w:type="dxa"/>
            </w:tcMar>
          </w:tcPr>
          <w:p w14:paraId="3D6658A3" w14:textId="77777777" w:rsidR="00F7113A" w:rsidRPr="00580C0D" w:rsidRDefault="00142E5B" w:rsidP="00BD6CF4">
            <w:pPr>
              <w:jc w:val="right"/>
            </w:pPr>
            <w:r w:rsidRPr="00580C0D">
              <w:t>Ja</w:t>
            </w:r>
          </w:p>
        </w:tc>
      </w:tr>
    </w:tbl>
    <w:p w14:paraId="20D37FA2" w14:textId="77777777" w:rsidR="00F7113A" w:rsidRPr="00580C0D" w:rsidRDefault="00142E5B" w:rsidP="001A1B0B">
      <w:pPr>
        <w:pStyle w:val="Overskrift2"/>
        <w:numPr>
          <w:ilvl w:val="1"/>
          <w:numId w:val="36"/>
        </w:numPr>
      </w:pPr>
      <w:r w:rsidRPr="00580C0D">
        <w:t>Stortingssesjonen 2022–2023</w:t>
      </w:r>
    </w:p>
    <w:p w14:paraId="6CD4359A" w14:textId="77777777" w:rsidR="00F7113A" w:rsidRPr="00580C0D" w:rsidRDefault="00142E5B" w:rsidP="00580C0D">
      <w:pPr>
        <w:pStyle w:val="avsnitt-tittel"/>
      </w:pPr>
      <w:r w:rsidRPr="00580C0D">
        <w:t xml:space="preserve">Vurdere korleis regelverket for autonome </w:t>
      </w:r>
      <w:proofErr w:type="spellStart"/>
      <w:r w:rsidRPr="00580C0D">
        <w:t>køyretøy</w:t>
      </w:r>
      <w:proofErr w:type="spellEnd"/>
      <w:r w:rsidRPr="00580C0D">
        <w:t xml:space="preserve"> kan </w:t>
      </w:r>
      <w:proofErr w:type="spellStart"/>
      <w:r w:rsidRPr="00580C0D">
        <w:t>medverke</w:t>
      </w:r>
      <w:proofErr w:type="spellEnd"/>
      <w:r w:rsidRPr="00580C0D">
        <w:t xml:space="preserve"> til teknologi- og industriutvikling</w:t>
      </w:r>
    </w:p>
    <w:p w14:paraId="2419474A" w14:textId="77777777" w:rsidR="00F7113A" w:rsidRPr="00580C0D" w:rsidRDefault="00142E5B" w:rsidP="00580C0D">
      <w:pPr>
        <w:pStyle w:val="avsnitt-undertittel"/>
      </w:pPr>
      <w:r w:rsidRPr="00580C0D">
        <w:t>Vedtak nr. 71, 29. november 2022</w:t>
      </w:r>
    </w:p>
    <w:p w14:paraId="78D09C8C" w14:textId="77777777" w:rsidR="00F7113A" w:rsidRPr="00580C0D" w:rsidRDefault="00142E5B" w:rsidP="00580C0D">
      <w:pPr>
        <w:pStyle w:val="blokksit"/>
        <w:rPr>
          <w:rStyle w:val="kursiv"/>
        </w:rPr>
      </w:pPr>
      <w:r w:rsidRPr="00580C0D">
        <w:rPr>
          <w:rStyle w:val="kursiv"/>
        </w:rPr>
        <w:t>«Stortinget ber regjeringen vurdere hvordan regelverket for testing av autonome kjøretøy bedre kan bidra til teknologi- og industriutvikling i Norge.»</w:t>
      </w:r>
    </w:p>
    <w:p w14:paraId="7612AFAD" w14:textId="77777777" w:rsidR="00F7113A" w:rsidRPr="00580C0D" w:rsidRDefault="00142E5B" w:rsidP="00580C0D">
      <w:r w:rsidRPr="00580C0D">
        <w:t xml:space="preserve">Dokumentene som ligger til grunn for vedtaket er representantforslag fra stortingsrepresentantene Trond Helleland, Liv Kari Eskeland, Erlend Larsen, Helge Orten, Svein </w:t>
      </w:r>
      <w:proofErr w:type="spellStart"/>
      <w:r w:rsidRPr="00580C0D">
        <w:t>Harberg</w:t>
      </w:r>
      <w:proofErr w:type="spellEnd"/>
      <w:r w:rsidRPr="00580C0D">
        <w:t xml:space="preserve">, Aleksander </w:t>
      </w:r>
      <w:proofErr w:type="spellStart"/>
      <w:r w:rsidRPr="00580C0D">
        <w:t>Stokkebø</w:t>
      </w:r>
      <w:proofErr w:type="spellEnd"/>
      <w:r w:rsidRPr="00580C0D">
        <w:t xml:space="preserve"> og Sandra </w:t>
      </w:r>
      <w:proofErr w:type="spellStart"/>
      <w:r w:rsidRPr="00580C0D">
        <w:t>Bruflot</w:t>
      </w:r>
      <w:proofErr w:type="spellEnd"/>
      <w:r w:rsidRPr="00580C0D">
        <w:t xml:space="preserve"> om økt kompleksitet i testingen av autonome kjøretøy, jf. Dokument 8:273 (2021–2022) og </w:t>
      </w:r>
      <w:proofErr w:type="spellStart"/>
      <w:r w:rsidRPr="00580C0D">
        <w:t>Innst</w:t>
      </w:r>
      <w:proofErr w:type="spellEnd"/>
      <w:r w:rsidRPr="00580C0D">
        <w:t>. 55 S (2022–2023).</w:t>
      </w:r>
    </w:p>
    <w:p w14:paraId="45EA73C3" w14:textId="77777777" w:rsidR="00F7113A" w:rsidRPr="00580C0D" w:rsidRDefault="00142E5B" w:rsidP="00580C0D">
      <w:r w:rsidRPr="00580C0D">
        <w:t xml:space="preserve">Samferdselsdepartementet ga i tildelingsbrevet for statsbudsjettet for 2023 Statens vegvesen i oppdrag å utarbeide en plan for oppfølging av anmodningsvedtak 71, 72, 73 og 74 av 29. november 2022. Statens vegvesen foreslår i planen bl.a. å utarbeide en nasjonal strategi for å innføre automatisert transport i Norge, sørge for utstrakt involvering av berørte aktører, herunder i en formalisert samarbeidsarena, og å videreutvikle rammeverket og veiledningen for utprøving av nye teknologier og forretningsmodeller. I planen settes også anmodningsvedtakene i sammenheng med allerede pågående prosjekter med høy kompleksitet, og som bidrar til et bredt samarbeid med industri, </w:t>
      </w:r>
      <w:proofErr w:type="spellStart"/>
      <w:r w:rsidRPr="00580C0D">
        <w:t>FoUI</w:t>
      </w:r>
      <w:proofErr w:type="spellEnd"/>
      <w:r w:rsidRPr="00580C0D">
        <w:t>, samt det pågående internasjonale og nasjonale regelverksarbeidet på området.</w:t>
      </w:r>
    </w:p>
    <w:p w14:paraId="4E67D9AE" w14:textId="77777777" w:rsidR="00F7113A" w:rsidRPr="00580C0D" w:rsidRDefault="00142E5B" w:rsidP="00580C0D">
      <w:r w:rsidRPr="00580C0D">
        <w:t xml:space="preserve">Samferdselsdepartementet vil følge opp dette arbeidet i styringsdialogen med Statens vegvesen og komme tilbake til saken på en egnet måte. </w:t>
      </w:r>
    </w:p>
    <w:p w14:paraId="0116B9E3" w14:textId="77777777" w:rsidR="00F7113A" w:rsidRPr="00580C0D" w:rsidRDefault="00142E5B" w:rsidP="00580C0D">
      <w:pPr>
        <w:pStyle w:val="avsnitt-tittel"/>
      </w:pPr>
      <w:r w:rsidRPr="00580C0D">
        <w:t xml:space="preserve">Foreslå varierte </w:t>
      </w:r>
      <w:proofErr w:type="spellStart"/>
      <w:r w:rsidRPr="00580C0D">
        <w:t>strekningar</w:t>
      </w:r>
      <w:proofErr w:type="spellEnd"/>
      <w:r w:rsidRPr="00580C0D">
        <w:t xml:space="preserve"> som kan </w:t>
      </w:r>
      <w:proofErr w:type="spellStart"/>
      <w:r w:rsidRPr="00580C0D">
        <w:t>førehandsgodkjennast</w:t>
      </w:r>
      <w:proofErr w:type="spellEnd"/>
      <w:r w:rsidRPr="00580C0D">
        <w:t xml:space="preserve"> for autonom køyring</w:t>
      </w:r>
    </w:p>
    <w:p w14:paraId="5FE5EC7D" w14:textId="77777777" w:rsidR="00F7113A" w:rsidRPr="00580C0D" w:rsidRDefault="00142E5B" w:rsidP="00580C0D">
      <w:pPr>
        <w:pStyle w:val="avsnitt-undertittel"/>
      </w:pPr>
      <w:r w:rsidRPr="00580C0D">
        <w:t>Vedtak nr. 72, 29. november 2022</w:t>
      </w:r>
    </w:p>
    <w:p w14:paraId="12AE6C01" w14:textId="77777777" w:rsidR="00F7113A" w:rsidRPr="00580C0D" w:rsidRDefault="00142E5B" w:rsidP="00580C0D">
      <w:pPr>
        <w:pStyle w:val="blokksit"/>
        <w:rPr>
          <w:rStyle w:val="kursiv"/>
        </w:rPr>
      </w:pPr>
      <w:r w:rsidRPr="00580C0D">
        <w:rPr>
          <w:rStyle w:val="kursiv"/>
        </w:rPr>
        <w:t xml:space="preserve">«Stortinget ber regjeringen sikre at det i samarbeid med industrien foreslås varierte strekninger som kan </w:t>
      </w:r>
      <w:proofErr w:type="spellStart"/>
      <w:r w:rsidRPr="00580C0D">
        <w:rPr>
          <w:rStyle w:val="kursiv"/>
        </w:rPr>
        <w:t>forhåndsgodkjennes</w:t>
      </w:r>
      <w:proofErr w:type="spellEnd"/>
      <w:r w:rsidRPr="00580C0D">
        <w:rPr>
          <w:rStyle w:val="kursiv"/>
        </w:rPr>
        <w:t xml:space="preserve"> for autonom kjøring.»</w:t>
      </w:r>
    </w:p>
    <w:p w14:paraId="48721337" w14:textId="77777777" w:rsidR="00F7113A" w:rsidRPr="00580C0D" w:rsidRDefault="00142E5B" w:rsidP="00580C0D">
      <w:r w:rsidRPr="00580C0D">
        <w:t xml:space="preserve">Dokumentene som ligger til grunn for vedtaket er representantforslag fra stortingsrepresentantene Trond Helleland, Liv Kari Eskeland, Erlend Larsen, Helge Orten, Svein </w:t>
      </w:r>
      <w:proofErr w:type="spellStart"/>
      <w:r w:rsidRPr="00580C0D">
        <w:t>Harberg</w:t>
      </w:r>
      <w:proofErr w:type="spellEnd"/>
      <w:r w:rsidRPr="00580C0D">
        <w:t xml:space="preserve">, Aleksander </w:t>
      </w:r>
      <w:proofErr w:type="spellStart"/>
      <w:r w:rsidRPr="00580C0D">
        <w:t>Stokkebø</w:t>
      </w:r>
      <w:proofErr w:type="spellEnd"/>
      <w:r w:rsidRPr="00580C0D">
        <w:t xml:space="preserve"> og Sandra </w:t>
      </w:r>
      <w:proofErr w:type="spellStart"/>
      <w:r w:rsidRPr="00580C0D">
        <w:t>Bruflot</w:t>
      </w:r>
      <w:proofErr w:type="spellEnd"/>
      <w:r w:rsidRPr="00580C0D">
        <w:t xml:space="preserve"> om økt kompleksitet i testingen av autonome kjøretøy, jf. Dokument 8:273 (2021–2022) og </w:t>
      </w:r>
      <w:proofErr w:type="spellStart"/>
      <w:r w:rsidRPr="00580C0D">
        <w:t>Innst</w:t>
      </w:r>
      <w:proofErr w:type="spellEnd"/>
      <w:r w:rsidRPr="00580C0D">
        <w:t>. 55 S (2022–2023).</w:t>
      </w:r>
    </w:p>
    <w:p w14:paraId="5B580F4D" w14:textId="77777777" w:rsidR="00F7113A" w:rsidRPr="00580C0D" w:rsidRDefault="00142E5B" w:rsidP="00580C0D">
      <w:r w:rsidRPr="00580C0D">
        <w:t>Det vises til omtale av anmodningsvedtak nr.71 av 29. november 2022.</w:t>
      </w:r>
    </w:p>
    <w:p w14:paraId="5C4FF382" w14:textId="77777777" w:rsidR="00F7113A" w:rsidRPr="00580C0D" w:rsidRDefault="00142E5B" w:rsidP="00580C0D">
      <w:pPr>
        <w:pStyle w:val="avsnitt-tittel"/>
      </w:pPr>
      <w:r w:rsidRPr="00580C0D">
        <w:t xml:space="preserve">Vurdere korleis kompleksiteten i testinga av autonome </w:t>
      </w:r>
      <w:proofErr w:type="spellStart"/>
      <w:r w:rsidRPr="00580C0D">
        <w:t>køyretøy</w:t>
      </w:r>
      <w:proofErr w:type="spellEnd"/>
      <w:r w:rsidRPr="00580C0D">
        <w:t xml:space="preserve"> kan </w:t>
      </w:r>
      <w:proofErr w:type="spellStart"/>
      <w:r w:rsidRPr="00580C0D">
        <w:t>aukast</w:t>
      </w:r>
      <w:proofErr w:type="spellEnd"/>
      <w:r w:rsidRPr="00580C0D">
        <w:t xml:space="preserve"> og </w:t>
      </w:r>
      <w:proofErr w:type="spellStart"/>
      <w:r w:rsidRPr="00580C0D">
        <w:t>tilpassast</w:t>
      </w:r>
      <w:proofErr w:type="spellEnd"/>
      <w:r w:rsidRPr="00580C0D">
        <w:t xml:space="preserve"> godkjenningsprosedyren for </w:t>
      </w:r>
      <w:proofErr w:type="spellStart"/>
      <w:r w:rsidRPr="00580C0D">
        <w:t>testane</w:t>
      </w:r>
      <w:proofErr w:type="spellEnd"/>
    </w:p>
    <w:p w14:paraId="023DA9B5" w14:textId="77777777" w:rsidR="00F7113A" w:rsidRPr="00580C0D" w:rsidRDefault="00142E5B" w:rsidP="00580C0D">
      <w:pPr>
        <w:pStyle w:val="avsnitt-undertittel"/>
      </w:pPr>
      <w:r w:rsidRPr="00580C0D">
        <w:t>Vedtak nr. 73, 29. november 2022</w:t>
      </w:r>
    </w:p>
    <w:p w14:paraId="12A43250" w14:textId="77777777" w:rsidR="00F7113A" w:rsidRPr="00580C0D" w:rsidRDefault="00142E5B" w:rsidP="00580C0D">
      <w:pPr>
        <w:pStyle w:val="blokksit"/>
        <w:rPr>
          <w:rStyle w:val="kursiv"/>
        </w:rPr>
      </w:pPr>
      <w:r w:rsidRPr="00580C0D">
        <w:rPr>
          <w:rStyle w:val="kursiv"/>
        </w:rPr>
        <w:t>«Stortinget ber regjeringen vurdere hvordan kompleksiteten i testingen av autonome kjøretøy kan økes, og tilpasses godkjenningsprosedyren for testene.»</w:t>
      </w:r>
    </w:p>
    <w:p w14:paraId="402AEB53" w14:textId="77777777" w:rsidR="00F7113A" w:rsidRPr="00580C0D" w:rsidRDefault="00142E5B" w:rsidP="00580C0D">
      <w:r w:rsidRPr="00580C0D">
        <w:t xml:space="preserve">Dokumentene som ligger til grunn for vedtaket er representantforslag fra stortingsrepresentantene Trond Helleland, Liv Kari Eskeland, Erlend Larsen, Helge Orten, Svein </w:t>
      </w:r>
      <w:proofErr w:type="spellStart"/>
      <w:r w:rsidRPr="00580C0D">
        <w:t>Harberg</w:t>
      </w:r>
      <w:proofErr w:type="spellEnd"/>
      <w:r w:rsidRPr="00580C0D">
        <w:t xml:space="preserve">, Aleksander </w:t>
      </w:r>
      <w:proofErr w:type="spellStart"/>
      <w:r w:rsidRPr="00580C0D">
        <w:t>Stokkebø</w:t>
      </w:r>
      <w:proofErr w:type="spellEnd"/>
      <w:r w:rsidRPr="00580C0D">
        <w:t xml:space="preserve"> og Sandra </w:t>
      </w:r>
      <w:proofErr w:type="spellStart"/>
      <w:r w:rsidRPr="00580C0D">
        <w:t>Bruflot</w:t>
      </w:r>
      <w:proofErr w:type="spellEnd"/>
      <w:r w:rsidRPr="00580C0D">
        <w:t xml:space="preserve"> om økt kompleksitet i testingen av autonome kjøretøy, jf. Dokument 8:273 (2021–2022) og </w:t>
      </w:r>
      <w:proofErr w:type="spellStart"/>
      <w:r w:rsidRPr="00580C0D">
        <w:t>Innst</w:t>
      </w:r>
      <w:proofErr w:type="spellEnd"/>
      <w:r w:rsidRPr="00580C0D">
        <w:t>. 55 S (2022–2023).</w:t>
      </w:r>
    </w:p>
    <w:p w14:paraId="4992ABD7" w14:textId="77777777" w:rsidR="00F7113A" w:rsidRPr="00580C0D" w:rsidRDefault="00142E5B" w:rsidP="00580C0D">
      <w:r w:rsidRPr="00580C0D">
        <w:t>Det vises til omtale av anmodningsvedtak nr. 71 av 29. november 2022.</w:t>
      </w:r>
    </w:p>
    <w:p w14:paraId="1AD72509" w14:textId="77777777" w:rsidR="00F7113A" w:rsidRPr="00580C0D" w:rsidRDefault="00142E5B" w:rsidP="00580C0D">
      <w:pPr>
        <w:pStyle w:val="avsnitt-tittel"/>
      </w:pPr>
      <w:r w:rsidRPr="00580C0D">
        <w:t xml:space="preserve">Endre regelverket slik at autonome </w:t>
      </w:r>
      <w:proofErr w:type="spellStart"/>
      <w:r w:rsidRPr="00580C0D">
        <w:t>køyretøy</w:t>
      </w:r>
      <w:proofErr w:type="spellEnd"/>
      <w:r w:rsidRPr="00580C0D">
        <w:t xml:space="preserve"> kan </w:t>
      </w:r>
      <w:proofErr w:type="spellStart"/>
      <w:r w:rsidRPr="00580C0D">
        <w:t>køyre</w:t>
      </w:r>
      <w:proofErr w:type="spellEnd"/>
      <w:r w:rsidRPr="00580C0D">
        <w:t xml:space="preserve"> i normal trafikk og i normal </w:t>
      </w:r>
      <w:proofErr w:type="spellStart"/>
      <w:r w:rsidRPr="00580C0D">
        <w:t>hastigheit</w:t>
      </w:r>
      <w:proofErr w:type="spellEnd"/>
      <w:r w:rsidRPr="00580C0D">
        <w:t xml:space="preserve"> på </w:t>
      </w:r>
      <w:proofErr w:type="spellStart"/>
      <w:r w:rsidRPr="00580C0D">
        <w:t>delar</w:t>
      </w:r>
      <w:proofErr w:type="spellEnd"/>
      <w:r w:rsidRPr="00580C0D">
        <w:t xml:space="preserve"> av vegnettet</w:t>
      </w:r>
    </w:p>
    <w:p w14:paraId="4AB47A26" w14:textId="77777777" w:rsidR="00F7113A" w:rsidRPr="00580C0D" w:rsidRDefault="00142E5B" w:rsidP="00580C0D">
      <w:pPr>
        <w:pStyle w:val="avsnitt-undertittel"/>
      </w:pPr>
      <w:r w:rsidRPr="00580C0D">
        <w:t>Vedtak nr. 74, 29. november 2022</w:t>
      </w:r>
    </w:p>
    <w:p w14:paraId="08BEE045" w14:textId="77777777" w:rsidR="00F7113A" w:rsidRPr="00580C0D" w:rsidRDefault="00142E5B" w:rsidP="00580C0D">
      <w:pPr>
        <w:pStyle w:val="blokksit"/>
        <w:rPr>
          <w:rStyle w:val="kursiv"/>
        </w:rPr>
      </w:pPr>
      <w:r w:rsidRPr="00580C0D">
        <w:rPr>
          <w:rStyle w:val="kursiv"/>
        </w:rPr>
        <w:t>«Stortinget ber regjeringen vurdere hvilke regelverksendringer som må til for å åpne for muligheten til å kjøre autonome kjøretøy i normal trafikk og i normal hastighet, på utvalgte deler av det ordinære vegnettet.»</w:t>
      </w:r>
    </w:p>
    <w:p w14:paraId="1DAE7017" w14:textId="77777777" w:rsidR="00F7113A" w:rsidRPr="00580C0D" w:rsidRDefault="00142E5B" w:rsidP="00580C0D">
      <w:r w:rsidRPr="00580C0D">
        <w:t xml:space="preserve">Dokumentene som ligger til grunn for vedtaket er representantforslag fra stortingsrepresentantene Trond Helleland, Liv Kari Eskeland, Erlend Larsen, Helge Orten, Svein </w:t>
      </w:r>
      <w:proofErr w:type="spellStart"/>
      <w:r w:rsidRPr="00580C0D">
        <w:t>Harberg</w:t>
      </w:r>
      <w:proofErr w:type="spellEnd"/>
      <w:r w:rsidRPr="00580C0D">
        <w:t xml:space="preserve">, Aleksander </w:t>
      </w:r>
      <w:proofErr w:type="spellStart"/>
      <w:r w:rsidRPr="00580C0D">
        <w:t>Stokkebø</w:t>
      </w:r>
      <w:proofErr w:type="spellEnd"/>
      <w:r w:rsidRPr="00580C0D">
        <w:t xml:space="preserve"> og Sandra </w:t>
      </w:r>
      <w:proofErr w:type="spellStart"/>
      <w:r w:rsidRPr="00580C0D">
        <w:t>Bruflot</w:t>
      </w:r>
      <w:proofErr w:type="spellEnd"/>
      <w:r w:rsidRPr="00580C0D">
        <w:t xml:space="preserve"> om økt kompleksitet i testingen av autonome kjøretøy, jf. Dokument 8:273 (2021–2022) og </w:t>
      </w:r>
      <w:proofErr w:type="spellStart"/>
      <w:r w:rsidRPr="00580C0D">
        <w:t>Innst</w:t>
      </w:r>
      <w:proofErr w:type="spellEnd"/>
      <w:r w:rsidRPr="00580C0D">
        <w:t>. 55 S (2002–2023).</w:t>
      </w:r>
    </w:p>
    <w:p w14:paraId="480EDE99" w14:textId="77777777" w:rsidR="00F7113A" w:rsidRPr="00580C0D" w:rsidRDefault="00142E5B" w:rsidP="00580C0D">
      <w:r w:rsidRPr="00580C0D">
        <w:t>Det vises omtale av anmodningsvedtak nr. 71 av 29. november 2022.</w:t>
      </w:r>
    </w:p>
    <w:p w14:paraId="7D7E6EEB" w14:textId="77777777" w:rsidR="00F7113A" w:rsidRPr="00580C0D" w:rsidRDefault="00142E5B" w:rsidP="00580C0D">
      <w:pPr>
        <w:pStyle w:val="avsnitt-tittel"/>
      </w:pPr>
      <w:r w:rsidRPr="00580C0D">
        <w:t>Etablere mellombels bru ved Tretten</w:t>
      </w:r>
    </w:p>
    <w:p w14:paraId="76721751" w14:textId="77777777" w:rsidR="00F7113A" w:rsidRPr="00580C0D" w:rsidRDefault="00142E5B" w:rsidP="00580C0D">
      <w:pPr>
        <w:pStyle w:val="avsnitt-undertittel"/>
      </w:pPr>
      <w:r w:rsidRPr="00580C0D">
        <w:t>Vedtak nr. 77, 1. desember 2022</w:t>
      </w:r>
    </w:p>
    <w:p w14:paraId="11F578A3" w14:textId="77777777" w:rsidR="00F7113A" w:rsidRPr="00580C0D" w:rsidRDefault="00142E5B" w:rsidP="00580C0D">
      <w:pPr>
        <w:pStyle w:val="blokksit"/>
        <w:rPr>
          <w:rStyle w:val="kursiv"/>
        </w:rPr>
      </w:pPr>
      <w:r w:rsidRPr="00580C0D">
        <w:rPr>
          <w:rStyle w:val="kursiv"/>
        </w:rPr>
        <w:t>«Stortinget ber regjeringen sørge for at det snarest mulig blir etablert en midlertidig bru ved Tretten, herunder sørge for at de relevante statsetatene hastebehandler søknadene om nødvendige tillatelser og godkjenninger.»</w:t>
      </w:r>
    </w:p>
    <w:p w14:paraId="1121C296" w14:textId="77777777" w:rsidR="00F7113A" w:rsidRPr="00580C0D" w:rsidRDefault="00142E5B" w:rsidP="00580C0D">
      <w:r w:rsidRPr="00580C0D">
        <w:t xml:space="preserve">Dokumentene som ligger til grunn for vedtaket er representantforslag fra stortingsrepresentantene Carl I. Hagen, Frank Edvard Sve, Morten Stordalen, Bård </w:t>
      </w:r>
      <w:proofErr w:type="spellStart"/>
      <w:r w:rsidRPr="00580C0D">
        <w:t>Hoksrud</w:t>
      </w:r>
      <w:proofErr w:type="spellEnd"/>
      <w:r w:rsidRPr="00580C0D">
        <w:t xml:space="preserve"> og Tor André Johnsen om å be regjeringen snarest mulig å etablere en midlertidig bru ved Tretten, jf. Dokument 8:17 (2022–2023) og </w:t>
      </w:r>
      <w:proofErr w:type="spellStart"/>
      <w:r w:rsidRPr="00580C0D">
        <w:t>Innst</w:t>
      </w:r>
      <w:proofErr w:type="spellEnd"/>
      <w:r w:rsidRPr="00580C0D">
        <w:t>. 66 S (2022–2023).</w:t>
      </w:r>
    </w:p>
    <w:p w14:paraId="57329EE7" w14:textId="77777777" w:rsidR="00F7113A" w:rsidRPr="00580C0D" w:rsidRDefault="00142E5B" w:rsidP="00580C0D">
      <w:r w:rsidRPr="00580C0D">
        <w:t>Innlandet fylkeskommune er veieier og var byggherre for arbeidet med å sette opp midlertidig bru på Tretten på fv. 254 i Øyer kommune etter at brua kollapset 15. august 2022. Fylkeskommunen måtte søke om nødvendige tillatelser for arbeid i og ved Gudbrandsdalslågen, både hos Statsforvalteren i Innlandet og hos NVE. Disse ble innvilget henholdsvis i oktober og november 2022. Den midlertidige brua åpnet 30. juni 2023.</w:t>
      </w:r>
    </w:p>
    <w:p w14:paraId="4C06D66A" w14:textId="77777777" w:rsidR="00F7113A" w:rsidRPr="00580C0D" w:rsidRDefault="00142E5B" w:rsidP="00580C0D">
      <w:r w:rsidRPr="00580C0D">
        <w:t>Samferdselsdepartementet anser med dette anmodningsvedtaket som fulgt opp.</w:t>
      </w:r>
    </w:p>
    <w:p w14:paraId="3D5C79D3" w14:textId="77777777" w:rsidR="00F7113A" w:rsidRPr="00580C0D" w:rsidRDefault="00142E5B" w:rsidP="00580C0D">
      <w:pPr>
        <w:pStyle w:val="avsnitt-tittel"/>
      </w:pPr>
      <w:r w:rsidRPr="00580C0D">
        <w:t xml:space="preserve">Gjeninnføre plikta til å </w:t>
      </w:r>
      <w:proofErr w:type="spellStart"/>
      <w:r w:rsidRPr="00580C0D">
        <w:t>vere</w:t>
      </w:r>
      <w:proofErr w:type="spellEnd"/>
      <w:r w:rsidRPr="00580C0D">
        <w:t xml:space="preserve"> tilknytt </w:t>
      </w:r>
      <w:proofErr w:type="spellStart"/>
      <w:r w:rsidRPr="00580C0D">
        <w:t>ein</w:t>
      </w:r>
      <w:proofErr w:type="spellEnd"/>
      <w:r w:rsidRPr="00580C0D">
        <w:t xml:space="preserve"> drosjesentral og driveplikt og </w:t>
      </w:r>
      <w:proofErr w:type="spellStart"/>
      <w:r w:rsidRPr="00580C0D">
        <w:t>talavgrensing</w:t>
      </w:r>
      <w:proofErr w:type="spellEnd"/>
      <w:r w:rsidRPr="00580C0D">
        <w:t xml:space="preserve"> i drosjenæringa</w:t>
      </w:r>
    </w:p>
    <w:p w14:paraId="1FBA5AE9" w14:textId="77777777" w:rsidR="00F7113A" w:rsidRPr="00580C0D" w:rsidRDefault="00142E5B" w:rsidP="00580C0D">
      <w:pPr>
        <w:pStyle w:val="avsnitt-undertittel"/>
      </w:pPr>
      <w:r w:rsidRPr="00580C0D">
        <w:t>Vedtak nr. 84, 1. desember 2022</w:t>
      </w:r>
    </w:p>
    <w:p w14:paraId="4B3E6C85" w14:textId="77777777" w:rsidR="00F7113A" w:rsidRPr="00580C0D" w:rsidRDefault="00142E5B" w:rsidP="00580C0D">
      <w:pPr>
        <w:pStyle w:val="blokksit"/>
        <w:rPr>
          <w:rStyle w:val="kursiv"/>
        </w:rPr>
      </w:pPr>
      <w:r w:rsidRPr="00580C0D">
        <w:rPr>
          <w:rStyle w:val="kursiv"/>
        </w:rPr>
        <w:t>«Stortinget ber regjeringen komme med nødvendige lov- og forskriftsendringer for å gjeninnføre plikten til å være tilknyttet en drosjesentral og driveplikt og antallsbegrensning i drosjenæringen i løpet av 2023.»</w:t>
      </w:r>
    </w:p>
    <w:p w14:paraId="34D5F5EC"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0F481CC7" w14:textId="77777777" w:rsidR="00F7113A" w:rsidRPr="00580C0D" w:rsidRDefault="00142E5B" w:rsidP="00580C0D">
      <w:r w:rsidRPr="00580C0D">
        <w:t xml:space="preserve">Våren 2022 oppnevnte regjeringen et offentlig utvalg (Drosjeutvalget) som skal foreta en helhetlig vurdering av drosjereguleringen. Utvalget leverte en delutredning 30. juni 2023. I delutredningen, NOU 2023: 22 </w:t>
      </w:r>
      <w:r w:rsidRPr="00580C0D">
        <w:rPr>
          <w:rStyle w:val="kursiv"/>
        </w:rPr>
        <w:t>På vei mot en bedre regulert drosjenæring</w:t>
      </w:r>
      <w:r w:rsidRPr="00580C0D">
        <w:t>, foreslår Drosjeutvalget bl.a. å innføre plikt for løyvehavere til å være tilknyttet drosjesentral samt pålegge sentralene konkrete plikter for å ivareta viktige samfunnshensyn som hvit økonomi, forbrukerhensyn og et tilfredsstillende drosjetilbud til personer med nedsatt funksjonsevne. NOU 2023: 22 har vært på høring med høringsfrist 11. september 2023. Samferdselsdepartementet følger opp forslagene og høringsinnspillene og arbeider med sikte på å legge frem en proposisjon for Stortinget med krav om sentraltilknytningsplikt.</w:t>
      </w:r>
    </w:p>
    <w:p w14:paraId="5C84C10D" w14:textId="77777777" w:rsidR="00F7113A" w:rsidRPr="00580C0D" w:rsidRDefault="00142E5B" w:rsidP="00580C0D">
      <w:r w:rsidRPr="00580C0D">
        <w:t>Utvalget skal i delutredning II identifisere tiltak som sikrer et godt drosjetilbud i hele landet, herunder vurderinger knyttet til driveplikt og antallsregulering. Videre skal utvalget vurdere krav for å sikre en seriøs drosjenæring, trygghet for kundene, gode arbeidsforhold for ansatte og løyvehavere samt tiltak for å sikre kontroll og tilsyn med næringen.</w:t>
      </w:r>
    </w:p>
    <w:p w14:paraId="6BEF09DA" w14:textId="77777777" w:rsidR="00F7113A" w:rsidRPr="00580C0D" w:rsidRDefault="00142E5B" w:rsidP="00580C0D">
      <w:r w:rsidRPr="00580C0D">
        <w:t>Samferdselsdepartementet vil følge opp dette arbeidet og komme tilbake til Stortinget på egnet måte.</w:t>
      </w:r>
    </w:p>
    <w:p w14:paraId="4C59F33F" w14:textId="77777777" w:rsidR="00F7113A" w:rsidRPr="00580C0D" w:rsidRDefault="00142E5B" w:rsidP="00580C0D">
      <w:pPr>
        <w:pStyle w:val="avsnitt-tittel"/>
      </w:pPr>
      <w:r w:rsidRPr="00580C0D">
        <w:t xml:space="preserve">Nullutsleppskrav til all løyvebasert </w:t>
      </w:r>
      <w:proofErr w:type="spellStart"/>
      <w:r w:rsidRPr="00580C0D">
        <w:t>verksemd</w:t>
      </w:r>
      <w:proofErr w:type="spellEnd"/>
    </w:p>
    <w:p w14:paraId="31D585E3" w14:textId="77777777" w:rsidR="00F7113A" w:rsidRPr="00580C0D" w:rsidRDefault="00142E5B" w:rsidP="00580C0D">
      <w:pPr>
        <w:pStyle w:val="avsnitt-undertittel"/>
      </w:pPr>
      <w:r w:rsidRPr="00580C0D">
        <w:t>Vedtak nr. 94, 1. desember 2022</w:t>
      </w:r>
    </w:p>
    <w:p w14:paraId="677E32AC" w14:textId="77777777" w:rsidR="00F7113A" w:rsidRPr="00580C0D" w:rsidRDefault="00142E5B" w:rsidP="00580C0D">
      <w:pPr>
        <w:pStyle w:val="blokksit"/>
        <w:rPr>
          <w:rStyle w:val="kursiv"/>
        </w:rPr>
      </w:pPr>
      <w:r w:rsidRPr="00580C0D">
        <w:rPr>
          <w:rStyle w:val="kursiv"/>
        </w:rPr>
        <w:t>«Stortinget ber regjeringen utrede og fremme forslag om endring av yrkestransportloven slik at det stilles nullutslippskrav til all løyvebasert virksomhet der det er mulig i løpet av 2023.»</w:t>
      </w:r>
    </w:p>
    <w:p w14:paraId="6F6AEF2F"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7466E431" w14:textId="77777777" w:rsidR="00F7113A" w:rsidRPr="00580C0D" w:rsidRDefault="00142E5B" w:rsidP="00580C0D">
      <w:r w:rsidRPr="00580C0D">
        <w:t>Samferdselsdepartement ga i supplerende tildelingsbrev nr. 5 av 28. mars 2023 Statens vegvesen i oppdrag å utrede om det er mulig, og hensiktsmessig, å stille krav om nullutslipp i løyvepliktig persontransport med motorvogn.</w:t>
      </w:r>
    </w:p>
    <w:p w14:paraId="2A4D3166" w14:textId="77777777" w:rsidR="00F7113A" w:rsidRPr="00580C0D" w:rsidRDefault="00142E5B" w:rsidP="00580C0D">
      <w:r w:rsidRPr="00580C0D">
        <w:t>Departementet har innført krav til offentlige anskaffelser av personbiler, varebiler og bybusser i en egen forskrift. For ferjer og hurtigbåter er det utarbeidet forslag til ny forskrift med nullutslippskrav som ble sendt på høring med frist 1. oktober 2023. Disse kravene vil i stor grad gjelde løyvepliktig transport.</w:t>
      </w:r>
    </w:p>
    <w:p w14:paraId="6E6CEACC" w14:textId="77777777" w:rsidR="00F7113A" w:rsidRPr="00580C0D" w:rsidRDefault="00142E5B" w:rsidP="00580C0D">
      <w:r w:rsidRPr="00580C0D">
        <w:t>Samferdselsdepartementet vil komme tilbake til saken på egnet måte.</w:t>
      </w:r>
    </w:p>
    <w:p w14:paraId="63787EA8" w14:textId="77777777" w:rsidR="00F7113A" w:rsidRPr="00580C0D" w:rsidRDefault="00142E5B" w:rsidP="00580C0D">
      <w:pPr>
        <w:pStyle w:val="avsnitt-tittel"/>
      </w:pPr>
      <w:r w:rsidRPr="00580C0D">
        <w:t xml:space="preserve">Null- og </w:t>
      </w:r>
      <w:proofErr w:type="spellStart"/>
      <w:r w:rsidRPr="00580C0D">
        <w:t>lågutsleppskrav</w:t>
      </w:r>
      <w:proofErr w:type="spellEnd"/>
      <w:r w:rsidRPr="00580C0D">
        <w:t xml:space="preserve"> i det </w:t>
      </w:r>
      <w:proofErr w:type="spellStart"/>
      <w:r w:rsidRPr="00580C0D">
        <w:t>komande</w:t>
      </w:r>
      <w:proofErr w:type="spellEnd"/>
      <w:r w:rsidRPr="00580C0D">
        <w:t xml:space="preserve"> FOT-kjøpet</w:t>
      </w:r>
    </w:p>
    <w:p w14:paraId="209FD843" w14:textId="77777777" w:rsidR="00F7113A" w:rsidRPr="00580C0D" w:rsidRDefault="00142E5B" w:rsidP="00580C0D">
      <w:pPr>
        <w:pStyle w:val="avsnitt-undertittel"/>
      </w:pPr>
      <w:r w:rsidRPr="00580C0D">
        <w:t>Vedtak nr. 96, 1. desember 2022</w:t>
      </w:r>
    </w:p>
    <w:p w14:paraId="2F384507" w14:textId="77777777" w:rsidR="00F7113A" w:rsidRPr="00580C0D" w:rsidRDefault="00142E5B" w:rsidP="00580C0D">
      <w:pPr>
        <w:pStyle w:val="blokksit"/>
        <w:rPr>
          <w:rStyle w:val="kursiv"/>
        </w:rPr>
      </w:pPr>
      <w:r w:rsidRPr="00580C0D">
        <w:rPr>
          <w:rStyle w:val="kursiv"/>
        </w:rPr>
        <w:t xml:space="preserve">«Stortinget ber regjeringen se på mulige tiltak for tilrettelegging for innfasing av null- og </w:t>
      </w:r>
      <w:proofErr w:type="spellStart"/>
      <w:r w:rsidRPr="00580C0D">
        <w:rPr>
          <w:rStyle w:val="kursiv"/>
        </w:rPr>
        <w:t>lavutslippsfly</w:t>
      </w:r>
      <w:proofErr w:type="spellEnd"/>
      <w:r w:rsidRPr="00580C0D">
        <w:rPr>
          <w:rStyle w:val="kursiv"/>
        </w:rPr>
        <w:t xml:space="preserve"> i den førstkommende FOT-anskaffelsen som lyses ut i 2023, med avtaleoppstart 1. april 2024.»</w:t>
      </w:r>
    </w:p>
    <w:p w14:paraId="1CBCEA59"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167712C7" w14:textId="77777777" w:rsidR="00F7113A" w:rsidRPr="00580C0D" w:rsidRDefault="00142E5B" w:rsidP="00580C0D">
      <w:r w:rsidRPr="00580C0D">
        <w:t xml:space="preserve">Samferdselsdepartementet har i konkurransegrunnlag og kontrakt for FOT-anskaffelsen med avtaleoppstart 1. april 2024 satt krav til klima/miljø. Ettersom egnede null- og </w:t>
      </w:r>
      <w:proofErr w:type="spellStart"/>
      <w:r w:rsidRPr="00580C0D">
        <w:t>lavutslippsfly</w:t>
      </w:r>
      <w:proofErr w:type="spellEnd"/>
      <w:r w:rsidRPr="00580C0D">
        <w:t xml:space="preserve"> ikke vil være tilgjengelig til avtaleoppstart i 2024, er tiltakene rettet mot å klargjøre ønsket retning fra myndighetenes side og gi oppdragsgiver og forbrukere mer informasjon. I konkurranseutlysningen er det tatt inn følgende:</w:t>
      </w:r>
    </w:p>
    <w:p w14:paraId="711829D7" w14:textId="77777777" w:rsidR="00F7113A" w:rsidRPr="00580C0D" w:rsidRDefault="00142E5B" w:rsidP="00580C0D">
      <w:pPr>
        <w:pStyle w:val="Liste"/>
      </w:pPr>
      <w:r w:rsidRPr="00580C0D">
        <w:t xml:space="preserve">omtale av regjeringens mål relatert til innfasing av null- og </w:t>
      </w:r>
      <w:proofErr w:type="spellStart"/>
      <w:r w:rsidRPr="00580C0D">
        <w:t>lavutslippsfly</w:t>
      </w:r>
      <w:proofErr w:type="spellEnd"/>
      <w:r w:rsidRPr="00580C0D">
        <w:t xml:space="preserve"> i den regionale luftarten i Meld. 10 St. (2022–2023) </w:t>
      </w:r>
      <w:r w:rsidRPr="00580C0D">
        <w:rPr>
          <w:rStyle w:val="kursiv"/>
        </w:rPr>
        <w:t>Bærekraftig og sikker luftfart - Nasjonal luftfartsstrategi</w:t>
      </w:r>
    </w:p>
    <w:p w14:paraId="470A1D3C" w14:textId="77777777" w:rsidR="00F7113A" w:rsidRPr="00580C0D" w:rsidRDefault="00142E5B" w:rsidP="00580C0D">
      <w:pPr>
        <w:pStyle w:val="Liste"/>
      </w:pPr>
      <w:r w:rsidRPr="00580C0D">
        <w:t xml:space="preserve">en oppfordring til operatørene om å se på mulighetene for å fase inn null- og </w:t>
      </w:r>
      <w:proofErr w:type="spellStart"/>
      <w:r w:rsidRPr="00580C0D">
        <w:t>lavutslippsfly</w:t>
      </w:r>
      <w:proofErr w:type="spellEnd"/>
      <w:r w:rsidRPr="00580C0D">
        <w:t xml:space="preserve"> i avtaleperioden</w:t>
      </w:r>
    </w:p>
    <w:p w14:paraId="6A1051A6" w14:textId="77777777" w:rsidR="00F7113A" w:rsidRPr="00580C0D" w:rsidRDefault="00142E5B" w:rsidP="00580C0D">
      <w:pPr>
        <w:pStyle w:val="Liste"/>
      </w:pPr>
      <w:r w:rsidRPr="00580C0D">
        <w:t xml:space="preserve">en åpning for dialog i avtaleperioden, etter søknad fra operatøren, om å innfase null- og </w:t>
      </w:r>
      <w:proofErr w:type="spellStart"/>
      <w:r w:rsidRPr="00580C0D">
        <w:t>lavutslippsfly</w:t>
      </w:r>
      <w:proofErr w:type="spellEnd"/>
      <w:r w:rsidRPr="00580C0D">
        <w:t xml:space="preserve"> gjennom reforhandlinger</w:t>
      </w:r>
    </w:p>
    <w:p w14:paraId="0F1938C1" w14:textId="77777777" w:rsidR="00F7113A" w:rsidRPr="00580C0D" w:rsidRDefault="00142E5B" w:rsidP="00580C0D">
      <w:pPr>
        <w:pStyle w:val="Liste"/>
      </w:pPr>
      <w:r w:rsidRPr="00580C0D">
        <w:t>at operatørene skal utrede mulighetene for fremvisning av CO</w:t>
      </w:r>
      <w:r w:rsidRPr="00580C0D">
        <w:rPr>
          <w:rStyle w:val="skrift-senket"/>
        </w:rPr>
        <w:t>2</w:t>
      </w:r>
      <w:r w:rsidRPr="00580C0D">
        <w:t>-utslipp og kjøp av klima-/miljøkompensasjon ved bestilling av billett</w:t>
      </w:r>
    </w:p>
    <w:p w14:paraId="55A309B8" w14:textId="77777777" w:rsidR="00F7113A" w:rsidRPr="00580C0D" w:rsidRDefault="00142E5B" w:rsidP="00580C0D">
      <w:pPr>
        <w:pStyle w:val="Liste"/>
      </w:pPr>
      <w:r w:rsidRPr="00580C0D">
        <w:t>krav til rapportering av drivstofforbruk og CO</w:t>
      </w:r>
      <w:r w:rsidRPr="00580C0D">
        <w:rPr>
          <w:rStyle w:val="skrift-senket"/>
        </w:rPr>
        <w:t>2</w:t>
      </w:r>
      <w:r w:rsidRPr="00580C0D">
        <w:t>-utslipp.</w:t>
      </w:r>
    </w:p>
    <w:p w14:paraId="6AB8CE3A" w14:textId="77777777" w:rsidR="00F7113A" w:rsidRPr="00580C0D" w:rsidRDefault="00142E5B" w:rsidP="00580C0D">
      <w:r w:rsidRPr="00580C0D">
        <w:t>Samferdselsdepartementet anser med dette anmodningsvedtaket som fulgt opp.</w:t>
      </w:r>
    </w:p>
    <w:p w14:paraId="4ECC86F9" w14:textId="77777777" w:rsidR="00F7113A" w:rsidRPr="00580C0D" w:rsidRDefault="00142E5B" w:rsidP="00580C0D">
      <w:pPr>
        <w:pStyle w:val="avsnitt-tittel"/>
      </w:pPr>
      <w:proofErr w:type="spellStart"/>
      <w:r w:rsidRPr="00580C0D">
        <w:t>Vidareføre</w:t>
      </w:r>
      <w:proofErr w:type="spellEnd"/>
      <w:r w:rsidRPr="00580C0D">
        <w:t xml:space="preserve"> Ringeriksbanen og E16 Skaret–Høgkastet som </w:t>
      </w:r>
      <w:proofErr w:type="spellStart"/>
      <w:r w:rsidRPr="00580C0D">
        <w:t>eit</w:t>
      </w:r>
      <w:proofErr w:type="spellEnd"/>
      <w:r w:rsidRPr="00580C0D">
        <w:t xml:space="preserve"> fellesprosjekt</w:t>
      </w:r>
    </w:p>
    <w:p w14:paraId="1762DA9F" w14:textId="77777777" w:rsidR="00F7113A" w:rsidRPr="00580C0D" w:rsidRDefault="00142E5B" w:rsidP="00580C0D">
      <w:pPr>
        <w:pStyle w:val="avsnitt-undertittel"/>
      </w:pPr>
      <w:r w:rsidRPr="00580C0D">
        <w:t>Vedtak nr. 104, 1. desember 2022</w:t>
      </w:r>
    </w:p>
    <w:p w14:paraId="4669C946" w14:textId="77777777" w:rsidR="00F7113A" w:rsidRPr="00580C0D" w:rsidRDefault="00142E5B" w:rsidP="00580C0D">
      <w:pPr>
        <w:pStyle w:val="blokksit"/>
        <w:rPr>
          <w:rStyle w:val="kursiv"/>
        </w:rPr>
      </w:pPr>
      <w:r w:rsidRPr="00580C0D">
        <w:rPr>
          <w:rStyle w:val="kursiv"/>
        </w:rPr>
        <w:t>«Stortinget ber regjeringen videreføre Ringeriksbanen og E16 Skaret–Høgkastet som et fellesprosjekt og vurdere fremdriften og den økonomiske bærekraften i prosjektet frem mot ny NTP.»</w:t>
      </w:r>
    </w:p>
    <w:p w14:paraId="635B4F28"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40F88B5F" w14:textId="77777777" w:rsidR="00F7113A" w:rsidRPr="00580C0D" w:rsidRDefault="00142E5B" w:rsidP="00580C0D">
      <w:r w:rsidRPr="00580C0D">
        <w:t xml:space="preserve">Ringeriksbanen og E16 Skaret–Høgkastet–Hønefoss er videreført som et fellesprosjekt i Nye Veier AS. Selskapet har arbeidet videre med å optimalisere nytten og redusere utbyggingskostnader både for jernbane- og </w:t>
      </w:r>
      <w:proofErr w:type="spellStart"/>
      <w:r w:rsidRPr="00580C0D">
        <w:t>veidelen</w:t>
      </w:r>
      <w:proofErr w:type="spellEnd"/>
      <w:r w:rsidRPr="00580C0D">
        <w:t>. Regjeringen legger opp til å komme tilbake til saken i meldingen om Nasjonal transportplan 2025–2036.</w:t>
      </w:r>
    </w:p>
    <w:p w14:paraId="1A078D30" w14:textId="77777777" w:rsidR="00F7113A" w:rsidRPr="00580C0D" w:rsidRDefault="00142E5B" w:rsidP="00580C0D">
      <w:pPr>
        <w:pStyle w:val="avsnitt-tittel"/>
      </w:pPr>
      <w:proofErr w:type="spellStart"/>
      <w:r w:rsidRPr="00580C0D">
        <w:t>Vidareføre</w:t>
      </w:r>
      <w:proofErr w:type="spellEnd"/>
      <w:r w:rsidRPr="00580C0D">
        <w:t xml:space="preserve"> maksimal bompengetakst for lette </w:t>
      </w:r>
      <w:proofErr w:type="spellStart"/>
      <w:r w:rsidRPr="00580C0D">
        <w:t>nullutsleppskøyretøy</w:t>
      </w:r>
      <w:proofErr w:type="spellEnd"/>
      <w:r w:rsidRPr="00580C0D">
        <w:t xml:space="preserve"> på inntil 70 pst. av ordinær takst</w:t>
      </w:r>
    </w:p>
    <w:p w14:paraId="2EC01D77" w14:textId="77777777" w:rsidR="00F7113A" w:rsidRPr="00580C0D" w:rsidRDefault="00142E5B" w:rsidP="00580C0D">
      <w:pPr>
        <w:pStyle w:val="avsnitt-undertittel"/>
      </w:pPr>
      <w:r w:rsidRPr="00580C0D">
        <w:t>Vedtak nr. 105, 1. desember 2022</w:t>
      </w:r>
    </w:p>
    <w:p w14:paraId="1B372C75" w14:textId="77777777" w:rsidR="00F7113A" w:rsidRPr="00580C0D" w:rsidRDefault="00142E5B" w:rsidP="00580C0D">
      <w:pPr>
        <w:pStyle w:val="blokksit"/>
        <w:rPr>
          <w:rStyle w:val="kursiv"/>
        </w:rPr>
      </w:pPr>
      <w:r w:rsidRPr="00580C0D">
        <w:rPr>
          <w:rStyle w:val="kursiv"/>
        </w:rPr>
        <w:t>«Stortinget ber regjeringen sikre maksimal bompengetakst for lette nullutslippskjøretøy på inntil 70 prosent av ordinær takst videreføres i inneværende stortingsperiode.»</w:t>
      </w:r>
    </w:p>
    <w:p w14:paraId="2EB15042"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6360BFF4" w14:textId="77777777" w:rsidR="00F7113A" w:rsidRPr="00580C0D" w:rsidRDefault="00142E5B" w:rsidP="00580C0D">
      <w:r w:rsidRPr="00580C0D">
        <w:t xml:space="preserve">Ved behandlingen av </w:t>
      </w:r>
      <w:proofErr w:type="spellStart"/>
      <w:r w:rsidRPr="00580C0D">
        <w:t>Prop</w:t>
      </w:r>
      <w:proofErr w:type="spellEnd"/>
      <w:r w:rsidRPr="00580C0D">
        <w:t xml:space="preserve">. 1 S (2022–2023) for Samferdselsdepartementet, jf. </w:t>
      </w:r>
      <w:proofErr w:type="spellStart"/>
      <w:r w:rsidRPr="00580C0D">
        <w:t>Innst</w:t>
      </w:r>
      <w:proofErr w:type="spellEnd"/>
      <w:r w:rsidRPr="00580C0D">
        <w:t>. 13 S (2022–2023), samtykket Stortinget i at Samferdselsdepartementet kan, dersom det er vedtatt av lokale myndigheter, fastsette en takst for lette nullutslippskjøretøy i takstgruppe 1 på inntil 70 pst. av ordinær takst i eksisterende og fremtidige bompengeprosjekter. Regjeringen legger ikke opp til å fremme ytterligere forslag om endring i bompengetaksten for lette nullutslippskjøretøy i inneværende stortingsperiode.</w:t>
      </w:r>
    </w:p>
    <w:p w14:paraId="11B0D487" w14:textId="77777777" w:rsidR="00F7113A" w:rsidRPr="00580C0D" w:rsidRDefault="00142E5B" w:rsidP="00580C0D">
      <w:r w:rsidRPr="00580C0D">
        <w:t>Samferdselsdepartementet anser med dette anmodningsvedtaket som fulgt opp.</w:t>
      </w:r>
    </w:p>
    <w:p w14:paraId="47D5ED33" w14:textId="77777777" w:rsidR="00F7113A" w:rsidRPr="00580C0D" w:rsidRDefault="00142E5B" w:rsidP="00580C0D">
      <w:pPr>
        <w:pStyle w:val="avsnitt-tittel"/>
      </w:pPr>
      <w:proofErr w:type="spellStart"/>
      <w:r w:rsidRPr="00580C0D">
        <w:t>Forhandlingar</w:t>
      </w:r>
      <w:proofErr w:type="spellEnd"/>
      <w:r w:rsidRPr="00580C0D">
        <w:t xml:space="preserve"> om byvekstavtale med Kristiansandsregionen og Nedre Glomma</w:t>
      </w:r>
    </w:p>
    <w:p w14:paraId="74F9932B" w14:textId="77777777" w:rsidR="00F7113A" w:rsidRPr="00580C0D" w:rsidRDefault="00142E5B" w:rsidP="00580C0D">
      <w:pPr>
        <w:pStyle w:val="avsnitt-undertittel"/>
      </w:pPr>
      <w:r w:rsidRPr="00580C0D">
        <w:t>Vedtak nr. 107, 1. desember 2022</w:t>
      </w:r>
    </w:p>
    <w:p w14:paraId="258FCA11" w14:textId="77777777" w:rsidR="00F7113A" w:rsidRPr="00580C0D" w:rsidRDefault="00142E5B" w:rsidP="00580C0D">
      <w:pPr>
        <w:pStyle w:val="blokksit"/>
        <w:rPr>
          <w:rStyle w:val="kursiv"/>
        </w:rPr>
      </w:pPr>
      <w:r w:rsidRPr="00580C0D">
        <w:rPr>
          <w:rStyle w:val="kursiv"/>
        </w:rPr>
        <w:t>«Stortinget ber regjeringen ta sikte på å inngå forhandlinger om byvekstavtale med Kristiansandsregionen og Nedre Glomma så fort som mulig.»</w:t>
      </w:r>
    </w:p>
    <w:p w14:paraId="1847A1F4"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0F1CD4D3" w14:textId="77777777" w:rsidR="00F7113A" w:rsidRPr="00580C0D" w:rsidRDefault="00142E5B" w:rsidP="00580C0D">
      <w:r w:rsidRPr="00580C0D">
        <w:t>Regjeringen vil legge til rette for en utvikling i tråd med nullvekstmålet i Kristiansandsregionen og Nedre Glomma der flere kan velge å gå, sykle og ta kollektivtransport. Det settes derfor av midler i forslaget til statsbudsjett for 2024 til byvekstavtaler for Kristiansandsregionen og Nedre Glomma over kap. 1332, post 66. Det vises til omtale i Del II, Programkategori 21.40 Særskilte transporttiltak.</w:t>
      </w:r>
    </w:p>
    <w:p w14:paraId="601D6B8E" w14:textId="77777777" w:rsidR="00F7113A" w:rsidRPr="00580C0D" w:rsidRDefault="00142E5B" w:rsidP="00580C0D">
      <w:r w:rsidRPr="00580C0D">
        <w:t>Samferdselsdepartementet anser med dette anmodningsvedtaket som fulgt opp.</w:t>
      </w:r>
    </w:p>
    <w:p w14:paraId="63B41CAC" w14:textId="77777777" w:rsidR="00F7113A" w:rsidRPr="00580C0D" w:rsidRDefault="00142E5B" w:rsidP="00580C0D">
      <w:pPr>
        <w:pStyle w:val="avsnitt-tittel"/>
      </w:pPr>
      <w:proofErr w:type="spellStart"/>
      <w:r w:rsidRPr="00580C0D">
        <w:t>Framskunde</w:t>
      </w:r>
      <w:proofErr w:type="spellEnd"/>
      <w:r w:rsidRPr="00580C0D">
        <w:t xml:space="preserve"> kravet om nullutslepp i </w:t>
      </w:r>
      <w:proofErr w:type="spellStart"/>
      <w:r w:rsidRPr="00580C0D">
        <w:t>offentlege</w:t>
      </w:r>
      <w:proofErr w:type="spellEnd"/>
      <w:r w:rsidRPr="00580C0D">
        <w:t xml:space="preserve"> kjøp av </w:t>
      </w:r>
      <w:proofErr w:type="spellStart"/>
      <w:r w:rsidRPr="00580C0D">
        <w:t>bybussar</w:t>
      </w:r>
      <w:proofErr w:type="spellEnd"/>
    </w:p>
    <w:p w14:paraId="0FBCD684" w14:textId="77777777" w:rsidR="00F7113A" w:rsidRPr="00580C0D" w:rsidRDefault="00142E5B" w:rsidP="00580C0D">
      <w:pPr>
        <w:pStyle w:val="avsnitt-undertittel"/>
      </w:pPr>
      <w:r w:rsidRPr="00580C0D">
        <w:t>Vedtak nr. 115, 1. desember 2022</w:t>
      </w:r>
    </w:p>
    <w:p w14:paraId="5A7E4C3C" w14:textId="77777777" w:rsidR="00F7113A" w:rsidRPr="00580C0D" w:rsidRDefault="00142E5B" w:rsidP="00580C0D">
      <w:pPr>
        <w:pStyle w:val="blokksit"/>
        <w:rPr>
          <w:rStyle w:val="kursiv"/>
        </w:rPr>
      </w:pPr>
      <w:r w:rsidRPr="00580C0D">
        <w:rPr>
          <w:rStyle w:val="kursiv"/>
        </w:rPr>
        <w:t>«Stortinget ber regjeringen framskynde kravet om nullutslipp i offentlige anskaffelser av bybusser fra 2025 til 1. januar 2024.»</w:t>
      </w:r>
    </w:p>
    <w:p w14:paraId="3A3F822C"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3171ACCC" w14:textId="77777777" w:rsidR="00F7113A" w:rsidRPr="00580C0D" w:rsidRDefault="00142E5B" w:rsidP="00580C0D">
      <w:r w:rsidRPr="00580C0D">
        <w:t>Samferdselsdepartementet har gitt Statens vegvesen i oppdrag å sende på høring et forslag til endring i forskrift om utslippskrav ved offentlige anskaffelser av kjøretøy med sikte på at endringen trer i kraft 1. januar 2024. Høringsfristen var 1. oktober 2023.</w:t>
      </w:r>
    </w:p>
    <w:p w14:paraId="70FEEDA4" w14:textId="77777777" w:rsidR="00F7113A" w:rsidRPr="00580C0D" w:rsidRDefault="00142E5B" w:rsidP="00580C0D">
      <w:r w:rsidRPr="00580C0D">
        <w:t>Samferdselsdepartementet anser med dette anmodningsvedtaket som ivaretatt.</w:t>
      </w:r>
    </w:p>
    <w:p w14:paraId="7EEF9D1E" w14:textId="77777777" w:rsidR="00F7113A" w:rsidRPr="00580C0D" w:rsidRDefault="00142E5B" w:rsidP="00580C0D">
      <w:pPr>
        <w:pStyle w:val="avsnitt-tittel"/>
      </w:pPr>
      <w:r w:rsidRPr="00580C0D">
        <w:t xml:space="preserve">Innfase null- og </w:t>
      </w:r>
      <w:proofErr w:type="spellStart"/>
      <w:r w:rsidRPr="00580C0D">
        <w:t>lågutsleppsfly</w:t>
      </w:r>
      <w:proofErr w:type="spellEnd"/>
      <w:r w:rsidRPr="00580C0D">
        <w:t xml:space="preserve"> på FOT-rutene</w:t>
      </w:r>
    </w:p>
    <w:p w14:paraId="496B8182" w14:textId="77777777" w:rsidR="00F7113A" w:rsidRPr="00580C0D" w:rsidRDefault="00142E5B" w:rsidP="00580C0D">
      <w:pPr>
        <w:pStyle w:val="avsnitt-undertittel"/>
      </w:pPr>
      <w:r w:rsidRPr="00580C0D">
        <w:t>Vedtak nr. 116, 1. desember 2022</w:t>
      </w:r>
    </w:p>
    <w:p w14:paraId="3C542A93" w14:textId="77777777" w:rsidR="00F7113A" w:rsidRPr="00580C0D" w:rsidRDefault="00142E5B" w:rsidP="00580C0D">
      <w:pPr>
        <w:pStyle w:val="blokksit"/>
        <w:rPr>
          <w:rStyle w:val="kursiv"/>
        </w:rPr>
      </w:pPr>
      <w:r w:rsidRPr="00580C0D">
        <w:rPr>
          <w:rStyle w:val="kursiv"/>
        </w:rPr>
        <w:t xml:space="preserve">«Stortinget ber regjeringen vurdere en innfasing av null- og </w:t>
      </w:r>
      <w:proofErr w:type="spellStart"/>
      <w:r w:rsidRPr="00580C0D">
        <w:rPr>
          <w:rStyle w:val="kursiv"/>
        </w:rPr>
        <w:t>lavutslippsfly</w:t>
      </w:r>
      <w:proofErr w:type="spellEnd"/>
      <w:r w:rsidRPr="00580C0D">
        <w:rPr>
          <w:rStyle w:val="kursiv"/>
        </w:rPr>
        <w:t xml:space="preserve"> på FOT-rutene senest i forbindelse med FOT-anskaffelsene med forventet avtaleoppstart 1. april 2028/2029 dersom teknologiutviklingen åpner for det.»</w:t>
      </w:r>
    </w:p>
    <w:p w14:paraId="03F214C9"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79140C27" w14:textId="77777777" w:rsidR="00F7113A" w:rsidRPr="00580C0D" w:rsidRDefault="00142E5B" w:rsidP="00580C0D">
      <w:r w:rsidRPr="00580C0D">
        <w:t xml:space="preserve">Regjeringen satte i Meld. St. 10 (2022–2023) </w:t>
      </w:r>
      <w:r w:rsidRPr="00580C0D">
        <w:rPr>
          <w:rStyle w:val="kursiv"/>
        </w:rPr>
        <w:t>Bærekraftig og sikker luftfart — Nasjonal luftfartsstrategi</w:t>
      </w:r>
      <w:r w:rsidRPr="00580C0D">
        <w:t xml:space="preserve"> seg et mål om å starte en innfasing av null- og </w:t>
      </w:r>
      <w:proofErr w:type="spellStart"/>
      <w:r w:rsidRPr="00580C0D">
        <w:t>lavutslippsfly</w:t>
      </w:r>
      <w:proofErr w:type="spellEnd"/>
      <w:r w:rsidRPr="00580C0D">
        <w:t xml:space="preserve"> på FOT-rutene senest i forbindelse med FOT-anskaffelsene med forventet avtaleoppstart 1. april 2028/2029, dersom teknologiutviklingen åpner for det. Datoen for avtaleoppstart for FOT-anskaffelsene er senere justert til 1. november 2027/2028.</w:t>
      </w:r>
    </w:p>
    <w:p w14:paraId="112329A9" w14:textId="77777777" w:rsidR="00F7113A" w:rsidRPr="00580C0D" w:rsidRDefault="00142E5B" w:rsidP="00580C0D">
      <w:r w:rsidRPr="00580C0D">
        <w:t>Samtidig har regjeringen i meldingen satt et overordnet mål for innenlands luftfart om å fremskynde omstillingen mot null- og lavutslippsluftfart slik at de første kommersielle nullutslippsflyene innfases i Norge så snart teknologien tillater det. Allerede i FOT-anskaffelsene med avtaleoppstart i 2024 er det tatt inn krav og omtale som viser ønsket retning, jf. svar på vedtak nr. 96 av 1. desember 2022. Vurderinger av mulighetene for innfasing av null- og lavutslippsløsninger vil være en sentral del av arbeidet med de fremtidige FOT-anskaffelsene.</w:t>
      </w:r>
    </w:p>
    <w:p w14:paraId="0D01E4AE" w14:textId="77777777" w:rsidR="00F7113A" w:rsidRPr="00580C0D" w:rsidRDefault="00142E5B" w:rsidP="00580C0D">
      <w:r w:rsidRPr="00580C0D">
        <w:t>Samferdselsdepartementet anser med dette anmodningsvedtaket som fulgt opp.</w:t>
      </w:r>
    </w:p>
    <w:p w14:paraId="1CAEA81A" w14:textId="77777777" w:rsidR="00F7113A" w:rsidRPr="00580C0D" w:rsidRDefault="00142E5B" w:rsidP="00580C0D">
      <w:pPr>
        <w:pStyle w:val="avsnitt-tittel"/>
      </w:pPr>
      <w:r w:rsidRPr="00580C0D">
        <w:t xml:space="preserve">Pilot/utviklingskontrakt for å innfase null- og </w:t>
      </w:r>
      <w:proofErr w:type="spellStart"/>
      <w:r w:rsidRPr="00580C0D">
        <w:t>lågutsleppsfly</w:t>
      </w:r>
      <w:proofErr w:type="spellEnd"/>
      <w:r w:rsidRPr="00580C0D">
        <w:t xml:space="preserve"> for </w:t>
      </w:r>
      <w:proofErr w:type="gramStart"/>
      <w:r w:rsidRPr="00580C0D">
        <w:t>ei eigna</w:t>
      </w:r>
      <w:proofErr w:type="gramEnd"/>
      <w:r w:rsidRPr="00580C0D">
        <w:t xml:space="preserve"> rute</w:t>
      </w:r>
    </w:p>
    <w:p w14:paraId="7373AC75" w14:textId="77777777" w:rsidR="00F7113A" w:rsidRPr="00580C0D" w:rsidRDefault="00142E5B" w:rsidP="00580C0D">
      <w:pPr>
        <w:pStyle w:val="avsnitt-undertittel"/>
      </w:pPr>
      <w:r w:rsidRPr="00580C0D">
        <w:t>Vedtak nr. 117, 1. desember 2022</w:t>
      </w:r>
    </w:p>
    <w:p w14:paraId="37ABFB7E" w14:textId="77777777" w:rsidR="00F7113A" w:rsidRPr="00580C0D" w:rsidRDefault="00142E5B" w:rsidP="00580C0D">
      <w:pPr>
        <w:pStyle w:val="blokksit"/>
        <w:rPr>
          <w:rStyle w:val="kursiv"/>
        </w:rPr>
      </w:pPr>
      <w:r w:rsidRPr="00580C0D">
        <w:rPr>
          <w:rStyle w:val="kursiv"/>
        </w:rPr>
        <w:t xml:space="preserve">«Stortinget ber regjeringen vurdere en mulig pilot/utviklingskontrakt for innfasing av null- og </w:t>
      </w:r>
      <w:proofErr w:type="spellStart"/>
      <w:r w:rsidRPr="00580C0D">
        <w:rPr>
          <w:rStyle w:val="kursiv"/>
        </w:rPr>
        <w:t>lavutslippsfly</w:t>
      </w:r>
      <w:proofErr w:type="spellEnd"/>
      <w:r w:rsidRPr="00580C0D">
        <w:rPr>
          <w:rStyle w:val="kursiv"/>
        </w:rPr>
        <w:t xml:space="preserve"> for en egnet rute.»</w:t>
      </w:r>
    </w:p>
    <w:p w14:paraId="5BDBD555"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1B93FF70" w14:textId="77777777" w:rsidR="00F7113A" w:rsidRPr="00580C0D" w:rsidRDefault="00142E5B" w:rsidP="00580C0D">
      <w:r w:rsidRPr="00580C0D">
        <w:t xml:space="preserve">I Meld. St. 10 (2022–2023) </w:t>
      </w:r>
      <w:r w:rsidRPr="00580C0D">
        <w:rPr>
          <w:rStyle w:val="kursiv"/>
        </w:rPr>
        <w:t>Bærekraftig og sikker luftfart — Nasjonal luftfartsstrategi</w:t>
      </w:r>
      <w:r w:rsidRPr="00580C0D">
        <w:t xml:space="preserve"> omtales en pilot/utviklingskontrakt som ett av flere mulige tiltak for en fremskyndet innfasing av null- og </w:t>
      </w:r>
      <w:proofErr w:type="spellStart"/>
      <w:r w:rsidRPr="00580C0D">
        <w:t>lavutslippsfly</w:t>
      </w:r>
      <w:proofErr w:type="spellEnd"/>
      <w:r w:rsidRPr="00580C0D">
        <w:t xml:space="preserve"> i norsk luftfart. Som det går frem av meldingen, vil regjeringen arbeide videre med en vurdering av en slik innovativ anskaffelse, vurdert opp mot forventede kostnader, andre </w:t>
      </w:r>
      <w:proofErr w:type="gramStart"/>
      <w:r w:rsidRPr="00580C0D">
        <w:t>potensielle</w:t>
      </w:r>
      <w:proofErr w:type="gramEnd"/>
      <w:r w:rsidRPr="00580C0D">
        <w:t xml:space="preserve"> virkemidler og erfaringer fra andre transportformer.</w:t>
      </w:r>
    </w:p>
    <w:p w14:paraId="17BB3233" w14:textId="77777777" w:rsidR="00F7113A" w:rsidRPr="00580C0D" w:rsidRDefault="00142E5B" w:rsidP="00580C0D">
      <w:r w:rsidRPr="00580C0D">
        <w:t xml:space="preserve">Videre oppfølging av arbeidet med en mulig pilot/utviklingskontrakt og andre aktuelle virkemidler, skjer gjennom en arbeidsgruppe der Samferdselsdepartementet, Klima- og miljødepartementet, Avinor AS og Luftfartstilsynet deltar. Samferdselsdepartementet har videre gjennomført en høring om </w:t>
      </w:r>
      <w:proofErr w:type="gramStart"/>
      <w:r w:rsidRPr="00580C0D">
        <w:t>potensielle</w:t>
      </w:r>
      <w:proofErr w:type="gramEnd"/>
      <w:r w:rsidRPr="00580C0D">
        <w:t xml:space="preserve"> virkemidler for en fremskyndet innfasing null- og </w:t>
      </w:r>
      <w:proofErr w:type="spellStart"/>
      <w:r w:rsidRPr="00580C0D">
        <w:t>lavutslippsfly</w:t>
      </w:r>
      <w:proofErr w:type="spellEnd"/>
      <w:r w:rsidRPr="00580C0D">
        <w:t xml:space="preserve"> i norsk luftfart med frist 29. september 2023, og departementet var i september medarrangør av en konferanse sammen med programmet Grønn luftfart, etablert av Luftfartstilsynet, Avinor, Sintef og Norsk Industri. Offentlige anskaffelser var et tema både i høringen og konferansen. Innspillene vil være et viktig grunnlag for Samferdselsdepartementets vurdering av videre oppfølging, som det tas sikte på å komme tilbake til i meldingen om Nasjonal transportplan 2025–2036.</w:t>
      </w:r>
    </w:p>
    <w:p w14:paraId="03817F16" w14:textId="77777777" w:rsidR="00F7113A" w:rsidRPr="00580C0D" w:rsidRDefault="00142E5B" w:rsidP="00580C0D">
      <w:pPr>
        <w:pStyle w:val="avsnitt-tittel"/>
      </w:pPr>
      <w:r w:rsidRPr="00580C0D">
        <w:t xml:space="preserve">Endre kriteriet for </w:t>
      </w:r>
      <w:proofErr w:type="spellStart"/>
      <w:r w:rsidRPr="00580C0D">
        <w:t>tilskot</w:t>
      </w:r>
      <w:proofErr w:type="spellEnd"/>
      <w:r w:rsidRPr="00580C0D">
        <w:t xml:space="preserve"> på kap. 1301, post 70 og greie ut korleis omfanget av «utsleppsfrie </w:t>
      </w:r>
      <w:proofErr w:type="spellStart"/>
      <w:r w:rsidRPr="00580C0D">
        <w:t>anleggsplassar</w:t>
      </w:r>
      <w:proofErr w:type="spellEnd"/>
      <w:r w:rsidRPr="00580C0D">
        <w:t xml:space="preserve">» kan </w:t>
      </w:r>
      <w:proofErr w:type="spellStart"/>
      <w:r w:rsidRPr="00580C0D">
        <w:t>aukast</w:t>
      </w:r>
      <w:proofErr w:type="spellEnd"/>
    </w:p>
    <w:p w14:paraId="19F51715" w14:textId="77777777" w:rsidR="00F7113A" w:rsidRPr="00580C0D" w:rsidRDefault="00142E5B" w:rsidP="00580C0D">
      <w:pPr>
        <w:pStyle w:val="avsnitt-undertittel"/>
      </w:pPr>
      <w:r w:rsidRPr="00580C0D">
        <w:t>Vedtak nr. 119, 1. desember 2022</w:t>
      </w:r>
    </w:p>
    <w:p w14:paraId="6A833AEC" w14:textId="77777777" w:rsidR="00F7113A" w:rsidRPr="00580C0D" w:rsidRDefault="00142E5B" w:rsidP="00580C0D">
      <w:pPr>
        <w:pStyle w:val="blokksit"/>
        <w:rPr>
          <w:rStyle w:val="kursiv"/>
        </w:rPr>
      </w:pPr>
      <w:r w:rsidRPr="00580C0D">
        <w:rPr>
          <w:rStyle w:val="kursiv"/>
        </w:rPr>
        <w:t>«Stortinget ber regjeringen om at kriteriet for kap. 1301 post 70, «fossilfrie anleggsplasser», endres til «utslippsfrie anleggsplasser». I tillegg skal det utredes hvordan omfanget av utslippsfrie anleggsplasser kan økes.»</w:t>
      </w:r>
    </w:p>
    <w:p w14:paraId="477855B6"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6E7D091F" w14:textId="77777777" w:rsidR="00F7113A" w:rsidRPr="00580C0D" w:rsidRDefault="00142E5B" w:rsidP="00580C0D">
      <w:r w:rsidRPr="00580C0D">
        <w:t>Samferdselsdepartementet har endret kriteriene for ordningen slik at kun prosjekter med utslippsfrie anleggsmaskiner kan motta tilskudd. Bane NOR SF, Statens vegvesen og Nye Veier AS er bedt om å vurdere hvordan omfanget av utslippsfrie anleggsplasser kan økes og hvordan en videre utredning kan legges opp.</w:t>
      </w:r>
    </w:p>
    <w:p w14:paraId="4DD3DA94" w14:textId="77777777" w:rsidR="00F7113A" w:rsidRPr="00580C0D" w:rsidRDefault="00142E5B" w:rsidP="00580C0D">
      <w:r w:rsidRPr="00580C0D">
        <w:t>Samferdselsdepartementet anser med dette anmodningsvedtaket som fulgt opp.</w:t>
      </w:r>
    </w:p>
    <w:p w14:paraId="53754465" w14:textId="77777777" w:rsidR="00F7113A" w:rsidRPr="00580C0D" w:rsidRDefault="00142E5B" w:rsidP="00580C0D">
      <w:pPr>
        <w:pStyle w:val="avsnitt-tittel"/>
      </w:pPr>
      <w:r w:rsidRPr="00580C0D">
        <w:t xml:space="preserve">Ta opp att </w:t>
      </w:r>
      <w:proofErr w:type="spellStart"/>
      <w:r w:rsidRPr="00580C0D">
        <w:t>forhandlingane</w:t>
      </w:r>
      <w:proofErr w:type="spellEnd"/>
      <w:r w:rsidRPr="00580C0D">
        <w:t xml:space="preserve"> om byvekstavtale med Tromsø</w:t>
      </w:r>
    </w:p>
    <w:p w14:paraId="54CDAE5B" w14:textId="77777777" w:rsidR="00F7113A" w:rsidRPr="00580C0D" w:rsidRDefault="00142E5B" w:rsidP="00580C0D">
      <w:pPr>
        <w:pStyle w:val="avsnitt-undertittel"/>
      </w:pPr>
      <w:r w:rsidRPr="00580C0D">
        <w:t>Vedtak nr. 121, 1. desember 2022</w:t>
      </w:r>
    </w:p>
    <w:p w14:paraId="71A6C6D3" w14:textId="77777777" w:rsidR="00F7113A" w:rsidRPr="00580C0D" w:rsidRDefault="00142E5B" w:rsidP="00580C0D">
      <w:pPr>
        <w:pStyle w:val="blokksit"/>
        <w:rPr>
          <w:rStyle w:val="kursiv"/>
        </w:rPr>
      </w:pPr>
      <w:r w:rsidRPr="00580C0D">
        <w:rPr>
          <w:rStyle w:val="kursiv"/>
        </w:rPr>
        <w:t>«Stortinget ber regjeringen gjenoppta forhandlingene om byvekstavtale med Tromsø med en statlig finansiering slik at bompengeandelen er på nivå med andre inngåtte byvekstavtaler hensyntatt Tromsøs behov.»</w:t>
      </w:r>
    </w:p>
    <w:p w14:paraId="262690D4" w14:textId="77777777" w:rsidR="00F7113A" w:rsidRPr="00580C0D" w:rsidRDefault="00142E5B" w:rsidP="00580C0D">
      <w:r w:rsidRPr="00580C0D">
        <w:t xml:space="preserve">Vedtaket ble truffet ved behandlingen av Meld. St. 1 (2022–2023) </w:t>
      </w:r>
      <w:r w:rsidRPr="00580C0D">
        <w:rPr>
          <w:rStyle w:val="kursiv"/>
        </w:rPr>
        <w:t>Nasjonalbudsjettet 2023</w:t>
      </w:r>
      <w:r w:rsidRPr="00580C0D">
        <w:t xml:space="preserve">, jf. </w:t>
      </w:r>
      <w:proofErr w:type="spellStart"/>
      <w:r w:rsidRPr="00580C0D">
        <w:t>Innst</w:t>
      </w:r>
      <w:proofErr w:type="spellEnd"/>
      <w:r w:rsidRPr="00580C0D">
        <w:t>. 2 S (2022–2023).</w:t>
      </w:r>
    </w:p>
    <w:p w14:paraId="308ED861" w14:textId="77777777" w:rsidR="00F7113A" w:rsidRPr="00580C0D" w:rsidRDefault="00142E5B" w:rsidP="00580C0D">
      <w:r w:rsidRPr="00580C0D">
        <w:t>Forhandlingene om en byvekstavtale mellom Statens vegvesen og Tromsø ble gjenopptatt i juni 2023, og i august 2023 ble partene enige om et forslag til byvekstavtale. Forslaget ble godkjent av Tromsø kommune og Troms og Finnmark fylkeskommune i august og skal behandles i regjeringen før avtalen inngås. Det vises ellers til omtale i Del II, Programkategori 21.40 Særskilte transporttiltak, kap. 1332.</w:t>
      </w:r>
    </w:p>
    <w:p w14:paraId="730FC007" w14:textId="77777777" w:rsidR="00F7113A" w:rsidRPr="00580C0D" w:rsidRDefault="00142E5B" w:rsidP="00580C0D">
      <w:r w:rsidRPr="00580C0D">
        <w:t>Samferdselsdepartementet anser med dette anmodningsvedtaket som fulgt opp.</w:t>
      </w:r>
    </w:p>
    <w:p w14:paraId="3E46AEA0" w14:textId="77777777" w:rsidR="00F7113A" w:rsidRPr="00580C0D" w:rsidRDefault="00142E5B" w:rsidP="00580C0D">
      <w:pPr>
        <w:pStyle w:val="avsnitt-tittel"/>
      </w:pPr>
      <w:r w:rsidRPr="00580C0D">
        <w:t>Ettermontering av kontaktlaus kortbetaling på ladeinfrastruktur</w:t>
      </w:r>
    </w:p>
    <w:p w14:paraId="38A60120" w14:textId="77777777" w:rsidR="00F7113A" w:rsidRPr="00580C0D" w:rsidRDefault="00142E5B" w:rsidP="00580C0D">
      <w:pPr>
        <w:pStyle w:val="avsnitt-undertittel"/>
      </w:pPr>
      <w:r w:rsidRPr="00580C0D">
        <w:t>Vedtak nr. 464, 19. januar 2023</w:t>
      </w:r>
    </w:p>
    <w:p w14:paraId="5385E9A9" w14:textId="77777777" w:rsidR="00F7113A" w:rsidRPr="00580C0D" w:rsidRDefault="00142E5B" w:rsidP="00580C0D">
      <w:pPr>
        <w:pStyle w:val="blokksit"/>
        <w:rPr>
          <w:rStyle w:val="kursiv"/>
        </w:rPr>
      </w:pPr>
      <w:r w:rsidRPr="00580C0D">
        <w:rPr>
          <w:rStyle w:val="kursiv"/>
        </w:rPr>
        <w:t>«Stortinget ber regjeringen stille krav om ettermontering av kontaktløs kortbetaling på eksisterende ladeinfrastruktur innen utgangen av 2025.»</w:t>
      </w:r>
    </w:p>
    <w:p w14:paraId="5361EBB5" w14:textId="77777777" w:rsidR="00F7113A" w:rsidRPr="00580C0D" w:rsidRDefault="00142E5B" w:rsidP="00580C0D">
      <w:r w:rsidRPr="00580C0D">
        <w:t xml:space="preserve">Dokumentene som ligger til grunn for vedtaket er </w:t>
      </w:r>
      <w:proofErr w:type="spellStart"/>
      <w:r w:rsidRPr="00580C0D">
        <w:t>representforslag</w:t>
      </w:r>
      <w:proofErr w:type="spellEnd"/>
      <w:r w:rsidRPr="00580C0D">
        <w:t xml:space="preserve"> fra stortingsrepresentantene Mona Fagerås og Kathy Lie om å sikre forbrukervennlig </w:t>
      </w:r>
      <w:proofErr w:type="spellStart"/>
      <w:r w:rsidRPr="00580C0D">
        <w:t>lading</w:t>
      </w:r>
      <w:proofErr w:type="spellEnd"/>
      <w:r w:rsidRPr="00580C0D">
        <w:t xml:space="preserve"> via kontaktløs kortbetaling («</w:t>
      </w:r>
      <w:proofErr w:type="spellStart"/>
      <w:r w:rsidRPr="00580C0D">
        <w:t>tæpping</w:t>
      </w:r>
      <w:proofErr w:type="spellEnd"/>
      <w:r w:rsidRPr="00580C0D">
        <w:t xml:space="preserve">») direkte på alle offentlig tilgjengelige hurtig- og </w:t>
      </w:r>
      <w:proofErr w:type="spellStart"/>
      <w:r w:rsidRPr="00580C0D">
        <w:t>lynladere</w:t>
      </w:r>
      <w:proofErr w:type="spellEnd"/>
      <w:r w:rsidRPr="00580C0D">
        <w:t xml:space="preserve">, jf. Dokument 8:19 (2022–2023) og </w:t>
      </w:r>
      <w:proofErr w:type="spellStart"/>
      <w:r w:rsidRPr="00580C0D">
        <w:t>Innst</w:t>
      </w:r>
      <w:proofErr w:type="spellEnd"/>
      <w:r w:rsidRPr="00580C0D">
        <w:t>. 151 S (2022–2023).</w:t>
      </w:r>
    </w:p>
    <w:p w14:paraId="6E9C6D7F" w14:textId="77777777" w:rsidR="00F7113A" w:rsidRPr="00580C0D" w:rsidRDefault="00142E5B" w:rsidP="00580C0D">
      <w:r w:rsidRPr="00580C0D">
        <w:t xml:space="preserve">Samferdselsdepartementet fastsatte 29. juni 2023 </w:t>
      </w:r>
      <w:r w:rsidRPr="00580C0D">
        <w:rPr>
          <w:rStyle w:val="kursiv"/>
        </w:rPr>
        <w:t xml:space="preserve">Forskrift om betalingsløsning for betaling ved </w:t>
      </w:r>
      <w:proofErr w:type="spellStart"/>
      <w:r w:rsidRPr="00580C0D">
        <w:rPr>
          <w:rStyle w:val="kursiv"/>
        </w:rPr>
        <w:t>lading</w:t>
      </w:r>
      <w:proofErr w:type="spellEnd"/>
      <w:r w:rsidRPr="00580C0D">
        <w:rPr>
          <w:rStyle w:val="kursiv"/>
        </w:rPr>
        <w:t xml:space="preserve"> av elektrisk drevet kjøretøy</w:t>
      </w:r>
      <w:r w:rsidRPr="00580C0D">
        <w:t xml:space="preserve">. Forskriften sier at betaling for </w:t>
      </w:r>
      <w:proofErr w:type="spellStart"/>
      <w:r w:rsidRPr="00580C0D">
        <w:t>lading</w:t>
      </w:r>
      <w:proofErr w:type="spellEnd"/>
      <w:r w:rsidRPr="00580C0D">
        <w:t xml:space="preserve"> av elbil skal kunne gjøres ved bruk av bankkort på alle nye ladestolper med effektuttak fra og med 50 kW som operatør bestiller etter 1. juli 2023. Samferdselsdepartementet vil sørge for at det stilles krav om ettermontering av kontaktløs kortbetaling også på eksisterende hurtigladeinfrastruktur innen utgangen av 2025. Departementet vil komme tilbake til saken på egnet måte.</w:t>
      </w:r>
    </w:p>
    <w:p w14:paraId="02218CD0" w14:textId="77777777" w:rsidR="00F7113A" w:rsidRPr="00580C0D" w:rsidRDefault="00142E5B" w:rsidP="00580C0D">
      <w:pPr>
        <w:pStyle w:val="avsnitt-tittel"/>
      </w:pPr>
      <w:r w:rsidRPr="00580C0D">
        <w:t xml:space="preserve">Plan for å handtere FOT-rutene viss det </w:t>
      </w:r>
      <w:proofErr w:type="spellStart"/>
      <w:r w:rsidRPr="00580C0D">
        <w:t>ikkje</w:t>
      </w:r>
      <w:proofErr w:type="spellEnd"/>
      <w:r w:rsidRPr="00580C0D">
        <w:t xml:space="preserve"> blir </w:t>
      </w:r>
      <w:proofErr w:type="spellStart"/>
      <w:r w:rsidRPr="00580C0D">
        <w:t>mogeleg</w:t>
      </w:r>
      <w:proofErr w:type="spellEnd"/>
      <w:r w:rsidRPr="00580C0D">
        <w:t xml:space="preserve"> å erstatte dagens rutefly</w:t>
      </w:r>
    </w:p>
    <w:p w14:paraId="5C23BBC9" w14:textId="77777777" w:rsidR="00F7113A" w:rsidRPr="00580C0D" w:rsidRDefault="00142E5B" w:rsidP="00580C0D">
      <w:pPr>
        <w:pStyle w:val="avsnitt-undertittel"/>
      </w:pPr>
      <w:r w:rsidRPr="00580C0D">
        <w:t>Vedtak nr. 634, 2. mai 2023</w:t>
      </w:r>
    </w:p>
    <w:p w14:paraId="61E7FF03" w14:textId="77777777" w:rsidR="00F7113A" w:rsidRPr="00580C0D" w:rsidRDefault="00142E5B" w:rsidP="00580C0D">
      <w:pPr>
        <w:pStyle w:val="blokksit"/>
        <w:rPr>
          <w:rStyle w:val="kursiv"/>
        </w:rPr>
      </w:pPr>
      <w:r w:rsidRPr="00580C0D">
        <w:rPr>
          <w:rStyle w:val="kursiv"/>
        </w:rPr>
        <w:t>«Stortinget ber regjeringen lage en plan for hvordan FOT-rutene skal håndteres dersom det ikke blir mulig å erstatte dagens rutefly.»</w:t>
      </w:r>
    </w:p>
    <w:p w14:paraId="1C2F03A3" w14:textId="77777777" w:rsidR="00F7113A" w:rsidRPr="00580C0D" w:rsidRDefault="00142E5B" w:rsidP="00580C0D">
      <w:r w:rsidRPr="00580C0D">
        <w:t xml:space="preserve">Vedtaket ble truffet ved behandlingen av Meld. St. 10 (2022–2023) </w:t>
      </w:r>
      <w:r w:rsidRPr="00580C0D">
        <w:rPr>
          <w:rStyle w:val="kursiv"/>
        </w:rPr>
        <w:t>Bærekraftig og sikker luftfart – Nasjonal luftfartsstrategi</w:t>
      </w:r>
      <w:r w:rsidRPr="00580C0D">
        <w:t xml:space="preserve">, jf. </w:t>
      </w:r>
      <w:proofErr w:type="spellStart"/>
      <w:r w:rsidRPr="00580C0D">
        <w:t>Innst</w:t>
      </w:r>
      <w:proofErr w:type="spellEnd"/>
      <w:r w:rsidRPr="00580C0D">
        <w:t>. 301 S (2022–2023).</w:t>
      </w:r>
    </w:p>
    <w:p w14:paraId="52AB4D1F" w14:textId="77777777" w:rsidR="00F7113A" w:rsidRPr="00580C0D" w:rsidRDefault="00142E5B" w:rsidP="00580C0D">
      <w:r w:rsidRPr="00580C0D">
        <w:t>Behovet for på sikt å skifte ut flyflåten som nå opererer de norske kortbanerutene, er noe regjeringen følger tett. Rutetilbudet på FOT-rutene er av avgjørende betydning for å sikre befolkningen i distriktene tilgang til viktige samfunnsfunksjoner, og et bortfall eller sterkt redusert rutetilbud på grunn av manglende flymateriell vil være alvorlig.</w:t>
      </w:r>
    </w:p>
    <w:p w14:paraId="10BA6DFD" w14:textId="77777777" w:rsidR="00F7113A" w:rsidRPr="00580C0D" w:rsidRDefault="00142E5B" w:rsidP="00580C0D">
      <w:r w:rsidRPr="00580C0D">
        <w:t>Samtidig er det naturlig å vurdere dette i sammenheng med regjeringens mål om fremskyndet omstilling mot en null- og lavutslippsluftfart og som det tas sikte på å komme tilbake til i meldingen om Nasjonal transportplan 2025–2036. Regjeringens arbeid med null- og lavutslippsluftfart er også nærmere omtalt under anmodningsvedtak nr. 117 av 1. desember 2022.</w:t>
      </w:r>
    </w:p>
    <w:p w14:paraId="5B1A4093" w14:textId="77777777" w:rsidR="00F7113A" w:rsidRPr="00580C0D" w:rsidRDefault="00142E5B" w:rsidP="00580C0D">
      <w:pPr>
        <w:pStyle w:val="avsnitt-tittel"/>
      </w:pPr>
      <w:r w:rsidRPr="00580C0D">
        <w:t xml:space="preserve">Greie ut om </w:t>
      </w:r>
      <w:proofErr w:type="spellStart"/>
      <w:r w:rsidRPr="00580C0D">
        <w:t>nokre</w:t>
      </w:r>
      <w:proofErr w:type="spellEnd"/>
      <w:r w:rsidRPr="00580C0D">
        <w:t xml:space="preserve"> </w:t>
      </w:r>
      <w:proofErr w:type="spellStart"/>
      <w:r w:rsidRPr="00580C0D">
        <w:t>offentlege</w:t>
      </w:r>
      <w:proofErr w:type="spellEnd"/>
      <w:r w:rsidRPr="00580C0D">
        <w:t xml:space="preserve"> ferjesamband kan </w:t>
      </w:r>
      <w:proofErr w:type="spellStart"/>
      <w:r w:rsidRPr="00580C0D">
        <w:t>driftast</w:t>
      </w:r>
      <w:proofErr w:type="spellEnd"/>
      <w:r w:rsidRPr="00580C0D">
        <w:t xml:space="preserve"> på biogass</w:t>
      </w:r>
    </w:p>
    <w:p w14:paraId="192C340D" w14:textId="77777777" w:rsidR="00F7113A" w:rsidRPr="00580C0D" w:rsidRDefault="00142E5B" w:rsidP="00580C0D">
      <w:pPr>
        <w:pStyle w:val="avsnitt-undertittel"/>
      </w:pPr>
      <w:r w:rsidRPr="00580C0D">
        <w:t>Vedtak nr. 675. 23. mai 2023</w:t>
      </w:r>
    </w:p>
    <w:p w14:paraId="4FD598BC" w14:textId="77777777" w:rsidR="00F7113A" w:rsidRPr="00580C0D" w:rsidRDefault="00142E5B" w:rsidP="00580C0D">
      <w:pPr>
        <w:pStyle w:val="blokksit"/>
        <w:rPr>
          <w:rStyle w:val="kursiv"/>
        </w:rPr>
      </w:pPr>
      <w:r w:rsidRPr="00580C0D">
        <w:rPr>
          <w:rStyle w:val="kursiv"/>
        </w:rPr>
        <w:t>«Stortinget ber regjeringen utrede om noen av de offentlige fergesambandene kan driftes på biogass.»</w:t>
      </w:r>
    </w:p>
    <w:p w14:paraId="50513F1C" w14:textId="77777777" w:rsidR="00F7113A" w:rsidRPr="00580C0D" w:rsidRDefault="00142E5B" w:rsidP="00580C0D">
      <w:r w:rsidRPr="00580C0D">
        <w:t xml:space="preserve">Dokumentene som ligger til grunn for vedtaket er representantforslag fra stortingsrepresentantene Lars Haltbrekken og Oline Kjerstad om utslippskutt med biodrivstoff og fra stortingsrepresentantene Rasmus Hansson, Kristoffer Robin Haug og Lan Marie Nguyen Berg om økt produksjon og forbruk av biogass, jf. Dokument 8:172 (2022–2023), Dokument 8:188 (2022–2023) og </w:t>
      </w:r>
      <w:proofErr w:type="spellStart"/>
      <w:r w:rsidRPr="00580C0D">
        <w:t>Innst</w:t>
      </w:r>
      <w:proofErr w:type="spellEnd"/>
      <w:r w:rsidRPr="00580C0D">
        <w:t>. 312 S (2022–2023).</w:t>
      </w:r>
    </w:p>
    <w:p w14:paraId="57EEF4B4" w14:textId="77777777" w:rsidR="00F7113A" w:rsidRPr="00580C0D" w:rsidRDefault="00142E5B" w:rsidP="00580C0D">
      <w:r w:rsidRPr="00580C0D">
        <w:t>I Hurdalsplattformen har regjeringen satt flere mål for transportsektoren, bl.a. at det skal stilles krav om nullutslipp i nye anbud for ferjer. I arbeidet med å utforme et slikt krav fikk en arbeidsgruppe, med deltakere fra Sjøfartsdirektoratet, Direktoratet for forvaltning og økonomistyring, Miljødirektoratet og Statens vegvesen, utredet nullutslippskrav til ferjer og hurtigbåter. Utredningen inkluderer også vurderinger knyttet til bruk av biogass i ferjedriften, og den danner grunnlaget for forslag til forskrift med krav om nullutslipp av klimagasser fra ferjer og hurtigbåter, som ble sendt på høring i mai 2023. I forslaget er det valgt å åpne opp for bruk av biogass i begrenset omfang, og da kun for ferjer og hurtigbåter som allerede bruker flytende naturgass (LNG).</w:t>
      </w:r>
    </w:p>
    <w:p w14:paraId="052E8DF0" w14:textId="77777777" w:rsidR="00F7113A" w:rsidRPr="00580C0D" w:rsidRDefault="00142E5B" w:rsidP="00580C0D">
      <w:r w:rsidRPr="00580C0D">
        <w:t xml:space="preserve">Teknisk sett kan fartøy som bruker LNG bytte til flytende biogass (LBG) som energibærer uten større tiltak på fartøyet. Det krever imidlertid tilgang på tilstrekkelig mengde biogass, og at oppdragsgiver for sambandet dekker merkostnaden til ferjeoperatør. På kort sikt kan også inngåtte kontrakter for kjøp av </w:t>
      </w:r>
      <w:proofErr w:type="spellStart"/>
      <w:r w:rsidRPr="00580C0D">
        <w:t>ferjetjenester</w:t>
      </w:r>
      <w:proofErr w:type="spellEnd"/>
      <w:r w:rsidRPr="00580C0D">
        <w:t xml:space="preserve"> sette begrensinger for handlingsrommet for å endre til biogass. Ifølge DNV var det i 2022 63 fartøy i drift som brukte LNG som energibærer i Norge. Av disse var 17 fartøy i kategorien ferjer/mindre passasjerskip. I all hovedsak blir disse 17 fartøyene brukt i riksveiferjedriften, som i 2022 brukte i underkant av 37 000 tonn LNG fordelt på 16 fartøy.</w:t>
      </w:r>
    </w:p>
    <w:p w14:paraId="6607DCEB" w14:textId="77777777" w:rsidR="00F7113A" w:rsidRPr="00580C0D" w:rsidRDefault="00142E5B" w:rsidP="00580C0D">
      <w:r w:rsidRPr="00580C0D">
        <w:t xml:space="preserve">I rapporten </w:t>
      </w:r>
      <w:r w:rsidRPr="00580C0D">
        <w:rPr>
          <w:rStyle w:val="kursiv"/>
        </w:rPr>
        <w:t>Klimatiltak i Norge mot 2030</w:t>
      </w:r>
      <w:r w:rsidRPr="00580C0D">
        <w:t xml:space="preserve"> fra Miljødirektoratet omtales tiltaket </w:t>
      </w:r>
      <w:r w:rsidRPr="00580C0D">
        <w:rPr>
          <w:rStyle w:val="kursiv"/>
        </w:rPr>
        <w:t>TS01 Nullutslippsløsninger eller biogass på ferjesamband</w:t>
      </w:r>
      <w:r w:rsidRPr="00580C0D">
        <w:t>. Tiltaket beskriver bl.a. at det kan være muligheter for utslippskutt fra ferjedriften ved forhandlinger i eksisterende kontrakter med løsninger som biogass, del- eller helelektrifisering o.l.</w:t>
      </w:r>
    </w:p>
    <w:p w14:paraId="56B30E11" w14:textId="77777777" w:rsidR="00F7113A" w:rsidRPr="00580C0D" w:rsidRDefault="00142E5B" w:rsidP="00580C0D">
      <w:r w:rsidRPr="00580C0D">
        <w:t>Samferdselsdepartementet anser med dette anmodningsvedtaket som fulgt opp.</w:t>
      </w:r>
    </w:p>
    <w:p w14:paraId="2E2F9531" w14:textId="77777777" w:rsidR="00F7113A" w:rsidRPr="00580C0D" w:rsidRDefault="00142E5B" w:rsidP="00580C0D">
      <w:pPr>
        <w:pStyle w:val="avsnitt-tittel"/>
      </w:pPr>
      <w:r w:rsidRPr="00580C0D">
        <w:t xml:space="preserve">Plan for å redusere </w:t>
      </w:r>
      <w:proofErr w:type="spellStart"/>
      <w:r w:rsidRPr="00580C0D">
        <w:t>vedlikehaldsetterslepet</w:t>
      </w:r>
      <w:proofErr w:type="spellEnd"/>
      <w:r w:rsidRPr="00580C0D">
        <w:t xml:space="preserve"> på riks- og </w:t>
      </w:r>
      <w:proofErr w:type="spellStart"/>
      <w:r w:rsidRPr="00580C0D">
        <w:t>fylkesvegar</w:t>
      </w:r>
      <w:proofErr w:type="spellEnd"/>
    </w:p>
    <w:p w14:paraId="727B4BAB" w14:textId="77777777" w:rsidR="00F7113A" w:rsidRPr="00580C0D" w:rsidRDefault="00142E5B" w:rsidP="00580C0D">
      <w:pPr>
        <w:pStyle w:val="avsnitt-undertittel"/>
      </w:pPr>
      <w:r w:rsidRPr="00580C0D">
        <w:t>Vedtak nr. 755, 2. juni 2023</w:t>
      </w:r>
    </w:p>
    <w:p w14:paraId="7F12DB46" w14:textId="77777777" w:rsidR="00F7113A" w:rsidRPr="00580C0D" w:rsidRDefault="00142E5B" w:rsidP="00580C0D">
      <w:pPr>
        <w:pStyle w:val="blokksit"/>
        <w:rPr>
          <w:rStyle w:val="kursiv"/>
        </w:rPr>
      </w:pPr>
      <w:r w:rsidRPr="00580C0D">
        <w:rPr>
          <w:rStyle w:val="kursiv"/>
        </w:rPr>
        <w:t>«Stortinget ber regjeringen utarbeide en helhetlig og forpliktende plan for å redusere vedlikeholdsetterslepet på riksveier og på fylkesveier i samarbeid med fylkeskommunene, og komme tilbake med forslag til Stortinget som del av Nasjonal transportplan.»</w:t>
      </w:r>
    </w:p>
    <w:p w14:paraId="11730BE3" w14:textId="77777777" w:rsidR="00F7113A" w:rsidRPr="00580C0D" w:rsidRDefault="00142E5B" w:rsidP="00580C0D">
      <w:r w:rsidRPr="00580C0D">
        <w:t xml:space="preserve">Dokumentene som ligger til grunn for vedtaket er representantforslag fra stortingsrepresentantene Mona Fagerås og Kirsti </w:t>
      </w:r>
      <w:proofErr w:type="spellStart"/>
      <w:r w:rsidRPr="00580C0D">
        <w:t>Bergstø</w:t>
      </w:r>
      <w:proofErr w:type="spellEnd"/>
      <w:r w:rsidRPr="00580C0D">
        <w:t xml:space="preserve"> om å ta vare på veiene vi har, jf. Dokument 8:182 (2022–2023) og </w:t>
      </w:r>
      <w:proofErr w:type="spellStart"/>
      <w:r w:rsidRPr="00580C0D">
        <w:t>Innst</w:t>
      </w:r>
      <w:proofErr w:type="spellEnd"/>
      <w:r w:rsidRPr="00580C0D">
        <w:t>. 374 S (2022–2023).</w:t>
      </w:r>
    </w:p>
    <w:p w14:paraId="059BB5E5" w14:textId="77777777" w:rsidR="00F7113A" w:rsidRPr="00580C0D" w:rsidRDefault="00142E5B" w:rsidP="00580C0D">
      <w:r w:rsidRPr="00580C0D">
        <w:t>Samferdselsdepartementet har gitt Statens vegvesen i oppdrag å koordinere en ny kartlegging av tilstanden på fylkesvei, i samarbeid med fylkeskommunene, med sikte på å levere et oppdatert kunnskapsgrunnlag i forbindelse med Nasjonal transportplan 2025–2036. Departementet har også bedt Statens vegvesen foreslå en overordnet plan for å redusere vedlikeholdsetterslepet på riksveiene.</w:t>
      </w:r>
    </w:p>
    <w:p w14:paraId="419DCF09" w14:textId="77777777" w:rsidR="00F7113A" w:rsidRPr="00580C0D" w:rsidRDefault="00142E5B" w:rsidP="00580C0D">
      <w:r w:rsidRPr="00580C0D">
        <w:t>Det legges opp til at de aktuelle planene kan inngå i meldingen om Nasjonal transportplan 2025–2036.</w:t>
      </w:r>
    </w:p>
    <w:p w14:paraId="5E1C52A0" w14:textId="77777777" w:rsidR="00F7113A" w:rsidRPr="00580C0D" w:rsidRDefault="00142E5B" w:rsidP="00580C0D">
      <w:pPr>
        <w:pStyle w:val="avsnitt-tittel"/>
      </w:pPr>
      <w:r w:rsidRPr="00580C0D">
        <w:t>Oppdatere kostnader for å innføre nullutslippsferjer og -hurtigbåter</w:t>
      </w:r>
    </w:p>
    <w:p w14:paraId="7F9AB377" w14:textId="77777777" w:rsidR="00F7113A" w:rsidRPr="00580C0D" w:rsidRDefault="00142E5B" w:rsidP="00580C0D">
      <w:pPr>
        <w:pStyle w:val="avsnitt-undertittel"/>
      </w:pPr>
      <w:r w:rsidRPr="00580C0D">
        <w:t>Vedtak nr. 827, 13. juni 2023</w:t>
      </w:r>
    </w:p>
    <w:p w14:paraId="6CE3D949" w14:textId="77777777" w:rsidR="00F7113A" w:rsidRPr="00580C0D" w:rsidRDefault="00142E5B" w:rsidP="00580C0D">
      <w:pPr>
        <w:pStyle w:val="blokksit"/>
        <w:rPr>
          <w:rStyle w:val="kursiv"/>
        </w:rPr>
      </w:pPr>
      <w:r w:rsidRPr="00580C0D">
        <w:rPr>
          <w:rStyle w:val="kursiv"/>
        </w:rPr>
        <w:t xml:space="preserve">«Stortinget ber regjeringen om å få laget en ekstern rapport med oppdaterte kostnader for innføring av nullutslippsferjer og -hurtigbåter i samarbeid med ferje- og </w:t>
      </w:r>
      <w:proofErr w:type="spellStart"/>
      <w:r w:rsidRPr="00580C0D">
        <w:rPr>
          <w:rStyle w:val="kursiv"/>
        </w:rPr>
        <w:t>båtfylkene</w:t>
      </w:r>
      <w:proofErr w:type="spellEnd"/>
      <w:r w:rsidRPr="00580C0D">
        <w:rPr>
          <w:rStyle w:val="kursiv"/>
        </w:rPr>
        <w:t>.»</w:t>
      </w:r>
    </w:p>
    <w:p w14:paraId="7C13A580" w14:textId="77777777" w:rsidR="00F7113A" w:rsidRPr="00580C0D" w:rsidRDefault="00142E5B" w:rsidP="00580C0D">
      <w:r w:rsidRPr="00580C0D">
        <w:t xml:space="preserve">Vedtaket ble truffet ved behandlingen av </w:t>
      </w:r>
      <w:proofErr w:type="spellStart"/>
      <w:r w:rsidRPr="00580C0D">
        <w:t>Prop</w:t>
      </w:r>
      <w:proofErr w:type="spellEnd"/>
      <w:r w:rsidRPr="00580C0D">
        <w:t xml:space="preserve">. 112 S (2022–2023) </w:t>
      </w:r>
      <w:r w:rsidRPr="00580C0D">
        <w:rPr>
          <w:rStyle w:val="kursiv"/>
        </w:rPr>
        <w:t>Kommuneproposisjonen 2024</w:t>
      </w:r>
      <w:r w:rsidRPr="00580C0D">
        <w:t xml:space="preserve">, jf. </w:t>
      </w:r>
      <w:proofErr w:type="spellStart"/>
      <w:r w:rsidRPr="00580C0D">
        <w:t>Innst</w:t>
      </w:r>
      <w:proofErr w:type="spellEnd"/>
      <w:r w:rsidRPr="00580C0D">
        <w:t>. 488 S (2022–2023).</w:t>
      </w:r>
    </w:p>
    <w:p w14:paraId="18C11391" w14:textId="77777777" w:rsidR="00F7113A" w:rsidRPr="00580C0D" w:rsidRDefault="00142E5B" w:rsidP="00580C0D">
      <w:r w:rsidRPr="00580C0D">
        <w:t>Samferdselsdepartementet har i flere omganger kartlagt kostnadene knyttet til nullutslippsferjer og -hurtigbåter. På grunnlag av dette vil departementet vurdere hvordan vedtaket kan følges opp og komme tilbake til Stortinget på egnet måte.</w:t>
      </w:r>
    </w:p>
    <w:p w14:paraId="42186317" w14:textId="77777777" w:rsidR="00F7113A" w:rsidRPr="00580C0D" w:rsidRDefault="00142E5B" w:rsidP="00580C0D">
      <w:pPr>
        <w:pStyle w:val="avsnitt-tittel"/>
      </w:pPr>
      <w:r w:rsidRPr="00580C0D">
        <w:t xml:space="preserve">Automatisk trafikkontroll der fartsgrensa er sett ned av omsyn til luft- eller </w:t>
      </w:r>
      <w:proofErr w:type="spellStart"/>
      <w:r w:rsidRPr="00580C0D">
        <w:t>støyforureining</w:t>
      </w:r>
      <w:proofErr w:type="spellEnd"/>
    </w:p>
    <w:p w14:paraId="3C9E32C9" w14:textId="77777777" w:rsidR="00F7113A" w:rsidRPr="00580C0D" w:rsidRDefault="00142E5B" w:rsidP="00580C0D">
      <w:pPr>
        <w:pStyle w:val="avsnitt-undertittel"/>
      </w:pPr>
      <w:r w:rsidRPr="00580C0D">
        <w:t>Vedtak nr. 935, 16. juni 2023</w:t>
      </w:r>
    </w:p>
    <w:p w14:paraId="1C0F2329" w14:textId="77777777" w:rsidR="00F7113A" w:rsidRPr="00580C0D" w:rsidRDefault="00142E5B" w:rsidP="00580C0D">
      <w:pPr>
        <w:pStyle w:val="blokksit"/>
        <w:rPr>
          <w:rStyle w:val="kursiv"/>
        </w:rPr>
      </w:pPr>
      <w:r w:rsidRPr="00580C0D">
        <w:rPr>
          <w:rStyle w:val="kursiv"/>
        </w:rPr>
        <w:t>«Stortinget ber regjeringen i løpet av 2023 komme tilbake med forslag til kriterier for å etablere automatisk trafikkontroll for fart også der fartsgrensen er satt ned av hensyn til luft- eller støyforurensing. Parallelt med dette settes det i gang et arbeid med å utforme nødvendig hjemmelsgrunnlag.»</w:t>
      </w:r>
    </w:p>
    <w:p w14:paraId="0BC4A314" w14:textId="77777777" w:rsidR="00F7113A" w:rsidRPr="00580C0D" w:rsidRDefault="00142E5B" w:rsidP="00580C0D">
      <w:r w:rsidRPr="00580C0D">
        <w:t xml:space="preserve">Vedtaket ble truffet ved behandlingen av Meld. St. 2 (2022–2023) </w:t>
      </w:r>
      <w:r w:rsidRPr="00580C0D">
        <w:rPr>
          <w:rStyle w:val="kursiv"/>
        </w:rPr>
        <w:t>Revidert nasjonalbudsjett 2023</w:t>
      </w:r>
      <w:r w:rsidRPr="00580C0D">
        <w:t xml:space="preserve">, jf. </w:t>
      </w:r>
      <w:proofErr w:type="spellStart"/>
      <w:r w:rsidRPr="00580C0D">
        <w:t>Innst</w:t>
      </w:r>
      <w:proofErr w:type="spellEnd"/>
      <w:r w:rsidRPr="00580C0D">
        <w:t>. 490 S (2022–2023).</w:t>
      </w:r>
    </w:p>
    <w:p w14:paraId="11B0FF2D" w14:textId="77777777" w:rsidR="00F7113A" w:rsidRPr="00580C0D" w:rsidRDefault="00142E5B" w:rsidP="00580C0D">
      <w:r w:rsidRPr="00580C0D">
        <w:t>Samferdselsdepartementet ga i supplerende tildelingsbrev nr. 9 av 29. juni 2023 Statens vegvesen i oppdrag om, i samråd med politiet, å utarbeide forslag til mulige kriterier for automatisk trafikkontroll (ATK) som tar hensyn til Stortingets anmodningsvedtak. Videre skal Statens vegvesen, i samråd med politiet, vurdere behov for nødvendige endringer i hjemmelsgrunnlaget samt økonomiske og administrative konsekvenser ved slik ev. utvidet bruk av ATK.</w:t>
      </w:r>
    </w:p>
    <w:p w14:paraId="4E3A0AB5" w14:textId="77777777" w:rsidR="00F7113A" w:rsidRPr="00580C0D" w:rsidRDefault="00142E5B" w:rsidP="00580C0D">
      <w:r w:rsidRPr="00580C0D">
        <w:t>Samferdselsdepartementet vil komme tilbake til saken på egnet måte.</w:t>
      </w:r>
    </w:p>
    <w:p w14:paraId="23B9A5C9" w14:textId="77777777" w:rsidR="00F7113A" w:rsidRPr="00580C0D" w:rsidRDefault="00142E5B" w:rsidP="00580C0D">
      <w:pPr>
        <w:pStyle w:val="Overskrift2"/>
      </w:pPr>
      <w:r w:rsidRPr="00580C0D">
        <w:t>Stortingssesjonen 2021–2022</w:t>
      </w:r>
    </w:p>
    <w:p w14:paraId="2419D64E" w14:textId="77777777" w:rsidR="00F7113A" w:rsidRPr="00580C0D" w:rsidRDefault="00142E5B" w:rsidP="00580C0D">
      <w:pPr>
        <w:pStyle w:val="avsnitt-tittel"/>
      </w:pPr>
      <w:r w:rsidRPr="00580C0D">
        <w:t xml:space="preserve">Basere </w:t>
      </w:r>
      <w:proofErr w:type="spellStart"/>
      <w:r w:rsidRPr="00580C0D">
        <w:t>anbod</w:t>
      </w:r>
      <w:proofErr w:type="spellEnd"/>
      <w:r w:rsidRPr="00580C0D">
        <w:t xml:space="preserve"> i fylkeskommunal ferje- og båttrafikk på nullutsleppsteknologi</w:t>
      </w:r>
    </w:p>
    <w:p w14:paraId="0E3F305A" w14:textId="77777777" w:rsidR="00F7113A" w:rsidRPr="00580C0D" w:rsidRDefault="00142E5B" w:rsidP="00580C0D">
      <w:pPr>
        <w:pStyle w:val="avsnitt-undertittel"/>
      </w:pPr>
      <w:r w:rsidRPr="00580C0D">
        <w:t>Vedtak nr. 35, punkt 1, 2. desember 2021</w:t>
      </w:r>
    </w:p>
    <w:p w14:paraId="292EA126" w14:textId="77777777" w:rsidR="00F7113A" w:rsidRPr="00580C0D" w:rsidRDefault="00142E5B" w:rsidP="00580C0D">
      <w:pPr>
        <w:pStyle w:val="blokksit"/>
        <w:rPr>
          <w:rStyle w:val="kursiv"/>
        </w:rPr>
      </w:pPr>
      <w:r w:rsidRPr="00580C0D">
        <w:rPr>
          <w:rStyle w:val="kursiv"/>
        </w:rPr>
        <w:t>«Stortinget ber regjeringen legge til grunn at anbud i fylkeskommunal ferje- og båttrafikk så langt det lar seg gjøre skal baseres på teknologi, og kompensere fylkeskommuner for merkostnader knyttet til dette.»</w:t>
      </w:r>
    </w:p>
    <w:p w14:paraId="7CE8E7F9" w14:textId="77777777" w:rsidR="00F7113A" w:rsidRPr="00580C0D" w:rsidRDefault="00142E5B" w:rsidP="00580C0D">
      <w:r w:rsidRPr="00580C0D">
        <w:t xml:space="preserve">Vedtaket ble truffet ved behandlingen av Meld. St. 1 (2021–2022) </w:t>
      </w:r>
      <w:r w:rsidRPr="00580C0D">
        <w:rPr>
          <w:rStyle w:val="kursiv"/>
        </w:rPr>
        <w:t>Nasjonalbudsjettet 2022</w:t>
      </w:r>
      <w:r w:rsidRPr="00580C0D">
        <w:t xml:space="preserve">, jf. </w:t>
      </w:r>
      <w:proofErr w:type="spellStart"/>
      <w:r w:rsidRPr="00580C0D">
        <w:t>Innst</w:t>
      </w:r>
      <w:proofErr w:type="spellEnd"/>
      <w:r w:rsidRPr="00580C0D">
        <w:t>. 2 S (2021–2022).</w:t>
      </w:r>
    </w:p>
    <w:p w14:paraId="0E182C01"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det, i samarbeid med Klima- og miljødepartementet, og på grunnlag av rapporter fra Direktoratet for forvaltning og økonomistyring, Miljødirektoratet, Sjøfartsdirektoratet og Statens vegvesen med forslag til lav- og nullutslippskrav ved anskaffelse av ferjer og hurtigbåter og mulig hjemmel for slike krav i skipssikkerhetsloven, ville vurdere hvordan et ev. krav burde utformes.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505CCF3F" w14:textId="77777777" w:rsidR="00F7113A" w:rsidRPr="00580C0D" w:rsidRDefault="00142E5B" w:rsidP="00580C0D">
      <w:r w:rsidRPr="00580C0D">
        <w:t>I mai 2023 sendte Samferdselsdepartementet forslag til nullutslippskrav for ferjer og hurtigbåter på høring med høringsfrist 1. oktober 2023. I høringsnotatet foreslås det å fastsette en forskrift om nullutslippskrav til ferjer og hurtigbåter. Det tas sikte på at kravet til ferjene innføres så snart som mulig, og at kravet til hurtigbåter gjelder fra 1. januar 2025. I forslaget er det også tatt hensyn til at kravene ikke vil kunne følges i alle tilfeller. Videre er det varslet at regjeringen skal se nærmere på hvordan fylkeskommunene skal kompenseres for dette, i tråd med Hurdalsplattformen.</w:t>
      </w:r>
    </w:p>
    <w:p w14:paraId="13877629" w14:textId="77777777" w:rsidR="00F7113A" w:rsidRPr="00580C0D" w:rsidRDefault="00142E5B" w:rsidP="00580C0D">
      <w:r w:rsidRPr="00580C0D">
        <w:t>Anmodningsvedtaket anses med dette som ivaretatt.</w:t>
      </w:r>
    </w:p>
    <w:p w14:paraId="4ECCC74E" w14:textId="77777777" w:rsidR="00F7113A" w:rsidRPr="00580C0D" w:rsidRDefault="00142E5B" w:rsidP="00580C0D">
      <w:pPr>
        <w:pStyle w:val="avsnitt-tittel"/>
      </w:pPr>
      <w:r w:rsidRPr="00580C0D">
        <w:t xml:space="preserve">Etablere nasjonal ordning med miljørabatt for el-varebil ved </w:t>
      </w:r>
      <w:proofErr w:type="spellStart"/>
      <w:r w:rsidRPr="00580C0D">
        <w:t>bompasseringar</w:t>
      </w:r>
      <w:proofErr w:type="spellEnd"/>
    </w:p>
    <w:p w14:paraId="2106CEF5" w14:textId="77777777" w:rsidR="00F7113A" w:rsidRPr="00580C0D" w:rsidRDefault="00142E5B" w:rsidP="00580C0D">
      <w:pPr>
        <w:pStyle w:val="avsnitt-undertittel"/>
      </w:pPr>
      <w:r w:rsidRPr="00580C0D">
        <w:t>Vedtak nr. 35, punkt 14, 2. desember 2021</w:t>
      </w:r>
    </w:p>
    <w:p w14:paraId="1D3E5BC2" w14:textId="77777777" w:rsidR="00F7113A" w:rsidRPr="00580C0D" w:rsidRDefault="00142E5B" w:rsidP="00580C0D">
      <w:pPr>
        <w:pStyle w:val="blokksit"/>
        <w:rPr>
          <w:rStyle w:val="kursiv"/>
        </w:rPr>
      </w:pPr>
      <w:r w:rsidRPr="00580C0D">
        <w:rPr>
          <w:rStyle w:val="kursiv"/>
        </w:rPr>
        <w:t xml:space="preserve">«Stortinget ber regjeringen etablere en nasjonal ordning med miljørabatt for </w:t>
      </w:r>
      <w:proofErr w:type="spellStart"/>
      <w:r w:rsidRPr="00580C0D">
        <w:rPr>
          <w:rStyle w:val="kursiv"/>
        </w:rPr>
        <w:t>elvarebil</w:t>
      </w:r>
      <w:proofErr w:type="spellEnd"/>
      <w:r w:rsidRPr="00580C0D">
        <w:rPr>
          <w:rStyle w:val="kursiv"/>
        </w:rPr>
        <w:t xml:space="preserve"> ved betaling for bompasseringer.»</w:t>
      </w:r>
    </w:p>
    <w:p w14:paraId="7C52D147" w14:textId="77777777" w:rsidR="00F7113A" w:rsidRPr="00580C0D" w:rsidRDefault="00142E5B" w:rsidP="00580C0D">
      <w:r w:rsidRPr="00580C0D">
        <w:t xml:space="preserve">Vedtaket ble truffet ved behandlingen av Meld. St. 1 (2021–2022) </w:t>
      </w:r>
      <w:r w:rsidRPr="00580C0D">
        <w:rPr>
          <w:rStyle w:val="kursiv"/>
        </w:rPr>
        <w:t>Nasjonalbudsjettet 2022</w:t>
      </w:r>
      <w:r w:rsidRPr="00580C0D">
        <w:t xml:space="preserve">, jf. </w:t>
      </w:r>
      <w:proofErr w:type="spellStart"/>
      <w:r w:rsidRPr="00580C0D">
        <w:t>Innst</w:t>
      </w:r>
      <w:proofErr w:type="spellEnd"/>
      <w:r w:rsidRPr="00580C0D">
        <w:t>. 2 S (2021–2022).</w:t>
      </w:r>
    </w:p>
    <w:p w14:paraId="10338CA7"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for lette el-varebiler er det i bompengefinansierte </w:t>
      </w:r>
      <w:proofErr w:type="spellStart"/>
      <w:r w:rsidRPr="00580C0D">
        <w:t>bypakker</w:t>
      </w:r>
      <w:proofErr w:type="spellEnd"/>
      <w:r w:rsidRPr="00580C0D">
        <w:t xml:space="preserve"> med miljødifferensiert takstsystem nå åpnet for at lokale myndigheter kan beslutte fritak for betaling av bompenger, selv om det innføres en takst (betaling) for øvrige lette elbiler. Men hvis det heller er ønskelig med en lavere takst for el-varebiler fremfor fritak, må det etableres en egen takstklasse for disse kjøretøyene innenfor takstgruppe 1, noe departementet ville vurdere i det videre arbeidet. Utenfor byområder vil det være mer utfordrende å innføre en lavere bompengetakst for el-varebil enn for øvrige nullutslippskjøretøy fordi formålet med bompenger på de strekningsvise bompengeprosjektene er finansiering, ikke regulering. Departementet ville likevel vurdere nærmere om og ev. hvordan behovet for å kunne skille mellom lette personbiler og lette varebiler kunne ivaretas også utenfor byområdene, særlig i strekningsvise veiprosjekter inn mot de store byene.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24A79FE3" w14:textId="77777777" w:rsidR="00F7113A" w:rsidRPr="00580C0D" w:rsidRDefault="00142E5B" w:rsidP="00580C0D">
      <w:r w:rsidRPr="00580C0D">
        <w:t>Departementet viser til omtalen under anmodningsvedtak nr. 757 av 10. juni 2022 og anser anmodningsvedtaket som fulgt opp.</w:t>
      </w:r>
    </w:p>
    <w:p w14:paraId="4DAD8A4D" w14:textId="77777777" w:rsidR="00F7113A" w:rsidRPr="00580C0D" w:rsidRDefault="00142E5B" w:rsidP="00580C0D">
      <w:pPr>
        <w:pStyle w:val="avsnitt-tittel"/>
      </w:pPr>
      <w:r w:rsidRPr="00580C0D">
        <w:t>Følgje opp skredfaktormodellen og vurdere alle relevante prosjekt på to sikringsnivå</w:t>
      </w:r>
    </w:p>
    <w:p w14:paraId="159F86B7" w14:textId="77777777" w:rsidR="00F7113A" w:rsidRPr="00580C0D" w:rsidRDefault="00142E5B" w:rsidP="00580C0D">
      <w:pPr>
        <w:pStyle w:val="avsnitt-undertittel"/>
      </w:pPr>
      <w:r w:rsidRPr="00580C0D">
        <w:t>Vedtak nr. 466, 5.april 2022</w:t>
      </w:r>
    </w:p>
    <w:p w14:paraId="23FFCCAF" w14:textId="77777777" w:rsidR="00F7113A" w:rsidRPr="00580C0D" w:rsidRDefault="00142E5B" w:rsidP="00580C0D">
      <w:pPr>
        <w:pStyle w:val="blokksit"/>
        <w:rPr>
          <w:rStyle w:val="kursiv"/>
        </w:rPr>
      </w:pPr>
      <w:r w:rsidRPr="00580C0D">
        <w:rPr>
          <w:rStyle w:val="kursiv"/>
        </w:rPr>
        <w:t xml:space="preserve">«Stortinget ber regjeringa </w:t>
      </w:r>
      <w:proofErr w:type="spellStart"/>
      <w:r w:rsidRPr="00580C0D">
        <w:rPr>
          <w:rStyle w:val="kursiv"/>
        </w:rPr>
        <w:t>følgje</w:t>
      </w:r>
      <w:proofErr w:type="spellEnd"/>
      <w:r w:rsidRPr="00580C0D">
        <w:rPr>
          <w:rStyle w:val="kursiv"/>
        </w:rPr>
        <w:t xml:space="preserve"> opp arbeidet som vert utført av Statens vegvesen i samband med skredfaktormodellen, og at alle relevante prosjekt vert vurderte basert på to sikringsnivå med </w:t>
      </w:r>
      <w:proofErr w:type="spellStart"/>
      <w:r w:rsidRPr="00580C0D">
        <w:rPr>
          <w:rStyle w:val="kursiv"/>
        </w:rPr>
        <w:t>tilhøyrande</w:t>
      </w:r>
      <w:proofErr w:type="spellEnd"/>
      <w:r w:rsidRPr="00580C0D">
        <w:rPr>
          <w:rStyle w:val="kursiv"/>
        </w:rPr>
        <w:t xml:space="preserve"> tiltak </w:t>
      </w:r>
      <w:proofErr w:type="spellStart"/>
      <w:r w:rsidRPr="00580C0D">
        <w:rPr>
          <w:rStyle w:val="kursiv"/>
        </w:rPr>
        <w:t>kostnadsanalysar</w:t>
      </w:r>
      <w:proofErr w:type="spellEnd"/>
      <w:r w:rsidRPr="00580C0D">
        <w:rPr>
          <w:rStyle w:val="kursiv"/>
        </w:rPr>
        <w:t xml:space="preserve">. </w:t>
      </w:r>
      <w:proofErr w:type="spellStart"/>
      <w:r w:rsidRPr="00580C0D">
        <w:rPr>
          <w:rStyle w:val="kursiv"/>
        </w:rPr>
        <w:t>Vidare</w:t>
      </w:r>
      <w:proofErr w:type="spellEnd"/>
      <w:r w:rsidRPr="00580C0D">
        <w:rPr>
          <w:rStyle w:val="kursiv"/>
        </w:rPr>
        <w:t xml:space="preserve"> ber Stortinget regjeringa syte for at </w:t>
      </w:r>
      <w:proofErr w:type="spellStart"/>
      <w:r w:rsidRPr="00580C0D">
        <w:rPr>
          <w:rStyle w:val="kursiv"/>
        </w:rPr>
        <w:t>fylkeskommunane</w:t>
      </w:r>
      <w:proofErr w:type="spellEnd"/>
      <w:r w:rsidRPr="00580C0D">
        <w:rPr>
          <w:rStyle w:val="kursiv"/>
        </w:rPr>
        <w:t xml:space="preserve"> vert godt involverte i arbeidet.»</w:t>
      </w:r>
    </w:p>
    <w:p w14:paraId="275C23E0"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Liv Kari Eskeland, Helge Orten, Olve Grotle og Aleksander </w:t>
      </w:r>
      <w:proofErr w:type="spellStart"/>
      <w:r w:rsidRPr="00580C0D">
        <w:t>Stokkebø</w:t>
      </w:r>
      <w:proofErr w:type="spellEnd"/>
      <w:r w:rsidRPr="00580C0D">
        <w:t xml:space="preserve"> om </w:t>
      </w:r>
      <w:proofErr w:type="spellStart"/>
      <w:r w:rsidRPr="00580C0D">
        <w:t>auka</w:t>
      </w:r>
      <w:proofErr w:type="spellEnd"/>
      <w:r w:rsidRPr="00580C0D">
        <w:t xml:space="preserve"> </w:t>
      </w:r>
      <w:proofErr w:type="gramStart"/>
      <w:r w:rsidRPr="00580C0D">
        <w:t>fokus</w:t>
      </w:r>
      <w:proofErr w:type="gramEnd"/>
      <w:r w:rsidRPr="00580C0D">
        <w:t xml:space="preserve"> på og nye </w:t>
      </w:r>
      <w:proofErr w:type="spellStart"/>
      <w:r w:rsidRPr="00580C0D">
        <w:t>løysingar</w:t>
      </w:r>
      <w:proofErr w:type="spellEnd"/>
      <w:r w:rsidRPr="00580C0D">
        <w:t xml:space="preserve"> for rassikring av infrastruktur, jf. Dokument 8:91 S (2021–2022) og </w:t>
      </w:r>
      <w:proofErr w:type="spellStart"/>
      <w:r w:rsidRPr="00580C0D">
        <w:t>Innst</w:t>
      </w:r>
      <w:proofErr w:type="spellEnd"/>
      <w:r w:rsidRPr="00580C0D">
        <w:t>. 225 S (2021–2022).</w:t>
      </w:r>
    </w:p>
    <w:p w14:paraId="14D91B19"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som </w:t>
      </w:r>
      <w:proofErr w:type="spellStart"/>
      <w:r w:rsidRPr="00580C0D">
        <w:t>ein</w:t>
      </w:r>
      <w:proofErr w:type="spellEnd"/>
      <w:r w:rsidRPr="00580C0D">
        <w:t xml:space="preserve"> del av arbeidet med ny Nasjonal transportplan skulle Statens vegvesen, i tett dialog med </w:t>
      </w:r>
      <w:proofErr w:type="spellStart"/>
      <w:r w:rsidRPr="00580C0D">
        <w:t>fylkeskommunane</w:t>
      </w:r>
      <w:proofErr w:type="spellEnd"/>
      <w:r w:rsidRPr="00580C0D">
        <w:t xml:space="preserve">, gå gjennom </w:t>
      </w:r>
      <w:proofErr w:type="spellStart"/>
      <w:r w:rsidRPr="00580C0D">
        <w:t>reknemodellen</w:t>
      </w:r>
      <w:proofErr w:type="spellEnd"/>
      <w:r w:rsidRPr="00580C0D">
        <w:t xml:space="preserve"> for skredfaktor med mål om å </w:t>
      </w:r>
      <w:proofErr w:type="spellStart"/>
      <w:r w:rsidRPr="00580C0D">
        <w:t>gjere</w:t>
      </w:r>
      <w:proofErr w:type="spellEnd"/>
      <w:r w:rsidRPr="00580C0D">
        <w:t xml:space="preserve"> modellen </w:t>
      </w:r>
      <w:proofErr w:type="spellStart"/>
      <w:r w:rsidRPr="00580C0D">
        <w:t>enklare</w:t>
      </w:r>
      <w:proofErr w:type="spellEnd"/>
      <w:r w:rsidRPr="00580C0D">
        <w:t xml:space="preserve"> og betre. Departementet ville </w:t>
      </w:r>
      <w:proofErr w:type="spellStart"/>
      <w:r w:rsidRPr="00580C0D">
        <w:t>følgje</w:t>
      </w:r>
      <w:proofErr w:type="spellEnd"/>
      <w:r w:rsidRPr="00580C0D">
        <w:t xml:space="preserve"> opp arbeidet i styringsdialogen med Statens vegvesen og vurderte oppmodingsvedtaket som </w:t>
      </w:r>
      <w:proofErr w:type="spellStart"/>
      <w:r w:rsidRPr="00580C0D">
        <w:t>følgt</w:t>
      </w:r>
      <w:proofErr w:type="spellEnd"/>
      <w:r w:rsidRPr="00580C0D">
        <w:t xml:space="preserve"> opp. Ved </w:t>
      </w:r>
      <w:proofErr w:type="spellStart"/>
      <w:r w:rsidRPr="00580C0D">
        <w:t>behandlinga</w:t>
      </w:r>
      <w:proofErr w:type="spellEnd"/>
      <w:r w:rsidRPr="00580C0D">
        <w:t xml:space="preserve"> av Meld. St. 4 (2022–2023) </w:t>
      </w:r>
      <w:r w:rsidRPr="00580C0D">
        <w:rPr>
          <w:rStyle w:val="kursiv"/>
        </w:rPr>
        <w:t>Anmodnings- og utredningsvedtak i stortingssesjonen 2021–2022</w:t>
      </w:r>
      <w:r w:rsidRPr="00580C0D">
        <w:t xml:space="preserve">, jf. </w:t>
      </w:r>
      <w:proofErr w:type="spellStart"/>
      <w:r w:rsidRPr="00580C0D">
        <w:t>Innst</w:t>
      </w:r>
      <w:proofErr w:type="spellEnd"/>
      <w:r w:rsidRPr="00580C0D">
        <w:t>. 186 S (2022–2023), uttalte kontroll- og konstitusjonskomiteen:</w:t>
      </w:r>
    </w:p>
    <w:p w14:paraId="67F155F0" w14:textId="77777777" w:rsidR="00F7113A" w:rsidRPr="00580C0D" w:rsidRDefault="00142E5B" w:rsidP="00580C0D">
      <w:pPr>
        <w:pStyle w:val="blokksit"/>
      </w:pPr>
      <w:r w:rsidRPr="00580C0D">
        <w:t>«</w:t>
      </w:r>
      <w:r w:rsidRPr="00580C0D">
        <w:rPr>
          <w:rStyle w:val="sperret0"/>
        </w:rPr>
        <w:t>Komiteens flertall</w:t>
      </w:r>
      <w:r w:rsidRPr="00580C0D">
        <w:t>, medlemmene fra Høyre, Fremskrittspartiet, Sosialistisk Venstreparti, Rødt og Venstre, viser til at regjeringen ikke har kommet i mål med arbeidet. Flertallet mener derfor det er for tidlig å kvittere ut vedtaket, og at rapporteringen ikke bør avsluttes.»</w:t>
      </w:r>
    </w:p>
    <w:p w14:paraId="307AB972" w14:textId="77777777" w:rsidR="00F7113A" w:rsidRPr="00580C0D" w:rsidRDefault="00142E5B" w:rsidP="00580C0D">
      <w:r w:rsidRPr="00580C0D">
        <w:t xml:space="preserve">Som </w:t>
      </w:r>
      <w:proofErr w:type="spellStart"/>
      <w:r w:rsidRPr="00580C0D">
        <w:t>ein</w:t>
      </w:r>
      <w:proofErr w:type="spellEnd"/>
      <w:r w:rsidRPr="00580C0D">
        <w:t xml:space="preserve"> del av arbeidet med Nasjonal transportplan 2025–2036 skal Statens vegvesen, i tett dialog med </w:t>
      </w:r>
      <w:proofErr w:type="spellStart"/>
      <w:r w:rsidRPr="00580C0D">
        <w:t>fylkeskommunane</w:t>
      </w:r>
      <w:proofErr w:type="spellEnd"/>
      <w:r w:rsidRPr="00580C0D">
        <w:t xml:space="preserve">, gå gjennom </w:t>
      </w:r>
      <w:proofErr w:type="spellStart"/>
      <w:r w:rsidRPr="00580C0D">
        <w:t>reknemodellen</w:t>
      </w:r>
      <w:proofErr w:type="spellEnd"/>
      <w:r w:rsidRPr="00580C0D">
        <w:t xml:space="preserve"> for skredfaktor med mål om å </w:t>
      </w:r>
      <w:proofErr w:type="spellStart"/>
      <w:r w:rsidRPr="00580C0D">
        <w:t>gjere</w:t>
      </w:r>
      <w:proofErr w:type="spellEnd"/>
      <w:r w:rsidRPr="00580C0D">
        <w:t xml:space="preserve"> denne </w:t>
      </w:r>
      <w:proofErr w:type="spellStart"/>
      <w:r w:rsidRPr="00580C0D">
        <w:t>enklare</w:t>
      </w:r>
      <w:proofErr w:type="spellEnd"/>
      <w:r w:rsidRPr="00580C0D">
        <w:t xml:space="preserve"> og betre. Oversikt over </w:t>
      </w:r>
      <w:proofErr w:type="spellStart"/>
      <w:r w:rsidRPr="00580C0D">
        <w:t>skredutsette</w:t>
      </w:r>
      <w:proofErr w:type="spellEnd"/>
      <w:r w:rsidRPr="00580C0D">
        <w:t xml:space="preserve"> punkt på vegnettet går fram av Statens vegvesens rapport </w:t>
      </w:r>
      <w:r w:rsidRPr="00580C0D">
        <w:rPr>
          <w:rStyle w:val="kursiv"/>
        </w:rPr>
        <w:t xml:space="preserve">Rassikring av vegnettet </w:t>
      </w:r>
      <w:proofErr w:type="spellStart"/>
      <w:r w:rsidRPr="00580C0D">
        <w:t>frå</w:t>
      </w:r>
      <w:proofErr w:type="spellEnd"/>
      <w:r w:rsidRPr="00580C0D">
        <w:t xml:space="preserve"> 2019. Grunnlaget for oversiktene ligg i Nasjonal vegdatabank.</w:t>
      </w:r>
    </w:p>
    <w:p w14:paraId="6F291B69" w14:textId="77777777" w:rsidR="00F7113A" w:rsidRPr="00580C0D" w:rsidRDefault="00142E5B" w:rsidP="00580C0D">
      <w:r w:rsidRPr="00580C0D">
        <w:t xml:space="preserve">Statens vegvesen har utarbeidd forslag til ny </w:t>
      </w:r>
      <w:proofErr w:type="spellStart"/>
      <w:r w:rsidRPr="00580C0D">
        <w:t>reknemodell</w:t>
      </w:r>
      <w:proofErr w:type="spellEnd"/>
      <w:r w:rsidRPr="00580C0D">
        <w:t xml:space="preserve"> for skredfaktor som blei sendt på </w:t>
      </w:r>
      <w:proofErr w:type="spellStart"/>
      <w:r w:rsidRPr="00580C0D">
        <w:t>høyring</w:t>
      </w:r>
      <w:proofErr w:type="spellEnd"/>
      <w:r w:rsidRPr="00580C0D">
        <w:t xml:space="preserve"> til </w:t>
      </w:r>
      <w:proofErr w:type="spellStart"/>
      <w:r w:rsidRPr="00580C0D">
        <w:t>fylkeskommunane</w:t>
      </w:r>
      <w:proofErr w:type="spellEnd"/>
      <w:r w:rsidRPr="00580C0D">
        <w:t xml:space="preserve"> og Nye Veier AS </w:t>
      </w:r>
      <w:proofErr w:type="spellStart"/>
      <w:r w:rsidRPr="00580C0D">
        <w:t>hausten</w:t>
      </w:r>
      <w:proofErr w:type="spellEnd"/>
      <w:r w:rsidRPr="00580C0D">
        <w:t xml:space="preserve"> 2022. </w:t>
      </w:r>
      <w:proofErr w:type="spellStart"/>
      <w:r w:rsidRPr="00580C0D">
        <w:t>Fleire</w:t>
      </w:r>
      <w:proofErr w:type="spellEnd"/>
      <w:r w:rsidRPr="00580C0D">
        <w:t xml:space="preserve"> av merknadene som kom inn, gjekk på at den nye modellen i for stor grad gav større skredfaktor til breie skred med låg </w:t>
      </w:r>
      <w:proofErr w:type="spellStart"/>
      <w:r w:rsidRPr="00580C0D">
        <w:t>sannsyn</w:t>
      </w:r>
      <w:proofErr w:type="spellEnd"/>
      <w:r w:rsidRPr="00580C0D">
        <w:t xml:space="preserve"> enn hyppige, men </w:t>
      </w:r>
      <w:proofErr w:type="spellStart"/>
      <w:r w:rsidRPr="00580C0D">
        <w:t>smalare</w:t>
      </w:r>
      <w:proofErr w:type="spellEnd"/>
      <w:r w:rsidRPr="00580C0D">
        <w:t xml:space="preserve"> skred. Det kom òg merknader om at den nye modellen </w:t>
      </w:r>
      <w:proofErr w:type="spellStart"/>
      <w:r w:rsidRPr="00580C0D">
        <w:t>skil</w:t>
      </w:r>
      <w:proofErr w:type="spellEnd"/>
      <w:r w:rsidRPr="00580C0D">
        <w:t xml:space="preserve"> for lite mellom skred som opptrer </w:t>
      </w:r>
      <w:proofErr w:type="spellStart"/>
      <w:r w:rsidRPr="00580C0D">
        <w:t>sjeldan</w:t>
      </w:r>
      <w:proofErr w:type="spellEnd"/>
      <w:r w:rsidRPr="00580C0D">
        <w:t xml:space="preserve"> og skred som opptrer hyppig. Statens vegvesen leverte 17. august 2023 framlegg til ny </w:t>
      </w:r>
      <w:proofErr w:type="spellStart"/>
      <w:r w:rsidRPr="00580C0D">
        <w:t>reknemodell</w:t>
      </w:r>
      <w:proofErr w:type="spellEnd"/>
      <w:r w:rsidRPr="00580C0D">
        <w:t xml:space="preserve"> for skredfaktor til Samferdselsdepartementet.</w:t>
      </w:r>
    </w:p>
    <w:p w14:paraId="170D728C" w14:textId="77777777" w:rsidR="00F7113A" w:rsidRPr="00580C0D" w:rsidRDefault="00142E5B" w:rsidP="00580C0D">
      <w:r w:rsidRPr="00580C0D">
        <w:t xml:space="preserve">Departementet vurderer </w:t>
      </w:r>
      <w:proofErr w:type="spellStart"/>
      <w:r w:rsidRPr="00580C0D">
        <w:t>no</w:t>
      </w:r>
      <w:proofErr w:type="spellEnd"/>
      <w:r w:rsidRPr="00580C0D">
        <w:t xml:space="preserve"> saka og vil </w:t>
      </w:r>
      <w:proofErr w:type="spellStart"/>
      <w:r w:rsidRPr="00580C0D">
        <w:t>kome</w:t>
      </w:r>
      <w:proofErr w:type="spellEnd"/>
      <w:r w:rsidRPr="00580C0D">
        <w:t xml:space="preserve"> tilbake til Stortinget på eigna måte.</w:t>
      </w:r>
    </w:p>
    <w:p w14:paraId="79F031CF" w14:textId="77777777" w:rsidR="00F7113A" w:rsidRPr="00580C0D" w:rsidRDefault="00142E5B" w:rsidP="00580C0D">
      <w:pPr>
        <w:pStyle w:val="avsnitt-tittel"/>
      </w:pPr>
      <w:r w:rsidRPr="00580C0D">
        <w:t>Innovasjonsprogram for skredsikring</w:t>
      </w:r>
    </w:p>
    <w:p w14:paraId="0EB3C0F2" w14:textId="77777777" w:rsidR="00F7113A" w:rsidRPr="00580C0D" w:rsidRDefault="00142E5B" w:rsidP="00580C0D">
      <w:pPr>
        <w:pStyle w:val="avsnitt-undertittel"/>
      </w:pPr>
      <w:r w:rsidRPr="00580C0D">
        <w:t>Vedtak nr. 467, 5. april 2022</w:t>
      </w:r>
    </w:p>
    <w:p w14:paraId="20FDC960" w14:textId="77777777" w:rsidR="00F7113A" w:rsidRPr="00580C0D" w:rsidRDefault="00142E5B" w:rsidP="00580C0D">
      <w:pPr>
        <w:pStyle w:val="blokksit"/>
        <w:rPr>
          <w:rStyle w:val="kursiv"/>
        </w:rPr>
      </w:pPr>
      <w:r w:rsidRPr="00580C0D">
        <w:rPr>
          <w:rStyle w:val="kursiv"/>
        </w:rPr>
        <w:t xml:space="preserve">«Stortinget ber regjeringa utarbeide </w:t>
      </w:r>
      <w:proofErr w:type="spellStart"/>
      <w:r w:rsidRPr="00580C0D">
        <w:rPr>
          <w:rStyle w:val="kursiv"/>
        </w:rPr>
        <w:t>eit</w:t>
      </w:r>
      <w:proofErr w:type="spellEnd"/>
      <w:r w:rsidRPr="00580C0D">
        <w:rPr>
          <w:rStyle w:val="kursiv"/>
        </w:rPr>
        <w:t xml:space="preserve"> innovasjonsprogram for skredsikring. Programmet bør støtte alternative </w:t>
      </w:r>
      <w:proofErr w:type="spellStart"/>
      <w:r w:rsidRPr="00580C0D">
        <w:rPr>
          <w:rStyle w:val="kursiv"/>
        </w:rPr>
        <w:t>løysingar</w:t>
      </w:r>
      <w:proofErr w:type="spellEnd"/>
      <w:r w:rsidRPr="00580C0D">
        <w:rPr>
          <w:rStyle w:val="kursiv"/>
        </w:rPr>
        <w:t xml:space="preserve"> og nivå </w:t>
      </w:r>
      <w:proofErr w:type="spellStart"/>
      <w:r w:rsidRPr="00580C0D">
        <w:rPr>
          <w:rStyle w:val="kursiv"/>
        </w:rPr>
        <w:t>innan</w:t>
      </w:r>
      <w:proofErr w:type="spellEnd"/>
      <w:r w:rsidRPr="00580C0D">
        <w:rPr>
          <w:rStyle w:val="kursiv"/>
        </w:rPr>
        <w:t xml:space="preserve"> skredsikring, på både fylkes- og </w:t>
      </w:r>
      <w:proofErr w:type="spellStart"/>
      <w:r w:rsidRPr="00580C0D">
        <w:rPr>
          <w:rStyle w:val="kursiv"/>
        </w:rPr>
        <w:t>riksvegar</w:t>
      </w:r>
      <w:proofErr w:type="spellEnd"/>
      <w:r w:rsidRPr="00580C0D">
        <w:rPr>
          <w:rStyle w:val="kursiv"/>
        </w:rPr>
        <w:t xml:space="preserve">, og </w:t>
      </w:r>
      <w:proofErr w:type="spellStart"/>
      <w:r w:rsidRPr="00580C0D">
        <w:rPr>
          <w:rStyle w:val="kursiv"/>
        </w:rPr>
        <w:t>femne</w:t>
      </w:r>
      <w:proofErr w:type="spellEnd"/>
      <w:r w:rsidRPr="00580C0D">
        <w:rPr>
          <w:rStyle w:val="kursiv"/>
        </w:rPr>
        <w:t xml:space="preserve"> om alt </w:t>
      </w:r>
      <w:proofErr w:type="spellStart"/>
      <w:r w:rsidRPr="00580C0D">
        <w:rPr>
          <w:rStyle w:val="kursiv"/>
        </w:rPr>
        <w:t>frå</w:t>
      </w:r>
      <w:proofErr w:type="spellEnd"/>
      <w:r w:rsidRPr="00580C0D">
        <w:rPr>
          <w:rStyle w:val="kursiv"/>
        </w:rPr>
        <w:t xml:space="preserve"> enkel skredovervaking til tunge infrastrukturtiltak.»</w:t>
      </w:r>
    </w:p>
    <w:p w14:paraId="432329F6"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Liv Kari Eskeland, Helge Orten, Olve Grotle og Aleksander </w:t>
      </w:r>
      <w:proofErr w:type="spellStart"/>
      <w:r w:rsidRPr="00580C0D">
        <w:t>Stokkebø</w:t>
      </w:r>
      <w:proofErr w:type="spellEnd"/>
      <w:r w:rsidRPr="00580C0D">
        <w:t xml:space="preserve"> om </w:t>
      </w:r>
      <w:proofErr w:type="spellStart"/>
      <w:r w:rsidRPr="00580C0D">
        <w:t>auka</w:t>
      </w:r>
      <w:proofErr w:type="spellEnd"/>
      <w:r w:rsidRPr="00580C0D">
        <w:t xml:space="preserve"> </w:t>
      </w:r>
      <w:proofErr w:type="gramStart"/>
      <w:r w:rsidRPr="00580C0D">
        <w:t>fokus</w:t>
      </w:r>
      <w:proofErr w:type="gramEnd"/>
      <w:r w:rsidRPr="00580C0D">
        <w:t xml:space="preserve"> på og nye </w:t>
      </w:r>
      <w:proofErr w:type="spellStart"/>
      <w:r w:rsidRPr="00580C0D">
        <w:t>løysingar</w:t>
      </w:r>
      <w:proofErr w:type="spellEnd"/>
      <w:r w:rsidRPr="00580C0D">
        <w:t xml:space="preserve"> for rassikring av infrastruktur, jf. Dokument 8:91 S (2021–2022) og </w:t>
      </w:r>
      <w:proofErr w:type="spellStart"/>
      <w:r w:rsidRPr="00580C0D">
        <w:t>Innst</w:t>
      </w:r>
      <w:proofErr w:type="spellEnd"/>
      <w:r w:rsidRPr="00580C0D">
        <w:t>. 225 S (2021–2022).</w:t>
      </w:r>
    </w:p>
    <w:p w14:paraId="370DA426"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departementet meiner at den beste innrettinga på </w:t>
      </w:r>
      <w:proofErr w:type="spellStart"/>
      <w:r w:rsidRPr="00580C0D">
        <w:t>eit</w:t>
      </w:r>
      <w:proofErr w:type="spellEnd"/>
      <w:r w:rsidRPr="00580C0D">
        <w:t xml:space="preserve"> innovasjonsprogram er gjennom teknologisatsinga i Statens vegvesen som òg </w:t>
      </w:r>
      <w:proofErr w:type="spellStart"/>
      <w:r w:rsidRPr="00580C0D">
        <w:t>omfattar</w:t>
      </w:r>
      <w:proofErr w:type="spellEnd"/>
      <w:r w:rsidRPr="00580C0D">
        <w:t xml:space="preserve"> teknologi </w:t>
      </w:r>
      <w:proofErr w:type="spellStart"/>
      <w:r w:rsidRPr="00580C0D">
        <w:t>innan</w:t>
      </w:r>
      <w:proofErr w:type="spellEnd"/>
      <w:r w:rsidRPr="00580C0D">
        <w:t xml:space="preserve"> skredsikring, og i delingsfora med </w:t>
      </w:r>
      <w:proofErr w:type="spellStart"/>
      <w:r w:rsidRPr="00580C0D">
        <w:t>fylkeskommunane</w:t>
      </w:r>
      <w:proofErr w:type="spellEnd"/>
      <w:r w:rsidRPr="00580C0D">
        <w:t xml:space="preserve">. Departementet bad likevel Statens vegvesen i </w:t>
      </w:r>
      <w:proofErr w:type="spellStart"/>
      <w:r w:rsidRPr="00580C0D">
        <w:t>supplerande</w:t>
      </w:r>
      <w:proofErr w:type="spellEnd"/>
      <w:r w:rsidRPr="00580C0D">
        <w:t xml:space="preserve"> tildelingsbrev nr. 6 av 25. mai 2022 vurdere </w:t>
      </w:r>
      <w:proofErr w:type="spellStart"/>
      <w:r w:rsidRPr="00580C0D">
        <w:t>eit</w:t>
      </w:r>
      <w:proofErr w:type="spellEnd"/>
      <w:r w:rsidRPr="00580C0D">
        <w:t xml:space="preserve"> innovasjonsprogram. Ved </w:t>
      </w:r>
      <w:proofErr w:type="spellStart"/>
      <w:r w:rsidRPr="00580C0D">
        <w:t>behandlinga</w:t>
      </w:r>
      <w:proofErr w:type="spellEnd"/>
      <w:r w:rsidRPr="00580C0D">
        <w:t xml:space="preserve"> av oppmodingsvedtaka tok kontroll- og konstitusjonskomiteen regjeringa si oppfølging eller planar om oppfølging til etterretning, jf. </w:t>
      </w:r>
      <w:proofErr w:type="spellStart"/>
      <w:r w:rsidRPr="00580C0D">
        <w:t>Innst</w:t>
      </w:r>
      <w:proofErr w:type="spellEnd"/>
      <w:r w:rsidRPr="00580C0D">
        <w:t>. 186 S (2022–2023).</w:t>
      </w:r>
    </w:p>
    <w:p w14:paraId="215F2138" w14:textId="77777777" w:rsidR="00F7113A" w:rsidRPr="00580C0D" w:rsidRDefault="00142E5B" w:rsidP="00580C0D">
      <w:r w:rsidRPr="00580C0D">
        <w:t xml:space="preserve">Statens vegvesen har meldt tilbake at etaten meiner at innovasjonssatsinga </w:t>
      </w:r>
      <w:proofErr w:type="spellStart"/>
      <w:r w:rsidRPr="00580C0D">
        <w:t>allereie</w:t>
      </w:r>
      <w:proofErr w:type="spellEnd"/>
      <w:r w:rsidRPr="00580C0D">
        <w:t xml:space="preserve"> er ivaretatt slik samarbeidet fungerer i dag. Vegvesenet arbeider systematisk med innovative </w:t>
      </w:r>
      <w:proofErr w:type="spellStart"/>
      <w:r w:rsidRPr="00580C0D">
        <w:t>løysingar</w:t>
      </w:r>
      <w:proofErr w:type="spellEnd"/>
      <w:r w:rsidRPr="00580C0D">
        <w:t xml:space="preserve"> knytt til skredvarsling og skredkontroll </w:t>
      </w:r>
      <w:proofErr w:type="spellStart"/>
      <w:r w:rsidRPr="00580C0D">
        <w:t>saman</w:t>
      </w:r>
      <w:proofErr w:type="spellEnd"/>
      <w:r w:rsidRPr="00580C0D">
        <w:t xml:space="preserve"> med </w:t>
      </w:r>
      <w:proofErr w:type="spellStart"/>
      <w:r w:rsidRPr="00580C0D">
        <w:t>dei</w:t>
      </w:r>
      <w:proofErr w:type="spellEnd"/>
      <w:r w:rsidRPr="00580C0D">
        <w:t xml:space="preserve"> ulike </w:t>
      </w:r>
      <w:proofErr w:type="spellStart"/>
      <w:r w:rsidRPr="00580C0D">
        <w:t>vegeigarane</w:t>
      </w:r>
      <w:proofErr w:type="spellEnd"/>
      <w:r w:rsidRPr="00580C0D">
        <w:t xml:space="preserve">. Overfor </w:t>
      </w:r>
      <w:proofErr w:type="spellStart"/>
      <w:r w:rsidRPr="00580C0D">
        <w:t>fylkeskommunane</w:t>
      </w:r>
      <w:proofErr w:type="spellEnd"/>
      <w:r w:rsidRPr="00580C0D">
        <w:t xml:space="preserve"> og Nye Veier AS har Statens vegvesen ei </w:t>
      </w:r>
      <w:proofErr w:type="spellStart"/>
      <w:r w:rsidRPr="00580C0D">
        <w:t>førande</w:t>
      </w:r>
      <w:proofErr w:type="spellEnd"/>
      <w:r w:rsidRPr="00580C0D">
        <w:t xml:space="preserve"> og </w:t>
      </w:r>
      <w:proofErr w:type="spellStart"/>
      <w:r w:rsidRPr="00580C0D">
        <w:t>koordinerande</w:t>
      </w:r>
      <w:proofErr w:type="spellEnd"/>
      <w:r w:rsidRPr="00580C0D">
        <w:t xml:space="preserve"> rolle. Dette for å få så like aktive skredsikringstiltak som </w:t>
      </w:r>
      <w:proofErr w:type="spellStart"/>
      <w:r w:rsidRPr="00580C0D">
        <w:t>mogeleg</w:t>
      </w:r>
      <w:proofErr w:type="spellEnd"/>
      <w:r w:rsidRPr="00580C0D">
        <w:t xml:space="preserve"> og for å kunne utveksle erfaring og lære av </w:t>
      </w:r>
      <w:proofErr w:type="spellStart"/>
      <w:r w:rsidRPr="00580C0D">
        <w:t>kvarandre</w:t>
      </w:r>
      <w:proofErr w:type="spellEnd"/>
      <w:r w:rsidRPr="00580C0D">
        <w:t xml:space="preserve">. Bruk av teknologi for alternativ sikring (aktiv skredsikring) framfor større tiltak som </w:t>
      </w:r>
      <w:proofErr w:type="spellStart"/>
      <w:r w:rsidRPr="00580C0D">
        <w:t>tunnelar</w:t>
      </w:r>
      <w:proofErr w:type="spellEnd"/>
      <w:r w:rsidRPr="00580C0D">
        <w:t xml:space="preserve"> og skredoverbygg (passiv skredsikring) har </w:t>
      </w:r>
      <w:proofErr w:type="spellStart"/>
      <w:r w:rsidRPr="00580C0D">
        <w:t>auka</w:t>
      </w:r>
      <w:proofErr w:type="spellEnd"/>
      <w:r w:rsidRPr="00580C0D">
        <w:t xml:space="preserve"> </w:t>
      </w:r>
      <w:proofErr w:type="spellStart"/>
      <w:r w:rsidRPr="00580C0D">
        <w:t>dei</w:t>
      </w:r>
      <w:proofErr w:type="spellEnd"/>
      <w:r w:rsidRPr="00580C0D">
        <w:t xml:space="preserve"> siste åra. </w:t>
      </w:r>
      <w:proofErr w:type="spellStart"/>
      <w:r w:rsidRPr="00580C0D">
        <w:t>Førebyggjande</w:t>
      </w:r>
      <w:proofErr w:type="spellEnd"/>
      <w:r w:rsidRPr="00580C0D">
        <w:t xml:space="preserve"> skredkontroll inngår i Statens vegvesens arbeid med teknologiutvikling.</w:t>
      </w:r>
    </w:p>
    <w:p w14:paraId="598A2BE5" w14:textId="77777777" w:rsidR="00F7113A" w:rsidRPr="00580C0D" w:rsidRDefault="00142E5B" w:rsidP="00580C0D">
      <w:r w:rsidRPr="00580C0D">
        <w:t xml:space="preserve">Departementet vurderer at oppmodingsvedtaket er </w:t>
      </w:r>
      <w:proofErr w:type="spellStart"/>
      <w:r w:rsidRPr="00580C0D">
        <w:t>følgt</w:t>
      </w:r>
      <w:proofErr w:type="spellEnd"/>
      <w:r w:rsidRPr="00580C0D">
        <w:t xml:space="preserve"> opp.</w:t>
      </w:r>
    </w:p>
    <w:p w14:paraId="24C2E621" w14:textId="77777777" w:rsidR="00F7113A" w:rsidRPr="00580C0D" w:rsidRDefault="00142E5B" w:rsidP="00580C0D">
      <w:pPr>
        <w:pStyle w:val="avsnitt-tittel"/>
      </w:pPr>
      <w:proofErr w:type="spellStart"/>
      <w:r w:rsidRPr="00580C0D">
        <w:t>Insentivordning</w:t>
      </w:r>
      <w:proofErr w:type="spellEnd"/>
      <w:r w:rsidRPr="00580C0D">
        <w:t xml:space="preserve"> for </w:t>
      </w:r>
      <w:proofErr w:type="spellStart"/>
      <w:r w:rsidRPr="00580C0D">
        <w:t>førebyggjande</w:t>
      </w:r>
      <w:proofErr w:type="spellEnd"/>
      <w:r w:rsidRPr="00580C0D">
        <w:t xml:space="preserve"> skredkontrollanlegg og varslingssystem</w:t>
      </w:r>
    </w:p>
    <w:p w14:paraId="64035614" w14:textId="77777777" w:rsidR="00F7113A" w:rsidRPr="00580C0D" w:rsidRDefault="00142E5B" w:rsidP="00580C0D">
      <w:pPr>
        <w:pStyle w:val="avsnitt-undertittel"/>
      </w:pPr>
      <w:r w:rsidRPr="00580C0D">
        <w:t>Vedtak nr. 469, 5. april 2022</w:t>
      </w:r>
    </w:p>
    <w:p w14:paraId="6F0A3227" w14:textId="77777777" w:rsidR="00F7113A" w:rsidRPr="00580C0D" w:rsidRDefault="00142E5B" w:rsidP="00580C0D">
      <w:pPr>
        <w:pStyle w:val="blokksit"/>
        <w:rPr>
          <w:rStyle w:val="kursiv"/>
        </w:rPr>
      </w:pPr>
      <w:r w:rsidRPr="00580C0D">
        <w:rPr>
          <w:rStyle w:val="kursiv"/>
        </w:rPr>
        <w:t xml:space="preserve">«Stortinget ber regjeringen opprette en </w:t>
      </w:r>
      <w:proofErr w:type="spellStart"/>
      <w:r w:rsidRPr="00580C0D">
        <w:rPr>
          <w:rStyle w:val="kursiv"/>
        </w:rPr>
        <w:t>insentivordning</w:t>
      </w:r>
      <w:proofErr w:type="spellEnd"/>
      <w:r w:rsidRPr="00580C0D">
        <w:rPr>
          <w:rStyle w:val="kursiv"/>
        </w:rPr>
        <w:t xml:space="preserve"> for utredning, installering og drift av forebyggende skredkontrollanlegg og varslingssystemer.»</w:t>
      </w:r>
    </w:p>
    <w:p w14:paraId="7532E9CA" w14:textId="77777777" w:rsidR="00F7113A" w:rsidRPr="00580C0D" w:rsidRDefault="00142E5B" w:rsidP="00580C0D">
      <w:r w:rsidRPr="00580C0D">
        <w:t xml:space="preserve">Dokumentene som ligger til grunn for vedtaket, er representantforslag fra stortingsrepresentantene Liv Kari Eskeland, Helge Orten, Olve Grotle og Aleksander </w:t>
      </w:r>
      <w:proofErr w:type="spellStart"/>
      <w:r w:rsidRPr="00580C0D">
        <w:t>Stokkebø</w:t>
      </w:r>
      <w:proofErr w:type="spellEnd"/>
      <w:r w:rsidRPr="00580C0D">
        <w:t xml:space="preserve"> om </w:t>
      </w:r>
      <w:proofErr w:type="spellStart"/>
      <w:r w:rsidRPr="00580C0D">
        <w:t>auka</w:t>
      </w:r>
      <w:proofErr w:type="spellEnd"/>
      <w:r w:rsidRPr="00580C0D">
        <w:t xml:space="preserve"> </w:t>
      </w:r>
      <w:proofErr w:type="gramStart"/>
      <w:r w:rsidRPr="00580C0D">
        <w:t>fokus</w:t>
      </w:r>
      <w:proofErr w:type="gramEnd"/>
      <w:r w:rsidRPr="00580C0D">
        <w:t xml:space="preserve"> på og nye </w:t>
      </w:r>
      <w:proofErr w:type="spellStart"/>
      <w:r w:rsidRPr="00580C0D">
        <w:t>løysingar</w:t>
      </w:r>
      <w:proofErr w:type="spellEnd"/>
      <w:r w:rsidRPr="00580C0D">
        <w:t xml:space="preserve"> for rassikring av infrastruktur, jf. Dokument 8:91 S (2021–2022) og </w:t>
      </w:r>
      <w:proofErr w:type="spellStart"/>
      <w:r w:rsidRPr="00580C0D">
        <w:t>Innst</w:t>
      </w:r>
      <w:proofErr w:type="spellEnd"/>
      <w:r w:rsidRPr="00580C0D">
        <w:t>. 225 S (2021–2022).</w:t>
      </w:r>
    </w:p>
    <w:p w14:paraId="3D3FF2AE"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teknologisatsingen som Statens vegvesen gjennomfører, vil gi insentiv til å ta i bruk ny teknologi. Etaten har også årlige samlinger med fylkeskommunene og Nye Veier AS om skredsikring og deling av erfaringer samt delingsfora med fylkeskommunene om skreddeteksjon og skredkontroll. Departementet ba likevel Statens vegvesen i supplerende tildelingsbrev nr. 6 av 25. mai 2022 vurdere et innovasjonsprogram.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594DC045" w14:textId="77777777" w:rsidR="00F7113A" w:rsidRPr="00580C0D" w:rsidRDefault="00142E5B" w:rsidP="00580C0D">
      <w:r w:rsidRPr="00580C0D">
        <w:t xml:space="preserve">Statens vegvesen har opplyst at det allerede i dag pågår utredning, installering og drift av forebyggende skredkontrollanlegg og varslingssystemer. Etablering av aktiv skredsikring (gjennom bruk av teknologi) er en god </w:t>
      </w:r>
      <w:proofErr w:type="spellStart"/>
      <w:r w:rsidRPr="00580C0D">
        <w:t>insentivordning</w:t>
      </w:r>
      <w:proofErr w:type="spellEnd"/>
      <w:r w:rsidRPr="00580C0D">
        <w:t xml:space="preserve">, ved at veieierne kan unngå større kostnadskrevende investeringsprosjekter. Statens vegvesen har tett dialog med fylkeskommunenes fagfolk for mest mulig samkjøring og mest mulig ensartet vurdering av skredpunktene. Etaten vurderer at det ikke er hensiktsmessig å etablere noen </w:t>
      </w:r>
      <w:proofErr w:type="spellStart"/>
      <w:r w:rsidRPr="00580C0D">
        <w:t>insentivordning</w:t>
      </w:r>
      <w:proofErr w:type="spellEnd"/>
      <w:r w:rsidRPr="00580C0D">
        <w:t xml:space="preserve"> ut over det som eksisterer.</w:t>
      </w:r>
    </w:p>
    <w:p w14:paraId="16D606B6" w14:textId="77777777" w:rsidR="00F7113A" w:rsidRPr="00580C0D" w:rsidRDefault="00142E5B" w:rsidP="00580C0D">
      <w:r w:rsidRPr="00580C0D">
        <w:t xml:space="preserve">Samferdselsdepartementet er enig med Statens vegvesen i at det ikke er hensiktsmessig å etablere noen </w:t>
      </w:r>
      <w:proofErr w:type="spellStart"/>
      <w:r w:rsidRPr="00580C0D">
        <w:t>insentivordning</w:t>
      </w:r>
      <w:proofErr w:type="spellEnd"/>
      <w:r w:rsidRPr="00580C0D">
        <w:t>. Både staten og fylkeskommunene vil i utgangspunktet prioritere budsjettmidlene som settes av til skredsikring i tråd med den nasjonale gjennomføringsplanen for ras- og skredsikring av alle riks- og fylkesveier med høy og middels skredfaktor.</w:t>
      </w:r>
    </w:p>
    <w:p w14:paraId="2BCC4052" w14:textId="77777777" w:rsidR="00F7113A" w:rsidRPr="00580C0D" w:rsidRDefault="00142E5B" w:rsidP="00580C0D">
      <w:r w:rsidRPr="00580C0D">
        <w:t>Det vises også til omtale av anmodningsvedtak nr. 467 og 470 av 5. april 2022.</w:t>
      </w:r>
    </w:p>
    <w:p w14:paraId="55CC5936" w14:textId="77777777" w:rsidR="00F7113A" w:rsidRPr="00580C0D" w:rsidRDefault="00142E5B" w:rsidP="00580C0D">
      <w:r w:rsidRPr="00580C0D">
        <w:t>Samferdselsdepartementet vurderer at dette oppfyller intensjonen i anmodningsvedtaket.</w:t>
      </w:r>
    </w:p>
    <w:p w14:paraId="1B875B24" w14:textId="77777777" w:rsidR="00F7113A" w:rsidRPr="00580C0D" w:rsidRDefault="00142E5B" w:rsidP="00580C0D">
      <w:pPr>
        <w:pStyle w:val="avsnitt-tittel"/>
      </w:pPr>
      <w:proofErr w:type="spellStart"/>
      <w:r w:rsidRPr="00580C0D">
        <w:t>Heilskaplege</w:t>
      </w:r>
      <w:proofErr w:type="spellEnd"/>
      <w:r w:rsidRPr="00580C0D">
        <w:t xml:space="preserve"> nasjonale ras- og skredsikringsplanar for riks- og fylkesvegnettet</w:t>
      </w:r>
    </w:p>
    <w:p w14:paraId="32C0247C" w14:textId="77777777" w:rsidR="00F7113A" w:rsidRPr="00580C0D" w:rsidRDefault="00142E5B" w:rsidP="00580C0D">
      <w:pPr>
        <w:pStyle w:val="avsnitt-undertittel"/>
      </w:pPr>
      <w:r w:rsidRPr="00580C0D">
        <w:t>Vedtak nr. 470, 5. april 2022</w:t>
      </w:r>
    </w:p>
    <w:p w14:paraId="10446990" w14:textId="77777777" w:rsidR="00F7113A" w:rsidRPr="00580C0D" w:rsidRDefault="00142E5B" w:rsidP="00580C0D">
      <w:pPr>
        <w:pStyle w:val="blokksit"/>
        <w:rPr>
          <w:rStyle w:val="kursiv"/>
        </w:rPr>
      </w:pPr>
      <w:r w:rsidRPr="00580C0D">
        <w:rPr>
          <w:rStyle w:val="kursiv"/>
        </w:rPr>
        <w:t xml:space="preserve">«Stortinget ber regjeringa sette fortgang i arbeidet med å få utarbeidd </w:t>
      </w:r>
      <w:proofErr w:type="spellStart"/>
      <w:r w:rsidRPr="00580C0D">
        <w:rPr>
          <w:rStyle w:val="kursiv"/>
        </w:rPr>
        <w:t>heilskaplege</w:t>
      </w:r>
      <w:proofErr w:type="spellEnd"/>
      <w:r w:rsidRPr="00580C0D">
        <w:rPr>
          <w:rStyle w:val="kursiv"/>
        </w:rPr>
        <w:t xml:space="preserve"> nasjonale ras- og skredsikringsplanar som </w:t>
      </w:r>
      <w:proofErr w:type="spellStart"/>
      <w:r w:rsidRPr="00580C0D">
        <w:rPr>
          <w:rStyle w:val="kursiv"/>
        </w:rPr>
        <w:t>omfattar</w:t>
      </w:r>
      <w:proofErr w:type="spellEnd"/>
      <w:r w:rsidRPr="00580C0D">
        <w:rPr>
          <w:rStyle w:val="kursiv"/>
        </w:rPr>
        <w:t xml:space="preserve"> alle skredpunkt med høg og middels skredfare, både for riksvegnettet og for fylkesvegnettet. </w:t>
      </w:r>
      <w:proofErr w:type="spellStart"/>
      <w:r w:rsidRPr="00580C0D">
        <w:rPr>
          <w:rStyle w:val="kursiv"/>
        </w:rPr>
        <w:t>Planane</w:t>
      </w:r>
      <w:proofErr w:type="spellEnd"/>
      <w:r w:rsidRPr="00580C0D">
        <w:rPr>
          <w:rStyle w:val="kursiv"/>
        </w:rPr>
        <w:t xml:space="preserve"> skal </w:t>
      </w:r>
      <w:proofErr w:type="spellStart"/>
      <w:r w:rsidRPr="00580C0D">
        <w:rPr>
          <w:rStyle w:val="kursiv"/>
        </w:rPr>
        <w:t>vera</w:t>
      </w:r>
      <w:proofErr w:type="spellEnd"/>
      <w:r w:rsidRPr="00580C0D">
        <w:rPr>
          <w:rStyle w:val="kursiv"/>
        </w:rPr>
        <w:t xml:space="preserve"> ferdige før utgangen av 2023.»</w:t>
      </w:r>
    </w:p>
    <w:p w14:paraId="2B927BDA" w14:textId="77777777" w:rsidR="00F7113A" w:rsidRPr="00580C0D" w:rsidRDefault="00142E5B" w:rsidP="00580C0D">
      <w:r w:rsidRPr="00580C0D">
        <w:t xml:space="preserve">Dokumenta som ligg til grunn for vedtaket, er representantforslag </w:t>
      </w:r>
      <w:proofErr w:type="spellStart"/>
      <w:r w:rsidRPr="00580C0D">
        <w:t>frå</w:t>
      </w:r>
      <w:proofErr w:type="spellEnd"/>
      <w:r w:rsidRPr="00580C0D">
        <w:t xml:space="preserve"> </w:t>
      </w:r>
      <w:proofErr w:type="spellStart"/>
      <w:r w:rsidRPr="00580C0D">
        <w:t>stortingsrepresentantane</w:t>
      </w:r>
      <w:proofErr w:type="spellEnd"/>
      <w:r w:rsidRPr="00580C0D">
        <w:t xml:space="preserve"> Liv Kari Eskeland, Helge Orten, Olve Grotle og Aleksander </w:t>
      </w:r>
      <w:proofErr w:type="spellStart"/>
      <w:r w:rsidRPr="00580C0D">
        <w:t>Stokkebø</w:t>
      </w:r>
      <w:proofErr w:type="spellEnd"/>
      <w:r w:rsidRPr="00580C0D">
        <w:t xml:space="preserve"> om </w:t>
      </w:r>
      <w:proofErr w:type="spellStart"/>
      <w:r w:rsidRPr="00580C0D">
        <w:t>auka</w:t>
      </w:r>
      <w:proofErr w:type="spellEnd"/>
      <w:r w:rsidRPr="00580C0D">
        <w:t xml:space="preserve"> </w:t>
      </w:r>
      <w:proofErr w:type="gramStart"/>
      <w:r w:rsidRPr="00580C0D">
        <w:t>fokus</w:t>
      </w:r>
      <w:proofErr w:type="gramEnd"/>
      <w:r w:rsidRPr="00580C0D">
        <w:t xml:space="preserve"> på og nye </w:t>
      </w:r>
      <w:proofErr w:type="spellStart"/>
      <w:r w:rsidRPr="00580C0D">
        <w:t>løysingar</w:t>
      </w:r>
      <w:proofErr w:type="spellEnd"/>
      <w:r w:rsidRPr="00580C0D">
        <w:t xml:space="preserve"> for rassikring av infrastruktur, jf. Dokument 8:91 S (2021–2022) og </w:t>
      </w:r>
      <w:proofErr w:type="spellStart"/>
      <w:r w:rsidRPr="00580C0D">
        <w:t>Innst</w:t>
      </w:r>
      <w:proofErr w:type="spellEnd"/>
      <w:r w:rsidRPr="00580C0D">
        <w:t>. 225 S (2021–2022).</w:t>
      </w:r>
    </w:p>
    <w:p w14:paraId="2DA61910" w14:textId="77777777" w:rsidR="00F7113A" w:rsidRPr="00580C0D" w:rsidRDefault="00142E5B" w:rsidP="00580C0D">
      <w:r w:rsidRPr="00580C0D">
        <w:t xml:space="preserve">I </w:t>
      </w:r>
      <w:proofErr w:type="spellStart"/>
      <w:r w:rsidRPr="00580C0D">
        <w:t>Prop</w:t>
      </w:r>
      <w:proofErr w:type="spellEnd"/>
      <w:r w:rsidRPr="00580C0D">
        <w:t xml:space="preserve">. 1 S (2022–2023) for Samferdselsdepartementet opplyste departementet at det i </w:t>
      </w:r>
      <w:proofErr w:type="spellStart"/>
      <w:r w:rsidRPr="00580C0D">
        <w:t>supplerande</w:t>
      </w:r>
      <w:proofErr w:type="spellEnd"/>
      <w:r w:rsidRPr="00580C0D">
        <w:t xml:space="preserve"> tildelingsbrev nr. 6 til Statens vegvesen av 25. mai 2022 bad Statens vegvesen starte opp arbeidet med å koordinere </w:t>
      </w:r>
      <w:proofErr w:type="spellStart"/>
      <w:r w:rsidRPr="00580C0D">
        <w:t>samanstillinga</w:t>
      </w:r>
      <w:proofErr w:type="spellEnd"/>
      <w:r w:rsidRPr="00580C0D">
        <w:t xml:space="preserve"> av </w:t>
      </w:r>
      <w:proofErr w:type="spellStart"/>
      <w:r w:rsidRPr="00580C0D">
        <w:t>ein</w:t>
      </w:r>
      <w:proofErr w:type="spellEnd"/>
      <w:r w:rsidRPr="00580C0D">
        <w:t xml:space="preserve"> gjennomføringsplan for ras- og skredsikring på fylkesveg basert på Statens vegvesens </w:t>
      </w:r>
      <w:proofErr w:type="spellStart"/>
      <w:r w:rsidRPr="00580C0D">
        <w:t>eksisterande</w:t>
      </w:r>
      <w:proofErr w:type="spellEnd"/>
      <w:r w:rsidRPr="00580C0D">
        <w:t xml:space="preserve"> planar, og at dette blei gjort i tråd med Stortingets oppmodingsvedtak nr. 466 og 467. Ved </w:t>
      </w:r>
      <w:proofErr w:type="spellStart"/>
      <w:r w:rsidRPr="00580C0D">
        <w:t>behandlinga</w:t>
      </w:r>
      <w:proofErr w:type="spellEnd"/>
      <w:r w:rsidRPr="00580C0D">
        <w:t xml:space="preserve"> av oppmodingsvedtaka tok kontroll- og konstitusjonskomiteen regjeringa si oppfølging eller planar om oppfølging til etterretning, jf. </w:t>
      </w:r>
      <w:proofErr w:type="spellStart"/>
      <w:r w:rsidRPr="00580C0D">
        <w:t>Innst</w:t>
      </w:r>
      <w:proofErr w:type="spellEnd"/>
      <w:r w:rsidRPr="00580C0D">
        <w:t>. 186 S (2022–2023).</w:t>
      </w:r>
    </w:p>
    <w:p w14:paraId="581C3D7F" w14:textId="77777777" w:rsidR="00F7113A" w:rsidRPr="00580C0D" w:rsidRDefault="00142E5B" w:rsidP="00580C0D">
      <w:r w:rsidRPr="00580C0D">
        <w:t>Samferdselsdepartementet har bedt Statens vegvesen levere oppdatert kartlegging til arbeidet med Nasjonal transportplan 2025–2036. Dette blir etter planen levert høsten 2023.</w:t>
      </w:r>
    </w:p>
    <w:p w14:paraId="4E70244D" w14:textId="77777777" w:rsidR="00F7113A" w:rsidRPr="00580C0D" w:rsidRDefault="00142E5B" w:rsidP="00580C0D">
      <w:r w:rsidRPr="00580C0D">
        <w:t xml:space="preserve">Departementet vil </w:t>
      </w:r>
      <w:proofErr w:type="spellStart"/>
      <w:r w:rsidRPr="00580C0D">
        <w:t>kome</w:t>
      </w:r>
      <w:proofErr w:type="spellEnd"/>
      <w:r w:rsidRPr="00580C0D">
        <w:t xml:space="preserve"> tilbake til saken på eigna måte.</w:t>
      </w:r>
    </w:p>
    <w:p w14:paraId="3F2D7EC8" w14:textId="77777777" w:rsidR="00F7113A" w:rsidRPr="00580C0D" w:rsidRDefault="00142E5B" w:rsidP="00580C0D">
      <w:pPr>
        <w:pStyle w:val="avsnitt-tittel"/>
      </w:pPr>
      <w:r w:rsidRPr="00580C0D">
        <w:t xml:space="preserve">Låg- og nullutsleppsteknologi i </w:t>
      </w:r>
      <w:proofErr w:type="spellStart"/>
      <w:r w:rsidRPr="00580C0D">
        <w:t>anboda</w:t>
      </w:r>
      <w:proofErr w:type="spellEnd"/>
      <w:r w:rsidRPr="00580C0D">
        <w:t xml:space="preserve"> på kortbanenettet</w:t>
      </w:r>
    </w:p>
    <w:p w14:paraId="4F658C35" w14:textId="77777777" w:rsidR="00F7113A" w:rsidRPr="00580C0D" w:rsidRDefault="00142E5B" w:rsidP="00580C0D">
      <w:pPr>
        <w:pStyle w:val="avsnitt-undertittel"/>
      </w:pPr>
      <w:r w:rsidRPr="00580C0D">
        <w:t>Vedtak nr. 541, 5. mai 2022</w:t>
      </w:r>
    </w:p>
    <w:p w14:paraId="05C0A706" w14:textId="77777777" w:rsidR="00F7113A" w:rsidRPr="00580C0D" w:rsidRDefault="00142E5B" w:rsidP="00580C0D">
      <w:pPr>
        <w:pStyle w:val="blokksit"/>
        <w:rPr>
          <w:rStyle w:val="kursiv"/>
        </w:rPr>
      </w:pPr>
      <w:r w:rsidRPr="00580C0D">
        <w:rPr>
          <w:rStyle w:val="kursiv"/>
        </w:rPr>
        <w:t>«Stortinget ber regjeringen sørge for at det stilles krav i anbudene om bruk av lav- og nullutslippsteknologi på kortbanenettet så snart det er teknologisk mulig.»</w:t>
      </w:r>
    </w:p>
    <w:p w14:paraId="4AD43585" w14:textId="77777777" w:rsidR="00F7113A" w:rsidRPr="00580C0D" w:rsidRDefault="00142E5B" w:rsidP="00580C0D">
      <w:r w:rsidRPr="00580C0D">
        <w:t xml:space="preserve">Dokumentene som ligger til grunn for vedtaket, er representantforslag fra stortingsrepresentantene Trond Helleland, Liv Kari Eskeland, Erlend Larsen, Erlend Svardal Bøe, Bård Ludvig </w:t>
      </w:r>
      <w:proofErr w:type="spellStart"/>
      <w:r w:rsidRPr="00580C0D">
        <w:t>Thorheim</w:t>
      </w:r>
      <w:proofErr w:type="spellEnd"/>
      <w:r w:rsidRPr="00580C0D">
        <w:t xml:space="preserve"> og Aleksander </w:t>
      </w:r>
      <w:proofErr w:type="spellStart"/>
      <w:r w:rsidRPr="00580C0D">
        <w:t>Stokkebø</w:t>
      </w:r>
      <w:proofErr w:type="spellEnd"/>
      <w:r w:rsidRPr="00580C0D">
        <w:t xml:space="preserve"> om et grønt luftfartsprogram for å legge til rette for utvikling, testing og implementering av null- og lavutslippsteknologi for luftfart i Norge, Jf. Dokument 8:107 S (2021–2022) og </w:t>
      </w:r>
      <w:proofErr w:type="spellStart"/>
      <w:r w:rsidRPr="00580C0D">
        <w:t>Innst</w:t>
      </w:r>
      <w:proofErr w:type="spellEnd"/>
      <w:r w:rsidRPr="00580C0D">
        <w:t>. 267 S (2021–2022).</w:t>
      </w:r>
    </w:p>
    <w:p w14:paraId="4A160CD4"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i anskaffelsen for kontrakter med oppstart 1. april 2024 er muligheten for å ta større grep begrenset, men at departementet ville vurdere om det var klima- og miljøhensyn som kunne tas inn. En større innfasing av null- og </w:t>
      </w:r>
      <w:proofErr w:type="spellStart"/>
      <w:r w:rsidRPr="00580C0D">
        <w:t>lavutslippsfly</w:t>
      </w:r>
      <w:proofErr w:type="spellEnd"/>
      <w:r w:rsidRPr="00580C0D">
        <w:t xml:space="preserve"> vil trolig først være mulig i anskaffelsene for FOT-ruter i Sør-Norge og Nord-Norge med antatt avtaleoppstart i henholdsvis 2028 og 2029. Videre opplyste departementet at regjeringen ville komme tilbake til problemstillingen om bruk av flyruteanskaffelsene som virkemiddel for innfasing av null- og lavutslippsteknologi, i stortingsmeldingen om en nasjonal luftfartsstrategi. Ved behandlingen av Meld. St. 4 (2022–2023) </w:t>
      </w:r>
      <w:r w:rsidRPr="00580C0D">
        <w:rPr>
          <w:rStyle w:val="kursiv"/>
        </w:rPr>
        <w:t>Anmodnings- og utredningsvedtak i stortingssesjonen 2021–2022</w:t>
      </w:r>
      <w:r w:rsidRPr="00580C0D">
        <w:t xml:space="preserve">, jf. </w:t>
      </w:r>
      <w:proofErr w:type="spellStart"/>
      <w:r w:rsidRPr="00580C0D">
        <w:t>Innst</w:t>
      </w:r>
      <w:proofErr w:type="spellEnd"/>
      <w:r w:rsidRPr="00580C0D">
        <w:t>. 186 S (2022–2023), uttalte kontroll- og konstitusjonskomiteen:</w:t>
      </w:r>
    </w:p>
    <w:p w14:paraId="4AF6EEDE" w14:textId="77777777" w:rsidR="00F7113A" w:rsidRPr="00580C0D" w:rsidRDefault="00142E5B" w:rsidP="00580C0D">
      <w:pPr>
        <w:pStyle w:val="blokksit"/>
      </w:pPr>
      <w:r w:rsidRPr="00580C0D">
        <w:t>«</w:t>
      </w:r>
      <w:r w:rsidRPr="00580C0D">
        <w:rPr>
          <w:rStyle w:val="sperret0"/>
        </w:rPr>
        <w:t xml:space="preserve">Komiteen </w:t>
      </w:r>
      <w:r w:rsidRPr="00580C0D">
        <w:t xml:space="preserve">viser til at vedtaket forutsetter at regjeringen skal stille ovennevnte krav så snart det er teknologisk mulig. Ettersom regjeringen skriver at dette per nå ikke er mulig å gjøre, mener </w:t>
      </w:r>
      <w:r w:rsidRPr="00580C0D">
        <w:rPr>
          <w:rStyle w:val="sperret0"/>
        </w:rPr>
        <w:t xml:space="preserve">komiteen </w:t>
      </w:r>
      <w:r w:rsidRPr="00580C0D">
        <w:t xml:space="preserve">at vedtaket ikke kan </w:t>
      </w:r>
      <w:proofErr w:type="spellStart"/>
      <w:r w:rsidRPr="00580C0D">
        <w:t>utkvitteres</w:t>
      </w:r>
      <w:proofErr w:type="spellEnd"/>
      <w:r w:rsidRPr="00580C0D">
        <w:t>, og at rapporteringen ikke kan opphøre før regjeringen har kommet tilbake til dette når det er teknologisk mulig.»</w:t>
      </w:r>
    </w:p>
    <w:p w14:paraId="7E3689EB" w14:textId="77777777" w:rsidR="00F7113A" w:rsidRPr="00580C0D" w:rsidRDefault="00142E5B" w:rsidP="00580C0D">
      <w:r w:rsidRPr="00580C0D">
        <w:t xml:space="preserve">Regjeringen har i Meld. St. 10 (2022–2023) </w:t>
      </w:r>
      <w:r w:rsidRPr="00580C0D">
        <w:rPr>
          <w:rStyle w:val="kursiv"/>
        </w:rPr>
        <w:t xml:space="preserve">Bærekraftig og sikker luftfart — Nasjonal luftfartsstrategi </w:t>
      </w:r>
      <w:r w:rsidRPr="00580C0D">
        <w:t>satt flere mål knyttet til innfasing av null- og lavutslippsløsninger i norsk luftfart, inkl. på rutene omfattet av ordningen med statlig kjøp (FOT-rutene).</w:t>
      </w:r>
    </w:p>
    <w:p w14:paraId="0D560352" w14:textId="77777777" w:rsidR="00F7113A" w:rsidRPr="00580C0D" w:rsidRDefault="00142E5B" w:rsidP="00580C0D">
      <w:r w:rsidRPr="00580C0D">
        <w:t>Før utlysningen av FOT-anskaffelsene med avtaleoppstart 1. april 2024, og for helikopterruten Værøy–Bodø med avtaleoppstart 1. august 2024, ble det gjennomført en ekstern transportfaglig utredning der klima- og miljø var et sentralt tema. Dette sammen, med regjeringens egne vurderinger, lå til grunn for at det i de nevnte utlysningene for første gang ble tatt inn krav og omtale av klima/miljø i konkurransegrunnlag og kontrakt, se nærmere omtale av de konkrete tiltakene under anmodningsvedtak nr. 96 av 1. desember 2022. Vurderinger av mulighetene for å innfase null- og lavutslippsløsninger vil også være en viktig del av arbeidet med de fremtidige FOT-anskaffelsene med avtaleoppstart 1. november 2027/2028, men det understrekes at det er betydelig usikkerhet knyttet til tempoet i innfasingen av ny teknologi i større skala.</w:t>
      </w:r>
    </w:p>
    <w:p w14:paraId="37CA1983" w14:textId="77777777" w:rsidR="00F7113A" w:rsidRPr="00580C0D" w:rsidRDefault="00142E5B" w:rsidP="00580C0D">
      <w:r w:rsidRPr="00580C0D">
        <w:t>Samferdselsdepartementet anser med dette anmodningsvedtaket som fulgt opp.</w:t>
      </w:r>
    </w:p>
    <w:p w14:paraId="5F417D52" w14:textId="77777777" w:rsidR="00F7113A" w:rsidRPr="00580C0D" w:rsidRDefault="00142E5B" w:rsidP="00580C0D">
      <w:pPr>
        <w:pStyle w:val="avsnitt-tittel"/>
      </w:pPr>
      <w:r w:rsidRPr="00580C0D">
        <w:t xml:space="preserve">Foreslå </w:t>
      </w:r>
      <w:proofErr w:type="spellStart"/>
      <w:r w:rsidRPr="00580C0D">
        <w:t>verkemiddel</w:t>
      </w:r>
      <w:proofErr w:type="spellEnd"/>
      <w:r w:rsidRPr="00580C0D">
        <w:t xml:space="preserve"> for å redusere utsleppa </w:t>
      </w:r>
      <w:proofErr w:type="spellStart"/>
      <w:r w:rsidRPr="00580C0D">
        <w:t>frå</w:t>
      </w:r>
      <w:proofErr w:type="spellEnd"/>
      <w:r w:rsidRPr="00580C0D">
        <w:t xml:space="preserve"> luftfarten</w:t>
      </w:r>
    </w:p>
    <w:p w14:paraId="6E719E9C" w14:textId="77777777" w:rsidR="00F7113A" w:rsidRPr="00580C0D" w:rsidRDefault="00142E5B" w:rsidP="00580C0D">
      <w:pPr>
        <w:pStyle w:val="avsnitt-undertittel"/>
      </w:pPr>
      <w:r w:rsidRPr="00580C0D">
        <w:t>Vedtak nr. 542, 5. mai 2022</w:t>
      </w:r>
    </w:p>
    <w:p w14:paraId="17DEAF20" w14:textId="77777777" w:rsidR="00F7113A" w:rsidRPr="00580C0D" w:rsidRDefault="00142E5B" w:rsidP="00580C0D">
      <w:pPr>
        <w:pStyle w:val="blokksit"/>
        <w:rPr>
          <w:rStyle w:val="kursiv"/>
        </w:rPr>
      </w:pPr>
      <w:r w:rsidRPr="00580C0D">
        <w:rPr>
          <w:rStyle w:val="kursiv"/>
        </w:rPr>
        <w:t>«Stortinget ber regjeringen utrede flere virkemidler for å redusere utslippene fra innenriks og utenriks luftfart og komme tilbake til Stortinget med forslag til virkemidler i forbindelse med luftfartsstrategien.»</w:t>
      </w:r>
    </w:p>
    <w:p w14:paraId="54F11A31" w14:textId="77777777" w:rsidR="00F7113A" w:rsidRPr="00580C0D" w:rsidRDefault="00142E5B" w:rsidP="00580C0D">
      <w:r w:rsidRPr="00580C0D">
        <w:t xml:space="preserve">Dokumentene som ligger til grunn for vedtaket, er representantforslag fra stortingsrepresentantene Trond Helleland, Liv Kari Eskeland, Erlend Larsen, Erlend Svardal Bøe, Bård Ludvig </w:t>
      </w:r>
      <w:proofErr w:type="spellStart"/>
      <w:r w:rsidRPr="00580C0D">
        <w:t>Thorheim</w:t>
      </w:r>
      <w:proofErr w:type="spellEnd"/>
      <w:r w:rsidRPr="00580C0D">
        <w:t xml:space="preserve"> og Aleksander </w:t>
      </w:r>
      <w:proofErr w:type="spellStart"/>
      <w:r w:rsidRPr="00580C0D">
        <w:t>Stokkebø</w:t>
      </w:r>
      <w:proofErr w:type="spellEnd"/>
      <w:r w:rsidRPr="00580C0D">
        <w:t xml:space="preserve"> om et grønt </w:t>
      </w:r>
      <w:proofErr w:type="spellStart"/>
      <w:r w:rsidRPr="00580C0D">
        <w:t>luftfartsprogam</w:t>
      </w:r>
      <w:proofErr w:type="spellEnd"/>
      <w:r w:rsidRPr="00580C0D">
        <w:t xml:space="preserve"> for å legge til rette for utvikling, testing og implementering av null- og lavutslippsteknologi for luftfart i Norge, jf. Dokument 8:107 S (2021–2022) og </w:t>
      </w:r>
      <w:proofErr w:type="spellStart"/>
      <w:r w:rsidRPr="00580C0D">
        <w:t>Innst</w:t>
      </w:r>
      <w:proofErr w:type="spellEnd"/>
      <w:r w:rsidRPr="00580C0D">
        <w:t>. 267 S (2021–2022).</w:t>
      </w:r>
    </w:p>
    <w:p w14:paraId="4086B326" w14:textId="77777777" w:rsidR="00F7113A" w:rsidRPr="00580C0D" w:rsidRDefault="00142E5B" w:rsidP="00580C0D">
      <w:r w:rsidRPr="00580C0D">
        <w:t xml:space="preserve">I </w:t>
      </w:r>
      <w:proofErr w:type="spellStart"/>
      <w:r w:rsidRPr="00580C0D">
        <w:t>Prop</w:t>
      </w:r>
      <w:proofErr w:type="spellEnd"/>
      <w:r w:rsidRPr="00580C0D">
        <w:t>. 1 S (2022–2023) opplyste Samferdselsdepartementet at ulike virkemidler/tiltak for å redusere utslippene fra luftfarten ville bli redegjort for i stortingsmeldingen om en nasjonal luftfartsstrategi.</w:t>
      </w:r>
    </w:p>
    <w:p w14:paraId="0A93A17C" w14:textId="77777777" w:rsidR="00F7113A" w:rsidRPr="00580C0D" w:rsidRDefault="00142E5B" w:rsidP="00580C0D">
      <w:r w:rsidRPr="00580C0D">
        <w:t xml:space="preserve">Regjeringen redegjorde i Meld. St. 10 (2022–2023) </w:t>
      </w:r>
      <w:r w:rsidRPr="00580C0D">
        <w:rPr>
          <w:rStyle w:val="kursiv"/>
        </w:rPr>
        <w:t xml:space="preserve">Bærekraftig og sikker luftfart — Nasjonal luftfartsstrategi </w:t>
      </w:r>
      <w:r w:rsidRPr="00580C0D">
        <w:t xml:space="preserve">for en rekke virkemidler for å redusere utslippene fra innenriks og utenriks luftfart, herunder innfasing av null- og </w:t>
      </w:r>
      <w:proofErr w:type="spellStart"/>
      <w:r w:rsidRPr="00580C0D">
        <w:t>lavutslippsfly</w:t>
      </w:r>
      <w:proofErr w:type="spellEnd"/>
      <w:r w:rsidRPr="00580C0D">
        <w:t xml:space="preserve"> i norsk luftfart, omsetningskrav for avansert biodrivstoff, deltakelse i EUs kvotesystem og internasjonalt samarbeid.</w:t>
      </w:r>
    </w:p>
    <w:p w14:paraId="5CA6BC01" w14:textId="77777777" w:rsidR="00F7113A" w:rsidRPr="00580C0D" w:rsidRDefault="00142E5B" w:rsidP="00580C0D">
      <w:r w:rsidRPr="00580C0D">
        <w:t>Samferdselsdepartementet anser derfor anmodningsvedtaket som fulgt opp.</w:t>
      </w:r>
    </w:p>
    <w:p w14:paraId="038767C8" w14:textId="77777777" w:rsidR="00F7113A" w:rsidRPr="00580C0D" w:rsidRDefault="00142E5B" w:rsidP="00580C0D">
      <w:pPr>
        <w:pStyle w:val="avsnitt-tittel"/>
      </w:pPr>
      <w:r w:rsidRPr="00580C0D">
        <w:t>Senter for klimanøytral regional luftfart</w:t>
      </w:r>
    </w:p>
    <w:p w14:paraId="7CA508F8" w14:textId="77777777" w:rsidR="00F7113A" w:rsidRPr="00580C0D" w:rsidRDefault="00142E5B" w:rsidP="00580C0D">
      <w:pPr>
        <w:pStyle w:val="avsnitt-undertittel"/>
      </w:pPr>
      <w:r w:rsidRPr="00580C0D">
        <w:t>Vedtak nr. 543, 5. mai 2022</w:t>
      </w:r>
    </w:p>
    <w:p w14:paraId="6255FD77" w14:textId="77777777" w:rsidR="00F7113A" w:rsidRPr="00580C0D" w:rsidRDefault="00142E5B" w:rsidP="00580C0D">
      <w:pPr>
        <w:pStyle w:val="blokksit"/>
        <w:rPr>
          <w:rStyle w:val="kursiv"/>
        </w:rPr>
      </w:pPr>
      <w:r w:rsidRPr="00580C0D">
        <w:rPr>
          <w:rStyle w:val="kursiv"/>
        </w:rPr>
        <w:t>«Stortinget ber regjeringen støtte etablering av sentrale forsknings- og utviklingsfunksjoner via et eget senter for klimanøytral regional luftfart i Norge.»</w:t>
      </w:r>
    </w:p>
    <w:p w14:paraId="17E9A350" w14:textId="77777777" w:rsidR="00F7113A" w:rsidRPr="00580C0D" w:rsidRDefault="00142E5B" w:rsidP="00580C0D">
      <w:r w:rsidRPr="00580C0D">
        <w:t xml:space="preserve">Dokumentene som ligger til grunn for vedtaket er representantforslag fra stortingsrepresentantene Trond Helleland, Liv Kari Eskeland, Erlend Larsen, Erlend Svardal Bøe, Bård Ludvig </w:t>
      </w:r>
      <w:proofErr w:type="spellStart"/>
      <w:r w:rsidRPr="00580C0D">
        <w:t>Thorheim</w:t>
      </w:r>
      <w:proofErr w:type="spellEnd"/>
      <w:r w:rsidRPr="00580C0D">
        <w:t xml:space="preserve"> og Aleksander </w:t>
      </w:r>
      <w:proofErr w:type="spellStart"/>
      <w:r w:rsidRPr="00580C0D">
        <w:t>Stokkebø</w:t>
      </w:r>
      <w:proofErr w:type="spellEnd"/>
      <w:r w:rsidRPr="00580C0D">
        <w:t xml:space="preserve"> om et grønt luftfartsprogram for å legge til rette for utvikling, testing og implementering av null- og lavutslippsteknologi for luftfart i Norge, jf. Dokument 8:107 S (2021–2022) og </w:t>
      </w:r>
      <w:proofErr w:type="spellStart"/>
      <w:r w:rsidRPr="00580C0D">
        <w:t>Innst</w:t>
      </w:r>
      <w:proofErr w:type="spellEnd"/>
      <w:r w:rsidRPr="00580C0D">
        <w:t>. 267 S (2021–2022).</w:t>
      </w:r>
    </w:p>
    <w:p w14:paraId="792AE8CF" w14:textId="77777777" w:rsidR="00F7113A" w:rsidRPr="00580C0D" w:rsidRDefault="00142E5B" w:rsidP="00580C0D">
      <w:r w:rsidRPr="00580C0D">
        <w:t xml:space="preserve">Samferdselsdepartementet opplyste i </w:t>
      </w:r>
      <w:proofErr w:type="spellStart"/>
      <w:r w:rsidRPr="00580C0D">
        <w:t>Prop</w:t>
      </w:r>
      <w:proofErr w:type="spellEnd"/>
      <w:r w:rsidRPr="00580C0D">
        <w:t>. 1 S (2022–2023) at vedtaket må ses i sammenheng med øvrige virkemidler/tiltak for å redusere utslippene fra luftfarten jf. vedtak nr. 542 av 5. mai 2022, og at saken ville omtales i stortingsmeldingen om en nasjonal luftfartsstrategi.</w:t>
      </w:r>
    </w:p>
    <w:p w14:paraId="7E32489A" w14:textId="77777777" w:rsidR="00F7113A" w:rsidRPr="00580C0D" w:rsidRDefault="00142E5B" w:rsidP="00580C0D">
      <w:r w:rsidRPr="00580C0D">
        <w:t xml:space="preserve">Regjeringen uttalte i Meld. St. 10 (2022–2023) </w:t>
      </w:r>
      <w:r w:rsidRPr="00580C0D">
        <w:rPr>
          <w:rStyle w:val="kursiv"/>
        </w:rPr>
        <w:t>Bærekraftig og sikker luftfart — Nasjonal luftfartsstrategi</w:t>
      </w:r>
      <w:r w:rsidRPr="00580C0D">
        <w:t xml:space="preserve"> at den vil støtte opp om programmet </w:t>
      </w:r>
      <w:r w:rsidRPr="00580C0D">
        <w:rPr>
          <w:rStyle w:val="kursiv"/>
        </w:rPr>
        <w:t>Grønn luftfart</w:t>
      </w:r>
      <w:r w:rsidRPr="00580C0D">
        <w:t>, iverksatt av Luftfartstilsynet, Avinor, Sintef og Norsk Industri. For å skape tettere kontakt og synliggjøre mulighetene for støtte gjennom det eksisterende virkemiddelapparatet vil Samferdselsdepartementet videre opprette en veiledningsfunksjon i Luftfartstilsynet for næringsaktører i luftfarten.</w:t>
      </w:r>
    </w:p>
    <w:p w14:paraId="6A184270" w14:textId="77777777" w:rsidR="00F7113A" w:rsidRPr="00580C0D" w:rsidRDefault="00142E5B" w:rsidP="00580C0D">
      <w:r w:rsidRPr="00580C0D">
        <w:t>Departementet anser med dette anmodningsvedtaket som fulgt opp.</w:t>
      </w:r>
    </w:p>
    <w:p w14:paraId="3FB9C4B0" w14:textId="77777777" w:rsidR="00F7113A" w:rsidRPr="00580C0D" w:rsidRDefault="00142E5B" w:rsidP="00580C0D">
      <w:pPr>
        <w:pStyle w:val="avsnitt-tittel"/>
      </w:pPr>
      <w:r w:rsidRPr="00580C0D">
        <w:t xml:space="preserve">Framdriftsplan for å få </w:t>
      </w:r>
      <w:proofErr w:type="spellStart"/>
      <w:r w:rsidRPr="00580C0D">
        <w:t>dieseldrivne</w:t>
      </w:r>
      <w:proofErr w:type="spellEnd"/>
      <w:r w:rsidRPr="00580C0D">
        <w:t xml:space="preserve"> </w:t>
      </w:r>
      <w:proofErr w:type="spellStart"/>
      <w:r w:rsidRPr="00580C0D">
        <w:t>jernbanestrekningar</w:t>
      </w:r>
      <w:proofErr w:type="spellEnd"/>
      <w:r w:rsidRPr="00580C0D">
        <w:t xml:space="preserve"> over på nullutsleppsteknologi</w:t>
      </w:r>
    </w:p>
    <w:p w14:paraId="54BB7365" w14:textId="77777777" w:rsidR="00F7113A" w:rsidRPr="00580C0D" w:rsidRDefault="00142E5B" w:rsidP="00580C0D">
      <w:pPr>
        <w:pStyle w:val="avsnitt-undertittel"/>
      </w:pPr>
      <w:r w:rsidRPr="00580C0D">
        <w:t>Vedtak nr. 553, 10. mai 2022</w:t>
      </w:r>
    </w:p>
    <w:p w14:paraId="3646D344" w14:textId="77777777" w:rsidR="00F7113A" w:rsidRPr="00580C0D" w:rsidRDefault="00142E5B" w:rsidP="00580C0D">
      <w:pPr>
        <w:pStyle w:val="blokksit"/>
        <w:rPr>
          <w:rStyle w:val="kursiv"/>
        </w:rPr>
      </w:pPr>
      <w:r w:rsidRPr="00580C0D">
        <w:rPr>
          <w:rStyle w:val="kursiv"/>
        </w:rPr>
        <w:t>«Stortinget ber regjeringen legge frem en tidfestet fremdriftsplan for å få de gjenværende dieseldrevne jernbanestrekninger over på nullutslippsteknologi.»</w:t>
      </w:r>
    </w:p>
    <w:p w14:paraId="5623AEEB" w14:textId="77777777" w:rsidR="00F7113A" w:rsidRPr="00580C0D" w:rsidRDefault="00142E5B" w:rsidP="00580C0D">
      <w:r w:rsidRPr="00580C0D">
        <w:t xml:space="preserve">Dokumentene som ligger til grunn for vedtaket, er representantforslag fra stortingsrepresentantene Liv Kari Eskeland, Trond Helleland, Nikolai Astrup, Helge Orten og Svein </w:t>
      </w:r>
      <w:proofErr w:type="spellStart"/>
      <w:r w:rsidRPr="00580C0D">
        <w:t>Harberg</w:t>
      </w:r>
      <w:proofErr w:type="spellEnd"/>
      <w:r w:rsidRPr="00580C0D">
        <w:t xml:space="preserve"> om satsing på hydrogen som </w:t>
      </w:r>
      <w:proofErr w:type="spellStart"/>
      <w:r w:rsidRPr="00580C0D">
        <w:t>energiberar</w:t>
      </w:r>
      <w:proofErr w:type="spellEnd"/>
      <w:r w:rsidRPr="00580C0D">
        <w:t xml:space="preserve"> for tog, jf. Dokument 8:129 S (2021–2022) og </w:t>
      </w:r>
      <w:proofErr w:type="spellStart"/>
      <w:r w:rsidRPr="00580C0D">
        <w:t>Innst</w:t>
      </w:r>
      <w:proofErr w:type="spellEnd"/>
      <w:r w:rsidRPr="00580C0D">
        <w:t>. 280 S (2021–2022).</w:t>
      </w:r>
    </w:p>
    <w:p w14:paraId="31FA57B2"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når konseptvalgutredningen for reduserte utslipp av klimagasser fra jernbanen er ferdig innen midten av september 2023, ville vi ha grunnlag for å kunne utarbeide en plan for jernbanestrekningene.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6C0317D6" w14:textId="77777777" w:rsidR="00F7113A" w:rsidRPr="00580C0D" w:rsidRDefault="00142E5B" w:rsidP="00580C0D">
      <w:r w:rsidRPr="00580C0D">
        <w:t>Utredningen ble levert i midten av september, og Samferdselsdepartementet vil sette i gang en kvalitetssikring av konseptvalget (KS 1) for reduserte utslipp av klimagasser fra jernbanen (KVU GREEN), jf. omtale av vedtak nr. 709 av 10. juni 2022.</w:t>
      </w:r>
    </w:p>
    <w:p w14:paraId="4DB65438" w14:textId="77777777" w:rsidR="00F7113A" w:rsidRPr="00580C0D" w:rsidRDefault="00142E5B" w:rsidP="00580C0D">
      <w:r w:rsidRPr="00580C0D">
        <w:t>Departementet vil komme tilbake til Stortinget på egnet måte.</w:t>
      </w:r>
    </w:p>
    <w:p w14:paraId="66C9BC56" w14:textId="77777777" w:rsidR="00F7113A" w:rsidRPr="00580C0D" w:rsidRDefault="00142E5B" w:rsidP="00580C0D">
      <w:pPr>
        <w:pStyle w:val="avsnitt-tittel"/>
      </w:pPr>
      <w:r w:rsidRPr="00580C0D">
        <w:t xml:space="preserve">Forsøksprosjekt med nullutsleppsteknologi på dieselbaserte </w:t>
      </w:r>
      <w:proofErr w:type="spellStart"/>
      <w:r w:rsidRPr="00580C0D">
        <w:t>banestrekningar</w:t>
      </w:r>
      <w:proofErr w:type="spellEnd"/>
    </w:p>
    <w:p w14:paraId="644B20D5" w14:textId="77777777" w:rsidR="00F7113A" w:rsidRPr="00580C0D" w:rsidRDefault="00142E5B" w:rsidP="00580C0D">
      <w:pPr>
        <w:pStyle w:val="avsnitt-undertittel"/>
      </w:pPr>
      <w:r w:rsidRPr="00580C0D">
        <w:t>Vedtak nr. 709, 10. juni 2022</w:t>
      </w:r>
    </w:p>
    <w:p w14:paraId="3137734E" w14:textId="77777777" w:rsidR="00F7113A" w:rsidRPr="00580C0D" w:rsidRDefault="00142E5B" w:rsidP="00580C0D">
      <w:pPr>
        <w:pStyle w:val="blokksit"/>
        <w:rPr>
          <w:rStyle w:val="kursiv"/>
        </w:rPr>
      </w:pPr>
      <w:r w:rsidRPr="00580C0D">
        <w:rPr>
          <w:rStyle w:val="kursiv"/>
        </w:rPr>
        <w:t>«Stortinget ber regjeringen vurdere hvilken av dagens dieselbaserte banestrekninger som er best egnet for et forsøksprosjekt med nullutslippsteknologi og komme tilbake til Stortinget med et slikt forsøksprosjekt.»</w:t>
      </w:r>
    </w:p>
    <w:p w14:paraId="374F4EB4" w14:textId="77777777" w:rsidR="00F7113A" w:rsidRPr="00580C0D" w:rsidRDefault="00142E5B" w:rsidP="00580C0D">
      <w:r w:rsidRPr="00580C0D">
        <w:t xml:space="preserve">Vedtaket ble truffet ved behandlingen av Meld. St. 36 (2020–2021) </w:t>
      </w:r>
      <w:r w:rsidRPr="00580C0D">
        <w:rPr>
          <w:rStyle w:val="kursiv"/>
        </w:rPr>
        <w:t>Energi til arbeid – langsiktig verdiskaping fra norske energiressurser</w:t>
      </w:r>
      <w:r w:rsidRPr="00580C0D">
        <w:t xml:space="preserve"> og Meld. St. 11 (2021–2022) </w:t>
      </w:r>
      <w:r w:rsidRPr="00580C0D">
        <w:rPr>
          <w:rStyle w:val="kursiv"/>
        </w:rPr>
        <w:t>Tilleggsmelding til Meld. St. 36 (2020–2021)</w:t>
      </w:r>
      <w:r w:rsidRPr="00580C0D">
        <w:t xml:space="preserve">, jf. </w:t>
      </w:r>
      <w:proofErr w:type="spellStart"/>
      <w:r w:rsidRPr="00580C0D">
        <w:t>Innst</w:t>
      </w:r>
      <w:proofErr w:type="spellEnd"/>
      <w:r w:rsidRPr="00580C0D">
        <w:t>. 446 S (2021–2022).</w:t>
      </w:r>
    </w:p>
    <w:p w14:paraId="788B2149" w14:textId="77777777" w:rsidR="00F7113A" w:rsidRPr="00580C0D" w:rsidRDefault="00142E5B" w:rsidP="00580C0D">
      <w:r w:rsidRPr="00580C0D">
        <w:t xml:space="preserve">I </w:t>
      </w:r>
      <w:proofErr w:type="spellStart"/>
      <w:r w:rsidRPr="00580C0D">
        <w:t>Prop</w:t>
      </w:r>
      <w:proofErr w:type="spellEnd"/>
      <w:r w:rsidRPr="00580C0D">
        <w:t xml:space="preserve">. 1 S (2022–2023) opplyste Samferdselsdepartementet at det ville følge opp anmodningsvedtaket og komme tilbake til Stortinget på egnet måte.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0C88DBD1" w14:textId="77777777" w:rsidR="00F7113A" w:rsidRPr="00580C0D" w:rsidRDefault="00142E5B" w:rsidP="00580C0D">
      <w:r w:rsidRPr="00580C0D">
        <w:t xml:space="preserve">Samferdselsdepartementet mottok konseptvalgutredningen for reduserte utslipp av klimagasser fra jernbanen (KVU GREEN) i midten av september 2023. I KVU GREEN vurderes lønnsomhet ved innføring av alternative fremdriftsteknologier som batteri og hydrogen, herunder også hybride alternativer, i kombinasjon med kontaktledningsanlegg. Beslutningsgrunnlaget skal angi hvordan vi best kan redusere utslipp fra fossil dieseldrift. Samferdselsdepartementet vil sette i gang en kvalitetssikring av konseptvalget (KS 1) for KVU GREEN slik at departementet har anbefalingen fra konseptvalgutredningen, </w:t>
      </w:r>
      <w:proofErr w:type="spellStart"/>
      <w:r w:rsidRPr="00580C0D">
        <w:t>kvalitetssikrers</w:t>
      </w:r>
      <w:proofErr w:type="spellEnd"/>
      <w:r w:rsidRPr="00580C0D">
        <w:t xml:space="preserve"> vurderinger av grunnlaget og høringsinnspill før saken behandles. Departementet vil deretter få vurdert hvilken av dagens dieselbaserte banestrekninger som er best egnet for et forsøksprosjekt. Uansett hva den endelige konklusjonen blir, vil det med et normalt anskaffelsesløp sannsynligvis ikke være mulig å ha slik teknologi fullt </w:t>
      </w:r>
      <w:proofErr w:type="gramStart"/>
      <w:r w:rsidRPr="00580C0D">
        <w:t>implementert</w:t>
      </w:r>
      <w:proofErr w:type="gramEnd"/>
      <w:r w:rsidRPr="00580C0D">
        <w:t xml:space="preserve"> før etter 2030.</w:t>
      </w:r>
    </w:p>
    <w:p w14:paraId="7965A2C9" w14:textId="77777777" w:rsidR="00F7113A" w:rsidRPr="00580C0D" w:rsidRDefault="00142E5B" w:rsidP="00580C0D">
      <w:r w:rsidRPr="00580C0D">
        <w:t>Departementet vil komme tilbake til Stortinget på egnet måte.</w:t>
      </w:r>
    </w:p>
    <w:p w14:paraId="4B22EC42" w14:textId="77777777" w:rsidR="00F7113A" w:rsidRPr="00580C0D" w:rsidRDefault="00142E5B" w:rsidP="00580C0D">
      <w:pPr>
        <w:pStyle w:val="avsnitt-tittel"/>
      </w:pPr>
      <w:r w:rsidRPr="00580C0D">
        <w:t xml:space="preserve">Obligatorisk takstfritak for </w:t>
      </w:r>
      <w:proofErr w:type="spellStart"/>
      <w:r w:rsidRPr="00580C0D">
        <w:t>biogasskøyretøy</w:t>
      </w:r>
      <w:proofErr w:type="spellEnd"/>
      <w:r w:rsidRPr="00580C0D">
        <w:t xml:space="preserve"> på </w:t>
      </w:r>
      <w:proofErr w:type="spellStart"/>
      <w:r w:rsidRPr="00580C0D">
        <w:t>strekningar</w:t>
      </w:r>
      <w:proofErr w:type="spellEnd"/>
      <w:r w:rsidRPr="00580C0D">
        <w:t xml:space="preserve"> finansierte av </w:t>
      </w:r>
      <w:proofErr w:type="spellStart"/>
      <w:r w:rsidRPr="00580C0D">
        <w:t>bompengar</w:t>
      </w:r>
      <w:proofErr w:type="spellEnd"/>
    </w:p>
    <w:p w14:paraId="15CE87E8" w14:textId="77777777" w:rsidR="00F7113A" w:rsidRPr="00580C0D" w:rsidRDefault="00142E5B" w:rsidP="00580C0D">
      <w:pPr>
        <w:pStyle w:val="avsnitt-undertittel"/>
      </w:pPr>
      <w:r w:rsidRPr="00580C0D">
        <w:t>Vedtak nr. 757, 10. juni 2022</w:t>
      </w:r>
    </w:p>
    <w:p w14:paraId="2F408049" w14:textId="77777777" w:rsidR="00F7113A" w:rsidRPr="00580C0D" w:rsidRDefault="00142E5B" w:rsidP="00580C0D">
      <w:pPr>
        <w:pStyle w:val="blokksit"/>
        <w:rPr>
          <w:rStyle w:val="kursiv"/>
        </w:rPr>
      </w:pPr>
      <w:r w:rsidRPr="00580C0D">
        <w:rPr>
          <w:rStyle w:val="kursiv"/>
        </w:rPr>
        <w:t>«Stortinget ber regjeringen snarest følge opp vedtaket om et obligatorisk takstfritak for biogasskjøretøy på strekninger som er finansiert av bompenger, gjeldende fra 1. januar 2023.»</w:t>
      </w:r>
    </w:p>
    <w:p w14:paraId="5886426A" w14:textId="77777777" w:rsidR="00F7113A" w:rsidRPr="00580C0D" w:rsidRDefault="00142E5B" w:rsidP="00580C0D">
      <w:r w:rsidRPr="00580C0D">
        <w:t xml:space="preserve">Vedtaket ble truffet ved behandlingen av Meld. St. 36 (2020–2021) </w:t>
      </w:r>
      <w:r w:rsidRPr="00580C0D">
        <w:rPr>
          <w:rStyle w:val="kursiv"/>
        </w:rPr>
        <w:t>Energi til arbeid – langsiktig verdiskaping fra norske energiressurser</w:t>
      </w:r>
      <w:r w:rsidRPr="00580C0D">
        <w:t xml:space="preserve"> og Meld. St. 11 (2021–2022) </w:t>
      </w:r>
      <w:r w:rsidRPr="00580C0D">
        <w:rPr>
          <w:rStyle w:val="kursiv"/>
        </w:rPr>
        <w:t>Tilleggsmelding til Meld. St. 36 (2020–2021)</w:t>
      </w:r>
      <w:r w:rsidRPr="00580C0D">
        <w:t xml:space="preserve">, jf. </w:t>
      </w:r>
      <w:proofErr w:type="spellStart"/>
      <w:r w:rsidRPr="00580C0D">
        <w:t>Innst</w:t>
      </w:r>
      <w:proofErr w:type="spellEnd"/>
      <w:r w:rsidRPr="00580C0D">
        <w:t>. 446 S (2021–2022).</w:t>
      </w:r>
    </w:p>
    <w:p w14:paraId="31AECACE"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det 1. september 2022 ble opprettet en egen takstklasse for alle gassdrevne kjøretøy som kan gi grunnlag for redusert bompengetakst eller fritak for bompenger dersom det foreligger lokalpolitiske vedtak. Ordningen kan først og fremst brukes i byområder der det allerede i dag er mulighet for et takstsystem med tids- og miljødifferensierte takster. Som en del av Oslopakke 3 ble det 1. september 2022 innført fritak for tunge gassdrevne kjøretøy i og rundt Oslo. Ved behandlingen av Meld. St. 4 (2022–2023) </w:t>
      </w:r>
      <w:r w:rsidRPr="00580C0D">
        <w:rPr>
          <w:rStyle w:val="kursiv"/>
        </w:rPr>
        <w:t>Anmodnings- og utredningsvedtak i stortingssesjonen 2021–2022</w:t>
      </w:r>
      <w:r w:rsidRPr="00580C0D">
        <w:t xml:space="preserve">, jf. </w:t>
      </w:r>
      <w:proofErr w:type="spellStart"/>
      <w:r w:rsidRPr="00580C0D">
        <w:t>Innst</w:t>
      </w:r>
      <w:proofErr w:type="spellEnd"/>
      <w:r w:rsidRPr="00580C0D">
        <w:t>. 186 S (2022–2023), uttalte kontroll- og konstitusjonskomiteen:</w:t>
      </w:r>
    </w:p>
    <w:p w14:paraId="19A702B3" w14:textId="77777777" w:rsidR="00F7113A" w:rsidRPr="00580C0D" w:rsidRDefault="00142E5B" w:rsidP="00580C0D">
      <w:pPr>
        <w:pStyle w:val="blokksit"/>
      </w:pPr>
      <w:r w:rsidRPr="00580C0D">
        <w:t>«</w:t>
      </w:r>
      <w:r w:rsidRPr="00580C0D">
        <w:rPr>
          <w:rStyle w:val="sperret0"/>
        </w:rPr>
        <w:t xml:space="preserve">Komiteen </w:t>
      </w:r>
      <w:r w:rsidRPr="00580C0D">
        <w:t>viser til vedlagt merknad fra en samstemt transport- og kommunikasjonskomite, der de ber regjeringen legge til rette for at biogasskjøretøy kan få takstfritak på strekninger som er finansiert av bompenger.»</w:t>
      </w:r>
    </w:p>
    <w:p w14:paraId="371F59E8" w14:textId="77777777" w:rsidR="00F7113A" w:rsidRPr="00580C0D" w:rsidRDefault="00142E5B" w:rsidP="00580C0D">
      <w:r w:rsidRPr="00580C0D">
        <w:t xml:space="preserve">Samferdselsdepartementet har gitt Statens vegvesen i oppdrag å legge til rette det tekniske bompengesystemet </w:t>
      </w:r>
      <w:proofErr w:type="spellStart"/>
      <w:r w:rsidRPr="00580C0D">
        <w:t>AutoPASS</w:t>
      </w:r>
      <w:proofErr w:type="spellEnd"/>
      <w:r w:rsidRPr="00580C0D">
        <w:t>, slik at den tekniske løsningen som i dag håndterer et miljødifferensiert takstsystem (slik det er innført i enkelte byområder), innføres som et teknisk system for all offentlig bompengeinnkreving. Departementet har videre gitt Statens vegvesen i oppdrag å opprette en egen underklasse for lette el-varebiler (N1) i takstklassen nullutslipp. Med egen takstklasse for gasskjøretøy (GA) i takstgruppe 2 (tunge kjøretøy), og en egen underklasse for el-varebil (N1) i takstgruppe 1 (lette kjøretøy), åpner det for at lokale myndigheter, både i og utenfor byområder, kan fastsette fritak for betaling av bompenger eller redusert bomtakst for disse kjøretøyene. I tråd med bompengepolitikken generelt legges det opp til en ordning der bompengetakstene fastsettes med bakgrunn i lokalpolitiske vedtak.</w:t>
      </w:r>
    </w:p>
    <w:p w14:paraId="48C8DAB2" w14:textId="77777777" w:rsidR="00F7113A" w:rsidRPr="00580C0D" w:rsidRDefault="00142E5B" w:rsidP="00580C0D">
      <w:r w:rsidRPr="00580C0D">
        <w:t xml:space="preserve">I strekningsvise bompengeprosjekter er det finansiering som er hovedformålet med bompengeinnkrevingen, ikke regulering av trafikk. Prosjektet er ferdig finansiert ved oppstart av bompengeinnkrevingen, og bompengeselskapene har pådratt seg vesentlige låneforpliktelser. Lånene er tatt opp med </w:t>
      </w:r>
      <w:proofErr w:type="spellStart"/>
      <w:r w:rsidRPr="00580C0D">
        <w:t>selvskyldergaranti</w:t>
      </w:r>
      <w:proofErr w:type="spellEnd"/>
      <w:r w:rsidRPr="00580C0D">
        <w:t xml:space="preserve"> som i all hovedsak er stilt fra fylkeskommunene. Bompengetakstene er fastsatt for å sikre bompengeselskapenes mulighet til å nedbetale sin gjeld. En stor andel fritak eller passeringer med redusert takst fører til økte grunntakster, noe som kan føre til en avvisning av totaltrafikk og usikkerhet for bompengeselskapenes inntekter. For å ikke påføre eksisterende prosjekter økt risiko, legges det opp til en ordning der det skal være forbeholdt bompengeselskap, garantister og takstmyndighet å beslutte endring i takstene.</w:t>
      </w:r>
    </w:p>
    <w:p w14:paraId="5C7AA818" w14:textId="77777777" w:rsidR="00F7113A" w:rsidRPr="00580C0D" w:rsidRDefault="00142E5B" w:rsidP="00580C0D">
      <w:r w:rsidRPr="00580C0D">
        <w:t xml:space="preserve">På oppdrag fra Klima- og miljødepartementet og Samferdselsdepartementet har Miljødirektoratet og Statens vegvesen vurdert konsekvenser for klimagassutslipp og luftkvalitet ved fritak for bompenger for biogasskjøretøy. I rapporten </w:t>
      </w:r>
      <w:r w:rsidRPr="00580C0D">
        <w:rPr>
          <w:rStyle w:val="kursiv"/>
        </w:rPr>
        <w:t>Gasslastebiler i bomringene</w:t>
      </w:r>
      <w:r w:rsidRPr="00580C0D">
        <w:t xml:space="preserve"> fremheves elektrifisering som nøkkelteknologi for omstilling av transportsektoren. Dette tilsier en innretning av virkemidler som primært fremmer el-lastebiler og fortrinnsvis fremmer biogasslastebiler der nullutslippsløsninger er lite tilgjengelig eller mindre egnet. Det legges videre til grunn i rapporten at dersom fritak i bomringen for gasskjøretøy fører til større trafikkmengder av tunge kjøretøy fordi transportkostnadene reduseres, kan dette ha en negativ effekt på luftkvaliteten i byområder. Alle kjøretøy bidrar til produksjon og oppvirvling av veistøv, og jo tyngre kjøretøyet er jo mer bidrar det. For å forbedre lokal luftkvalitet slår rapporten fast at virkemidler for å fremme biogasslastebiler primært bør innrettes mot transport utenfor de store byene, og ikke i byområder med høy befolkningstetthet og/eller utfordringer med luftkvalitet. Med en mulighet for redusert bompengetakst både i og utenfor de store byene, legger Samferdselsdepartementet til grunn at resultatene i rapporten kan få betydning i vurderingen av fastsettelse av takst for tunge gasskjøretøy og lette el-varebiler</w:t>
      </w:r>
    </w:p>
    <w:p w14:paraId="688F7ADB" w14:textId="77777777" w:rsidR="00F7113A" w:rsidRPr="00580C0D" w:rsidRDefault="00142E5B" w:rsidP="00580C0D">
      <w:r w:rsidRPr="00580C0D">
        <w:t>Samferdselsdepartementet anser med dette anmodningsvedtaket som fulgt opp.</w:t>
      </w:r>
    </w:p>
    <w:p w14:paraId="6369111A" w14:textId="77777777" w:rsidR="00F7113A" w:rsidRPr="00580C0D" w:rsidRDefault="00142E5B" w:rsidP="00580C0D">
      <w:pPr>
        <w:pStyle w:val="avsnitt-tittel"/>
      </w:pPr>
      <w:proofErr w:type="spellStart"/>
      <w:r w:rsidRPr="00580C0D">
        <w:t>Vidareføre</w:t>
      </w:r>
      <w:proofErr w:type="spellEnd"/>
      <w:r w:rsidRPr="00580C0D">
        <w:t xml:space="preserve"> </w:t>
      </w:r>
      <w:proofErr w:type="spellStart"/>
      <w:r w:rsidRPr="00580C0D">
        <w:t>tilskotsordninga</w:t>
      </w:r>
      <w:proofErr w:type="spellEnd"/>
      <w:r w:rsidRPr="00580C0D">
        <w:t xml:space="preserve"> til mindre byområde </w:t>
      </w:r>
      <w:proofErr w:type="spellStart"/>
      <w:r w:rsidRPr="00580C0D">
        <w:t>utan</w:t>
      </w:r>
      <w:proofErr w:type="spellEnd"/>
      <w:r w:rsidRPr="00580C0D">
        <w:t xml:space="preserve"> </w:t>
      </w:r>
      <w:proofErr w:type="spellStart"/>
      <w:r w:rsidRPr="00580C0D">
        <w:t>byvekstavtalar</w:t>
      </w:r>
      <w:proofErr w:type="spellEnd"/>
    </w:p>
    <w:p w14:paraId="50C201B7" w14:textId="77777777" w:rsidR="00F7113A" w:rsidRPr="00580C0D" w:rsidRDefault="00142E5B" w:rsidP="00580C0D">
      <w:pPr>
        <w:pStyle w:val="avsnitt-undertittel"/>
      </w:pPr>
      <w:r w:rsidRPr="00580C0D">
        <w:t>Vedtak nr. 839, 17. juni 2022</w:t>
      </w:r>
    </w:p>
    <w:p w14:paraId="3DC89934" w14:textId="77777777" w:rsidR="00F7113A" w:rsidRPr="00580C0D" w:rsidRDefault="00142E5B" w:rsidP="00580C0D">
      <w:pPr>
        <w:pStyle w:val="blokksit"/>
        <w:rPr>
          <w:rStyle w:val="kursiv"/>
        </w:rPr>
      </w:pPr>
      <w:r w:rsidRPr="00580C0D">
        <w:rPr>
          <w:rStyle w:val="kursiv"/>
        </w:rPr>
        <w:t>«Stortinget ber regjeringen i statsbudsjettet for 2023 videreføre tilskuddsordningen til mindre byer uten byvekstavtaler slik ordningen er beskrevet i NTP.»</w:t>
      </w:r>
    </w:p>
    <w:p w14:paraId="53AA43EB" w14:textId="77777777" w:rsidR="00F7113A" w:rsidRPr="00580C0D" w:rsidRDefault="00142E5B" w:rsidP="00580C0D">
      <w:r w:rsidRPr="00580C0D">
        <w:t xml:space="preserve">Vedtaket ble truffet ved behandlingen av Meld. St. 2 (2021–2022) </w:t>
      </w:r>
      <w:r w:rsidRPr="00580C0D">
        <w:rPr>
          <w:rStyle w:val="kursiv"/>
        </w:rPr>
        <w:t>Revidert nasjonalbudsjett 2022</w:t>
      </w:r>
      <w:r w:rsidRPr="00580C0D">
        <w:t xml:space="preserve">, jf. </w:t>
      </w:r>
      <w:proofErr w:type="spellStart"/>
      <w:r w:rsidRPr="00580C0D">
        <w:t>Innst</w:t>
      </w:r>
      <w:proofErr w:type="spellEnd"/>
      <w:r w:rsidRPr="00580C0D">
        <w:t>. 450 S (2021–2022).</w:t>
      </w:r>
    </w:p>
    <w:p w14:paraId="45FC7B04" w14:textId="77777777" w:rsidR="00F7113A" w:rsidRPr="00580C0D" w:rsidRDefault="00142E5B" w:rsidP="00580C0D">
      <w:r w:rsidRPr="00580C0D">
        <w:t xml:space="preserve">I </w:t>
      </w:r>
      <w:proofErr w:type="spellStart"/>
      <w:r w:rsidRPr="00580C0D">
        <w:t>Prop</w:t>
      </w:r>
      <w:proofErr w:type="spellEnd"/>
      <w:r w:rsidRPr="00580C0D">
        <w:t xml:space="preserve">. 1 S (2022–2023) opplyste Samferdselsdepartementet at i 2022 ville 30 mill. kr bli delt likt mellom Ålesund og Bodø som en engangsutbetaling, og at tilskuddet i 2023 ville videreføres på samme nivå som i 2022 med tildeling til to eller tre byer som en engangsutbetaling. Ved behandlingen av Meld. St. 4 (2022–2023) </w:t>
      </w:r>
      <w:r w:rsidRPr="00580C0D">
        <w:rPr>
          <w:rStyle w:val="kursiv"/>
        </w:rPr>
        <w:t>Anmodnings- og utredningsvedtak i stortingssesjonen 2021–2022</w:t>
      </w:r>
      <w:r w:rsidRPr="00580C0D">
        <w:t xml:space="preserve">, jf. </w:t>
      </w:r>
      <w:proofErr w:type="spellStart"/>
      <w:r w:rsidRPr="00580C0D">
        <w:t>Innst</w:t>
      </w:r>
      <w:proofErr w:type="spellEnd"/>
      <w:r w:rsidRPr="00580C0D">
        <w:t>. 186 S (2022–2023), uttalte kontroll- og konstitusjonskomiteen:</w:t>
      </w:r>
    </w:p>
    <w:p w14:paraId="020830D5" w14:textId="77777777" w:rsidR="00F7113A" w:rsidRPr="00580C0D" w:rsidRDefault="00142E5B" w:rsidP="00580C0D">
      <w:pPr>
        <w:pStyle w:val="blokksit"/>
      </w:pPr>
      <w:r w:rsidRPr="00580C0D">
        <w:t>«</w:t>
      </w:r>
      <w:r w:rsidRPr="00580C0D">
        <w:rPr>
          <w:rStyle w:val="sperret0"/>
        </w:rPr>
        <w:t xml:space="preserve">Komiteen </w:t>
      </w:r>
      <w:r w:rsidRPr="00580C0D">
        <w:t xml:space="preserve">viser til uttalelsen fra flertallet i transport- og kommunikasjonskomiteen, som legger til grunn at tilskuddsordningen videreføres frem mot neste NTP. </w:t>
      </w:r>
      <w:r w:rsidRPr="00580C0D">
        <w:rPr>
          <w:rStyle w:val="sperret0"/>
        </w:rPr>
        <w:t>Komiteen</w:t>
      </w:r>
      <w:r w:rsidRPr="00580C0D">
        <w:t xml:space="preserve"> mener på denne bakgrunn av rapporteringen ikke kan avsluttes.»</w:t>
      </w:r>
    </w:p>
    <w:p w14:paraId="0F460FD5" w14:textId="77777777" w:rsidR="00F7113A" w:rsidRPr="00580C0D" w:rsidRDefault="00142E5B" w:rsidP="00580C0D">
      <w:r w:rsidRPr="00580C0D">
        <w:t>Regjeringen foreslår å videreføre ordningen i 2024 på samme nivå som i de to foregående årene. En ev. videreføring ut over 2024 blir vurdert i arbeidet med Nasjonal transportplan 2025–2036.</w:t>
      </w:r>
    </w:p>
    <w:p w14:paraId="0DDA178E" w14:textId="77777777" w:rsidR="00F7113A" w:rsidRPr="00580C0D" w:rsidRDefault="00142E5B" w:rsidP="00580C0D">
      <w:r w:rsidRPr="00580C0D">
        <w:t>Anmodningsvedtaket anses med dette som fulgt opp.</w:t>
      </w:r>
    </w:p>
    <w:p w14:paraId="02C65D69" w14:textId="77777777" w:rsidR="00F7113A" w:rsidRPr="00580C0D" w:rsidRDefault="00142E5B" w:rsidP="00580C0D">
      <w:pPr>
        <w:pStyle w:val="avsnitt-tittel"/>
      </w:pPr>
      <w:r w:rsidRPr="00580C0D">
        <w:t xml:space="preserve">Nullutslepp eller biogass i alle nye </w:t>
      </w:r>
      <w:proofErr w:type="spellStart"/>
      <w:r w:rsidRPr="00580C0D">
        <w:t>anbod</w:t>
      </w:r>
      <w:proofErr w:type="spellEnd"/>
      <w:r w:rsidRPr="00580C0D">
        <w:t xml:space="preserve"> for ferjer og fossilfritt i nye </w:t>
      </w:r>
      <w:proofErr w:type="spellStart"/>
      <w:r w:rsidRPr="00580C0D">
        <w:t>anbod</w:t>
      </w:r>
      <w:proofErr w:type="spellEnd"/>
      <w:r w:rsidRPr="00580C0D">
        <w:t xml:space="preserve"> for </w:t>
      </w:r>
      <w:proofErr w:type="spellStart"/>
      <w:r w:rsidRPr="00580C0D">
        <w:t>hurtigbåtar</w:t>
      </w:r>
      <w:proofErr w:type="spellEnd"/>
    </w:p>
    <w:p w14:paraId="0EFA28D0" w14:textId="77777777" w:rsidR="00F7113A" w:rsidRPr="00580C0D" w:rsidRDefault="00142E5B" w:rsidP="00580C0D">
      <w:pPr>
        <w:pStyle w:val="avsnitt-undertittel"/>
      </w:pPr>
      <w:r w:rsidRPr="00580C0D">
        <w:t>Vedtak nr. 842, 17. juni 2022</w:t>
      </w:r>
    </w:p>
    <w:p w14:paraId="2DFC78BA" w14:textId="77777777" w:rsidR="00F7113A" w:rsidRPr="00580C0D" w:rsidRDefault="00142E5B" w:rsidP="00580C0D">
      <w:pPr>
        <w:pStyle w:val="blokksit"/>
        <w:rPr>
          <w:rStyle w:val="kursiv"/>
        </w:rPr>
      </w:pPr>
      <w:r w:rsidRPr="00580C0D">
        <w:rPr>
          <w:rStyle w:val="kursiv"/>
        </w:rPr>
        <w:t>«Stortinget ber regjeringen snarest mulig forskriftsfeste krav om nullutslipp eller biogass i alle nye anbud for ferger og krav om fossilfritt i nye anbud for hurtigbåter, og komme tilbake til Stortinget med forslag i statsbudsjettet for 2023.»</w:t>
      </w:r>
    </w:p>
    <w:p w14:paraId="49B034C9" w14:textId="77777777" w:rsidR="00F7113A" w:rsidRPr="00580C0D" w:rsidRDefault="00142E5B" w:rsidP="00580C0D">
      <w:r w:rsidRPr="00580C0D">
        <w:t xml:space="preserve">Vedtaket ble truffet ved behandlingen av Meld. St. 2 (2021–2022) </w:t>
      </w:r>
      <w:r w:rsidRPr="00580C0D">
        <w:rPr>
          <w:rStyle w:val="kursiv"/>
        </w:rPr>
        <w:t>Revidert nasjonalbudsjett 2022</w:t>
      </w:r>
      <w:r w:rsidRPr="00580C0D">
        <w:t xml:space="preserve">, jf. </w:t>
      </w:r>
      <w:proofErr w:type="spellStart"/>
      <w:r w:rsidRPr="00580C0D">
        <w:t>Innst</w:t>
      </w:r>
      <w:proofErr w:type="spellEnd"/>
      <w:r w:rsidRPr="00580C0D">
        <w:t>. 450 S (2021–2022).</w:t>
      </w:r>
    </w:p>
    <w:p w14:paraId="07E5EC39"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det, i samarbeid med Klima- og miljødepartementet, og på grunnlag av rapporter fra Direktoratet for forvaltning og økonomistyring, Miljødirektoratet, Sjøfartsdirektoratet og Statens vegvesen med forslag til lav- og nullutslippskrav ved anskaffelse av ferjer og hurtigbåter og mulig hjemmel for slike krav i skipssikkerhetsloven, ville vurdere hvordan et ev. krav burde utformes.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1AA3FB16" w14:textId="77777777" w:rsidR="00F7113A" w:rsidRPr="00580C0D" w:rsidRDefault="00142E5B" w:rsidP="00580C0D">
      <w:r w:rsidRPr="00580C0D">
        <w:t>Samferdselsdepartementet sendte i mai 2023 forslag til nullutslippskrav for ferjer og hurtigbåter på alminnelig høring med høringsfrist 1. oktober 2023. I høringsnotatet foreslås det å fastsette en forskrift om nullutslippskrav til ferjer og hurtigbåter. Det tas sikte på at kravet til ferjene innføres så snart som mulig i 2023, og at kravet til hurtigbåter gjelder fra 1. januar 2025. I forslaget til ny forskrift er det også tatt hensyn til at kravene ikke vil kunne følges i alle tilfeller. Videre er det varslet at regjeringen skal se nærmere på hvordan fylkeskommunene skal kompenseres for dette, i tråd med Hurdalsplattformen.</w:t>
      </w:r>
    </w:p>
    <w:p w14:paraId="1FE42D32" w14:textId="77777777" w:rsidR="00F7113A" w:rsidRPr="00580C0D" w:rsidRDefault="00142E5B" w:rsidP="00580C0D">
      <w:r w:rsidRPr="00580C0D">
        <w:t>Departementet anser med dette anmodningsvedtaket som ivaretatt.</w:t>
      </w:r>
    </w:p>
    <w:p w14:paraId="0FA6A578" w14:textId="77777777" w:rsidR="00F7113A" w:rsidRPr="00580C0D" w:rsidRDefault="00142E5B" w:rsidP="00580C0D">
      <w:pPr>
        <w:pStyle w:val="Overskrift2"/>
      </w:pPr>
      <w:r w:rsidRPr="00580C0D">
        <w:t>Stortingssesjonen 2020–2021</w:t>
      </w:r>
    </w:p>
    <w:p w14:paraId="072698F5" w14:textId="77777777" w:rsidR="00F7113A" w:rsidRPr="00580C0D" w:rsidRDefault="00142E5B" w:rsidP="00580C0D">
      <w:pPr>
        <w:pStyle w:val="avsnitt-tittel"/>
      </w:pPr>
      <w:r w:rsidRPr="00580C0D">
        <w:t>Stortingsmelding om nasjonal luftfartsstrategi</w:t>
      </w:r>
    </w:p>
    <w:p w14:paraId="6EC6907F" w14:textId="77777777" w:rsidR="00F7113A" w:rsidRPr="00580C0D" w:rsidRDefault="00142E5B" w:rsidP="00580C0D">
      <w:pPr>
        <w:pStyle w:val="avsnitt-undertittel"/>
      </w:pPr>
      <w:r w:rsidRPr="00580C0D">
        <w:t>Vedtak nr. 589, 9. februar 2021</w:t>
      </w:r>
    </w:p>
    <w:p w14:paraId="52A23965" w14:textId="77777777" w:rsidR="00F7113A" w:rsidRPr="00580C0D" w:rsidRDefault="00142E5B" w:rsidP="00580C0D">
      <w:pPr>
        <w:pStyle w:val="blokksit"/>
        <w:rPr>
          <w:rStyle w:val="kursiv"/>
        </w:rPr>
      </w:pPr>
      <w:r w:rsidRPr="00580C0D">
        <w:rPr>
          <w:rStyle w:val="kursiv"/>
        </w:rPr>
        <w:t>«Stortinget ber regjeringen legge frem en stortingsmelding om en nasjonal luftfartsstrategi, hvor ambisjonene er å trekke linjene for en helhetlig og bærekraftig utvikling i norsk luftfart.»</w:t>
      </w:r>
    </w:p>
    <w:p w14:paraId="3480A8D7" w14:textId="77777777" w:rsidR="00F7113A" w:rsidRPr="00580C0D" w:rsidRDefault="00142E5B" w:rsidP="00580C0D">
      <w:r w:rsidRPr="00580C0D">
        <w:t xml:space="preserve">Dokumentene som ligger til grunn for vedtaket, er representantforslag fra stortingsrepresentantene Arne Nævra, Torgeir </w:t>
      </w:r>
      <w:proofErr w:type="spellStart"/>
      <w:r w:rsidRPr="00580C0D">
        <w:t>Knag</w:t>
      </w:r>
      <w:proofErr w:type="spellEnd"/>
      <w:r w:rsidRPr="00580C0D">
        <w:t xml:space="preserve"> Fylkesnes og Solfrid Leirbekk om tiltak for å hindre eller begrense etablering i Norge for nye luftfartsselskaper som ikke følger arbeidsrettslig lovgivning, representantforslag fra stortingsrepresentantene Sverre </w:t>
      </w:r>
      <w:proofErr w:type="spellStart"/>
      <w:r w:rsidRPr="00580C0D">
        <w:t>Myrli</w:t>
      </w:r>
      <w:proofErr w:type="spellEnd"/>
      <w:r w:rsidRPr="00580C0D">
        <w:t xml:space="preserve">, Kirsti </w:t>
      </w:r>
      <w:proofErr w:type="spellStart"/>
      <w:r w:rsidRPr="00580C0D">
        <w:t>Leirtrø</w:t>
      </w:r>
      <w:proofErr w:type="spellEnd"/>
      <w:r w:rsidRPr="00580C0D">
        <w:t xml:space="preserve">, Øystein Langholm Hansen, </w:t>
      </w:r>
      <w:proofErr w:type="spellStart"/>
      <w:r w:rsidRPr="00580C0D">
        <w:t>Ingalill</w:t>
      </w:r>
      <w:proofErr w:type="spellEnd"/>
      <w:r w:rsidRPr="00580C0D">
        <w:t xml:space="preserve"> Olsen og Jonas Gahr Støre om tiltak for en seriøs og bærekraftig luftfart, representantforslag fra stortingsrepresentantene Trygve Slagsvold </w:t>
      </w:r>
      <w:proofErr w:type="spellStart"/>
      <w:r w:rsidRPr="00580C0D">
        <w:t>Vedum</w:t>
      </w:r>
      <w:proofErr w:type="spellEnd"/>
      <w:r w:rsidRPr="00580C0D">
        <w:t xml:space="preserve">, Marit Arnstad, Geir Pollestad, Siv </w:t>
      </w:r>
      <w:proofErr w:type="spellStart"/>
      <w:r w:rsidRPr="00580C0D">
        <w:t>Mossleth</w:t>
      </w:r>
      <w:proofErr w:type="spellEnd"/>
      <w:r w:rsidRPr="00580C0D">
        <w:t xml:space="preserve"> og Bengt Fasteraune om en kriseplan for norsk luftfart ut 2021 og representantforslag fra stortingsrepresentant Bjørnar Moxnes om å hindre </w:t>
      </w:r>
      <w:proofErr w:type="spellStart"/>
      <w:r w:rsidRPr="00580C0D">
        <w:t>Wizz</w:t>
      </w:r>
      <w:proofErr w:type="spellEnd"/>
      <w:r w:rsidRPr="00580C0D">
        <w:t xml:space="preserve"> Air i å fly innenriks i Norge så lenge de aktivt motarbeider fagorganisering og kollektive forhandlinger og driver med sosial dumping, jf. Dokument 8:50 S (2020–2021), Dokument 8:57 S (2020–2021), Dokument 8:58 S (2020–2021), Dokument 8:83 S (2020–2021) og </w:t>
      </w:r>
      <w:proofErr w:type="spellStart"/>
      <w:r w:rsidRPr="00580C0D">
        <w:t>Innst</w:t>
      </w:r>
      <w:proofErr w:type="spellEnd"/>
      <w:r w:rsidRPr="00580C0D">
        <w:t>. 194 S (2020–2021).</w:t>
      </w:r>
    </w:p>
    <w:p w14:paraId="46DA0F14" w14:textId="77777777" w:rsidR="00F7113A" w:rsidRPr="00580C0D" w:rsidRDefault="00142E5B" w:rsidP="00580C0D">
      <w:r w:rsidRPr="00580C0D">
        <w:t xml:space="preserve">I </w:t>
      </w:r>
      <w:proofErr w:type="spellStart"/>
      <w:r w:rsidRPr="00580C0D">
        <w:t>Prop</w:t>
      </w:r>
      <w:proofErr w:type="spellEnd"/>
      <w:r w:rsidRPr="00580C0D">
        <w:t>. 1 S (2022–2023) opplyste Samferdselsdepartementet at regjeringen ville legge frem stortingsmeldingen om strategi for norsk luftfart i stortingssesjonen 2022–2023.</w:t>
      </w:r>
    </w:p>
    <w:p w14:paraId="36815D57" w14:textId="77777777" w:rsidR="00F7113A" w:rsidRPr="00580C0D" w:rsidRDefault="00142E5B" w:rsidP="00580C0D">
      <w:r w:rsidRPr="00580C0D">
        <w:t xml:space="preserve">Meld. St. 10 (2022–2023) </w:t>
      </w:r>
      <w:r w:rsidRPr="00580C0D">
        <w:rPr>
          <w:rStyle w:val="kursiv"/>
        </w:rPr>
        <w:t>Bærekraftig og sikker luftfart – Nasjonal luftfartsstrategi</w:t>
      </w:r>
      <w:r w:rsidRPr="00580C0D">
        <w:t xml:space="preserve"> ble lagt frem i januar 2023.</w:t>
      </w:r>
    </w:p>
    <w:p w14:paraId="1BE69BBD" w14:textId="77777777" w:rsidR="00F7113A" w:rsidRPr="00580C0D" w:rsidRDefault="00142E5B" w:rsidP="00580C0D">
      <w:r w:rsidRPr="00580C0D">
        <w:t>Samferdselsdepartementet anser med dette anmodningsvedtaket som fulgt opp.</w:t>
      </w:r>
    </w:p>
    <w:p w14:paraId="78F15FEC" w14:textId="77777777" w:rsidR="00F7113A" w:rsidRPr="00580C0D" w:rsidRDefault="00142E5B" w:rsidP="00580C0D">
      <w:pPr>
        <w:pStyle w:val="avsnitt-tittel"/>
      </w:pPr>
      <w:r w:rsidRPr="00580C0D">
        <w:t xml:space="preserve">Forskriftsendring knytt til endring av </w:t>
      </w:r>
      <w:proofErr w:type="gramStart"/>
      <w:r w:rsidRPr="00580C0D">
        <w:t>tillate</w:t>
      </w:r>
      <w:proofErr w:type="gramEnd"/>
      <w:r w:rsidRPr="00580C0D">
        <w:t xml:space="preserve"> totalvekt på 7 500 kg eller </w:t>
      </w:r>
      <w:proofErr w:type="spellStart"/>
      <w:r w:rsidRPr="00580C0D">
        <w:t>meir</w:t>
      </w:r>
      <w:proofErr w:type="spellEnd"/>
    </w:p>
    <w:p w14:paraId="5EF9DEC3" w14:textId="77777777" w:rsidR="00F7113A" w:rsidRPr="00580C0D" w:rsidRDefault="00142E5B" w:rsidP="00580C0D">
      <w:pPr>
        <w:pStyle w:val="avsnitt-undertittel"/>
      </w:pPr>
      <w:r w:rsidRPr="00580C0D">
        <w:t>Vedtak nr. 800, 13. april 2021</w:t>
      </w:r>
    </w:p>
    <w:p w14:paraId="32E3CCC3" w14:textId="77777777" w:rsidR="00F7113A" w:rsidRPr="00580C0D" w:rsidRDefault="00142E5B" w:rsidP="00580C0D">
      <w:pPr>
        <w:pStyle w:val="blokksit"/>
        <w:rPr>
          <w:rStyle w:val="kursiv"/>
        </w:rPr>
      </w:pPr>
      <w:r w:rsidRPr="00580C0D">
        <w:rPr>
          <w:rStyle w:val="kursiv"/>
        </w:rPr>
        <w:t>«Stortinget ber regjeringen utrede muligheten for en forskriftsendring knyttet til endring av tillatt totalvekt for kjøretøy på 7 500 kg eller mer.»</w:t>
      </w:r>
    </w:p>
    <w:p w14:paraId="68331A39" w14:textId="77777777" w:rsidR="00F7113A" w:rsidRPr="00580C0D" w:rsidRDefault="00142E5B" w:rsidP="00580C0D">
      <w:r w:rsidRPr="00580C0D">
        <w:t xml:space="preserve">Dokumentene som ligger til grunn for vedtaket, er representantforslag fra stortingsrepresentantene Bård </w:t>
      </w:r>
      <w:proofErr w:type="spellStart"/>
      <w:r w:rsidRPr="00580C0D">
        <w:t>Hoksrud</w:t>
      </w:r>
      <w:proofErr w:type="spellEnd"/>
      <w:r w:rsidRPr="00580C0D">
        <w:t xml:space="preserve">, Morten Stordalen, Tor André Johnsen, Hans Andreas </w:t>
      </w:r>
      <w:proofErr w:type="spellStart"/>
      <w:r w:rsidRPr="00580C0D">
        <w:t>Limi</w:t>
      </w:r>
      <w:proofErr w:type="spellEnd"/>
      <w:r w:rsidRPr="00580C0D">
        <w:t xml:space="preserve">, Terje Halleland og Gisle Meininger </w:t>
      </w:r>
      <w:proofErr w:type="spellStart"/>
      <w:r w:rsidRPr="00580C0D">
        <w:t>Saudland</w:t>
      </w:r>
      <w:proofErr w:type="spellEnd"/>
      <w:r w:rsidRPr="00580C0D">
        <w:t xml:space="preserve"> om noen kjøretøytekniske forenklinger, jf. Dokument 8:106 S (2020–2021) og </w:t>
      </w:r>
      <w:proofErr w:type="spellStart"/>
      <w:r w:rsidRPr="00580C0D">
        <w:t>Innst</w:t>
      </w:r>
      <w:proofErr w:type="spellEnd"/>
      <w:r w:rsidRPr="00580C0D">
        <w:t>. 311 S (2020–2021).</w:t>
      </w:r>
    </w:p>
    <w:p w14:paraId="0B81DE31"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det avventet Statens vegvesens utredning og forslag til forskriftsendringer som skulle komme i løpet av høsten 2022.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1035BD58" w14:textId="77777777" w:rsidR="00F7113A" w:rsidRPr="00580C0D" w:rsidRDefault="00142E5B" w:rsidP="00580C0D">
      <w:r w:rsidRPr="00580C0D">
        <w:t>Samferdselsdepartementet tar sikte på at et forskriftsforslag kan sendes på offentlig høring i løpet av 2023 og vil komme tilbake til saken på egnet måte.</w:t>
      </w:r>
    </w:p>
    <w:p w14:paraId="78AD8DA4" w14:textId="77777777" w:rsidR="00F7113A" w:rsidRPr="00580C0D" w:rsidRDefault="00142E5B" w:rsidP="00580C0D">
      <w:pPr>
        <w:pStyle w:val="avsnitt-tittel"/>
      </w:pPr>
      <w:r w:rsidRPr="00580C0D">
        <w:t xml:space="preserve">Medisinsk grunna dispensasjon etter </w:t>
      </w:r>
      <w:proofErr w:type="spellStart"/>
      <w:r w:rsidRPr="00580C0D">
        <w:t>førarkortregelverket</w:t>
      </w:r>
      <w:proofErr w:type="spellEnd"/>
      <w:r w:rsidRPr="00580C0D">
        <w:t xml:space="preserve"> for svaksynte</w:t>
      </w:r>
    </w:p>
    <w:p w14:paraId="351FC105" w14:textId="77777777" w:rsidR="00F7113A" w:rsidRPr="00580C0D" w:rsidRDefault="00142E5B" w:rsidP="00580C0D">
      <w:pPr>
        <w:pStyle w:val="avsnitt-undertittel"/>
      </w:pPr>
      <w:r w:rsidRPr="00580C0D">
        <w:t>Vedtak nr. 960, 20. mai 2021</w:t>
      </w:r>
    </w:p>
    <w:p w14:paraId="1E3C9AC9" w14:textId="77777777" w:rsidR="00F7113A" w:rsidRPr="00580C0D" w:rsidRDefault="00142E5B" w:rsidP="00580C0D">
      <w:pPr>
        <w:pStyle w:val="blokksit"/>
        <w:rPr>
          <w:rStyle w:val="kursiv"/>
        </w:rPr>
      </w:pPr>
      <w:r w:rsidRPr="00580C0D">
        <w:rPr>
          <w:rStyle w:val="kursiv"/>
        </w:rPr>
        <w:t>«Stortinget ber regjeringen fremme sak om å myke opp adgangen til medisinsk begrunnet dispensasjon etter førerkortregelverket, slik at personer med nedsatt syn kan få førerrett i tråd med praksis som gjaldt frem til 2019.»</w:t>
      </w:r>
    </w:p>
    <w:p w14:paraId="160ACCD1" w14:textId="77777777" w:rsidR="00F7113A" w:rsidRPr="00580C0D" w:rsidRDefault="00142E5B" w:rsidP="00580C0D">
      <w:r w:rsidRPr="00580C0D">
        <w:t xml:space="preserve">Dokumentene som ligger til grunn for vedtaket, er representantforslag fra stortingsrepresentantene Bård </w:t>
      </w:r>
      <w:proofErr w:type="spellStart"/>
      <w:r w:rsidRPr="00580C0D">
        <w:t>Hoksrud</w:t>
      </w:r>
      <w:proofErr w:type="spellEnd"/>
      <w:r w:rsidRPr="00580C0D">
        <w:t xml:space="preserve"> og Tor André Johnsen om medisinsk begrunnet dispensasjon for svaksynte, jf. Dokument 8:179 (2020–2021) og </w:t>
      </w:r>
      <w:proofErr w:type="spellStart"/>
      <w:r w:rsidRPr="00580C0D">
        <w:t>Innst</w:t>
      </w:r>
      <w:proofErr w:type="spellEnd"/>
      <w:r w:rsidRPr="00580C0D">
        <w:t>. 432 S (2020–2021).</w:t>
      </w:r>
    </w:p>
    <w:p w14:paraId="37601F74" w14:textId="77777777" w:rsidR="00F7113A" w:rsidRPr="00580C0D" w:rsidRDefault="00142E5B" w:rsidP="00580C0D">
      <w:r w:rsidRPr="00580C0D">
        <w:t xml:space="preserve">I </w:t>
      </w:r>
      <w:proofErr w:type="spellStart"/>
      <w:r w:rsidRPr="00580C0D">
        <w:t>Prop</w:t>
      </w:r>
      <w:proofErr w:type="spellEnd"/>
      <w:r w:rsidRPr="00580C0D">
        <w:t xml:space="preserve">. 1 S (2022–2023) opplyste Samferdselsdepartementet at Helsedirektoratet og Statens vegvesens utredning for hvordan vedtaket skal følges opp, forelå i mai 2022, og at departementet vurderte hvordan saken skulle følges opp.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7DA38173" w14:textId="77777777" w:rsidR="00F7113A" w:rsidRPr="00580C0D" w:rsidRDefault="00142E5B" w:rsidP="00580C0D">
      <w:r w:rsidRPr="00580C0D">
        <w:t>Statens vegvesen og Helsedirektoratet («etatene») tilrår i rapporten som ble lagt frem i mai 2022, ikke å utvide reglene for medisinsk dispensasjon for tunge klasser (buss, lastebil). De viser til at gjeldende norske regler er i tråd med de felleseuropeiske minstekravene etter førerkortdirektivet (2006/126/EC). Etter etatenes syn er det ikke rettslig handlingsrom innenfor Norges forpliktelser etter EØS-avtalen til å myke opp dispensasjonsadgangen for helsekravene til syn for førerkort i tunge klasser ved å gjeninnføre den tidligere dispensasjonsadgangen som ble faset ut i 2019.</w:t>
      </w:r>
    </w:p>
    <w:p w14:paraId="04AA1097" w14:textId="77777777" w:rsidR="00F7113A" w:rsidRPr="00580C0D" w:rsidRDefault="00142E5B" w:rsidP="00580C0D">
      <w:r w:rsidRPr="00580C0D">
        <w:t>Etatene har også vurdert en mulig utvidet dispensasjonsmulighet for helsekravene til syn for kjøreseddel for drosje, som vi har nasjonalt handlingsrom til å endre. De tilrår ikke utvidet dispensasjonsmulighet særlig av hensyn til passasjerenes sikkerhet og den høyere risikoen som er forbundet med økt kjøremengde og varierende kjøreforhold.</w:t>
      </w:r>
    </w:p>
    <w:p w14:paraId="0B4B356B" w14:textId="77777777" w:rsidR="00F7113A" w:rsidRPr="00580C0D" w:rsidRDefault="00142E5B" w:rsidP="00580C0D">
      <w:r w:rsidRPr="00580C0D">
        <w:t>Samferdselsdepartementet deler etatenes vurderinger om at det ikke er rettslig handlingsrom etter EØS-avtalen til å gjeninnføre en dispensasjonsadgang for helsekravene til førerkort.</w:t>
      </w:r>
    </w:p>
    <w:p w14:paraId="5F4D0510" w14:textId="77777777" w:rsidR="00F7113A" w:rsidRPr="00580C0D" w:rsidRDefault="00142E5B" w:rsidP="00580C0D">
      <w:r w:rsidRPr="00580C0D">
        <w:t>Departementet deler også etatenes vurdering om at dagens regler der helsekravene for kjøreseddel for drosje er de samme som for førerkort for buss er godt begrunnet og bør videreføres. Samferdselsdepartementet ser imidlertid at det kan være grunn til å vurdere nærmere å innføre en utvidet dispensasjonsadgang for særegne tilfelle, en sikkerhetsventil med høy terskel og basert på individuell medisinsk vurdering. Departementet vil i samråd med Helse- og omsorgsdepartementet vurdere hvordan dette kan følges opp videre.</w:t>
      </w:r>
    </w:p>
    <w:p w14:paraId="28C823AF" w14:textId="77777777" w:rsidR="00F7113A" w:rsidRPr="00580C0D" w:rsidRDefault="00142E5B" w:rsidP="00580C0D">
      <w:r w:rsidRPr="00580C0D">
        <w:t>Samferdselsdepartementet vil komme tilbake til Stortinget på egnet måte.</w:t>
      </w:r>
    </w:p>
    <w:p w14:paraId="210DC77E" w14:textId="77777777" w:rsidR="00F7113A" w:rsidRPr="00580C0D" w:rsidRDefault="00142E5B" w:rsidP="00580C0D">
      <w:pPr>
        <w:pStyle w:val="avsnitt-tittel"/>
      </w:pPr>
      <w:r w:rsidRPr="00580C0D">
        <w:t>Mobil- og internettdekking i alle nye riksvegprosjekt</w:t>
      </w:r>
    </w:p>
    <w:p w14:paraId="28AAFB3A" w14:textId="77777777" w:rsidR="00F7113A" w:rsidRPr="00580C0D" w:rsidRDefault="00142E5B" w:rsidP="00580C0D">
      <w:pPr>
        <w:pStyle w:val="avsnitt-undertittel"/>
      </w:pPr>
      <w:r w:rsidRPr="00580C0D">
        <w:t>Vedtak nr. 1065, 1. juni 2021</w:t>
      </w:r>
    </w:p>
    <w:p w14:paraId="42749A5D" w14:textId="77777777" w:rsidR="00F7113A" w:rsidRPr="00580C0D" w:rsidRDefault="00142E5B" w:rsidP="00580C0D">
      <w:pPr>
        <w:pStyle w:val="blokksit"/>
        <w:rPr>
          <w:rStyle w:val="kursiv"/>
        </w:rPr>
      </w:pPr>
      <w:r w:rsidRPr="00580C0D">
        <w:rPr>
          <w:rStyle w:val="kursiv"/>
        </w:rPr>
        <w:t>«Stortinget ber regjeringen innføre krav om full mobil- og internettdekning i alle nye riksveiprosjekter.»</w:t>
      </w:r>
    </w:p>
    <w:p w14:paraId="0E52C7C4" w14:textId="77777777" w:rsidR="00F7113A" w:rsidRPr="00580C0D" w:rsidRDefault="00142E5B" w:rsidP="00580C0D">
      <w:r w:rsidRPr="00580C0D">
        <w:t xml:space="preserve">Dokumentene som ligger til grunn for vedtaket, er Meld. St. 28 (2020–2021) </w:t>
      </w:r>
      <w:r w:rsidRPr="00580C0D">
        <w:rPr>
          <w:rStyle w:val="kursiv"/>
        </w:rPr>
        <w:t xml:space="preserve">Vår felles digitale grunnmur – Mobil-, bredbånds- og </w:t>
      </w:r>
      <w:proofErr w:type="spellStart"/>
      <w:r w:rsidRPr="00580C0D">
        <w:rPr>
          <w:rStyle w:val="kursiv"/>
        </w:rPr>
        <w:t>internetttjenester</w:t>
      </w:r>
      <w:proofErr w:type="spellEnd"/>
      <w:r w:rsidRPr="00580C0D">
        <w:t xml:space="preserve">, representantforslag fra stortingsrepresentantene Siv </w:t>
      </w:r>
      <w:proofErr w:type="spellStart"/>
      <w:r w:rsidRPr="00580C0D">
        <w:t>Mossleth</w:t>
      </w:r>
      <w:proofErr w:type="spellEnd"/>
      <w:r w:rsidRPr="00580C0D">
        <w:t xml:space="preserve">, Bengt Fasteraune, Heidi Greni, Åslaug Sem-Jacobsen og Liv Signe Navarsete om en kraftig utbygging av mobildekning i hele landet og representantforslag fra stortingsrepresentantene Helge André Njåstad, Per-Willy Amundsen, Hanne Dyveke </w:t>
      </w:r>
      <w:proofErr w:type="spellStart"/>
      <w:r w:rsidRPr="00580C0D">
        <w:t>Søttar</w:t>
      </w:r>
      <w:proofErr w:type="spellEnd"/>
      <w:r w:rsidRPr="00580C0D">
        <w:t xml:space="preserve">, Tor André Johnsen, Bengt Rune Strifelt, Terje Halleland, Bård </w:t>
      </w:r>
      <w:proofErr w:type="spellStart"/>
      <w:r w:rsidRPr="00580C0D">
        <w:t>Hoksrud</w:t>
      </w:r>
      <w:proofErr w:type="spellEnd"/>
      <w:r w:rsidRPr="00580C0D">
        <w:t xml:space="preserve">, Morten </w:t>
      </w:r>
      <w:proofErr w:type="spellStart"/>
      <w:r w:rsidRPr="00580C0D">
        <w:t>Ørsal</w:t>
      </w:r>
      <w:proofErr w:type="spellEnd"/>
      <w:r w:rsidRPr="00580C0D">
        <w:t xml:space="preserve"> Johansen, Kjell-Børge Freiberg og Gisle Meininger </w:t>
      </w:r>
      <w:proofErr w:type="spellStart"/>
      <w:r w:rsidRPr="00580C0D">
        <w:t>Saudland</w:t>
      </w:r>
      <w:proofErr w:type="spellEnd"/>
      <w:r w:rsidRPr="00580C0D">
        <w:t xml:space="preserve"> om full internettdekning i hele landet i løpet av 2025, jf. Dokument 8:129 S (2020–2021), Dokument 8:151 S (2020–2021) og </w:t>
      </w:r>
      <w:proofErr w:type="spellStart"/>
      <w:r w:rsidRPr="00580C0D">
        <w:t>Innst</w:t>
      </w:r>
      <w:proofErr w:type="spellEnd"/>
      <w:r w:rsidRPr="00580C0D">
        <w:t>. 511 S (2020–2021).</w:t>
      </w:r>
    </w:p>
    <w:p w14:paraId="18C665D9" w14:textId="77777777" w:rsidR="00F7113A" w:rsidRPr="00580C0D" w:rsidRDefault="00142E5B" w:rsidP="00580C0D">
      <w:r w:rsidRPr="00580C0D">
        <w:t xml:space="preserve">Som opplyst i Samferdselsdepartementets </w:t>
      </w:r>
      <w:proofErr w:type="spellStart"/>
      <w:r w:rsidRPr="00580C0D">
        <w:t>Prop</w:t>
      </w:r>
      <w:proofErr w:type="spellEnd"/>
      <w:r w:rsidRPr="00580C0D">
        <w:t xml:space="preserve">. 1 S (2022–2023), var Kommunal- og </w:t>
      </w:r>
      <w:proofErr w:type="spellStart"/>
      <w:r w:rsidRPr="00580C0D">
        <w:t>distriktsdepartementet</w:t>
      </w:r>
      <w:proofErr w:type="spellEnd"/>
      <w:r w:rsidRPr="00580C0D">
        <w:t xml:space="preserve"> og Samferdselsdepartementet fortsatt i dialog for å vurdere hvordan anmodningsvedtaket kunne følges opp.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0E3DFFCA" w14:textId="77777777" w:rsidR="00F7113A" w:rsidRPr="00580C0D" w:rsidRDefault="00142E5B" w:rsidP="00580C0D">
      <w:r w:rsidRPr="00580C0D">
        <w:t xml:space="preserve">Samferdselsdepartementet har i samråd med Kommunal- og </w:t>
      </w:r>
      <w:proofErr w:type="spellStart"/>
      <w:r w:rsidRPr="00580C0D">
        <w:t>distriktsdepartementet</w:t>
      </w:r>
      <w:proofErr w:type="spellEnd"/>
      <w:r w:rsidRPr="00580C0D">
        <w:t xml:space="preserve"> tolket anmodningsvedtaket slik at Stortingets intensjon er at det må stilles krav om at det er tilstrekkelig god mobildekning langs den aktuelle strekningen som omfattes av ordlyden «nye riksveiprosjekter». Dette innebærer at den som har ansvar for prosjektgjennomføringen, må påse at det faktisk er én (eller flere) mobilnetteiere som etablerer dekning på strekningen dersom dekningen ikke allerede er tilstrekkelig.</w:t>
      </w:r>
    </w:p>
    <w:p w14:paraId="7B8AA692" w14:textId="77777777" w:rsidR="00F7113A" w:rsidRPr="00580C0D" w:rsidRDefault="00142E5B" w:rsidP="00580C0D">
      <w:r w:rsidRPr="00580C0D">
        <w:t>Det legges til grunn at full mobil- og internettdekning innebærer normal signaltilgang til mobilnett, der de vanlige mobiltjenestene inklusive mobilt bredbånd, er tilgjengelige.</w:t>
      </w:r>
    </w:p>
    <w:p w14:paraId="1125261A" w14:textId="77777777" w:rsidR="00F7113A" w:rsidRPr="00580C0D" w:rsidRDefault="00142E5B" w:rsidP="00580C0D">
      <w:r w:rsidRPr="00580C0D">
        <w:t>Det er ikke et skarpt skille mellom hva som er «nye riksveiprosjekter» og oppgradering, forbedring eller omlegging av eksisterende veier. Samferdselsdepartementet legger derfor til grunn at «nye riksveiprosjekter» må vurderes av Statens vegvesen og Nye Veier AS ut fra omfanget av det enkelte veiprosjektet. Departementet vil likevel presisere at ordlyden omfatter alle planlagte riksveiprosjekter, herunder europaveiprosjekter.</w:t>
      </w:r>
    </w:p>
    <w:p w14:paraId="59337F0C" w14:textId="77777777" w:rsidR="00F7113A" w:rsidRPr="00580C0D" w:rsidRDefault="00142E5B" w:rsidP="00580C0D">
      <w:r w:rsidRPr="00580C0D">
        <w:t>Departementet vurderer at anmodningsvedtaket gjør det nødvendig med økt tilrettelegging fra Statens vegvesens og Nye Veiers side for at mobilnetteierne skal kunne foreta en utbygging i nye riksveiprosjekter der veier legges i traseer uten tilfredsstillende dekning. Det påpekes at verken Statens vegvesen eller Nye Veier skal innta noen rolle som mobiloperatør, men at det er de kommersielle mobiloperatørene som skal bygge og drifte mobil- og internettdekning. Departementet anser at etaten og selskapet skal øke sin tilrettelegging ved å informere om planlagte prosjekter og ev. leie ut infrastruktur til mobiloperatørene. Mobiloperatørene på sin side skal betale anleggsbidrag og leie av plass i infrastruktur og bekoste ev. ekstra infrastruktur slik det allerede gjøres i dag.</w:t>
      </w:r>
    </w:p>
    <w:p w14:paraId="279DD3C4" w14:textId="77777777" w:rsidR="00F7113A" w:rsidRPr="00580C0D" w:rsidRDefault="00142E5B" w:rsidP="00580C0D">
      <w:r w:rsidRPr="00580C0D">
        <w:t>Som ledd i økt tilrettelegging vil Samferdselsdepartementet gi Statens vegvesen og Nye Veier i oppdrag å:</w:t>
      </w:r>
    </w:p>
    <w:p w14:paraId="6CD1C8F6" w14:textId="77777777" w:rsidR="00F7113A" w:rsidRPr="00580C0D" w:rsidRDefault="00142E5B" w:rsidP="00580C0D">
      <w:pPr>
        <w:pStyle w:val="Liste"/>
      </w:pPr>
      <w:r w:rsidRPr="00580C0D">
        <w:t>varsle mobiloperatørene tidlig i planleggingen av nye veiprosjekter og utbedringsprosjekter der det må fremlegges infrastruktur til eget utstyr, og hvor deler av dette kan leies ut for å bygge mobildekning.</w:t>
      </w:r>
    </w:p>
    <w:p w14:paraId="47177F80" w14:textId="77777777" w:rsidR="00F7113A" w:rsidRPr="00580C0D" w:rsidRDefault="00142E5B" w:rsidP="00580C0D">
      <w:pPr>
        <w:pStyle w:val="Liste"/>
      </w:pPr>
      <w:r w:rsidRPr="00580C0D">
        <w:t>endre avtalen(ene) med mobiloperatørene slik at det kan leies plass i Statens vegvesens/Nye Veiers tekniske anlegg eller eiendommer hvor det er tilgang eller lett kan fremføres strømtilførsel.</w:t>
      </w:r>
    </w:p>
    <w:p w14:paraId="6B832E55" w14:textId="77777777" w:rsidR="00F7113A" w:rsidRPr="00580C0D" w:rsidRDefault="00142E5B" w:rsidP="00580C0D">
      <w:r w:rsidRPr="00580C0D">
        <w:t xml:space="preserve">I tillegg vil departementet gi Statens vegvesen i oppdrag å gjøre krav som går frem av </w:t>
      </w:r>
      <w:r w:rsidRPr="00580C0D">
        <w:rPr>
          <w:rStyle w:val="kursiv"/>
        </w:rPr>
        <w:t>Vegnormal N500 Vegtunneler</w:t>
      </w:r>
      <w:r w:rsidRPr="00580C0D">
        <w:t xml:space="preserve"> pkt. 5.3.11-7 gjeldende for alle relevante veielementer, herunder vei i dagen, bruer, ferjekaier, rasteplasser mv. Kravet i N500 pkt. 5.3.11 -7 lyder: «Tunnelforvalter/vegeier skal legge til rette for utbygging av infrastruktur for mobiltelefoni. Nettoperatør skal få tilgang til nødvendige tegninger for å planlegge utstyrsplass og øvrig infrastruktur. Nettoperatørens byggeplaner skal godkjennes av </w:t>
      </w:r>
      <w:proofErr w:type="spellStart"/>
      <w:r w:rsidRPr="00580C0D">
        <w:t>tunneleier</w:t>
      </w:r>
      <w:proofErr w:type="spellEnd"/>
      <w:r w:rsidRPr="00580C0D">
        <w:t xml:space="preserve"> før iverksetting.»</w:t>
      </w:r>
    </w:p>
    <w:p w14:paraId="2295751B" w14:textId="77777777" w:rsidR="00F7113A" w:rsidRPr="00580C0D" w:rsidRDefault="00142E5B" w:rsidP="00580C0D">
      <w:r w:rsidRPr="00580C0D">
        <w:t>Samferdselsdepartementet vil i etats- og eierstyringen gi Statens vegvesen og Nye Veier i oppdrag om å følge opp de ovennevnte punktene. Statens vegvesen vil samtidig bli bedt om å endre veinormalene slik at dagens tilrettelegging for mobildekning i tunnel skal gjøres gjeldende for alle nye riksveiprosjekter.</w:t>
      </w:r>
    </w:p>
    <w:p w14:paraId="5ABA5AF5" w14:textId="77777777" w:rsidR="00F7113A" w:rsidRPr="00580C0D" w:rsidRDefault="00142E5B" w:rsidP="00580C0D">
      <w:r w:rsidRPr="00580C0D">
        <w:t>Departementet anser med dette anmodningsvedtaket som fulgt opp.</w:t>
      </w:r>
    </w:p>
    <w:p w14:paraId="3A405427" w14:textId="77777777" w:rsidR="00F7113A" w:rsidRPr="00580C0D" w:rsidRDefault="00142E5B" w:rsidP="00580C0D">
      <w:pPr>
        <w:pStyle w:val="avsnitt-tittel"/>
      </w:pPr>
      <w:r w:rsidRPr="00580C0D">
        <w:t>Permanent løysing for småflyaktiviteten i Oslo-området</w:t>
      </w:r>
    </w:p>
    <w:p w14:paraId="50E92C44" w14:textId="77777777" w:rsidR="00F7113A" w:rsidRPr="00580C0D" w:rsidRDefault="00142E5B" w:rsidP="00580C0D">
      <w:pPr>
        <w:pStyle w:val="avsnitt-undertittel"/>
      </w:pPr>
      <w:r w:rsidRPr="00580C0D">
        <w:t>Vedtak nr. 1098, 2. juni 2021</w:t>
      </w:r>
    </w:p>
    <w:p w14:paraId="1C540D37" w14:textId="77777777" w:rsidR="00F7113A" w:rsidRPr="00580C0D" w:rsidRDefault="00142E5B" w:rsidP="00580C0D">
      <w:pPr>
        <w:pStyle w:val="blokksit"/>
        <w:rPr>
          <w:rStyle w:val="kursiv"/>
        </w:rPr>
      </w:pPr>
      <w:r w:rsidRPr="00580C0D">
        <w:rPr>
          <w:rStyle w:val="kursiv"/>
        </w:rPr>
        <w:t>«Stortinget ber regjeringen legge frem en sak for Stortinget med en plan for en permanent løsning for småflyaktiviteten i Oslo-området. Inntil en slik plan foreligger og er realisert, må regjeringen medvirke til at dagens småflyaktivitet kan fortsette ved Kjeller flyplass.»</w:t>
      </w:r>
    </w:p>
    <w:p w14:paraId="5F8BA8A8" w14:textId="77777777" w:rsidR="00F7113A" w:rsidRPr="00580C0D" w:rsidRDefault="00142E5B" w:rsidP="00580C0D">
      <w:r w:rsidRPr="00580C0D">
        <w:t xml:space="preserve">Dokumentet som ligger til grunn for vedtaket er representantforslag fra stortingsrepresentantene Sigbjørn Gjelsvik, Bengt Fasteraune og Ole André Myhrvold om en permanent løsning for småflyaktiviteten i Oslo-området og luftfartøyvernsenter på Kjeller, jf. Dokument 8:241 S (2020–2021), </w:t>
      </w:r>
      <w:proofErr w:type="spellStart"/>
      <w:r w:rsidRPr="00580C0D">
        <w:t>Innst</w:t>
      </w:r>
      <w:proofErr w:type="spellEnd"/>
      <w:r w:rsidRPr="00580C0D">
        <w:t>. 543 S (2020–2021).</w:t>
      </w:r>
    </w:p>
    <w:p w14:paraId="0BD21F48" w14:textId="77777777" w:rsidR="00F7113A" w:rsidRPr="00580C0D" w:rsidRDefault="00142E5B" w:rsidP="00580C0D">
      <w:r w:rsidRPr="00580C0D">
        <w:t xml:space="preserve">I </w:t>
      </w:r>
      <w:proofErr w:type="spellStart"/>
      <w:r w:rsidRPr="00580C0D">
        <w:t>Prop</w:t>
      </w:r>
      <w:proofErr w:type="spellEnd"/>
      <w:r w:rsidRPr="00580C0D">
        <w:t xml:space="preserve">. 1 S (2022–2023) opplyste Samferdselsdepartementet at det tok sikte på en avklaring i rimelig tid før Kjeller etter planen skal stenge, og at departementet avventet kommunens og Riksantikvarens vedtak om henholdsvis etterbruk og vern av flyplassområdet på Kjeller.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1706D65D" w14:textId="77777777" w:rsidR="00F7113A" w:rsidRPr="00580C0D" w:rsidRDefault="00142E5B" w:rsidP="00580C0D">
      <w:r w:rsidRPr="00580C0D">
        <w:t>Våren 2023 besluttet kommunestyret i Lillestrøm å be kommuneadministrasjonen om ytterligere utredning av beslutningsgrunnlaget i saken, herunder økonomi og sikkerhetskrav knyttet til en kombinasjonsløsning med fremtidig byutvikling og levende luftfartøyvernsenter.</w:t>
      </w:r>
    </w:p>
    <w:p w14:paraId="7C5A7304" w14:textId="77777777" w:rsidR="00F7113A" w:rsidRPr="00580C0D" w:rsidRDefault="00142E5B" w:rsidP="00580C0D">
      <w:r w:rsidRPr="00580C0D">
        <w:t>Departementet vil komme tilbake til saken på egnet måte.</w:t>
      </w:r>
    </w:p>
    <w:p w14:paraId="34FB5A5D" w14:textId="77777777" w:rsidR="00F7113A" w:rsidRPr="00580C0D" w:rsidRDefault="00142E5B" w:rsidP="00580C0D">
      <w:pPr>
        <w:pStyle w:val="avsnitt-tittel"/>
      </w:pPr>
      <w:r w:rsidRPr="00580C0D">
        <w:t xml:space="preserve">Evaluere lov om </w:t>
      </w:r>
      <w:proofErr w:type="spellStart"/>
      <w:r w:rsidRPr="00580C0D">
        <w:t>utleige</w:t>
      </w:r>
      <w:proofErr w:type="spellEnd"/>
      <w:r w:rsidRPr="00580C0D">
        <w:t xml:space="preserve"> av små elektriske </w:t>
      </w:r>
      <w:proofErr w:type="spellStart"/>
      <w:r w:rsidRPr="00580C0D">
        <w:t>køyretøy</w:t>
      </w:r>
      <w:proofErr w:type="spellEnd"/>
      <w:r w:rsidRPr="00580C0D">
        <w:t xml:space="preserve"> på </w:t>
      </w:r>
      <w:proofErr w:type="spellStart"/>
      <w:r w:rsidRPr="00580C0D">
        <w:t>offentleg</w:t>
      </w:r>
      <w:proofErr w:type="spellEnd"/>
      <w:r w:rsidRPr="00580C0D">
        <w:t xml:space="preserve"> grunn</w:t>
      </w:r>
    </w:p>
    <w:p w14:paraId="29C669A5" w14:textId="77777777" w:rsidR="00F7113A" w:rsidRPr="00580C0D" w:rsidRDefault="00142E5B" w:rsidP="00580C0D">
      <w:pPr>
        <w:pStyle w:val="avsnitt-undertittel"/>
      </w:pPr>
      <w:r w:rsidRPr="00580C0D">
        <w:t>Vedtak nr. 1210, 10. juni 2021</w:t>
      </w:r>
    </w:p>
    <w:p w14:paraId="3BCF99D6" w14:textId="77777777" w:rsidR="00F7113A" w:rsidRPr="00580C0D" w:rsidRDefault="00142E5B" w:rsidP="00580C0D">
      <w:pPr>
        <w:pStyle w:val="blokksit"/>
        <w:rPr>
          <w:rStyle w:val="kursiv"/>
        </w:rPr>
      </w:pPr>
      <w:r w:rsidRPr="00580C0D">
        <w:rPr>
          <w:rStyle w:val="kursiv"/>
        </w:rPr>
        <w:t>«Stortinget ber regjeringen legge opp til å evaluere lov om utleie av små elektriske kjøretøy på offentlig grunn når det er høstet erfaringer med praksis.»</w:t>
      </w:r>
    </w:p>
    <w:p w14:paraId="264D77BE" w14:textId="77777777" w:rsidR="00F7113A" w:rsidRPr="00580C0D" w:rsidRDefault="00142E5B" w:rsidP="00580C0D">
      <w:r w:rsidRPr="00580C0D">
        <w:t xml:space="preserve">Dokumentene som ligger til grunn for vedtaket, er representantforslag fra stortingsrepresentantene Karin Andersen, </w:t>
      </w:r>
      <w:proofErr w:type="spellStart"/>
      <w:r w:rsidRPr="00580C0D">
        <w:t>Olemic</w:t>
      </w:r>
      <w:proofErr w:type="spellEnd"/>
      <w:r w:rsidRPr="00580C0D">
        <w:t xml:space="preserve"> Thommesen, Stein Erik Lauvås, Heidi Greni og Torhild Bransdal om å gi kommunene klar lovhjemmel for å kunne regulere utleie og bruk av el-sparkesykler og små el-kjøretøy, jf. Dokument 8:293 L (2020–2021) og </w:t>
      </w:r>
      <w:proofErr w:type="spellStart"/>
      <w:r w:rsidRPr="00580C0D">
        <w:t>Innst</w:t>
      </w:r>
      <w:proofErr w:type="spellEnd"/>
      <w:r w:rsidRPr="00580C0D">
        <w:t>. 643 L (2020–2021).</w:t>
      </w:r>
    </w:p>
    <w:p w14:paraId="04F77511" w14:textId="77777777" w:rsidR="00F7113A" w:rsidRPr="00580C0D" w:rsidRDefault="00142E5B" w:rsidP="00580C0D">
      <w:r w:rsidRPr="00580C0D">
        <w:t xml:space="preserve">I </w:t>
      </w:r>
      <w:proofErr w:type="spellStart"/>
      <w:r w:rsidRPr="00580C0D">
        <w:t>Prop</w:t>
      </w:r>
      <w:proofErr w:type="spellEnd"/>
      <w:r w:rsidRPr="00580C0D">
        <w:t xml:space="preserve">. 1 S (2021–2022) opplyste Samferdselsdepartementet at det hadde gitt Transportøkonomisk institutt et oppdrag for å få nærmere kunnskap om hvordan loven så langt har virket.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2452B3C4" w14:textId="77777777" w:rsidR="00F7113A" w:rsidRPr="00580C0D" w:rsidRDefault="00142E5B" w:rsidP="00580C0D">
      <w:r w:rsidRPr="00580C0D">
        <w:t xml:space="preserve">Transportøkonomisk institutt leverte våren 2023 utredningen </w:t>
      </w:r>
      <w:r w:rsidRPr="00580C0D">
        <w:rPr>
          <w:rStyle w:val="kursiv"/>
        </w:rPr>
        <w:t>Erfaringer med lov om utleie av små elektriske kjøretøy på offentlig grunn</w:t>
      </w:r>
      <w:r w:rsidRPr="00580C0D">
        <w:t xml:space="preserve"> til Samferdselsdepartementet. Hovedkonklusjonen i utredningen er at loven synes å ha bidratt til å oppnå formålet, særlig om fremkommelige og trygge offentlige rom. Kommunene har fått et godt og effektivt virkemiddel for å ta kontrollen over utleiemarkedet for el-sparkesykkel. Lov om utleie av små elektriske kjøretøy på offentlig grunn vurderes som hensiktsmessig, men det anbefales at enkelte av bestemmelsene forbedres eller avklares. Rapporten fremhever at det bør åpnes for gategrunnleie, og at kommunene har behov for veiledning. Samferdselsdepartementet vurderer videre justeringer av loven på bakgrunn av evalueringen.</w:t>
      </w:r>
    </w:p>
    <w:p w14:paraId="13C72E96" w14:textId="77777777" w:rsidR="00F7113A" w:rsidRPr="00580C0D" w:rsidRDefault="00142E5B" w:rsidP="00580C0D">
      <w:r w:rsidRPr="00580C0D">
        <w:t>Anmodningsvedtaket anses med dette som fulgt opp.</w:t>
      </w:r>
    </w:p>
    <w:p w14:paraId="5B52F5CD" w14:textId="77777777" w:rsidR="00F7113A" w:rsidRPr="00580C0D" w:rsidRDefault="00142E5B" w:rsidP="00580C0D">
      <w:pPr>
        <w:pStyle w:val="avsnitt-tittel"/>
      </w:pPr>
      <w:r w:rsidRPr="00580C0D">
        <w:t xml:space="preserve">Innarbeide universell utforming av samferdselssektoren som </w:t>
      </w:r>
      <w:proofErr w:type="spellStart"/>
      <w:r w:rsidRPr="00580C0D">
        <w:t>eit</w:t>
      </w:r>
      <w:proofErr w:type="spellEnd"/>
      <w:r w:rsidRPr="00580C0D">
        <w:t xml:space="preserve"> overordna mål i all transportplanlegging</w:t>
      </w:r>
    </w:p>
    <w:p w14:paraId="18AC93FD" w14:textId="77777777" w:rsidR="00F7113A" w:rsidRPr="00580C0D" w:rsidRDefault="00142E5B" w:rsidP="00580C0D">
      <w:pPr>
        <w:pStyle w:val="avsnitt-undertittel"/>
      </w:pPr>
      <w:r w:rsidRPr="00580C0D">
        <w:t>Vedtak nr. 1233, 15. juni 2021</w:t>
      </w:r>
    </w:p>
    <w:p w14:paraId="2FB61492" w14:textId="77777777" w:rsidR="00F7113A" w:rsidRPr="00580C0D" w:rsidRDefault="00142E5B" w:rsidP="00580C0D">
      <w:pPr>
        <w:pStyle w:val="blokksit"/>
        <w:rPr>
          <w:rStyle w:val="kursiv"/>
        </w:rPr>
      </w:pPr>
      <w:r w:rsidRPr="00580C0D">
        <w:rPr>
          <w:rStyle w:val="kursiv"/>
        </w:rPr>
        <w:t>«Stortinget ber regjeringen gjøre nødvendige endringer for å sikre at universell utforming av samferdselssektoren innarbeides som et overordnet mål i all transportplanlegging for å oppnå at Norge blir universelt utformet innen 2035.»</w:t>
      </w:r>
    </w:p>
    <w:p w14:paraId="773FFFB3" w14:textId="77777777" w:rsidR="00F7113A" w:rsidRPr="00580C0D" w:rsidRDefault="00142E5B" w:rsidP="00580C0D">
      <w:r w:rsidRPr="00580C0D">
        <w:t xml:space="preserve">Vedtaket ble truffet ved behandlingen av Meld. St. 20 (2020–2021) </w:t>
      </w:r>
      <w:r w:rsidRPr="00580C0D">
        <w:rPr>
          <w:rStyle w:val="kursiv"/>
        </w:rPr>
        <w:t>Nasjonal transportplan 2022–2033</w:t>
      </w:r>
      <w:r w:rsidRPr="00580C0D">
        <w:t xml:space="preserve">, jf. </w:t>
      </w:r>
      <w:proofErr w:type="spellStart"/>
      <w:r w:rsidRPr="00580C0D">
        <w:t>Innst</w:t>
      </w:r>
      <w:proofErr w:type="spellEnd"/>
      <w:r w:rsidRPr="00580C0D">
        <w:t>. 653 S (2020–2021).</w:t>
      </w:r>
    </w:p>
    <w:p w14:paraId="6D416DFC" w14:textId="77777777" w:rsidR="00F7113A" w:rsidRPr="00580C0D" w:rsidRDefault="00142E5B" w:rsidP="00580C0D">
      <w:r w:rsidRPr="00580C0D">
        <w:t xml:space="preserve">I </w:t>
      </w:r>
      <w:proofErr w:type="spellStart"/>
      <w:r w:rsidRPr="00580C0D">
        <w:t>Prop</w:t>
      </w:r>
      <w:proofErr w:type="spellEnd"/>
      <w:r w:rsidRPr="00580C0D">
        <w:t xml:space="preserve">. 1 S (2022–2023) opplyste Samferdselsdepartementet at det mottok en utredning fra Transportøkonomisk institutt om kunnskapsgrunnlaget og arbeidet med universell utforming av transportsystemet våren 2022, og at departementet ville følge opp utredningen i samarbeid med transportvirksomhetene.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02255569" w14:textId="77777777" w:rsidR="00F7113A" w:rsidRPr="00580C0D" w:rsidRDefault="00142E5B" w:rsidP="00580C0D">
      <w:r w:rsidRPr="00580C0D">
        <w:t>Sammen med innspill fra transportvirksomhetene vil rapporten være grunnlag departementets arbeid med meldingen om Nasjonal transportplan 2025–2036.</w:t>
      </w:r>
    </w:p>
    <w:p w14:paraId="6D4A502B" w14:textId="77777777" w:rsidR="00F7113A" w:rsidRPr="00580C0D" w:rsidRDefault="00142E5B" w:rsidP="00580C0D">
      <w:pPr>
        <w:pStyle w:val="avsnitt-tittel"/>
      </w:pPr>
      <w:r w:rsidRPr="00580C0D">
        <w:t xml:space="preserve">Informasjonsskilt langs </w:t>
      </w:r>
      <w:proofErr w:type="spellStart"/>
      <w:r w:rsidRPr="00580C0D">
        <w:t>vegane</w:t>
      </w:r>
      <w:proofErr w:type="spellEnd"/>
    </w:p>
    <w:p w14:paraId="56F27636" w14:textId="77777777" w:rsidR="00F7113A" w:rsidRPr="00580C0D" w:rsidRDefault="00142E5B" w:rsidP="00580C0D">
      <w:pPr>
        <w:pStyle w:val="avsnitt-undertittel"/>
      </w:pPr>
      <w:r w:rsidRPr="00580C0D">
        <w:t>Vedtak nr. 1242, 15. juni 2021</w:t>
      </w:r>
    </w:p>
    <w:p w14:paraId="2EADD873" w14:textId="77777777" w:rsidR="00F7113A" w:rsidRPr="00580C0D" w:rsidRDefault="00142E5B" w:rsidP="00580C0D">
      <w:pPr>
        <w:pStyle w:val="blokksit"/>
        <w:rPr>
          <w:rStyle w:val="kursiv"/>
        </w:rPr>
      </w:pPr>
      <w:r w:rsidRPr="00580C0D">
        <w:rPr>
          <w:rStyle w:val="kursiv"/>
        </w:rPr>
        <w:t>«Stortinget ber regjeringen endre dagens skiltregelverk slik at det blir enklere for aktører langs vegnettet å informere trafikantene om virksomhetene og hvor de er lokalisert. Stortinget ber regjeringen starte arbeidet med revidering av de nødvendige håndbøker og eventuelle forslag til endringer i vegtrafikkloven slik disse kan gjennomføres så raskt som mulig.»</w:t>
      </w:r>
    </w:p>
    <w:p w14:paraId="5E557DA8" w14:textId="77777777" w:rsidR="00F7113A" w:rsidRPr="00580C0D" w:rsidRDefault="00142E5B" w:rsidP="00580C0D">
      <w:r w:rsidRPr="00580C0D">
        <w:t xml:space="preserve">Dokumentene som ligger til grunn for vedtaket, er representantforslag fra stortingsrepresentantene Tor André Johnsen, Bård </w:t>
      </w:r>
      <w:proofErr w:type="spellStart"/>
      <w:r w:rsidRPr="00580C0D">
        <w:t>Hoksrud</w:t>
      </w:r>
      <w:proofErr w:type="spellEnd"/>
      <w:r w:rsidRPr="00580C0D">
        <w:t xml:space="preserve">, Erlend Wiborg, Åshild Bruun-Gundersen og Helge André Njåstad om å gjøre det enklere å montere informasjonsskilt langs norske veier, jf. Dokument 8:253 S (2020–2021) og </w:t>
      </w:r>
      <w:proofErr w:type="spellStart"/>
      <w:r w:rsidRPr="00580C0D">
        <w:t>Innst</w:t>
      </w:r>
      <w:proofErr w:type="spellEnd"/>
      <w:r w:rsidRPr="00580C0D">
        <w:t>. 636 S (2020–2021).</w:t>
      </w:r>
    </w:p>
    <w:p w14:paraId="10C2739F"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Statens vegvesen hadde gjennomført høring av forslag til endringer i skiltnormalen og ville bl.a. basert på dette utarbeide et endelig endringsforslag som ville bli forelagt Samferdselsdepartementet.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0EDA4938" w14:textId="77777777" w:rsidR="00F7113A" w:rsidRPr="00580C0D" w:rsidRDefault="00142E5B" w:rsidP="00580C0D">
      <w:r w:rsidRPr="00580C0D">
        <w:t>Ettersom det kom inn meget få (13) og sprikende svar på opprinnelig høring, fant Statens vegvesen det nødvendig å be høringsinstansene på nytt om deres synspunkter på forslaget. Særlig problematisk var at bare én kommune og fem fylkeskommuner hadde svart, dette til tross for at ett av forslagene bl.a. gikk ut på å tildele disse organene en ny rolle. Det kom inn da noen flere svar (8), herunder fra seks kommuner og én fylkeskommune.</w:t>
      </w:r>
    </w:p>
    <w:p w14:paraId="6737B47F" w14:textId="77777777" w:rsidR="00F7113A" w:rsidRPr="00580C0D" w:rsidRDefault="00142E5B" w:rsidP="00580C0D">
      <w:r w:rsidRPr="00580C0D">
        <w:t xml:space="preserve">Basert på forslaget og høringsinnspillene, vil Statens vegvesen endre skiltnormalen slik at det blir mulig å bruke serviceskilt til å vise til flere ulike servicetilbud fra motorvei enn det gjeldende skiltnormal åpner for. Innenfor rammene for maksimal informasjonsmengde, vil det åpnes for å skilte bl.a. med skiltene 609 </w:t>
      </w:r>
      <w:r w:rsidRPr="00580C0D">
        <w:rPr>
          <w:rStyle w:val="kursiv"/>
        </w:rPr>
        <w:t>Hurtiglading av motorvogn</w:t>
      </w:r>
      <w:r w:rsidRPr="00580C0D">
        <w:t xml:space="preserve">, 610 </w:t>
      </w:r>
      <w:r w:rsidRPr="00580C0D">
        <w:rPr>
          <w:rStyle w:val="kursiv"/>
        </w:rPr>
        <w:t>Drivstoff</w:t>
      </w:r>
      <w:r w:rsidRPr="00580C0D">
        <w:t xml:space="preserve">, 614 </w:t>
      </w:r>
      <w:r w:rsidRPr="00580C0D">
        <w:rPr>
          <w:rStyle w:val="kursiv"/>
        </w:rPr>
        <w:t>Enklere servering</w:t>
      </w:r>
      <w:r w:rsidRPr="00580C0D">
        <w:t xml:space="preserve">, 616 </w:t>
      </w:r>
      <w:r w:rsidRPr="00580C0D">
        <w:rPr>
          <w:rStyle w:val="kursiv"/>
        </w:rPr>
        <w:t>Spisested</w:t>
      </w:r>
      <w:r w:rsidRPr="00580C0D">
        <w:t xml:space="preserve">, 626 </w:t>
      </w:r>
      <w:r w:rsidRPr="00580C0D">
        <w:rPr>
          <w:rStyle w:val="kursiv"/>
        </w:rPr>
        <w:t>Overnattingssted</w:t>
      </w:r>
      <w:r w:rsidRPr="00580C0D">
        <w:t xml:space="preserve">, 618 </w:t>
      </w:r>
      <w:r w:rsidRPr="00580C0D">
        <w:rPr>
          <w:rStyle w:val="kursiv"/>
        </w:rPr>
        <w:t>Campingplass</w:t>
      </w:r>
      <w:r w:rsidRPr="00580C0D">
        <w:t xml:space="preserve">, 622 </w:t>
      </w:r>
      <w:r w:rsidRPr="00580C0D">
        <w:rPr>
          <w:rStyle w:val="kursiv"/>
        </w:rPr>
        <w:t>Campinghytter</w:t>
      </w:r>
      <w:r w:rsidRPr="00580C0D">
        <w:t xml:space="preserve">, 621 </w:t>
      </w:r>
      <w:r w:rsidRPr="00580C0D">
        <w:rPr>
          <w:rStyle w:val="kursiv"/>
        </w:rPr>
        <w:t>Bobilplass</w:t>
      </w:r>
      <w:r w:rsidRPr="00580C0D">
        <w:t xml:space="preserve"> og 625 </w:t>
      </w:r>
      <w:r w:rsidRPr="00580C0D">
        <w:rPr>
          <w:rStyle w:val="kursiv"/>
        </w:rPr>
        <w:t>Rom og frokost</w:t>
      </w:r>
      <w:r w:rsidRPr="00580C0D">
        <w:t>.</w:t>
      </w:r>
    </w:p>
    <w:p w14:paraId="5F144D18" w14:textId="77777777" w:rsidR="00F7113A" w:rsidRPr="00580C0D" w:rsidRDefault="00142E5B" w:rsidP="00580C0D">
      <w:r w:rsidRPr="00580C0D">
        <w:t>I høringen ble det foreslått en prioritert rekkefølge på nevnte servicesymboler. Om det er hensiktsmessig å angi en prioriteringsrekkefølge, og hvordan denne ev. skal være, vil Statens vegvesen vurdere i det videre arbeidet med revisjon av skiltnormalen.</w:t>
      </w:r>
    </w:p>
    <w:p w14:paraId="28DE6D35" w14:textId="77777777" w:rsidR="00F7113A" w:rsidRPr="00580C0D" w:rsidRDefault="00142E5B" w:rsidP="00580C0D">
      <w:r w:rsidRPr="00580C0D">
        <w:t xml:space="preserve">Statens vegvesen vil videre åpne for at det kan settes opp ett ekstra skilt 731 </w:t>
      </w:r>
      <w:r w:rsidRPr="00580C0D">
        <w:rPr>
          <w:rStyle w:val="kursiv"/>
        </w:rPr>
        <w:t xml:space="preserve">Samleskilt for </w:t>
      </w:r>
      <w:proofErr w:type="spellStart"/>
      <w:r w:rsidRPr="00580C0D">
        <w:rPr>
          <w:rStyle w:val="kursiv"/>
        </w:rPr>
        <w:t>vegvisning</w:t>
      </w:r>
      <w:proofErr w:type="spellEnd"/>
      <w:r w:rsidRPr="00580C0D">
        <w:t xml:space="preserve"> i hvert kryss for annen virksomhetsvisning fra motorvei og motortrafikkvei. Ut fra de mottatte tilbakemeldingene er Statens vegvesen kommet til at det ikke er hensiktsmessig å gi kommuner eller kommuner og fylkeskommuner i fellesskap en ny rolle i forbindelse med prioriteringen av hva som skal stå på det ekstra samleskiltet. Etter Statens vegvesens syn bør det heller vurderes innarbeidet et krav i skiltnormalen om at Statens vegvesen skal involvere berørte kommuner og fylkeskommuner samt lokale turistorganisasjoner, næringslivsorganisasjoner og forvaltningsmyndigheten for naturvernområder der slike samleskilt vurderes satt opp.</w:t>
      </w:r>
    </w:p>
    <w:p w14:paraId="78105BC6" w14:textId="77777777" w:rsidR="00F7113A" w:rsidRPr="00580C0D" w:rsidRDefault="00142E5B" w:rsidP="00580C0D">
      <w:r w:rsidRPr="00580C0D">
        <w:t>Ovennevnte innebærer at det må gjøres endringer i både ordlyd og figurer i flere deler av skiltnormalen. Statens vegvesen arbeider med revisjon og digitalisering av denne normalen og vil i den forbindelse se nærmere på hvordan ordlyd og figurer må endres og innarbeides i nye digitale versjoner av skiltnormalen.</w:t>
      </w:r>
    </w:p>
    <w:p w14:paraId="269DACBF" w14:textId="77777777" w:rsidR="00F7113A" w:rsidRPr="00580C0D" w:rsidRDefault="00142E5B" w:rsidP="00580C0D">
      <w:r w:rsidRPr="00580C0D">
        <w:t>Samferdselsdepartementet mener at de endringene i skiltnormalen som foreslås, vil bidra til at relevante aktører langs norske veier enklere vil kunne informere om sin virksomhet og hvor de er lokalisert. Departementet har heller ikke merknader til Statens vegvesens forslag til rollefordeling ved vurderingen av hva som skal stå på det ekstra samleskiltet for veivisning, som det nå åpnes for å kunne sette opp.</w:t>
      </w:r>
    </w:p>
    <w:p w14:paraId="09F8F1EF" w14:textId="77777777" w:rsidR="00F7113A" w:rsidRPr="00580C0D" w:rsidRDefault="00142E5B" w:rsidP="00580C0D">
      <w:r w:rsidRPr="00580C0D">
        <w:t>Disse endringene kan gjennomføres uten at det er nødvendig å endre vegtrafikkloven.</w:t>
      </w:r>
    </w:p>
    <w:p w14:paraId="2E66096F" w14:textId="77777777" w:rsidR="00F7113A" w:rsidRPr="00580C0D" w:rsidRDefault="00142E5B" w:rsidP="00580C0D">
      <w:r w:rsidRPr="00580C0D">
        <w:t>Anmodningsvedtaket anses med dette som fulgt opp.</w:t>
      </w:r>
    </w:p>
    <w:p w14:paraId="1B84B63A" w14:textId="77777777" w:rsidR="00F7113A" w:rsidRPr="00580C0D" w:rsidRDefault="00142E5B" w:rsidP="00580C0D">
      <w:pPr>
        <w:pStyle w:val="Overskrift2"/>
      </w:pPr>
      <w:r w:rsidRPr="00580C0D">
        <w:t>Stortingssesjonen 2019–2020</w:t>
      </w:r>
    </w:p>
    <w:p w14:paraId="4D4F8CD0" w14:textId="77777777" w:rsidR="00F7113A" w:rsidRPr="00580C0D" w:rsidRDefault="00142E5B" w:rsidP="00580C0D">
      <w:pPr>
        <w:pStyle w:val="avsnitt-tittel"/>
      </w:pPr>
      <w:r w:rsidRPr="00580C0D">
        <w:t xml:space="preserve">Digitalt transportregister for all internasjonal godstrafikk, kombinerte </w:t>
      </w:r>
      <w:proofErr w:type="spellStart"/>
      <w:r w:rsidRPr="00580C0D">
        <w:t>transportar</w:t>
      </w:r>
      <w:proofErr w:type="spellEnd"/>
      <w:r w:rsidRPr="00580C0D">
        <w:t xml:space="preserve"> og </w:t>
      </w:r>
      <w:proofErr w:type="spellStart"/>
      <w:r w:rsidRPr="00580C0D">
        <w:t>kabotasjeturar</w:t>
      </w:r>
      <w:proofErr w:type="spellEnd"/>
      <w:r w:rsidRPr="00580C0D">
        <w:t xml:space="preserve"> i </w:t>
      </w:r>
      <w:proofErr w:type="spellStart"/>
      <w:r w:rsidRPr="00580C0D">
        <w:t>Noreg</w:t>
      </w:r>
      <w:proofErr w:type="spellEnd"/>
    </w:p>
    <w:p w14:paraId="7FD9D4CF" w14:textId="77777777" w:rsidR="00F7113A" w:rsidRPr="00580C0D" w:rsidRDefault="00142E5B" w:rsidP="00580C0D">
      <w:pPr>
        <w:pStyle w:val="avsnitt-undertittel"/>
      </w:pPr>
      <w:r w:rsidRPr="00580C0D">
        <w:t>Vedtak nr. 435, 31. mars 2020</w:t>
      </w:r>
    </w:p>
    <w:p w14:paraId="62C613D1" w14:textId="77777777" w:rsidR="00F7113A" w:rsidRPr="00580C0D" w:rsidRDefault="00142E5B" w:rsidP="00580C0D">
      <w:pPr>
        <w:pStyle w:val="blokksit"/>
        <w:rPr>
          <w:rStyle w:val="kursiv"/>
        </w:rPr>
      </w:pPr>
      <w:r w:rsidRPr="00580C0D">
        <w:rPr>
          <w:rStyle w:val="kursiv"/>
        </w:rPr>
        <w:t>«Stortinget ber regjeringen utrede og fremme forslag om et digitalt transportregister for all internasjonal godstrafikk, kombinerte transporter og kabotasjeturer i Norge.»</w:t>
      </w:r>
    </w:p>
    <w:p w14:paraId="63F31443" w14:textId="77777777" w:rsidR="00F7113A" w:rsidRPr="00580C0D" w:rsidRDefault="00142E5B" w:rsidP="00580C0D">
      <w:r w:rsidRPr="00580C0D">
        <w:t xml:space="preserve">Vedtaket ble truffet ved behandlingen av </w:t>
      </w:r>
      <w:proofErr w:type="spellStart"/>
      <w:r w:rsidRPr="00580C0D">
        <w:t>Prop</w:t>
      </w:r>
      <w:proofErr w:type="spellEnd"/>
      <w:r w:rsidRPr="00580C0D">
        <w:t xml:space="preserve">. 11 LS (2019–2020) </w:t>
      </w:r>
      <w:r w:rsidRPr="00580C0D">
        <w:rPr>
          <w:rStyle w:val="kursiv"/>
        </w:rPr>
        <w:t>Endringer i vegfraktloven mv. (elektroniske fraktbrev) og samtykke til ratifikasjon av tilleggsprotokoll 20. februar 2008 om elektroniske fraktbrev (</w:t>
      </w:r>
      <w:proofErr w:type="spellStart"/>
      <w:r w:rsidRPr="00580C0D">
        <w:rPr>
          <w:rStyle w:val="kursiv"/>
        </w:rPr>
        <w:t>eCMR</w:t>
      </w:r>
      <w:proofErr w:type="spellEnd"/>
      <w:r w:rsidRPr="00580C0D">
        <w:rPr>
          <w:rStyle w:val="kursiv"/>
        </w:rPr>
        <w:t>) til Genève-konvensjonen 19. mai 1956 om fraktavtaler ved internasjonal godsbefordring på veg (CMR)</w:t>
      </w:r>
      <w:r w:rsidRPr="00580C0D">
        <w:t xml:space="preserve">, jf. </w:t>
      </w:r>
      <w:proofErr w:type="spellStart"/>
      <w:r w:rsidRPr="00580C0D">
        <w:t>Innst</w:t>
      </w:r>
      <w:proofErr w:type="spellEnd"/>
      <w:r w:rsidRPr="00580C0D">
        <w:t>. 214 S (2019–2020).</w:t>
      </w:r>
    </w:p>
    <w:p w14:paraId="7F5D3849" w14:textId="77777777" w:rsidR="00F7113A" w:rsidRPr="00580C0D" w:rsidRDefault="00142E5B" w:rsidP="00580C0D">
      <w:r w:rsidRPr="00580C0D">
        <w:t xml:space="preserve">Samferdselsdepartementet opplyste i </w:t>
      </w:r>
      <w:proofErr w:type="spellStart"/>
      <w:r w:rsidRPr="00580C0D">
        <w:t>Prop</w:t>
      </w:r>
      <w:proofErr w:type="spellEnd"/>
      <w:r w:rsidRPr="00580C0D">
        <w:t xml:space="preserve">. 1 S (2022–2023) at Arbeids- og inkluderingsdepartementet og Samferdselsdepartementet fortsatt vurderte oppfølgingen av vedtaket.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36454294" w14:textId="77777777" w:rsidR="00F7113A" w:rsidRPr="00580C0D" w:rsidRDefault="00142E5B" w:rsidP="00580C0D">
      <w:r w:rsidRPr="00580C0D">
        <w:t xml:space="preserve">I handlingsplanen mot sosial dumping i transportsektoren varslet regjeringen at et digitalt transportregister vil bli etablert gjennom tilslutning til EUs registreringsordning for internasjonale gods- og persontransportoppdrag som innebærer utsending av sjåfører. Registreringsordningen har sitt grunnlag i direktiv (EU) 2020/1057 om særregler for utsending av sjåfører og håndheving av kjøre- og hviletidsregler og arbeidstidsregler for sjåfører. Bestemmelser som gjennomfører direktivets regler om utsending i norsk rett, herunder nødvendige bestemmelser om krav til registrering, har vært på alminnelig høring og er fastsatt av Arbeids- og inkluderingsdepartementet i forskrift 30. juni 2023 nr. 1178 om endring i forskrift om utsendte arbeidstakere. Kravet om registrering vil gjelde for kabotasjetransport (transport utført av utenlandsk transportvirksomhet der lasting og lossing av gods skjer i Norge) og tredjelandstransport (transport mellom Norge og et annet land der ingen av landene er transportvirksomhetens </w:t>
      </w:r>
      <w:proofErr w:type="spellStart"/>
      <w:r w:rsidRPr="00580C0D">
        <w:t>etableringsland</w:t>
      </w:r>
      <w:proofErr w:type="spellEnd"/>
      <w:r w:rsidRPr="00580C0D">
        <w:t>), herunder når slike transporter inngår som del av kombinerte transporter. Bestemmelsene om plikt til registrering trer i kraft så snart Norge er innlemmet i EUs register.</w:t>
      </w:r>
    </w:p>
    <w:p w14:paraId="1A17FD90" w14:textId="77777777" w:rsidR="00F7113A" w:rsidRPr="00580C0D" w:rsidRDefault="00142E5B" w:rsidP="00580C0D">
      <w:r w:rsidRPr="00580C0D">
        <w:t>Anmodningsvedtaket anses med dette som fulgt opp.</w:t>
      </w:r>
    </w:p>
    <w:p w14:paraId="25672FF7" w14:textId="77777777" w:rsidR="00F7113A" w:rsidRPr="00580C0D" w:rsidRDefault="00142E5B" w:rsidP="00580C0D">
      <w:pPr>
        <w:pStyle w:val="Overskrift2"/>
      </w:pPr>
      <w:r w:rsidRPr="00580C0D">
        <w:t>Stortingssesjonen 2018–2019</w:t>
      </w:r>
    </w:p>
    <w:p w14:paraId="02A7E87B" w14:textId="77777777" w:rsidR="00F7113A" w:rsidRPr="00580C0D" w:rsidRDefault="00142E5B" w:rsidP="00580C0D">
      <w:pPr>
        <w:pStyle w:val="avsnitt-tittel"/>
      </w:pPr>
      <w:r w:rsidRPr="00580C0D">
        <w:t xml:space="preserve">Administrative </w:t>
      </w:r>
      <w:proofErr w:type="spellStart"/>
      <w:r w:rsidRPr="00580C0D">
        <w:t>sanksjonar</w:t>
      </w:r>
      <w:proofErr w:type="spellEnd"/>
      <w:r w:rsidRPr="00580C0D">
        <w:t xml:space="preserve"> ved </w:t>
      </w:r>
      <w:proofErr w:type="spellStart"/>
      <w:r w:rsidRPr="00580C0D">
        <w:t>brot</w:t>
      </w:r>
      <w:proofErr w:type="spellEnd"/>
      <w:r w:rsidRPr="00580C0D">
        <w:t xml:space="preserve"> på kabotasjeregelverket</w:t>
      </w:r>
    </w:p>
    <w:p w14:paraId="7E8E70AD" w14:textId="77777777" w:rsidR="00F7113A" w:rsidRPr="00580C0D" w:rsidRDefault="00142E5B" w:rsidP="00580C0D">
      <w:pPr>
        <w:pStyle w:val="avsnitt-undertittel"/>
      </w:pPr>
      <w:r w:rsidRPr="00580C0D">
        <w:t>Vedtak nr. 345, 18. desember 2018</w:t>
      </w:r>
    </w:p>
    <w:p w14:paraId="39858D51" w14:textId="77777777" w:rsidR="00F7113A" w:rsidRPr="00580C0D" w:rsidRDefault="00142E5B" w:rsidP="00580C0D">
      <w:pPr>
        <w:pStyle w:val="blokksit"/>
        <w:rPr>
          <w:rStyle w:val="kursiv"/>
        </w:rPr>
      </w:pPr>
      <w:r w:rsidRPr="00580C0D">
        <w:rPr>
          <w:rStyle w:val="kursiv"/>
        </w:rPr>
        <w:t>«Stortinget ber regjeringen vurdere om det er mer hensiktsmessig å benytte administrative sanksjoner i form av forenklet forelegg for å sikre en mer effektiv oppfølging av brudd på kabotasjeregelverket, herunder nivået på foreleggene og muligheten til å kreve det inn på stedet.»</w:t>
      </w:r>
    </w:p>
    <w:p w14:paraId="538B3F8E" w14:textId="77777777" w:rsidR="00F7113A" w:rsidRPr="00580C0D" w:rsidRDefault="00142E5B" w:rsidP="00580C0D">
      <w:r w:rsidRPr="00580C0D">
        <w:t xml:space="preserve">Dokumentene som ligger til grunn for vedtaket er representantforslag fra stortingsrepresentantene Arne Nævra, Kari Elisabeth </w:t>
      </w:r>
      <w:proofErr w:type="spellStart"/>
      <w:r w:rsidRPr="00580C0D">
        <w:t>Kaski</w:t>
      </w:r>
      <w:proofErr w:type="spellEnd"/>
      <w:r w:rsidRPr="00580C0D">
        <w:t xml:space="preserve">, Karin Andersen, Freddy André </w:t>
      </w:r>
      <w:proofErr w:type="spellStart"/>
      <w:r w:rsidRPr="00580C0D">
        <w:t>Øvstegård</w:t>
      </w:r>
      <w:proofErr w:type="spellEnd"/>
      <w:r w:rsidRPr="00580C0D">
        <w:t xml:space="preserve"> og Lars Haltbrekken om en bærekraftig godsnæring og mer gods på bane, jf. Dokument 8:22 S (2018–2019) og </w:t>
      </w:r>
      <w:proofErr w:type="spellStart"/>
      <w:r w:rsidRPr="00580C0D">
        <w:t>Innst</w:t>
      </w:r>
      <w:proofErr w:type="spellEnd"/>
      <w:r w:rsidRPr="00580C0D">
        <w:t>. 66 S (2018–2019).</w:t>
      </w:r>
    </w:p>
    <w:p w14:paraId="20121057" w14:textId="77777777" w:rsidR="00F7113A" w:rsidRPr="00580C0D" w:rsidRDefault="00142E5B" w:rsidP="00580C0D">
      <w:r w:rsidRPr="00580C0D">
        <w:t xml:space="preserve">I </w:t>
      </w:r>
      <w:proofErr w:type="spellStart"/>
      <w:r w:rsidRPr="00580C0D">
        <w:t>Prop</w:t>
      </w:r>
      <w:proofErr w:type="spellEnd"/>
      <w:r w:rsidRPr="00580C0D">
        <w:t xml:space="preserve">. 1 S (2022–2023) opplyste Samferdselsdepartementet at det jobbet med å ferdigstille en proposisjon med forslag til endringer i yrkestransportloven. Ved behandlingen av anmodningsvedtakene tok kontroll- og konstitusjonskomiteen regjeringens oppfølging eller planer om oppfølging til etterretning, jf. </w:t>
      </w:r>
      <w:proofErr w:type="spellStart"/>
      <w:r w:rsidRPr="00580C0D">
        <w:t>Innst</w:t>
      </w:r>
      <w:proofErr w:type="spellEnd"/>
      <w:r w:rsidRPr="00580C0D">
        <w:t>. 186 S (2022–2023).</w:t>
      </w:r>
    </w:p>
    <w:p w14:paraId="7009A6B4" w14:textId="77777777" w:rsidR="00F7113A" w:rsidRPr="00580C0D" w:rsidRDefault="00142E5B" w:rsidP="00580C0D">
      <w:proofErr w:type="spellStart"/>
      <w:r w:rsidRPr="00580C0D">
        <w:t>Prop</w:t>
      </w:r>
      <w:proofErr w:type="spellEnd"/>
      <w:r w:rsidRPr="00580C0D">
        <w:t xml:space="preserve">. 43 L (2022–2023) </w:t>
      </w:r>
      <w:r w:rsidRPr="00580C0D">
        <w:rPr>
          <w:rStyle w:val="kursiv"/>
        </w:rPr>
        <w:t>Endringer i yrkestransportlova (fagkompetansekrav for drosjeløyvehavere og overtredelsesgebyr)</w:t>
      </w:r>
      <w:r w:rsidRPr="00580C0D">
        <w:t xml:space="preserve"> ble fremmet 17. februar 2023. Den inneholdt forslag til lovendringer for å innføre overtredelsesgebyr for flere brudd på yrkestransportregelverket, bl.a. kabotasjereglene. Overtredelsesgebyr er en form for administrativ sanksjon, jf. forvaltningsloven §§ 43 og 44. Forslag til forskriftsendringene som følger opp lovendringene har vært på høring. Avhengig av enkelte avklaringer i lys av høringen, tar Samferdselsdepartementet sikte på å vedta forskriftsendringene høsten 2023, for mulig ikrafttredelse 1. januar 2024.</w:t>
      </w:r>
    </w:p>
    <w:p w14:paraId="3D4D4412" w14:textId="77777777" w:rsidR="00F7113A" w:rsidRPr="00580C0D" w:rsidRDefault="00142E5B" w:rsidP="00580C0D">
      <w:r w:rsidRPr="00580C0D">
        <w:t>Departementet anser med dette anmodningsvedtaket som ivaretatt.</w:t>
      </w:r>
    </w:p>
    <w:p w14:paraId="28D78A5C" w14:textId="77777777" w:rsidR="00F7113A" w:rsidRPr="00580C0D" w:rsidRDefault="00142E5B" w:rsidP="00580C0D">
      <w:pPr>
        <w:pStyle w:val="Overskrift1"/>
      </w:pPr>
      <w:r w:rsidRPr="00580C0D">
        <w:t>Utenriksdepartementet</w:t>
      </w:r>
    </w:p>
    <w:p w14:paraId="6FE3A809" w14:textId="1F41B3F0" w:rsidR="00F7113A" w:rsidRDefault="00142E5B" w:rsidP="00580C0D">
      <w:r w:rsidRPr="00580C0D">
        <w:t xml:space="preserve">Nedenfor gis en oversikt over oppfølging av anmodningsvedtak under Utenriksdepartementet. Oversikten inkluderer alle vedtak fra stortingssesjonen 2022–2023, samt de vedtakene fra tidligere stortingssesjoner som kontroll- og konstitusjonskomiteen i </w:t>
      </w:r>
      <w:proofErr w:type="spellStart"/>
      <w:r w:rsidRPr="00580C0D">
        <w:t>Innst</w:t>
      </w:r>
      <w:proofErr w:type="spellEnd"/>
      <w:r w:rsidRPr="00580C0D">
        <w:t>. 186 S (2022–2023) mente ikke var kvittert ut. I tabellen nedenfor angis det også hvorvidt departementet planlegger at rapporteringen knyttet til anmodningsvedtaket nå avsluttes eller om departementet vil rapportere konkret på vedtaket også i neste års budsjettproposisjon.</w:t>
      </w:r>
    </w:p>
    <w:p w14:paraId="36A0D0D6" w14:textId="527862A1" w:rsidR="00BD6CF4" w:rsidRPr="00580C0D" w:rsidRDefault="00BD6CF4" w:rsidP="00BD6CF4">
      <w:pPr>
        <w:pStyle w:val="tabell-tittel"/>
      </w:pPr>
      <w:r w:rsidRPr="00580C0D">
        <w:t>Oversikt over anmodnings- og utredningsvedtak, ordnet etter sesjon og nummer</w:t>
      </w:r>
    </w:p>
    <w:p w14:paraId="0BB25F74" w14:textId="77777777" w:rsidR="00F7113A" w:rsidRPr="00580C0D" w:rsidRDefault="00142E5B" w:rsidP="00580C0D">
      <w:pPr>
        <w:pStyle w:val="Tabellnavn"/>
      </w:pPr>
      <w:r w:rsidRPr="00580C0D">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180"/>
        <w:gridCol w:w="1220"/>
        <w:gridCol w:w="5680"/>
        <w:gridCol w:w="1480"/>
      </w:tblGrid>
      <w:tr w:rsidR="00F7113A" w:rsidRPr="00580C0D" w14:paraId="0E7F5D68" w14:textId="77777777" w:rsidTr="00BD6CF4">
        <w:trPr>
          <w:trHeight w:val="860"/>
        </w:trPr>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7E357E" w14:textId="77777777" w:rsidR="00F7113A" w:rsidRPr="00580C0D" w:rsidRDefault="00142E5B" w:rsidP="00BD6CF4">
            <w:r w:rsidRPr="00580C0D">
              <w:t>Sesjon</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D6DA86" w14:textId="77777777" w:rsidR="00F7113A" w:rsidRPr="00580C0D" w:rsidRDefault="00142E5B" w:rsidP="00BD6CF4">
            <w:pPr>
              <w:jc w:val="center"/>
            </w:pPr>
            <w:r w:rsidRPr="00580C0D">
              <w:t>Vedtak nr.</w:t>
            </w:r>
          </w:p>
        </w:tc>
        <w:tc>
          <w:tcPr>
            <w:tcW w:w="5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89FF8E" w14:textId="77777777" w:rsidR="00F7113A" w:rsidRPr="00580C0D" w:rsidRDefault="00142E5B" w:rsidP="00BD6CF4">
            <w:r w:rsidRPr="00580C0D">
              <w:t>Stikkord</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D98E5" w14:textId="77777777" w:rsidR="00F7113A" w:rsidRPr="00580C0D" w:rsidRDefault="00142E5B" w:rsidP="00BD6CF4">
            <w:pPr>
              <w:jc w:val="right"/>
            </w:pPr>
            <w:r w:rsidRPr="00580C0D">
              <w:t xml:space="preserve">Rapportering </w:t>
            </w:r>
            <w:r w:rsidRPr="00580C0D">
              <w:br/>
              <w:t xml:space="preserve">avsluttes </w:t>
            </w:r>
            <w:r w:rsidRPr="00580C0D">
              <w:br/>
              <w:t>(Ja/Nei)</w:t>
            </w:r>
          </w:p>
        </w:tc>
      </w:tr>
      <w:tr w:rsidR="00F7113A" w:rsidRPr="00580C0D" w14:paraId="2BF8B02C" w14:textId="77777777" w:rsidTr="00BD6CF4">
        <w:trPr>
          <w:trHeight w:val="640"/>
        </w:trPr>
        <w:tc>
          <w:tcPr>
            <w:tcW w:w="1180" w:type="dxa"/>
            <w:tcBorders>
              <w:top w:val="single" w:sz="4" w:space="0" w:color="000000"/>
              <w:left w:val="nil"/>
              <w:bottom w:val="nil"/>
              <w:right w:val="nil"/>
            </w:tcBorders>
            <w:tcMar>
              <w:top w:w="128" w:type="dxa"/>
              <w:left w:w="43" w:type="dxa"/>
              <w:bottom w:w="43" w:type="dxa"/>
              <w:right w:w="43" w:type="dxa"/>
            </w:tcMar>
          </w:tcPr>
          <w:p w14:paraId="472F0944" w14:textId="77777777" w:rsidR="00F7113A" w:rsidRPr="00580C0D" w:rsidRDefault="00142E5B" w:rsidP="00BD6CF4">
            <w:r w:rsidRPr="00580C0D">
              <w:t>2022–2023</w:t>
            </w:r>
          </w:p>
        </w:tc>
        <w:tc>
          <w:tcPr>
            <w:tcW w:w="1220" w:type="dxa"/>
            <w:tcBorders>
              <w:top w:val="single" w:sz="4" w:space="0" w:color="000000"/>
              <w:left w:val="nil"/>
              <w:bottom w:val="nil"/>
              <w:right w:val="nil"/>
            </w:tcBorders>
            <w:tcMar>
              <w:top w:w="128" w:type="dxa"/>
              <w:left w:w="43" w:type="dxa"/>
              <w:bottom w:w="43" w:type="dxa"/>
              <w:right w:w="43" w:type="dxa"/>
            </w:tcMar>
          </w:tcPr>
          <w:p w14:paraId="72834F2A" w14:textId="77777777" w:rsidR="00F7113A" w:rsidRPr="00580C0D" w:rsidRDefault="00142E5B" w:rsidP="00BD6CF4">
            <w:pPr>
              <w:ind w:right="340"/>
              <w:jc w:val="right"/>
            </w:pPr>
            <w:r w:rsidRPr="00580C0D">
              <w:t>468</w:t>
            </w:r>
          </w:p>
        </w:tc>
        <w:tc>
          <w:tcPr>
            <w:tcW w:w="5680" w:type="dxa"/>
            <w:tcBorders>
              <w:top w:val="single" w:sz="4" w:space="0" w:color="000000"/>
              <w:left w:val="nil"/>
              <w:bottom w:val="nil"/>
              <w:right w:val="nil"/>
            </w:tcBorders>
            <w:tcMar>
              <w:top w:w="128" w:type="dxa"/>
              <w:left w:w="43" w:type="dxa"/>
              <w:bottom w:w="43" w:type="dxa"/>
              <w:right w:w="43" w:type="dxa"/>
            </w:tcMar>
          </w:tcPr>
          <w:p w14:paraId="3280F9D1" w14:textId="77777777" w:rsidR="00F7113A" w:rsidRPr="00580C0D" w:rsidRDefault="00142E5B" w:rsidP="00BD6CF4">
            <w:r w:rsidRPr="00580C0D">
              <w:t>Norges rolle i det internasjonale arbeidet for å identifisere, etterforske og straffeforfølge krigsforbrytelser i Ukraina</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18FC8EA3" w14:textId="77777777" w:rsidR="00F7113A" w:rsidRPr="00580C0D" w:rsidRDefault="00142E5B" w:rsidP="00BD6CF4">
            <w:pPr>
              <w:jc w:val="right"/>
            </w:pPr>
            <w:r w:rsidRPr="00580C0D">
              <w:t>Ja</w:t>
            </w:r>
          </w:p>
        </w:tc>
      </w:tr>
      <w:tr w:rsidR="00F7113A" w:rsidRPr="00580C0D" w14:paraId="17E129CB" w14:textId="77777777" w:rsidTr="00BD6CF4">
        <w:trPr>
          <w:trHeight w:val="380"/>
        </w:trPr>
        <w:tc>
          <w:tcPr>
            <w:tcW w:w="1180" w:type="dxa"/>
            <w:tcBorders>
              <w:top w:val="nil"/>
              <w:left w:val="nil"/>
              <w:bottom w:val="single" w:sz="4" w:space="0" w:color="000000"/>
              <w:right w:val="nil"/>
            </w:tcBorders>
            <w:tcMar>
              <w:top w:w="128" w:type="dxa"/>
              <w:left w:w="43" w:type="dxa"/>
              <w:bottom w:w="43" w:type="dxa"/>
              <w:right w:w="43" w:type="dxa"/>
            </w:tcMar>
          </w:tcPr>
          <w:p w14:paraId="7E8B6138" w14:textId="77777777" w:rsidR="00F7113A" w:rsidRPr="00580C0D" w:rsidRDefault="00142E5B" w:rsidP="00BD6CF4">
            <w:r w:rsidRPr="00580C0D">
              <w:t>2022–2023</w:t>
            </w:r>
          </w:p>
        </w:tc>
        <w:tc>
          <w:tcPr>
            <w:tcW w:w="1220" w:type="dxa"/>
            <w:tcBorders>
              <w:top w:val="nil"/>
              <w:left w:val="nil"/>
              <w:bottom w:val="single" w:sz="4" w:space="0" w:color="000000"/>
              <w:right w:val="nil"/>
            </w:tcBorders>
            <w:tcMar>
              <w:top w:w="128" w:type="dxa"/>
              <w:left w:w="43" w:type="dxa"/>
              <w:bottom w:w="43" w:type="dxa"/>
              <w:right w:w="43" w:type="dxa"/>
            </w:tcMar>
          </w:tcPr>
          <w:p w14:paraId="441DAE5C" w14:textId="77777777" w:rsidR="00F7113A" w:rsidRPr="00580C0D" w:rsidRDefault="00142E5B" w:rsidP="00BD6CF4">
            <w:pPr>
              <w:ind w:right="340"/>
              <w:jc w:val="right"/>
            </w:pPr>
            <w:r w:rsidRPr="00580C0D">
              <w:t>539</w:t>
            </w:r>
          </w:p>
        </w:tc>
        <w:tc>
          <w:tcPr>
            <w:tcW w:w="5680" w:type="dxa"/>
            <w:tcBorders>
              <w:top w:val="nil"/>
              <w:left w:val="nil"/>
              <w:bottom w:val="single" w:sz="4" w:space="0" w:color="000000"/>
              <w:right w:val="nil"/>
            </w:tcBorders>
            <w:tcMar>
              <w:top w:w="128" w:type="dxa"/>
              <w:left w:w="43" w:type="dxa"/>
              <w:bottom w:w="43" w:type="dxa"/>
              <w:right w:w="43" w:type="dxa"/>
            </w:tcMar>
          </w:tcPr>
          <w:p w14:paraId="41B6D391" w14:textId="77777777" w:rsidR="00F7113A" w:rsidRPr="00580C0D" w:rsidRDefault="00142E5B" w:rsidP="00BD6CF4">
            <w:r w:rsidRPr="00580C0D">
              <w:t>Eksportkontroll og kunnskapsoverføring</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1DDF3AD8" w14:textId="77777777" w:rsidR="00F7113A" w:rsidRPr="00580C0D" w:rsidRDefault="00142E5B" w:rsidP="00BD6CF4">
            <w:pPr>
              <w:jc w:val="right"/>
            </w:pPr>
            <w:r w:rsidRPr="00580C0D">
              <w:t>Nei</w:t>
            </w:r>
          </w:p>
        </w:tc>
      </w:tr>
    </w:tbl>
    <w:p w14:paraId="7225B35A" w14:textId="77777777" w:rsidR="00F7113A" w:rsidRPr="00580C0D" w:rsidRDefault="00142E5B" w:rsidP="001A1B0B">
      <w:pPr>
        <w:pStyle w:val="Overskrift2"/>
        <w:numPr>
          <w:ilvl w:val="1"/>
          <w:numId w:val="37"/>
        </w:numPr>
      </w:pPr>
      <w:r w:rsidRPr="00580C0D">
        <w:t>Stortingssesjonen 2022–2023</w:t>
      </w:r>
    </w:p>
    <w:p w14:paraId="2B5E6F25" w14:textId="77777777" w:rsidR="00F7113A" w:rsidRPr="00580C0D" w:rsidRDefault="00142E5B" w:rsidP="00580C0D">
      <w:pPr>
        <w:pStyle w:val="avsnitt-tittel"/>
      </w:pPr>
      <w:r w:rsidRPr="00580C0D">
        <w:t>Norges rolle i det internasjonale arbeidet for å identifisere, etterforske og straffeforfølge krigsforbrytelser i Ukraina</w:t>
      </w:r>
    </w:p>
    <w:p w14:paraId="60DAA433" w14:textId="77777777" w:rsidR="00F7113A" w:rsidRPr="00580C0D" w:rsidRDefault="00142E5B" w:rsidP="00580C0D">
      <w:pPr>
        <w:pStyle w:val="avsnitt-undertittel"/>
      </w:pPr>
      <w:r w:rsidRPr="00580C0D">
        <w:t>Vedtak nr. 468, 19. januar 2023</w:t>
      </w:r>
    </w:p>
    <w:p w14:paraId="3EDA167D" w14:textId="77777777" w:rsidR="00F7113A" w:rsidRPr="00580C0D" w:rsidRDefault="00142E5B" w:rsidP="00580C0D">
      <w:pPr>
        <w:pStyle w:val="blokksit"/>
        <w:rPr>
          <w:rStyle w:val="kursiv"/>
        </w:rPr>
      </w:pPr>
      <w:r w:rsidRPr="00580C0D">
        <w:rPr>
          <w:rStyle w:val="kursiv"/>
        </w:rPr>
        <w:t>«Stortinget ber regjeringen ta en ledende rolle i det internasjonale arbeidet for å identifisere, etterforske og straffeforfølge krigsforbrytelser i Ukraina, for eksempel gjennom økte bevilgninger til Den internasjonale straffedomstolen, Den internasjonale domstolen og Den internasjonale kommisjonen for savnede personer samt til frivillige organisasjoner som bidrar til dokumentasjon av krigsforbrytelser.»</w:t>
      </w:r>
    </w:p>
    <w:p w14:paraId="4F9D8AB5" w14:textId="77777777" w:rsidR="00F7113A" w:rsidRPr="00580C0D" w:rsidRDefault="00142E5B" w:rsidP="00580C0D">
      <w:r w:rsidRPr="00580C0D">
        <w:t xml:space="preserve">Vedtaket ble fattet i forbindelse med Stortingets behandling av et representantforslag om en langsiktig og forpliktende plan for støtte til Ukraina, jf. Dokument 8:20 S (2022–2023) og </w:t>
      </w:r>
      <w:proofErr w:type="spellStart"/>
      <w:r w:rsidRPr="00580C0D">
        <w:t>Innst</w:t>
      </w:r>
      <w:proofErr w:type="spellEnd"/>
      <w:r w:rsidRPr="00580C0D">
        <w:t>. 134 S (2022–2023). Regjeringen har innenfor Nansen-programmet for Ukraina (kap. 159, post 73) satt av midler til å støtte organisasjoner som arbeider for å identifisere, dokumentere, etterforske og straffeforfølge mulige krigsforbrytelser.</w:t>
      </w:r>
    </w:p>
    <w:p w14:paraId="69DF1EAA" w14:textId="77777777" w:rsidR="00F7113A" w:rsidRPr="00580C0D" w:rsidRDefault="00142E5B" w:rsidP="00580C0D">
      <w:r w:rsidRPr="00580C0D">
        <w:t xml:space="preserve">Norge intervenerer i saken Ukraina har anlagt mot Russland for Den internasjonale domstolen om </w:t>
      </w:r>
      <w:proofErr w:type="spellStart"/>
      <w:r w:rsidRPr="00580C0D">
        <w:t>folkemordkonvensjonen</w:t>
      </w:r>
      <w:proofErr w:type="spellEnd"/>
      <w:r w:rsidRPr="00580C0D">
        <w:t xml:space="preserve"> som påstått grunnlag for Russlands angrep på Ukraina. Norge intervenerer også i saken Ukraina har anlagt mot Russland for Den europeiske menneskerettighetsdomstolen, som gjelder Russlands militære operasjoner i Ukraina siden 24. februar 2022. Videre ble Norge i januar 2023 medlem av kjernegruppen av land som er for rettsforfølgelse av de ansvarlige for Russlands aggresjon.</w:t>
      </w:r>
    </w:p>
    <w:p w14:paraId="2FA84297" w14:textId="77777777" w:rsidR="00F7113A" w:rsidRPr="00580C0D" w:rsidRDefault="00142E5B" w:rsidP="00580C0D">
      <w:r w:rsidRPr="00580C0D">
        <w:t xml:space="preserve">I mars 2022 henviste Norge, sammen med et 40-talls andre land, situasjonen i Ukraina til Den internasjonale straffedomstols (ICCs) hovedanklager. Dette gjorde at ICC raskt kunne sette i gang etterforskning av krigsforbrytelser og mulige forbrytelser mot menneskeheten begått i forbindelse med krigen i Ukraina. Ingen har immunitet overfor ICC. Det betyr at i prinsippet kan denne etterforskningen lede til straffeforfølgning av det russiske lederskapet etter Roma-vedtektenes bestemmelser om kommandoansvar. 17. mars utstedte ICC også arrestordre mot president Vladimir Putin og «barneombud» Maria </w:t>
      </w:r>
      <w:proofErr w:type="spellStart"/>
      <w:r w:rsidRPr="00580C0D">
        <w:t>Lvova</w:t>
      </w:r>
      <w:proofErr w:type="spellEnd"/>
      <w:r w:rsidRPr="00580C0D">
        <w:t xml:space="preserve">-Belova for bortføring av barn (en krigsforbrytelse). Norge støtter ICCs arbeid, blant annet gjennom </w:t>
      </w:r>
      <w:proofErr w:type="spellStart"/>
      <w:r w:rsidRPr="00580C0D">
        <w:t>sekonderinger</w:t>
      </w:r>
      <w:proofErr w:type="spellEnd"/>
      <w:r w:rsidRPr="00580C0D">
        <w:t xml:space="preserve"> av to etterforskere fra Kripos.</w:t>
      </w:r>
    </w:p>
    <w:p w14:paraId="650F64BC" w14:textId="77777777" w:rsidR="00F7113A" w:rsidRPr="00580C0D" w:rsidRDefault="00142E5B" w:rsidP="00580C0D">
      <w:r w:rsidRPr="00580C0D">
        <w:t xml:space="preserve">30. mars 2023 utløste 45 medlemsstater i Organisasjonen for sikkerhet og samarbeid i Europa (OSSE), etter konsultasjoner med Ukraina, OSSEs Moskva-mekanisme på tema tvungen fordrivelse eller deportasjon av barn fra krigsteatret i Ukraina til ukrainsk territorium midlertidig okkupert av Russland eller til Den russiske føderasjon. Cecilie </w:t>
      </w:r>
      <w:proofErr w:type="spellStart"/>
      <w:r w:rsidRPr="00580C0D">
        <w:t>Hellestveit</w:t>
      </w:r>
      <w:proofErr w:type="spellEnd"/>
      <w:r w:rsidRPr="00580C0D">
        <w:t xml:space="preserve"> ble valgt av Ukraina og de øvrige statene som en av mekanismens tre internasjonale eksperter, sammen med professor Veronika </w:t>
      </w:r>
      <w:proofErr w:type="spellStart"/>
      <w:r w:rsidRPr="00580C0D">
        <w:t>Bilková</w:t>
      </w:r>
      <w:proofErr w:type="spellEnd"/>
      <w:r w:rsidRPr="00580C0D">
        <w:rPr>
          <w:rStyle w:val="halvfet0"/>
        </w:rPr>
        <w:t xml:space="preserve"> </w:t>
      </w:r>
      <w:r w:rsidRPr="00580C0D">
        <w:t xml:space="preserve">og Elina </w:t>
      </w:r>
      <w:proofErr w:type="spellStart"/>
      <w:r w:rsidRPr="00580C0D">
        <w:t>Steinerte</w:t>
      </w:r>
      <w:proofErr w:type="spellEnd"/>
      <w:r w:rsidRPr="00580C0D">
        <w:t>. Ekspertgruppen avleverte og presenterte rapporten for OSSEs permanente råd i Wien 4. mai 2023.</w:t>
      </w:r>
    </w:p>
    <w:p w14:paraId="1A985DE3" w14:textId="77777777" w:rsidR="00F7113A" w:rsidRPr="00580C0D" w:rsidRDefault="00142E5B" w:rsidP="00580C0D">
      <w:r w:rsidRPr="00580C0D">
        <w:t xml:space="preserve">Norge støtter dokumentasjon og opplæring av ukrainske påtalemyndigheter og politi gjennom norske organisasjoner med særlig kompetanse på feltet. Norge vil støtte Europarådets nye handlingsplan for rettsstat, demokrati og menneskerettigheter. Støtte til FNs overvåking av menneskerettighetene (UN Human Rights </w:t>
      </w:r>
      <w:proofErr w:type="spellStart"/>
      <w:r w:rsidRPr="00580C0D">
        <w:t>Monitoring</w:t>
      </w:r>
      <w:proofErr w:type="spellEnd"/>
      <w:r w:rsidRPr="00580C0D">
        <w:t xml:space="preserve"> </w:t>
      </w:r>
      <w:proofErr w:type="spellStart"/>
      <w:r w:rsidRPr="00580C0D">
        <w:t>Mission</w:t>
      </w:r>
      <w:proofErr w:type="spellEnd"/>
      <w:r w:rsidRPr="00580C0D">
        <w:t xml:space="preserve">) blir videreført. Støtte til EUs innsats for å bistå ukrainsk politi og påtalemyndighet (EU </w:t>
      </w:r>
      <w:proofErr w:type="spellStart"/>
      <w:r w:rsidRPr="00580C0D">
        <w:t>Advisory</w:t>
      </w:r>
      <w:proofErr w:type="spellEnd"/>
      <w:r w:rsidRPr="00580C0D">
        <w:t xml:space="preserve"> </w:t>
      </w:r>
      <w:proofErr w:type="spellStart"/>
      <w:r w:rsidRPr="00580C0D">
        <w:t>Mission</w:t>
      </w:r>
      <w:proofErr w:type="spellEnd"/>
      <w:r w:rsidRPr="00580C0D">
        <w:t>) vurderes også. Utenriksdepartementet vil arbeide videre med støtte til ansvarliggjøring innenfor Nansen-programmet. Departementet anser med dette at vedtaket er fulgt opp.</w:t>
      </w:r>
    </w:p>
    <w:p w14:paraId="62567BEB" w14:textId="77777777" w:rsidR="00F7113A" w:rsidRPr="00580C0D" w:rsidRDefault="00142E5B" w:rsidP="00580C0D">
      <w:pPr>
        <w:pStyle w:val="avsnitt-tittel"/>
      </w:pPr>
      <w:r w:rsidRPr="00580C0D">
        <w:t>Eksportkontroll og kunnskapsoverføring</w:t>
      </w:r>
    </w:p>
    <w:p w14:paraId="2ADCD7E4" w14:textId="77777777" w:rsidR="00F7113A" w:rsidRPr="00580C0D" w:rsidRDefault="00142E5B" w:rsidP="00580C0D">
      <w:pPr>
        <w:pStyle w:val="avsnitt-undertittel"/>
      </w:pPr>
      <w:r w:rsidRPr="00580C0D">
        <w:t>Vedtak nr. 539, 23. mars 2023</w:t>
      </w:r>
    </w:p>
    <w:p w14:paraId="7553006B" w14:textId="77777777" w:rsidR="00F7113A" w:rsidRPr="00580C0D" w:rsidRDefault="00142E5B" w:rsidP="00580C0D">
      <w:pPr>
        <w:pStyle w:val="blokksit"/>
        <w:rPr>
          <w:rStyle w:val="kursiv"/>
        </w:rPr>
      </w:pPr>
      <w:r w:rsidRPr="00580C0D">
        <w:rPr>
          <w:rStyle w:val="kursiv"/>
        </w:rPr>
        <w:t>«Stortinget ber regjeringen snarest gjennomføre nødvendige endringer i eksportkontrollforskriften, slik at man får mer målrettet kontroll av kunnskap med militære anvendelser som overføres til utenlandske borgere og virksomheter.»</w:t>
      </w:r>
    </w:p>
    <w:p w14:paraId="0C440ABA" w14:textId="77777777" w:rsidR="00F7113A" w:rsidRPr="00580C0D" w:rsidRDefault="00142E5B" w:rsidP="00580C0D">
      <w:r w:rsidRPr="00580C0D">
        <w:t xml:space="preserve">Vedtaket ble fattet i forbindelse med Stortingets behandling av et representantforslag om styrking av rikets sikkerhet og kontraetterretning, jf. Dokument 8:51 S (2022–2023) og </w:t>
      </w:r>
      <w:proofErr w:type="spellStart"/>
      <w:r w:rsidRPr="00580C0D">
        <w:t>Innst</w:t>
      </w:r>
      <w:proofErr w:type="spellEnd"/>
      <w:r w:rsidRPr="00580C0D">
        <w:t>. 231 S (2022–2023). Utenriksdepartementet sendte forslag til endringer i eksportkontrollforskriften på høring våren 2022 og mottok mange substansielle innspill i høringsrunden. Høringen viser at det er behov for ytterligere vurderinger i samråd med utdannings- og forskningsinstitusjoner som berøres. I lys av høringssvarene vurderer departementet hvordan forskriftsendringen på best mulig måte kan gjennomføres. Dette arbeidet pågår. Departementet vil komme tilbake til Stortinget om saken på egnet måte. Inntil videre fortsetter departementet å saksbehandle iht. gjeldende regelverk samt veilede bedrifter og akademiske institusjoner. I juni 2023 besluttet regjeringen å opprette en etat for eksportkontroll og sanksjoner underlagt Utenriksdepartementet. Etaten skal opprettes så snart som mulig. Etableringen av etaten vil sikre styrket kapasitet til saksbehandling og veiledning av kunnskapssektoren som berøres av eksportkontrollregelverket.</w:t>
      </w:r>
    </w:p>
    <w:p w14:paraId="295C2CCE" w14:textId="77777777" w:rsidR="00F7113A" w:rsidRPr="00580C0D" w:rsidRDefault="00142E5B" w:rsidP="00580C0D">
      <w:pPr>
        <w:pStyle w:val="a-tilraar-dep"/>
      </w:pPr>
      <w:r w:rsidRPr="00580C0D">
        <w:t>Statsministerens kontor</w:t>
      </w:r>
    </w:p>
    <w:p w14:paraId="502FAD42" w14:textId="77777777" w:rsidR="00F7113A" w:rsidRPr="00580C0D" w:rsidRDefault="00142E5B" w:rsidP="00580C0D">
      <w:pPr>
        <w:pStyle w:val="a-tilraar-tit"/>
      </w:pPr>
      <w:r w:rsidRPr="00580C0D">
        <w:t>tilrår:</w:t>
      </w:r>
    </w:p>
    <w:p w14:paraId="6C56E6E7" w14:textId="028867E4" w:rsidR="00F7113A" w:rsidRPr="00580C0D" w:rsidRDefault="00142E5B" w:rsidP="00580C0D">
      <w:r w:rsidRPr="00580C0D">
        <w:t>Tilråding fra Statsministerens kontor 29. september 2023 om anmodnings- og utredningsvedtak i stortingssesjonen 2022–2023 blir sendt Stortinget.</w:t>
      </w:r>
    </w:p>
    <w:sectPr w:rsidR="00F7113A" w:rsidRPr="00580C0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3142" w14:textId="77777777" w:rsidR="00F7113A" w:rsidRDefault="00142E5B">
      <w:pPr>
        <w:spacing w:after="0" w:line="240" w:lineRule="auto"/>
      </w:pPr>
      <w:r>
        <w:separator/>
      </w:r>
    </w:p>
  </w:endnote>
  <w:endnote w:type="continuationSeparator" w:id="0">
    <w:p w14:paraId="218EB8B9" w14:textId="77777777" w:rsidR="00F7113A" w:rsidRDefault="001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EDD9" w14:textId="77777777" w:rsidR="00F7113A" w:rsidRDefault="00142E5B">
      <w:pPr>
        <w:spacing w:after="0" w:line="240" w:lineRule="auto"/>
      </w:pPr>
      <w:r>
        <w:separator/>
      </w:r>
    </w:p>
  </w:footnote>
  <w:footnote w:type="continuationSeparator" w:id="0">
    <w:p w14:paraId="73B57F3D" w14:textId="77777777" w:rsidR="00F7113A" w:rsidRDefault="00142E5B">
      <w:pPr>
        <w:spacing w:after="0" w:line="240" w:lineRule="auto"/>
      </w:pPr>
      <w:r>
        <w:continuationSeparator/>
      </w:r>
    </w:p>
  </w:footnote>
  <w:footnote w:id="1">
    <w:p w14:paraId="44EDF6D7" w14:textId="2C11B7F0" w:rsidR="00F7113A" w:rsidRDefault="00142E5B">
      <w:pPr>
        <w:pStyle w:val="Fotnotetekst"/>
      </w:pPr>
      <w:r>
        <w:rPr>
          <w:vertAlign w:val="superscript"/>
        </w:rPr>
        <w:footnoteRef/>
      </w:r>
      <w:r w:rsidRPr="00580C0D">
        <w:t>Forkortinga MWp står for megawatt-peak og blir brukt for å beskrive merkeeffekten til solkraftanlegga. Det vil seie kor mykje effekt anlegga leverer under standard testforhold, mellom anna med ei gitt solinnstråling.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419057762">
    <w:abstractNumId w:val="26"/>
  </w:num>
  <w:num w:numId="2" w16cid:durableId="1605267452">
    <w:abstractNumId w:val="21"/>
  </w:num>
  <w:num w:numId="3" w16cid:durableId="1421485066">
    <w:abstractNumId w:val="25"/>
  </w:num>
  <w:num w:numId="4" w16cid:durableId="1380737936">
    <w:abstractNumId w:val="5"/>
  </w:num>
  <w:num w:numId="5" w16cid:durableId="1369573354">
    <w:abstractNumId w:val="9"/>
  </w:num>
  <w:num w:numId="6" w16cid:durableId="1292249380">
    <w:abstractNumId w:val="2"/>
  </w:num>
  <w:num w:numId="7" w16cid:durableId="1925457972">
    <w:abstractNumId w:val="0"/>
  </w:num>
  <w:num w:numId="8" w16cid:durableId="328405589">
    <w:abstractNumId w:val="13"/>
  </w:num>
  <w:num w:numId="9" w16cid:durableId="1948273946">
    <w:abstractNumId w:val="16"/>
  </w:num>
  <w:num w:numId="10" w16cid:durableId="655455297">
    <w:abstractNumId w:val="15"/>
  </w:num>
  <w:num w:numId="11" w16cid:durableId="986863374">
    <w:abstractNumId w:val="1"/>
  </w:num>
  <w:num w:numId="12" w16cid:durableId="2028404885">
    <w:abstractNumId w:val="10"/>
  </w:num>
  <w:num w:numId="13" w16cid:durableId="363752200">
    <w:abstractNumId w:val="3"/>
  </w:num>
  <w:num w:numId="14" w16cid:durableId="1689674287">
    <w:abstractNumId w:val="4"/>
  </w:num>
  <w:num w:numId="15" w16cid:durableId="1731734759">
    <w:abstractNumId w:val="14"/>
  </w:num>
  <w:num w:numId="16" w16cid:durableId="1361248817">
    <w:abstractNumId w:val="19"/>
  </w:num>
  <w:num w:numId="17" w16cid:durableId="1017583448">
    <w:abstractNumId w:val="23"/>
  </w:num>
  <w:num w:numId="18" w16cid:durableId="936449497">
    <w:abstractNumId w:val="7"/>
  </w:num>
  <w:num w:numId="19" w16cid:durableId="1516074378">
    <w:abstractNumId w:val="17"/>
  </w:num>
  <w:num w:numId="20" w16cid:durableId="316080251">
    <w:abstractNumId w:val="24"/>
  </w:num>
  <w:num w:numId="21" w16cid:durableId="653027407">
    <w:abstractNumId w:val="11"/>
  </w:num>
  <w:num w:numId="22" w16cid:durableId="1511065527">
    <w:abstractNumId w:val="12"/>
  </w:num>
  <w:num w:numId="23" w16cid:durableId="1881823184">
    <w:abstractNumId w:val="22"/>
  </w:num>
  <w:num w:numId="24" w16cid:durableId="1296569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6082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9522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3390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95462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5190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6800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1250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0293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42396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6349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299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7481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4985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606184">
    <w:abstractNumId w:val="8"/>
  </w:num>
  <w:num w:numId="39" w16cid:durableId="967705514">
    <w:abstractNumId w:val="18"/>
  </w:num>
  <w:num w:numId="40" w16cid:durableId="843016308">
    <w:abstractNumId w:val="6"/>
  </w:num>
  <w:num w:numId="41" w16cid:durableId="1900742926">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80C0D"/>
    <w:rsid w:val="001231A3"/>
    <w:rsid w:val="00142E5B"/>
    <w:rsid w:val="001A1B0B"/>
    <w:rsid w:val="00251BE9"/>
    <w:rsid w:val="003C787D"/>
    <w:rsid w:val="00580C0D"/>
    <w:rsid w:val="005E03DE"/>
    <w:rsid w:val="00901405"/>
    <w:rsid w:val="009A1051"/>
    <w:rsid w:val="00BD6CF4"/>
    <w:rsid w:val="00C26F72"/>
    <w:rsid w:val="00C52034"/>
    <w:rsid w:val="00D665D9"/>
    <w:rsid w:val="00E13315"/>
    <w:rsid w:val="00F37F87"/>
    <w:rsid w:val="00F711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4ED3B9"/>
  <w14:defaultImageDpi w14:val="0"/>
  <w15:docId w15:val="{1F241492-505D-4527-B917-886C9582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DE"/>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5E03DE"/>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5E03DE"/>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5E03DE"/>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5E03DE"/>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5E03DE"/>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5E03D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E03D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E03D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E03DE"/>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E03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E03D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5E03D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E03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E03DE"/>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5E03DE"/>
    <w:pPr>
      <w:numPr>
        <w:numId w:val="9"/>
      </w:numPr>
      <w:spacing w:after="0"/>
    </w:pPr>
    <w:rPr>
      <w:spacing w:val="4"/>
    </w:rPr>
  </w:style>
  <w:style w:type="paragraph" w:customStyle="1" w:styleId="alfaliste2">
    <w:name w:val="alfaliste 2"/>
    <w:basedOn w:val="Normal"/>
    <w:rsid w:val="005E03DE"/>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E03DE"/>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E03DE"/>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E03DE"/>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E03DE"/>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E03DE"/>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E03DE"/>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5E03DE"/>
    <w:rPr>
      <w:rFonts w:ascii="Arial" w:eastAsia="Times New Roman" w:hAnsi="Arial"/>
      <w:b/>
      <w:spacing w:val="4"/>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E03D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5E03DE"/>
  </w:style>
  <w:style w:type="paragraph" w:customStyle="1" w:styleId="del-nr">
    <w:name w:val="del-nr"/>
    <w:basedOn w:val="Normal"/>
    <w:qFormat/>
    <w:rsid w:val="005E03DE"/>
    <w:pPr>
      <w:keepNext/>
      <w:keepLines/>
      <w:spacing w:before="360" w:after="0" w:line="240" w:lineRule="auto"/>
      <w:jc w:val="center"/>
    </w:pPr>
    <w:rPr>
      <w:rFonts w:eastAsia="Batang"/>
      <w:i/>
      <w:sz w:val="48"/>
      <w:szCs w:val="20"/>
    </w:rPr>
  </w:style>
  <w:style w:type="paragraph" w:customStyle="1" w:styleId="del-tittel">
    <w:name w:val="del-tittel"/>
    <w:uiPriority w:val="99"/>
    <w:rsid w:val="005E03D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E03DE"/>
    <w:rPr>
      <w:spacing w:val="4"/>
    </w:rPr>
  </w:style>
  <w:style w:type="paragraph" w:customStyle="1" w:styleId="figur-noter">
    <w:name w:val="figur-noter"/>
    <w:basedOn w:val="Normal"/>
    <w:next w:val="Normal"/>
    <w:rsid w:val="005E03D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E03D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E03DE"/>
    <w:rPr>
      <w:spacing w:val="4"/>
      <w:sz w:val="20"/>
    </w:rPr>
  </w:style>
  <w:style w:type="character" w:customStyle="1" w:styleId="FotnotetekstTegn">
    <w:name w:val="Fotnotetekst Tegn"/>
    <w:basedOn w:val="Standardskriftforavsnitt"/>
    <w:link w:val="Fotnotetekst"/>
    <w:rsid w:val="005E03DE"/>
    <w:rPr>
      <w:rFonts w:ascii="Times New Roman" w:eastAsia="Times New Roman" w:hAnsi="Times New Roman"/>
      <w:spacing w:val="4"/>
      <w:sz w:val="20"/>
    </w:rPr>
  </w:style>
  <w:style w:type="paragraph" w:customStyle="1" w:styleId="friliste">
    <w:name w:val="friliste"/>
    <w:basedOn w:val="Normal"/>
    <w:qFormat/>
    <w:rsid w:val="005E03DE"/>
    <w:pPr>
      <w:tabs>
        <w:tab w:val="left" w:pos="397"/>
      </w:tabs>
      <w:spacing w:after="0"/>
      <w:ind w:left="397" w:hanging="397"/>
    </w:pPr>
  </w:style>
  <w:style w:type="paragraph" w:customStyle="1" w:styleId="friliste2">
    <w:name w:val="friliste 2"/>
    <w:basedOn w:val="Normal"/>
    <w:qFormat/>
    <w:rsid w:val="005E03DE"/>
    <w:pPr>
      <w:tabs>
        <w:tab w:val="left" w:pos="794"/>
      </w:tabs>
      <w:spacing w:after="0"/>
      <w:ind w:left="794" w:hanging="397"/>
    </w:pPr>
  </w:style>
  <w:style w:type="paragraph" w:customStyle="1" w:styleId="friliste3">
    <w:name w:val="friliste 3"/>
    <w:basedOn w:val="Normal"/>
    <w:qFormat/>
    <w:rsid w:val="005E03DE"/>
    <w:pPr>
      <w:tabs>
        <w:tab w:val="left" w:pos="1191"/>
      </w:tabs>
      <w:spacing w:after="0"/>
      <w:ind w:left="1191" w:hanging="397"/>
    </w:pPr>
  </w:style>
  <w:style w:type="paragraph" w:customStyle="1" w:styleId="friliste4">
    <w:name w:val="friliste 4"/>
    <w:basedOn w:val="Normal"/>
    <w:qFormat/>
    <w:rsid w:val="005E03DE"/>
    <w:pPr>
      <w:tabs>
        <w:tab w:val="left" w:pos="1588"/>
      </w:tabs>
      <w:spacing w:after="0"/>
      <w:ind w:left="1588" w:hanging="397"/>
    </w:pPr>
  </w:style>
  <w:style w:type="paragraph" w:customStyle="1" w:styleId="friliste5">
    <w:name w:val="friliste 5"/>
    <w:basedOn w:val="Normal"/>
    <w:qFormat/>
    <w:rsid w:val="005E03DE"/>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E03D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5E03DE"/>
    <w:pPr>
      <w:jc w:val="right"/>
    </w:pPr>
    <w:rPr>
      <w:rFonts w:ascii="Times" w:hAnsi="Times"/>
      <w:b/>
      <w:noProof/>
      <w:spacing w:val="4"/>
      <w:u w:val="single"/>
    </w:rPr>
  </w:style>
  <w:style w:type="paragraph" w:customStyle="1" w:styleId="i-hode">
    <w:name w:val="i-hode"/>
    <w:basedOn w:val="Normal"/>
    <w:next w:val="Normal"/>
    <w:rsid w:val="005E03DE"/>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E03DE"/>
    <w:pPr>
      <w:keepNext/>
      <w:keepLines/>
      <w:jc w:val="center"/>
    </w:pPr>
    <w:rPr>
      <w:rFonts w:eastAsia="Batang"/>
      <w:b/>
      <w:spacing w:val="4"/>
      <w:sz w:val="28"/>
    </w:rPr>
  </w:style>
  <w:style w:type="paragraph" w:customStyle="1" w:styleId="i-mtit">
    <w:name w:val="i-mtit"/>
    <w:basedOn w:val="Normal"/>
    <w:next w:val="Normal"/>
    <w:rsid w:val="005E03DE"/>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E03DE"/>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E03D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basedOn w:val="Normal"/>
    <w:next w:val="i-statsrdato"/>
    <w:rsid w:val="005E03D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E03DE"/>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E03DE"/>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E03DE"/>
    <w:pPr>
      <w:numPr>
        <w:numId w:val="10"/>
      </w:numPr>
    </w:pPr>
    <w:rPr>
      <w:rFonts w:eastAsiaTheme="minorEastAsia"/>
    </w:rPr>
  </w:style>
  <w:style w:type="paragraph" w:customStyle="1" w:styleId="l-alfaliste2">
    <w:name w:val="l-alfaliste 2"/>
    <w:basedOn w:val="alfaliste2"/>
    <w:qFormat/>
    <w:rsid w:val="005E03DE"/>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E03DE"/>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E03DE"/>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E03DE"/>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E03DE"/>
    <w:rPr>
      <w:lang w:val="nn-NO"/>
    </w:rPr>
  </w:style>
  <w:style w:type="paragraph" w:customStyle="1" w:styleId="l-ledd">
    <w:name w:val="l-ledd"/>
    <w:basedOn w:val="Normal"/>
    <w:qFormat/>
    <w:rsid w:val="005E03DE"/>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E03D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E03D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E03D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E03DE"/>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E03DE"/>
    <w:pPr>
      <w:spacing w:after="0"/>
    </w:pPr>
    <w:rPr>
      <w:spacing w:val="4"/>
    </w:rPr>
  </w:style>
  <w:style w:type="paragraph" w:customStyle="1" w:styleId="l-tit-endr-avsnitt">
    <w:name w:val="l-tit-endr-avsnitt"/>
    <w:basedOn w:val="l-tit-endr-lovkap"/>
    <w:qFormat/>
    <w:rsid w:val="005E03DE"/>
  </w:style>
  <w:style w:type="paragraph" w:customStyle="1" w:styleId="l-tit-endr-ledd">
    <w:name w:val="l-tit-endr-ledd"/>
    <w:basedOn w:val="Normal"/>
    <w:qFormat/>
    <w:rsid w:val="005E03D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E03D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E03D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E03D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5E03D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E03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E03DE"/>
    <w:pPr>
      <w:numPr>
        <w:numId w:val="16"/>
      </w:numPr>
      <w:spacing w:line="240" w:lineRule="auto"/>
      <w:contextualSpacing/>
    </w:pPr>
    <w:rPr>
      <w:spacing w:val="4"/>
    </w:rPr>
  </w:style>
  <w:style w:type="paragraph" w:styleId="Liste2">
    <w:name w:val="List 2"/>
    <w:basedOn w:val="Normal"/>
    <w:rsid w:val="005E03DE"/>
    <w:pPr>
      <w:numPr>
        <w:ilvl w:val="1"/>
        <w:numId w:val="16"/>
      </w:numPr>
      <w:spacing w:after="0"/>
    </w:pPr>
    <w:rPr>
      <w:spacing w:val="4"/>
    </w:rPr>
  </w:style>
  <w:style w:type="paragraph" w:styleId="Liste3">
    <w:name w:val="List 3"/>
    <w:basedOn w:val="Normal"/>
    <w:rsid w:val="005E03DE"/>
    <w:pPr>
      <w:numPr>
        <w:ilvl w:val="2"/>
        <w:numId w:val="16"/>
      </w:numPr>
      <w:spacing w:after="0"/>
    </w:pPr>
  </w:style>
  <w:style w:type="paragraph" w:styleId="Liste4">
    <w:name w:val="List 4"/>
    <w:basedOn w:val="Normal"/>
    <w:rsid w:val="005E03DE"/>
    <w:pPr>
      <w:numPr>
        <w:ilvl w:val="3"/>
        <w:numId w:val="16"/>
      </w:numPr>
      <w:spacing w:after="0"/>
    </w:pPr>
  </w:style>
  <w:style w:type="paragraph" w:styleId="Liste5">
    <w:name w:val="List 5"/>
    <w:basedOn w:val="Normal"/>
    <w:rsid w:val="005E03DE"/>
    <w:pPr>
      <w:numPr>
        <w:ilvl w:val="4"/>
        <w:numId w:val="16"/>
      </w:numPr>
      <w:spacing w:after="0"/>
    </w:pPr>
  </w:style>
  <w:style w:type="paragraph" w:customStyle="1" w:styleId="Listebombe">
    <w:name w:val="Liste bombe"/>
    <w:basedOn w:val="Liste"/>
    <w:qFormat/>
    <w:rsid w:val="005E03DE"/>
    <w:pPr>
      <w:numPr>
        <w:numId w:val="18"/>
      </w:numPr>
    </w:pPr>
  </w:style>
  <w:style w:type="paragraph" w:customStyle="1" w:styleId="Listebombe2">
    <w:name w:val="Liste bombe 2"/>
    <w:basedOn w:val="Liste2"/>
    <w:qFormat/>
    <w:rsid w:val="005E03DE"/>
    <w:pPr>
      <w:numPr>
        <w:ilvl w:val="0"/>
        <w:numId w:val="19"/>
      </w:numPr>
    </w:pPr>
  </w:style>
  <w:style w:type="paragraph" w:customStyle="1" w:styleId="Listebombe3">
    <w:name w:val="Liste bombe 3"/>
    <w:basedOn w:val="Liste3"/>
    <w:qFormat/>
    <w:rsid w:val="005E03DE"/>
    <w:pPr>
      <w:numPr>
        <w:ilvl w:val="0"/>
        <w:numId w:val="20"/>
      </w:numPr>
    </w:pPr>
  </w:style>
  <w:style w:type="paragraph" w:customStyle="1" w:styleId="Listebombe4">
    <w:name w:val="Liste bombe 4"/>
    <w:basedOn w:val="Liste4"/>
    <w:qFormat/>
    <w:rsid w:val="005E03DE"/>
    <w:pPr>
      <w:numPr>
        <w:ilvl w:val="0"/>
        <w:numId w:val="21"/>
      </w:numPr>
    </w:pPr>
  </w:style>
  <w:style w:type="paragraph" w:customStyle="1" w:styleId="Listebombe5">
    <w:name w:val="Liste bombe 5"/>
    <w:basedOn w:val="Liste5"/>
    <w:qFormat/>
    <w:rsid w:val="005E03DE"/>
    <w:pPr>
      <w:numPr>
        <w:ilvl w:val="0"/>
        <w:numId w:val="22"/>
      </w:numPr>
    </w:pPr>
  </w:style>
  <w:style w:type="paragraph" w:styleId="Listeavsnitt">
    <w:name w:val="List Paragraph"/>
    <w:basedOn w:val="Normal"/>
    <w:uiPriority w:val="34"/>
    <w:qFormat/>
    <w:rsid w:val="005E03DE"/>
    <w:pPr>
      <w:spacing w:before="60" w:after="0"/>
      <w:ind w:left="397"/>
    </w:pPr>
  </w:style>
  <w:style w:type="paragraph" w:customStyle="1" w:styleId="Listeavsnitt2">
    <w:name w:val="Listeavsnitt 2"/>
    <w:basedOn w:val="Normal"/>
    <w:qFormat/>
    <w:rsid w:val="005E03DE"/>
    <w:pPr>
      <w:spacing w:before="60" w:after="0"/>
      <w:ind w:left="794"/>
    </w:pPr>
  </w:style>
  <w:style w:type="paragraph" w:customStyle="1" w:styleId="Listeavsnitt3">
    <w:name w:val="Listeavsnitt 3"/>
    <w:basedOn w:val="Normal"/>
    <w:qFormat/>
    <w:rsid w:val="005E03DE"/>
    <w:pPr>
      <w:spacing w:before="60" w:after="0"/>
      <w:ind w:left="1191"/>
    </w:pPr>
  </w:style>
  <w:style w:type="paragraph" w:customStyle="1" w:styleId="Listeavsnitt4">
    <w:name w:val="Listeavsnitt 4"/>
    <w:basedOn w:val="Normal"/>
    <w:qFormat/>
    <w:rsid w:val="005E03DE"/>
    <w:pPr>
      <w:spacing w:before="60" w:after="0"/>
      <w:ind w:left="1588"/>
    </w:pPr>
  </w:style>
  <w:style w:type="paragraph" w:customStyle="1" w:styleId="Listeavsnitt5">
    <w:name w:val="Listeavsnitt 5"/>
    <w:basedOn w:val="Normal"/>
    <w:qFormat/>
    <w:rsid w:val="005E03D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E03D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E03DE"/>
    <w:pPr>
      <w:numPr>
        <w:numId w:val="12"/>
      </w:numPr>
      <w:spacing w:after="0"/>
    </w:pPr>
    <w:rPr>
      <w:rFonts w:ascii="Times" w:eastAsia="Batang" w:hAnsi="Times"/>
      <w:szCs w:val="20"/>
    </w:rPr>
  </w:style>
  <w:style w:type="paragraph" w:styleId="Nummerertliste2">
    <w:name w:val="List Number 2"/>
    <w:basedOn w:val="Normal"/>
    <w:rsid w:val="005E03DE"/>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E03DE"/>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E03DE"/>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E03DE"/>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E03DE"/>
    <w:pPr>
      <w:spacing w:after="0"/>
      <w:ind w:left="397"/>
    </w:pPr>
    <w:rPr>
      <w:lang w:val="en-US"/>
    </w:rPr>
  </w:style>
  <w:style w:type="paragraph" w:customStyle="1" w:styleId="opplisting3">
    <w:name w:val="opplisting 3"/>
    <w:basedOn w:val="Normal"/>
    <w:qFormat/>
    <w:rsid w:val="005E03DE"/>
    <w:pPr>
      <w:spacing w:after="0"/>
      <w:ind w:left="794"/>
    </w:pPr>
  </w:style>
  <w:style w:type="paragraph" w:customStyle="1" w:styleId="opplisting4">
    <w:name w:val="opplisting 4"/>
    <w:basedOn w:val="Normal"/>
    <w:qFormat/>
    <w:rsid w:val="005E03DE"/>
    <w:pPr>
      <w:spacing w:after="0"/>
      <w:ind w:left="1191"/>
    </w:pPr>
  </w:style>
  <w:style w:type="paragraph" w:customStyle="1" w:styleId="opplisting5">
    <w:name w:val="opplisting 5"/>
    <w:basedOn w:val="Normal"/>
    <w:qFormat/>
    <w:rsid w:val="005E03DE"/>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5E03DE"/>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5E03DE"/>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5E03DE"/>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5E03DE"/>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E03DE"/>
    <w:rPr>
      <w:spacing w:val="6"/>
      <w:sz w:val="19"/>
    </w:rPr>
  </w:style>
  <w:style w:type="paragraph" w:customStyle="1" w:styleId="ramme-noter">
    <w:name w:val="ramme-noter"/>
    <w:basedOn w:val="Normal"/>
    <w:next w:val="Normal"/>
    <w:rsid w:val="005E03DE"/>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5E03D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E03DE"/>
    <w:pPr>
      <w:numPr>
        <w:numId w:val="17"/>
      </w:numPr>
      <w:spacing w:after="0" w:line="240" w:lineRule="auto"/>
    </w:pPr>
    <w:rPr>
      <w:rFonts w:ascii="Times" w:eastAsia="Batang" w:hAnsi="Times"/>
      <w:szCs w:val="20"/>
    </w:rPr>
  </w:style>
  <w:style w:type="paragraph" w:customStyle="1" w:styleId="romertallliste2">
    <w:name w:val="romertall liste 2"/>
    <w:basedOn w:val="Normal"/>
    <w:rsid w:val="005E03DE"/>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E03DE"/>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E03DE"/>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E03DE"/>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E03D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E03DE"/>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E03DE"/>
    <w:rPr>
      <w:rFonts w:ascii="Times" w:hAnsi="Times"/>
      <w:vanish/>
      <w:color w:val="00B050"/>
    </w:rPr>
  </w:style>
  <w:style w:type="paragraph" w:customStyle="1" w:styleId="Tabellnavn-kode">
    <w:name w:val="Tabellnavn-kode"/>
    <w:basedOn w:val="Tabellnavn"/>
    <w:qFormat/>
    <w:rsid w:val="005E03DE"/>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
    <w:qFormat/>
    <w:rsid w:val="005E03D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E03D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E03DE"/>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5E03DE"/>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5E03DE"/>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E03D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5E03DE"/>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E03DE"/>
    <w:pPr>
      <w:numPr>
        <w:numId w:val="0"/>
      </w:numPr>
    </w:pPr>
    <w:rPr>
      <w:b w:val="0"/>
      <w:i/>
    </w:rPr>
  </w:style>
  <w:style w:type="paragraph" w:customStyle="1" w:styleId="Undervedl-tittel">
    <w:name w:val="Undervedl-tittel"/>
    <w:basedOn w:val="Normal"/>
    <w:next w:val="Normal"/>
    <w:rsid w:val="005E03D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E03DE"/>
    <w:pPr>
      <w:numPr>
        <w:numId w:val="0"/>
      </w:numPr>
      <w:outlineLvl w:val="9"/>
    </w:pPr>
  </w:style>
  <w:style w:type="paragraph" w:customStyle="1" w:styleId="v-Overskrift2">
    <w:name w:val="v-Overskrift 2"/>
    <w:basedOn w:val="Overskrift2"/>
    <w:next w:val="Normal"/>
    <w:rsid w:val="005E03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E03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E03D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5E03DE"/>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5E03DE"/>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E03DE"/>
    <w:pPr>
      <w:keepNext/>
      <w:keepLines/>
      <w:numPr>
        <w:numId w:val="7"/>
      </w:numPr>
    </w:pPr>
    <w:rPr>
      <w:rFonts w:ascii="Arial" w:hAnsi="Arial"/>
      <w:b/>
      <w:spacing w:val="4"/>
      <w:u w:val="single"/>
    </w:rPr>
  </w:style>
  <w:style w:type="paragraph" w:customStyle="1" w:styleId="Kilde">
    <w:name w:val="Kilde"/>
    <w:basedOn w:val="Normal"/>
    <w:next w:val="Normal"/>
    <w:rsid w:val="005E03DE"/>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uiPriority w:val="99"/>
    <w:rsid w:val="005E03DE"/>
    <w:rPr>
      <w:rFonts w:ascii="Times New Roman" w:eastAsia="Times New Roman" w:hAnsi="Times New Roman"/>
      <w:spacing w:val="4"/>
      <w:sz w:val="24"/>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5E03DE"/>
    <w:rPr>
      <w:rFonts w:ascii="Times New Roman" w:eastAsia="Times New Roman" w:hAnsi="Times New Roman"/>
      <w:sz w:val="24"/>
    </w:rPr>
  </w:style>
  <w:style w:type="character" w:styleId="Fotnotereferanse">
    <w:name w:val="footnote reference"/>
    <w:basedOn w:val="Standardskriftforavsnitt"/>
    <w:rsid w:val="005E03DE"/>
    <w:rPr>
      <w:vertAlign w:val="superscript"/>
    </w:rPr>
  </w:style>
  <w:style w:type="character" w:customStyle="1" w:styleId="gjennomstreket">
    <w:name w:val="gjennomstreket"/>
    <w:uiPriority w:val="1"/>
    <w:rsid w:val="005E03DE"/>
    <w:rPr>
      <w:strike/>
      <w:dstrike w:val="0"/>
    </w:rPr>
  </w:style>
  <w:style w:type="character" w:customStyle="1" w:styleId="halvfet0">
    <w:name w:val="halvfet"/>
    <w:basedOn w:val="Standardskriftforavsnitt"/>
    <w:rsid w:val="005E03DE"/>
    <w:rPr>
      <w:b/>
    </w:rPr>
  </w:style>
  <w:style w:type="character" w:styleId="Hyperkobling">
    <w:name w:val="Hyperlink"/>
    <w:basedOn w:val="Standardskriftforavsnitt"/>
    <w:uiPriority w:val="99"/>
    <w:unhideWhenUsed/>
    <w:rsid w:val="005E03DE"/>
    <w:rPr>
      <w:color w:val="0563C1" w:themeColor="hyperlink"/>
      <w:u w:val="single"/>
    </w:rPr>
  </w:style>
  <w:style w:type="character" w:customStyle="1" w:styleId="kursiv">
    <w:name w:val="kursiv"/>
    <w:basedOn w:val="Standardskriftforavsnitt"/>
    <w:rsid w:val="005E03DE"/>
    <w:rPr>
      <w:i/>
    </w:rPr>
  </w:style>
  <w:style w:type="character" w:customStyle="1" w:styleId="l-endring">
    <w:name w:val="l-endring"/>
    <w:basedOn w:val="Standardskriftforavsnitt"/>
    <w:rsid w:val="005E03D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E03DE"/>
  </w:style>
  <w:style w:type="character" w:styleId="Plassholdertekst">
    <w:name w:val="Placeholder Text"/>
    <w:basedOn w:val="Standardskriftforavsnitt"/>
    <w:uiPriority w:val="99"/>
    <w:rsid w:val="005E03DE"/>
    <w:rPr>
      <w:color w:val="808080"/>
    </w:rPr>
  </w:style>
  <w:style w:type="character" w:customStyle="1" w:styleId="regular">
    <w:name w:val="regular"/>
    <w:basedOn w:val="Standardskriftforavsnitt"/>
    <w:uiPriority w:val="1"/>
    <w:qFormat/>
    <w:rsid w:val="005E03D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E03DE"/>
    <w:rPr>
      <w:sz w:val="20"/>
      <w:vertAlign w:val="superscript"/>
    </w:rPr>
  </w:style>
  <w:style w:type="character" w:customStyle="1" w:styleId="skrift-senket">
    <w:name w:val="skrift-senket"/>
    <w:basedOn w:val="Standardskriftforavsnitt"/>
    <w:rsid w:val="005E03DE"/>
    <w:rPr>
      <w:sz w:val="20"/>
      <w:vertAlign w:val="subscript"/>
    </w:rPr>
  </w:style>
  <w:style w:type="character" w:customStyle="1" w:styleId="SluttnotetekstTegn">
    <w:name w:val="Sluttnotetekst Tegn"/>
    <w:basedOn w:val="Standardskriftforavsnitt"/>
    <w:link w:val="Sluttnotetekst"/>
    <w:uiPriority w:val="99"/>
    <w:semiHidden/>
    <w:rsid w:val="005E03DE"/>
    <w:rPr>
      <w:rFonts w:ascii="Times New Roman" w:eastAsia="Times New Roman" w:hAnsi="Times New Roman"/>
      <w:sz w:val="20"/>
      <w:szCs w:val="20"/>
    </w:rPr>
  </w:style>
  <w:style w:type="character" w:customStyle="1" w:styleId="sperret0">
    <w:name w:val="sperret"/>
    <w:basedOn w:val="Standardskriftforavsnitt"/>
    <w:rsid w:val="005E03DE"/>
    <w:rPr>
      <w:spacing w:val="30"/>
    </w:rPr>
  </w:style>
  <w:style w:type="character" w:customStyle="1" w:styleId="SterktsitatTegn">
    <w:name w:val="Sterkt sitat Tegn"/>
    <w:basedOn w:val="Standardskriftforavsnitt"/>
    <w:link w:val="Sterktsitat"/>
    <w:uiPriority w:val="30"/>
    <w:rsid w:val="005E03DE"/>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5E03DE"/>
  </w:style>
  <w:style w:type="character" w:customStyle="1" w:styleId="stikkord0">
    <w:name w:val="stikkord"/>
    <w:uiPriority w:val="99"/>
  </w:style>
  <w:style w:type="character" w:styleId="Sterk">
    <w:name w:val="Strong"/>
    <w:basedOn w:val="Standardskriftforavsnitt"/>
    <w:uiPriority w:val="22"/>
    <w:qFormat/>
    <w:rsid w:val="005E03DE"/>
    <w:rPr>
      <w:b/>
      <w:bCs/>
    </w:rPr>
  </w:style>
  <w:style w:type="character" w:customStyle="1" w:styleId="TopptekstTegn">
    <w:name w:val="Topptekst Tegn"/>
    <w:basedOn w:val="Standardskriftforavsnitt"/>
    <w:link w:val="Topptekst"/>
    <w:rsid w:val="005E03DE"/>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5E03DE"/>
    <w:rPr>
      <w:rFonts w:ascii="Times New Roman" w:eastAsia="Times New Roman" w:hAnsi="Times New Roman"/>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E03DE"/>
    <w:pPr>
      <w:tabs>
        <w:tab w:val="center" w:pos="4536"/>
        <w:tab w:val="right" w:pos="9072"/>
      </w:tabs>
    </w:pPr>
  </w:style>
  <w:style w:type="character" w:customStyle="1" w:styleId="TopptekstTegn1">
    <w:name w:val="Topptekst Tegn1"/>
    <w:basedOn w:val="Standardskriftforavsnitt"/>
    <w:uiPriority w:val="99"/>
    <w:semiHidden/>
    <w:rsid w:val="00580C0D"/>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5E03DE"/>
    <w:pPr>
      <w:tabs>
        <w:tab w:val="center" w:pos="4153"/>
        <w:tab w:val="right" w:pos="8306"/>
      </w:tabs>
    </w:pPr>
    <w:rPr>
      <w:spacing w:val="4"/>
    </w:rPr>
  </w:style>
  <w:style w:type="character" w:customStyle="1" w:styleId="BunntekstTegn1">
    <w:name w:val="Bunntekst Tegn1"/>
    <w:basedOn w:val="Standardskriftforavsnitt"/>
    <w:uiPriority w:val="99"/>
    <w:semiHidden/>
    <w:rsid w:val="00580C0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E03DE"/>
    <w:rPr>
      <w:rFonts w:ascii="Arial" w:eastAsia="Times New Roman" w:hAnsi="Arial"/>
      <w:i/>
    </w:rPr>
  </w:style>
  <w:style w:type="character" w:customStyle="1" w:styleId="Overskrift7Tegn">
    <w:name w:val="Overskrift 7 Tegn"/>
    <w:basedOn w:val="Standardskriftforavsnitt"/>
    <w:link w:val="Overskrift7"/>
    <w:rsid w:val="005E03DE"/>
    <w:rPr>
      <w:rFonts w:ascii="Arial" w:eastAsia="Times New Roman" w:hAnsi="Arial"/>
      <w:sz w:val="24"/>
    </w:rPr>
  </w:style>
  <w:style w:type="character" w:customStyle="1" w:styleId="Overskrift8Tegn">
    <w:name w:val="Overskrift 8 Tegn"/>
    <w:basedOn w:val="Standardskriftforavsnitt"/>
    <w:link w:val="Overskrift8"/>
    <w:rsid w:val="005E03DE"/>
    <w:rPr>
      <w:rFonts w:ascii="Arial" w:eastAsia="Times New Roman" w:hAnsi="Arial"/>
      <w:i/>
      <w:sz w:val="24"/>
    </w:rPr>
  </w:style>
  <w:style w:type="character" w:customStyle="1" w:styleId="Overskrift9Tegn">
    <w:name w:val="Overskrift 9 Tegn"/>
    <w:basedOn w:val="Standardskriftforavsnitt"/>
    <w:link w:val="Overskrift9"/>
    <w:rsid w:val="005E03DE"/>
    <w:rPr>
      <w:rFonts w:ascii="Arial" w:eastAsia="Times New Roman" w:hAnsi="Arial"/>
      <w:b/>
      <w:i/>
      <w:sz w:val="18"/>
    </w:rPr>
  </w:style>
  <w:style w:type="table" w:styleId="Tabelltemaer">
    <w:name w:val="Table Theme"/>
    <w:basedOn w:val="Vanligtabell"/>
    <w:uiPriority w:val="99"/>
    <w:semiHidden/>
    <w:unhideWhenUsed/>
    <w:rsid w:val="005E0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03DE"/>
    <w:rPr>
      <w:szCs w:val="24"/>
    </w:rPr>
  </w:style>
  <w:style w:type="paragraph" w:styleId="INNH1">
    <w:name w:val="toc 1"/>
    <w:basedOn w:val="Normal"/>
    <w:next w:val="Normal"/>
    <w:semiHidden/>
    <w:rsid w:val="005E03DE"/>
    <w:pPr>
      <w:tabs>
        <w:tab w:val="right" w:leader="dot" w:pos="8306"/>
      </w:tabs>
    </w:pPr>
  </w:style>
  <w:style w:type="paragraph" w:styleId="INNH2">
    <w:name w:val="toc 2"/>
    <w:basedOn w:val="Normal"/>
    <w:next w:val="Normal"/>
    <w:semiHidden/>
    <w:rsid w:val="005E03DE"/>
    <w:pPr>
      <w:tabs>
        <w:tab w:val="right" w:leader="dot" w:pos="8306"/>
      </w:tabs>
      <w:ind w:left="200"/>
    </w:pPr>
  </w:style>
  <w:style w:type="paragraph" w:styleId="INNH3">
    <w:name w:val="toc 3"/>
    <w:basedOn w:val="Normal"/>
    <w:next w:val="Normal"/>
    <w:semiHidden/>
    <w:rsid w:val="005E03DE"/>
    <w:pPr>
      <w:tabs>
        <w:tab w:val="right" w:leader="dot" w:pos="8306"/>
      </w:tabs>
      <w:ind w:left="400"/>
    </w:pPr>
  </w:style>
  <w:style w:type="paragraph" w:styleId="INNH4">
    <w:name w:val="toc 4"/>
    <w:basedOn w:val="Normal"/>
    <w:next w:val="Normal"/>
    <w:semiHidden/>
    <w:rsid w:val="005E03DE"/>
    <w:pPr>
      <w:tabs>
        <w:tab w:val="right" w:leader="dot" w:pos="8306"/>
      </w:tabs>
      <w:ind w:left="600"/>
    </w:pPr>
  </w:style>
  <w:style w:type="paragraph" w:styleId="INNH5">
    <w:name w:val="toc 5"/>
    <w:basedOn w:val="Normal"/>
    <w:next w:val="Normal"/>
    <w:semiHidden/>
    <w:rsid w:val="005E03DE"/>
    <w:pPr>
      <w:tabs>
        <w:tab w:val="right" w:leader="dot" w:pos="8306"/>
      </w:tabs>
      <w:ind w:left="800"/>
    </w:pPr>
  </w:style>
  <w:style w:type="character" w:styleId="Merknadsreferanse">
    <w:name w:val="annotation reference"/>
    <w:basedOn w:val="Standardskriftforavsnitt"/>
    <w:semiHidden/>
    <w:rsid w:val="005E03DE"/>
    <w:rPr>
      <w:sz w:val="16"/>
    </w:rPr>
  </w:style>
  <w:style w:type="paragraph" w:styleId="Merknadstekst">
    <w:name w:val="annotation text"/>
    <w:basedOn w:val="Normal"/>
    <w:link w:val="MerknadstekstTegn"/>
    <w:semiHidden/>
    <w:rsid w:val="005E03DE"/>
  </w:style>
  <w:style w:type="character" w:customStyle="1" w:styleId="MerknadstekstTegn">
    <w:name w:val="Merknadstekst Tegn"/>
    <w:basedOn w:val="Standardskriftforavsnitt"/>
    <w:link w:val="Merknadstekst"/>
    <w:semiHidden/>
    <w:rsid w:val="005E03DE"/>
    <w:rPr>
      <w:rFonts w:ascii="Times New Roman" w:eastAsia="Times New Roman" w:hAnsi="Times New Roman"/>
      <w:sz w:val="24"/>
    </w:rPr>
  </w:style>
  <w:style w:type="paragraph" w:styleId="Punktliste">
    <w:name w:val="List Bullet"/>
    <w:basedOn w:val="Normal"/>
    <w:rsid w:val="005E03DE"/>
    <w:pPr>
      <w:numPr>
        <w:numId w:val="2"/>
      </w:numPr>
      <w:spacing w:after="0"/>
    </w:pPr>
    <w:rPr>
      <w:spacing w:val="4"/>
    </w:rPr>
  </w:style>
  <w:style w:type="paragraph" w:styleId="Punktliste2">
    <w:name w:val="List Bullet 2"/>
    <w:basedOn w:val="Normal"/>
    <w:rsid w:val="005E03DE"/>
    <w:pPr>
      <w:numPr>
        <w:numId w:val="3"/>
      </w:numPr>
      <w:spacing w:after="0"/>
    </w:pPr>
    <w:rPr>
      <w:spacing w:val="4"/>
    </w:rPr>
  </w:style>
  <w:style w:type="paragraph" w:styleId="Punktliste3">
    <w:name w:val="List Bullet 3"/>
    <w:basedOn w:val="Normal"/>
    <w:rsid w:val="005E03DE"/>
    <w:pPr>
      <w:numPr>
        <w:numId w:val="4"/>
      </w:numPr>
      <w:spacing w:after="0"/>
    </w:pPr>
    <w:rPr>
      <w:spacing w:val="4"/>
    </w:rPr>
  </w:style>
  <w:style w:type="paragraph" w:styleId="Punktliste4">
    <w:name w:val="List Bullet 4"/>
    <w:basedOn w:val="Normal"/>
    <w:rsid w:val="005E03DE"/>
    <w:pPr>
      <w:numPr>
        <w:numId w:val="5"/>
      </w:numPr>
      <w:spacing w:after="0"/>
    </w:pPr>
  </w:style>
  <w:style w:type="paragraph" w:styleId="Punktliste5">
    <w:name w:val="List Bullet 5"/>
    <w:basedOn w:val="Normal"/>
    <w:rsid w:val="005E03DE"/>
    <w:pPr>
      <w:numPr>
        <w:numId w:val="6"/>
      </w:numPr>
      <w:spacing w:after="0"/>
    </w:pPr>
  </w:style>
  <w:style w:type="table" w:customStyle="1" w:styleId="Tabell-VM">
    <w:name w:val="Tabell-VM"/>
    <w:basedOn w:val="Tabelltemaer"/>
    <w:uiPriority w:val="99"/>
    <w:qFormat/>
    <w:rsid w:val="005E03DE"/>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5E03D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E03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E03D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5E03D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E03D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E03DE"/>
    <w:pPr>
      <w:spacing w:after="0" w:line="240" w:lineRule="auto"/>
      <w:ind w:left="240" w:hanging="240"/>
    </w:pPr>
  </w:style>
  <w:style w:type="paragraph" w:styleId="Indeks2">
    <w:name w:val="index 2"/>
    <w:basedOn w:val="Normal"/>
    <w:next w:val="Normal"/>
    <w:autoRedefine/>
    <w:uiPriority w:val="99"/>
    <w:semiHidden/>
    <w:unhideWhenUsed/>
    <w:rsid w:val="005E03DE"/>
    <w:pPr>
      <w:spacing w:after="0" w:line="240" w:lineRule="auto"/>
      <w:ind w:left="480" w:hanging="240"/>
    </w:pPr>
  </w:style>
  <w:style w:type="paragraph" w:styleId="Indeks3">
    <w:name w:val="index 3"/>
    <w:basedOn w:val="Normal"/>
    <w:next w:val="Normal"/>
    <w:autoRedefine/>
    <w:uiPriority w:val="99"/>
    <w:semiHidden/>
    <w:unhideWhenUsed/>
    <w:rsid w:val="005E03DE"/>
    <w:pPr>
      <w:spacing w:after="0" w:line="240" w:lineRule="auto"/>
      <w:ind w:left="720" w:hanging="240"/>
    </w:pPr>
  </w:style>
  <w:style w:type="paragraph" w:styleId="Indeks4">
    <w:name w:val="index 4"/>
    <w:basedOn w:val="Normal"/>
    <w:next w:val="Normal"/>
    <w:autoRedefine/>
    <w:uiPriority w:val="99"/>
    <w:semiHidden/>
    <w:unhideWhenUsed/>
    <w:rsid w:val="005E03DE"/>
    <w:pPr>
      <w:spacing w:after="0" w:line="240" w:lineRule="auto"/>
      <w:ind w:left="960" w:hanging="240"/>
    </w:pPr>
  </w:style>
  <w:style w:type="paragraph" w:styleId="Indeks5">
    <w:name w:val="index 5"/>
    <w:basedOn w:val="Normal"/>
    <w:next w:val="Normal"/>
    <w:autoRedefine/>
    <w:uiPriority w:val="99"/>
    <w:semiHidden/>
    <w:unhideWhenUsed/>
    <w:rsid w:val="005E03DE"/>
    <w:pPr>
      <w:spacing w:after="0" w:line="240" w:lineRule="auto"/>
      <w:ind w:left="1200" w:hanging="240"/>
    </w:pPr>
  </w:style>
  <w:style w:type="paragraph" w:styleId="Indeks6">
    <w:name w:val="index 6"/>
    <w:basedOn w:val="Normal"/>
    <w:next w:val="Normal"/>
    <w:autoRedefine/>
    <w:uiPriority w:val="99"/>
    <w:semiHidden/>
    <w:unhideWhenUsed/>
    <w:rsid w:val="005E03DE"/>
    <w:pPr>
      <w:spacing w:after="0" w:line="240" w:lineRule="auto"/>
      <w:ind w:left="1440" w:hanging="240"/>
    </w:pPr>
  </w:style>
  <w:style w:type="paragraph" w:styleId="Indeks7">
    <w:name w:val="index 7"/>
    <w:basedOn w:val="Normal"/>
    <w:next w:val="Normal"/>
    <w:autoRedefine/>
    <w:uiPriority w:val="99"/>
    <w:semiHidden/>
    <w:unhideWhenUsed/>
    <w:rsid w:val="005E03DE"/>
    <w:pPr>
      <w:spacing w:after="0" w:line="240" w:lineRule="auto"/>
      <w:ind w:left="1680" w:hanging="240"/>
    </w:pPr>
  </w:style>
  <w:style w:type="paragraph" w:styleId="Indeks8">
    <w:name w:val="index 8"/>
    <w:basedOn w:val="Normal"/>
    <w:next w:val="Normal"/>
    <w:autoRedefine/>
    <w:uiPriority w:val="99"/>
    <w:semiHidden/>
    <w:unhideWhenUsed/>
    <w:rsid w:val="005E03DE"/>
    <w:pPr>
      <w:spacing w:after="0" w:line="240" w:lineRule="auto"/>
      <w:ind w:left="1920" w:hanging="240"/>
    </w:pPr>
  </w:style>
  <w:style w:type="paragraph" w:styleId="Indeks9">
    <w:name w:val="index 9"/>
    <w:basedOn w:val="Normal"/>
    <w:next w:val="Normal"/>
    <w:autoRedefine/>
    <w:uiPriority w:val="99"/>
    <w:semiHidden/>
    <w:unhideWhenUsed/>
    <w:rsid w:val="005E03DE"/>
    <w:pPr>
      <w:spacing w:after="0" w:line="240" w:lineRule="auto"/>
      <w:ind w:left="2160" w:hanging="240"/>
    </w:pPr>
  </w:style>
  <w:style w:type="paragraph" w:styleId="INNH6">
    <w:name w:val="toc 6"/>
    <w:basedOn w:val="Normal"/>
    <w:next w:val="Normal"/>
    <w:autoRedefine/>
    <w:uiPriority w:val="39"/>
    <w:semiHidden/>
    <w:unhideWhenUsed/>
    <w:rsid w:val="005E03DE"/>
    <w:pPr>
      <w:spacing w:after="100"/>
      <w:ind w:left="1200"/>
    </w:pPr>
  </w:style>
  <w:style w:type="paragraph" w:styleId="INNH7">
    <w:name w:val="toc 7"/>
    <w:basedOn w:val="Normal"/>
    <w:next w:val="Normal"/>
    <w:autoRedefine/>
    <w:uiPriority w:val="39"/>
    <w:semiHidden/>
    <w:unhideWhenUsed/>
    <w:rsid w:val="005E03DE"/>
    <w:pPr>
      <w:spacing w:after="100"/>
      <w:ind w:left="1440"/>
    </w:pPr>
  </w:style>
  <w:style w:type="paragraph" w:styleId="INNH8">
    <w:name w:val="toc 8"/>
    <w:basedOn w:val="Normal"/>
    <w:next w:val="Normal"/>
    <w:autoRedefine/>
    <w:uiPriority w:val="39"/>
    <w:semiHidden/>
    <w:unhideWhenUsed/>
    <w:rsid w:val="005E03DE"/>
    <w:pPr>
      <w:spacing w:after="100"/>
      <w:ind w:left="1680"/>
    </w:pPr>
  </w:style>
  <w:style w:type="paragraph" w:styleId="INNH9">
    <w:name w:val="toc 9"/>
    <w:basedOn w:val="Normal"/>
    <w:next w:val="Normal"/>
    <w:autoRedefine/>
    <w:uiPriority w:val="39"/>
    <w:semiHidden/>
    <w:unhideWhenUsed/>
    <w:rsid w:val="005E03DE"/>
    <w:pPr>
      <w:spacing w:after="100"/>
      <w:ind w:left="1920"/>
    </w:pPr>
  </w:style>
  <w:style w:type="paragraph" w:styleId="Vanliginnrykk">
    <w:name w:val="Normal Indent"/>
    <w:basedOn w:val="Normal"/>
    <w:uiPriority w:val="99"/>
    <w:semiHidden/>
    <w:unhideWhenUsed/>
    <w:rsid w:val="005E03DE"/>
    <w:pPr>
      <w:ind w:left="708"/>
    </w:pPr>
  </w:style>
  <w:style w:type="paragraph" w:styleId="Stikkordregisteroverskrift">
    <w:name w:val="index heading"/>
    <w:basedOn w:val="Normal"/>
    <w:next w:val="Indeks1"/>
    <w:uiPriority w:val="99"/>
    <w:semiHidden/>
    <w:unhideWhenUsed/>
    <w:rsid w:val="005E03D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E03D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E03DE"/>
    <w:pPr>
      <w:spacing w:after="0"/>
    </w:pPr>
  </w:style>
  <w:style w:type="paragraph" w:styleId="Konvoluttadresse">
    <w:name w:val="envelope address"/>
    <w:basedOn w:val="Normal"/>
    <w:uiPriority w:val="99"/>
    <w:semiHidden/>
    <w:unhideWhenUsed/>
    <w:rsid w:val="005E03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E03DE"/>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5E03DE"/>
  </w:style>
  <w:style w:type="character" w:styleId="Sluttnotereferanse">
    <w:name w:val="endnote reference"/>
    <w:basedOn w:val="Standardskriftforavsnitt"/>
    <w:uiPriority w:val="99"/>
    <w:semiHidden/>
    <w:unhideWhenUsed/>
    <w:rsid w:val="005E03DE"/>
    <w:rPr>
      <w:vertAlign w:val="superscript"/>
    </w:rPr>
  </w:style>
  <w:style w:type="paragraph" w:styleId="Sluttnotetekst">
    <w:name w:val="endnote text"/>
    <w:basedOn w:val="Normal"/>
    <w:link w:val="SluttnotetekstTegn"/>
    <w:uiPriority w:val="99"/>
    <w:semiHidden/>
    <w:unhideWhenUsed/>
    <w:rsid w:val="005E03DE"/>
    <w:pPr>
      <w:spacing w:after="0" w:line="240" w:lineRule="auto"/>
    </w:pPr>
    <w:rPr>
      <w:sz w:val="20"/>
      <w:szCs w:val="20"/>
    </w:rPr>
  </w:style>
  <w:style w:type="character" w:customStyle="1" w:styleId="SluttnotetekstTegn1">
    <w:name w:val="Sluttnotetekst Tegn1"/>
    <w:basedOn w:val="Standardskriftforavsnitt"/>
    <w:uiPriority w:val="99"/>
    <w:semiHidden/>
    <w:rsid w:val="00580C0D"/>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5E03DE"/>
    <w:pPr>
      <w:spacing w:after="0"/>
      <w:ind w:left="240" w:hanging="240"/>
    </w:pPr>
  </w:style>
  <w:style w:type="paragraph" w:styleId="Makrotekst">
    <w:name w:val="macro"/>
    <w:link w:val="MakrotekstTegn"/>
    <w:uiPriority w:val="99"/>
    <w:semiHidden/>
    <w:unhideWhenUsed/>
    <w:rsid w:val="005E03D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5E03DE"/>
    <w:rPr>
      <w:rFonts w:ascii="Consolas" w:eastAsia="Times New Roman" w:hAnsi="Consolas"/>
      <w:sz w:val="20"/>
      <w:szCs w:val="20"/>
    </w:rPr>
  </w:style>
  <w:style w:type="paragraph" w:styleId="Kildelisteoverskrift">
    <w:name w:val="toa heading"/>
    <w:basedOn w:val="Normal"/>
    <w:next w:val="Normal"/>
    <w:uiPriority w:val="99"/>
    <w:semiHidden/>
    <w:unhideWhenUsed/>
    <w:rsid w:val="005E03D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E03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E03D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E03DE"/>
    <w:pPr>
      <w:spacing w:after="0" w:line="240" w:lineRule="auto"/>
      <w:ind w:left="4252"/>
    </w:pPr>
  </w:style>
  <w:style w:type="character" w:customStyle="1" w:styleId="HilsenTegn">
    <w:name w:val="Hilsen Tegn"/>
    <w:basedOn w:val="Standardskriftforavsnitt"/>
    <w:link w:val="Hilsen"/>
    <w:uiPriority w:val="99"/>
    <w:semiHidden/>
    <w:rsid w:val="005E03DE"/>
    <w:rPr>
      <w:rFonts w:ascii="Times New Roman" w:eastAsia="Times New Roman" w:hAnsi="Times New Roman"/>
      <w:sz w:val="24"/>
    </w:rPr>
  </w:style>
  <w:style w:type="paragraph" w:styleId="Underskrift">
    <w:name w:val="Signature"/>
    <w:basedOn w:val="Normal"/>
    <w:link w:val="UnderskriftTegn"/>
    <w:uiPriority w:val="99"/>
    <w:semiHidden/>
    <w:unhideWhenUsed/>
    <w:rsid w:val="005E03DE"/>
    <w:pPr>
      <w:spacing w:after="0" w:line="240" w:lineRule="auto"/>
      <w:ind w:left="4252"/>
    </w:pPr>
  </w:style>
  <w:style w:type="character" w:customStyle="1" w:styleId="UnderskriftTegn1">
    <w:name w:val="Underskrift Tegn1"/>
    <w:basedOn w:val="Standardskriftforavsnitt"/>
    <w:uiPriority w:val="99"/>
    <w:semiHidden/>
    <w:rsid w:val="00580C0D"/>
    <w:rPr>
      <w:rFonts w:ascii="Times New Roman" w:eastAsia="Times New Roman" w:hAnsi="Times New Roman"/>
      <w:sz w:val="24"/>
    </w:rPr>
  </w:style>
  <w:style w:type="paragraph" w:styleId="Brdtekst">
    <w:name w:val="Body Text"/>
    <w:basedOn w:val="Normal"/>
    <w:link w:val="BrdtekstTegn"/>
    <w:uiPriority w:val="99"/>
    <w:semiHidden/>
    <w:unhideWhenUsed/>
    <w:rsid w:val="005E03DE"/>
  </w:style>
  <w:style w:type="character" w:customStyle="1" w:styleId="BrdtekstTegn">
    <w:name w:val="Brødtekst Tegn"/>
    <w:basedOn w:val="Standardskriftforavsnitt"/>
    <w:link w:val="Brdtekst"/>
    <w:uiPriority w:val="99"/>
    <w:semiHidden/>
    <w:rsid w:val="005E03DE"/>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5E03DE"/>
    <w:pPr>
      <w:ind w:left="283"/>
    </w:pPr>
  </w:style>
  <w:style w:type="character" w:customStyle="1" w:styleId="BrdtekstinnrykkTegn">
    <w:name w:val="Brødtekstinnrykk Tegn"/>
    <w:basedOn w:val="Standardskriftforavsnitt"/>
    <w:link w:val="Brdtekstinnrykk"/>
    <w:uiPriority w:val="99"/>
    <w:semiHidden/>
    <w:rsid w:val="005E03DE"/>
    <w:rPr>
      <w:rFonts w:ascii="Times New Roman" w:eastAsia="Times New Roman" w:hAnsi="Times New Roman"/>
      <w:sz w:val="24"/>
    </w:rPr>
  </w:style>
  <w:style w:type="numbering" w:customStyle="1" w:styleId="l-ListeStilMal">
    <w:name w:val="l-ListeStilMal"/>
    <w:uiPriority w:val="99"/>
    <w:rsid w:val="005E03DE"/>
    <w:pPr>
      <w:numPr>
        <w:numId w:val="8"/>
      </w:numPr>
    </w:pPr>
  </w:style>
  <w:style w:type="paragraph" w:styleId="Meldingshode">
    <w:name w:val="Message Header"/>
    <w:basedOn w:val="Normal"/>
    <w:link w:val="MeldingshodeTegn"/>
    <w:uiPriority w:val="99"/>
    <w:semiHidden/>
    <w:unhideWhenUsed/>
    <w:rsid w:val="005E03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E03D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5E03DE"/>
  </w:style>
  <w:style w:type="character" w:customStyle="1" w:styleId="InnledendehilsenTegn">
    <w:name w:val="Innledende hilsen Tegn"/>
    <w:basedOn w:val="Standardskriftforavsnitt"/>
    <w:link w:val="Innledendehilsen"/>
    <w:uiPriority w:val="99"/>
    <w:semiHidden/>
    <w:rsid w:val="005E03DE"/>
    <w:rPr>
      <w:rFonts w:ascii="Times New Roman" w:eastAsia="Times New Roman" w:hAnsi="Times New Roman"/>
      <w:sz w:val="24"/>
    </w:rPr>
  </w:style>
  <w:style w:type="paragraph" w:styleId="Dato0">
    <w:name w:val="Date"/>
    <w:basedOn w:val="Normal"/>
    <w:next w:val="Normal"/>
    <w:link w:val="DatoTegn"/>
    <w:uiPriority w:val="99"/>
    <w:unhideWhenUsed/>
    <w:rsid w:val="005E03DE"/>
  </w:style>
  <w:style w:type="character" w:customStyle="1" w:styleId="DatoTegn1">
    <w:name w:val="Dato Tegn1"/>
    <w:basedOn w:val="Standardskriftforavsnitt"/>
    <w:uiPriority w:val="99"/>
    <w:semiHidden/>
    <w:rsid w:val="00580C0D"/>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5E03DE"/>
    <w:pPr>
      <w:spacing w:after="0" w:line="240" w:lineRule="auto"/>
    </w:pPr>
  </w:style>
  <w:style w:type="character" w:customStyle="1" w:styleId="NotatoverskriftTegn">
    <w:name w:val="Notatoverskrift Tegn"/>
    <w:basedOn w:val="Standardskriftforavsnitt"/>
    <w:link w:val="Notatoverskrift"/>
    <w:uiPriority w:val="99"/>
    <w:semiHidden/>
    <w:rsid w:val="005E03DE"/>
    <w:rPr>
      <w:rFonts w:ascii="Times New Roman" w:eastAsia="Times New Roman" w:hAnsi="Times New Roman"/>
      <w:sz w:val="24"/>
    </w:rPr>
  </w:style>
  <w:style w:type="paragraph" w:styleId="Brdtekst2">
    <w:name w:val="Body Text 2"/>
    <w:basedOn w:val="Normal"/>
    <w:link w:val="Brdtekst2Tegn"/>
    <w:uiPriority w:val="99"/>
    <w:semiHidden/>
    <w:unhideWhenUsed/>
    <w:rsid w:val="005E03DE"/>
    <w:pPr>
      <w:spacing w:line="480" w:lineRule="auto"/>
    </w:pPr>
  </w:style>
  <w:style w:type="character" w:customStyle="1" w:styleId="Brdtekst2Tegn">
    <w:name w:val="Brødtekst 2 Tegn"/>
    <w:basedOn w:val="Standardskriftforavsnitt"/>
    <w:link w:val="Brdtekst2"/>
    <w:uiPriority w:val="99"/>
    <w:semiHidden/>
    <w:rsid w:val="005E03DE"/>
    <w:rPr>
      <w:rFonts w:ascii="Times New Roman" w:eastAsia="Times New Roman" w:hAnsi="Times New Roman"/>
      <w:sz w:val="24"/>
    </w:rPr>
  </w:style>
  <w:style w:type="paragraph" w:styleId="Brdtekst3">
    <w:name w:val="Body Text 3"/>
    <w:basedOn w:val="Normal"/>
    <w:link w:val="Brdtekst3Tegn"/>
    <w:uiPriority w:val="99"/>
    <w:semiHidden/>
    <w:unhideWhenUsed/>
    <w:rsid w:val="005E03DE"/>
    <w:rPr>
      <w:sz w:val="16"/>
      <w:szCs w:val="16"/>
    </w:rPr>
  </w:style>
  <w:style w:type="character" w:customStyle="1" w:styleId="Brdtekst3Tegn">
    <w:name w:val="Brødtekst 3 Tegn"/>
    <w:basedOn w:val="Standardskriftforavsnitt"/>
    <w:link w:val="Brdtekst3"/>
    <w:uiPriority w:val="99"/>
    <w:semiHidden/>
    <w:rsid w:val="005E03DE"/>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5E03DE"/>
    <w:pPr>
      <w:spacing w:line="480" w:lineRule="auto"/>
      <w:ind w:left="283"/>
    </w:pPr>
  </w:style>
  <w:style w:type="character" w:customStyle="1" w:styleId="Brdtekstinnrykk2Tegn">
    <w:name w:val="Brødtekstinnrykk 2 Tegn"/>
    <w:basedOn w:val="Standardskriftforavsnitt"/>
    <w:link w:val="Brdtekstinnrykk2"/>
    <w:uiPriority w:val="99"/>
    <w:semiHidden/>
    <w:rsid w:val="005E03DE"/>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5E03DE"/>
    <w:pPr>
      <w:ind w:left="283"/>
    </w:pPr>
    <w:rPr>
      <w:sz w:val="16"/>
      <w:szCs w:val="16"/>
    </w:rPr>
  </w:style>
  <w:style w:type="character" w:customStyle="1" w:styleId="Brdtekstinnrykk3Tegn">
    <w:name w:val="Brødtekstinnrykk 3 Tegn"/>
    <w:basedOn w:val="Standardskriftforavsnitt"/>
    <w:link w:val="Brdtekstinnrykk3"/>
    <w:uiPriority w:val="99"/>
    <w:semiHidden/>
    <w:rsid w:val="005E03DE"/>
    <w:rPr>
      <w:rFonts w:ascii="Times New Roman" w:eastAsia="Times New Roman" w:hAnsi="Times New Roman"/>
      <w:sz w:val="16"/>
      <w:szCs w:val="16"/>
    </w:rPr>
  </w:style>
  <w:style w:type="paragraph" w:styleId="Blokktekst">
    <w:name w:val="Block Text"/>
    <w:basedOn w:val="Normal"/>
    <w:uiPriority w:val="99"/>
    <w:semiHidden/>
    <w:unhideWhenUsed/>
    <w:rsid w:val="005E03D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E03DE"/>
    <w:rPr>
      <w:color w:val="954F72" w:themeColor="followedHyperlink"/>
      <w:u w:val="single"/>
    </w:rPr>
  </w:style>
  <w:style w:type="character" w:styleId="Utheving">
    <w:name w:val="Emphasis"/>
    <w:basedOn w:val="Standardskriftforavsnitt"/>
    <w:uiPriority w:val="20"/>
    <w:qFormat/>
    <w:rsid w:val="005E03DE"/>
    <w:rPr>
      <w:i/>
      <w:iCs/>
    </w:rPr>
  </w:style>
  <w:style w:type="paragraph" w:styleId="Dokumentkart">
    <w:name w:val="Document Map"/>
    <w:basedOn w:val="Normal"/>
    <w:link w:val="DokumentkartTegn"/>
    <w:uiPriority w:val="99"/>
    <w:semiHidden/>
    <w:unhideWhenUsed/>
    <w:rsid w:val="005E03D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E03DE"/>
    <w:rPr>
      <w:rFonts w:ascii="Tahoma" w:eastAsia="Times New Roman" w:hAnsi="Tahoma" w:cs="Tahoma"/>
      <w:sz w:val="16"/>
      <w:szCs w:val="16"/>
    </w:rPr>
  </w:style>
  <w:style w:type="paragraph" w:styleId="Rentekst">
    <w:name w:val="Plain Text"/>
    <w:basedOn w:val="Normal"/>
    <w:link w:val="RentekstTegn"/>
    <w:uiPriority w:val="99"/>
    <w:semiHidden/>
    <w:unhideWhenUsed/>
    <w:rsid w:val="005E03D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E03DE"/>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5E03DE"/>
    <w:pPr>
      <w:spacing w:after="0" w:line="240" w:lineRule="auto"/>
    </w:pPr>
  </w:style>
  <w:style w:type="character" w:customStyle="1" w:styleId="E-postsignaturTegn">
    <w:name w:val="E-postsignatur Tegn"/>
    <w:basedOn w:val="Standardskriftforavsnitt"/>
    <w:link w:val="E-postsignatur"/>
    <w:uiPriority w:val="99"/>
    <w:semiHidden/>
    <w:rsid w:val="005E03DE"/>
    <w:rPr>
      <w:rFonts w:ascii="Times New Roman" w:eastAsia="Times New Roman" w:hAnsi="Times New Roman"/>
      <w:sz w:val="24"/>
    </w:rPr>
  </w:style>
  <w:style w:type="character" w:styleId="HTML-akronym">
    <w:name w:val="HTML Acronym"/>
    <w:basedOn w:val="Standardskriftforavsnitt"/>
    <w:uiPriority w:val="99"/>
    <w:semiHidden/>
    <w:unhideWhenUsed/>
    <w:rsid w:val="005E03DE"/>
  </w:style>
  <w:style w:type="paragraph" w:styleId="HTML-adresse">
    <w:name w:val="HTML Address"/>
    <w:basedOn w:val="Normal"/>
    <w:link w:val="HTML-adresseTegn"/>
    <w:uiPriority w:val="99"/>
    <w:semiHidden/>
    <w:unhideWhenUsed/>
    <w:rsid w:val="005E03DE"/>
    <w:pPr>
      <w:spacing w:after="0" w:line="240" w:lineRule="auto"/>
    </w:pPr>
    <w:rPr>
      <w:i/>
      <w:iCs/>
    </w:rPr>
  </w:style>
  <w:style w:type="character" w:customStyle="1" w:styleId="HTML-adresseTegn">
    <w:name w:val="HTML-adresse Tegn"/>
    <w:basedOn w:val="Standardskriftforavsnitt"/>
    <w:link w:val="HTML-adresse"/>
    <w:uiPriority w:val="99"/>
    <w:semiHidden/>
    <w:rsid w:val="005E03DE"/>
    <w:rPr>
      <w:rFonts w:ascii="Times New Roman" w:eastAsia="Times New Roman" w:hAnsi="Times New Roman"/>
      <w:i/>
      <w:iCs/>
      <w:sz w:val="24"/>
    </w:rPr>
  </w:style>
  <w:style w:type="character" w:styleId="HTML-sitat">
    <w:name w:val="HTML Cite"/>
    <w:basedOn w:val="Standardskriftforavsnitt"/>
    <w:uiPriority w:val="99"/>
    <w:semiHidden/>
    <w:unhideWhenUsed/>
    <w:rsid w:val="005E03DE"/>
    <w:rPr>
      <w:i/>
      <w:iCs/>
    </w:rPr>
  </w:style>
  <w:style w:type="character" w:styleId="HTML-kode">
    <w:name w:val="HTML Code"/>
    <w:basedOn w:val="Standardskriftforavsnitt"/>
    <w:uiPriority w:val="99"/>
    <w:semiHidden/>
    <w:unhideWhenUsed/>
    <w:rsid w:val="005E03DE"/>
    <w:rPr>
      <w:rFonts w:ascii="Consolas" w:hAnsi="Consolas"/>
      <w:sz w:val="20"/>
      <w:szCs w:val="20"/>
    </w:rPr>
  </w:style>
  <w:style w:type="character" w:styleId="HTML-definisjon">
    <w:name w:val="HTML Definition"/>
    <w:basedOn w:val="Standardskriftforavsnitt"/>
    <w:uiPriority w:val="99"/>
    <w:semiHidden/>
    <w:unhideWhenUsed/>
    <w:rsid w:val="005E03DE"/>
    <w:rPr>
      <w:i/>
      <w:iCs/>
    </w:rPr>
  </w:style>
  <w:style w:type="character" w:styleId="HTML-tastatur">
    <w:name w:val="HTML Keyboard"/>
    <w:basedOn w:val="Standardskriftforavsnitt"/>
    <w:uiPriority w:val="99"/>
    <w:semiHidden/>
    <w:unhideWhenUsed/>
    <w:rsid w:val="005E03DE"/>
    <w:rPr>
      <w:rFonts w:ascii="Consolas" w:hAnsi="Consolas"/>
      <w:sz w:val="20"/>
      <w:szCs w:val="20"/>
    </w:rPr>
  </w:style>
  <w:style w:type="paragraph" w:styleId="HTML-forhndsformatert">
    <w:name w:val="HTML Preformatted"/>
    <w:basedOn w:val="Normal"/>
    <w:link w:val="HTML-forhndsformatertTegn"/>
    <w:uiPriority w:val="99"/>
    <w:semiHidden/>
    <w:unhideWhenUsed/>
    <w:rsid w:val="005E03D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E03DE"/>
    <w:rPr>
      <w:rFonts w:ascii="Consolas" w:eastAsia="Times New Roman" w:hAnsi="Consolas"/>
      <w:sz w:val="20"/>
      <w:szCs w:val="20"/>
    </w:rPr>
  </w:style>
  <w:style w:type="character" w:styleId="HTML-eksempel">
    <w:name w:val="HTML Sample"/>
    <w:basedOn w:val="Standardskriftforavsnitt"/>
    <w:uiPriority w:val="99"/>
    <w:semiHidden/>
    <w:unhideWhenUsed/>
    <w:rsid w:val="005E03DE"/>
    <w:rPr>
      <w:rFonts w:ascii="Consolas" w:hAnsi="Consolas"/>
      <w:sz w:val="24"/>
      <w:szCs w:val="24"/>
    </w:rPr>
  </w:style>
  <w:style w:type="character" w:styleId="HTML-skrivemaskin">
    <w:name w:val="HTML Typewriter"/>
    <w:basedOn w:val="Standardskriftforavsnitt"/>
    <w:uiPriority w:val="99"/>
    <w:semiHidden/>
    <w:unhideWhenUsed/>
    <w:rsid w:val="005E03DE"/>
    <w:rPr>
      <w:rFonts w:ascii="Consolas" w:hAnsi="Consolas"/>
      <w:sz w:val="20"/>
      <w:szCs w:val="20"/>
    </w:rPr>
  </w:style>
  <w:style w:type="character" w:styleId="HTML-variabel">
    <w:name w:val="HTML Variable"/>
    <w:basedOn w:val="Standardskriftforavsnitt"/>
    <w:uiPriority w:val="99"/>
    <w:semiHidden/>
    <w:unhideWhenUsed/>
    <w:rsid w:val="005E03DE"/>
    <w:rPr>
      <w:i/>
      <w:iCs/>
    </w:rPr>
  </w:style>
  <w:style w:type="paragraph" w:styleId="Kommentaremne">
    <w:name w:val="annotation subject"/>
    <w:basedOn w:val="Merknadstekst"/>
    <w:next w:val="Merknadstekst"/>
    <w:link w:val="KommentaremneTegn"/>
    <w:uiPriority w:val="99"/>
    <w:semiHidden/>
    <w:unhideWhenUsed/>
    <w:rsid w:val="005E03DE"/>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5E03DE"/>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5E03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03DE"/>
    <w:rPr>
      <w:rFonts w:ascii="Tahoma" w:eastAsia="Times New Roman" w:hAnsi="Tahoma" w:cs="Tahoma"/>
      <w:sz w:val="16"/>
      <w:szCs w:val="16"/>
    </w:rPr>
  </w:style>
  <w:style w:type="paragraph" w:styleId="Ingenmellomrom">
    <w:name w:val="No Spacing"/>
    <w:uiPriority w:val="1"/>
    <w:qFormat/>
    <w:rsid w:val="005E03DE"/>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5E03D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80C0D"/>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5E03DE"/>
    <w:rPr>
      <w:i/>
      <w:iCs/>
      <w:color w:val="808080" w:themeColor="text1" w:themeTint="7F"/>
    </w:rPr>
  </w:style>
  <w:style w:type="character" w:styleId="Sterkutheving">
    <w:name w:val="Intense Emphasis"/>
    <w:basedOn w:val="Standardskriftforavsnitt"/>
    <w:uiPriority w:val="21"/>
    <w:qFormat/>
    <w:rsid w:val="005E03DE"/>
    <w:rPr>
      <w:b/>
      <w:bCs/>
      <w:i/>
      <w:iCs/>
      <w:color w:val="4472C4" w:themeColor="accent1"/>
    </w:rPr>
  </w:style>
  <w:style w:type="character" w:styleId="Svakreferanse">
    <w:name w:val="Subtle Reference"/>
    <w:basedOn w:val="Standardskriftforavsnitt"/>
    <w:uiPriority w:val="31"/>
    <w:qFormat/>
    <w:rsid w:val="005E03DE"/>
    <w:rPr>
      <w:smallCaps/>
      <w:color w:val="ED7D31" w:themeColor="accent2"/>
      <w:u w:val="single"/>
    </w:rPr>
  </w:style>
  <w:style w:type="character" w:styleId="Sterkreferanse">
    <w:name w:val="Intense Reference"/>
    <w:basedOn w:val="Standardskriftforavsnitt"/>
    <w:uiPriority w:val="32"/>
    <w:qFormat/>
    <w:rsid w:val="005E03DE"/>
    <w:rPr>
      <w:b/>
      <w:bCs/>
      <w:smallCaps/>
      <w:color w:val="ED7D31" w:themeColor="accent2"/>
      <w:spacing w:val="5"/>
      <w:u w:val="single"/>
    </w:rPr>
  </w:style>
  <w:style w:type="character" w:styleId="Boktittel">
    <w:name w:val="Book Title"/>
    <w:basedOn w:val="Standardskriftforavsnitt"/>
    <w:uiPriority w:val="33"/>
    <w:qFormat/>
    <w:rsid w:val="005E03DE"/>
    <w:rPr>
      <w:b/>
      <w:bCs/>
      <w:smallCaps/>
      <w:spacing w:val="5"/>
    </w:rPr>
  </w:style>
  <w:style w:type="paragraph" w:styleId="Bibliografi">
    <w:name w:val="Bibliography"/>
    <w:basedOn w:val="Normal"/>
    <w:next w:val="Normal"/>
    <w:uiPriority w:val="37"/>
    <w:semiHidden/>
    <w:unhideWhenUsed/>
    <w:rsid w:val="005E03DE"/>
  </w:style>
  <w:style w:type="paragraph" w:styleId="Overskriftforinnholdsfortegnelse">
    <w:name w:val="TOC Heading"/>
    <w:basedOn w:val="Overskrift1"/>
    <w:next w:val="Normal"/>
    <w:uiPriority w:val="39"/>
    <w:semiHidden/>
    <w:unhideWhenUsed/>
    <w:qFormat/>
    <w:rsid w:val="005E03DE"/>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5E03DE"/>
    <w:pPr>
      <w:suppressAutoHyphens/>
      <w:spacing w:before="400" w:after="200" w:line="240" w:lineRule="auto"/>
      <w:jc w:val="center"/>
    </w:pPr>
    <w:rPr>
      <w:b/>
      <w:color w:val="FF0000"/>
    </w:rPr>
  </w:style>
  <w:style w:type="numbering" w:customStyle="1" w:styleId="AlfaListeStil">
    <w:name w:val="AlfaListeStil"/>
    <w:uiPriority w:val="99"/>
    <w:rsid w:val="005E03DE"/>
    <w:pPr>
      <w:numPr>
        <w:numId w:val="9"/>
      </w:numPr>
    </w:pPr>
  </w:style>
  <w:style w:type="numbering" w:customStyle="1" w:styleId="l-AlfaListeStil">
    <w:name w:val="l-AlfaListeStil"/>
    <w:uiPriority w:val="99"/>
    <w:rsid w:val="005E03DE"/>
    <w:pPr>
      <w:numPr>
        <w:numId w:val="10"/>
      </w:numPr>
    </w:pPr>
  </w:style>
  <w:style w:type="numbering" w:customStyle="1" w:styleId="l-NummerertListeStil">
    <w:name w:val="l-NummerertListeStil"/>
    <w:uiPriority w:val="99"/>
    <w:rsid w:val="005E03DE"/>
    <w:pPr>
      <w:numPr>
        <w:numId w:val="11"/>
      </w:numPr>
    </w:pPr>
  </w:style>
  <w:style w:type="numbering" w:customStyle="1" w:styleId="NrListeStil">
    <w:name w:val="NrListeStil"/>
    <w:uiPriority w:val="99"/>
    <w:rsid w:val="005E03DE"/>
    <w:pPr>
      <w:numPr>
        <w:numId w:val="12"/>
      </w:numPr>
    </w:pPr>
  </w:style>
  <w:style w:type="numbering" w:customStyle="1" w:styleId="OpplistingListeStil">
    <w:name w:val="OpplistingListeStil"/>
    <w:uiPriority w:val="99"/>
    <w:rsid w:val="005E03DE"/>
    <w:pPr>
      <w:numPr>
        <w:numId w:val="13"/>
      </w:numPr>
    </w:pPr>
  </w:style>
  <w:style w:type="numbering" w:customStyle="1" w:styleId="OverskrifterListeStil">
    <w:name w:val="OverskrifterListeStil"/>
    <w:uiPriority w:val="99"/>
    <w:rsid w:val="005E03DE"/>
    <w:pPr>
      <w:numPr>
        <w:numId w:val="14"/>
      </w:numPr>
    </w:pPr>
  </w:style>
  <w:style w:type="numbering" w:customStyle="1" w:styleId="RomListeStil">
    <w:name w:val="RomListeStil"/>
    <w:uiPriority w:val="99"/>
    <w:rsid w:val="005E03DE"/>
    <w:pPr>
      <w:numPr>
        <w:numId w:val="15"/>
      </w:numPr>
    </w:pPr>
  </w:style>
  <w:style w:type="numbering" w:customStyle="1" w:styleId="StrekListeStil">
    <w:name w:val="StrekListeStil"/>
    <w:uiPriority w:val="99"/>
    <w:rsid w:val="005E03DE"/>
    <w:pPr>
      <w:numPr>
        <w:numId w:val="16"/>
      </w:numPr>
    </w:pPr>
  </w:style>
  <w:style w:type="paragraph" w:styleId="Brdtekst-frsteinnrykk">
    <w:name w:val="Body Text First Indent"/>
    <w:basedOn w:val="Brdtekst"/>
    <w:link w:val="Brdtekst-frsteinnrykkTegn"/>
    <w:uiPriority w:val="99"/>
    <w:semiHidden/>
    <w:unhideWhenUsed/>
    <w:rsid w:val="005E03DE"/>
    <w:pPr>
      <w:ind w:firstLine="360"/>
    </w:pPr>
  </w:style>
  <w:style w:type="character" w:customStyle="1" w:styleId="Brdtekst-frsteinnrykkTegn">
    <w:name w:val="Brødtekst - første innrykk Tegn"/>
    <w:basedOn w:val="BrdtekstTegn"/>
    <w:link w:val="Brdtekst-frsteinnrykk"/>
    <w:uiPriority w:val="99"/>
    <w:semiHidden/>
    <w:rsid w:val="005E03DE"/>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5E03DE"/>
    <w:pPr>
      <w:ind w:left="360" w:firstLine="360"/>
    </w:pPr>
  </w:style>
  <w:style w:type="character" w:customStyle="1" w:styleId="Brdtekst-frsteinnrykk2Tegn">
    <w:name w:val="Brødtekst - første innrykk 2 Tegn"/>
    <w:basedOn w:val="BrdtekstinnrykkTegn"/>
    <w:link w:val="Brdtekst-frsteinnrykk2"/>
    <w:uiPriority w:val="99"/>
    <w:semiHidden/>
    <w:rsid w:val="005E03DE"/>
    <w:rPr>
      <w:rFonts w:ascii="Times New Roman" w:eastAsia="Times New Roman" w:hAnsi="Times New Roman"/>
      <w:sz w:val="24"/>
    </w:rPr>
  </w:style>
  <w:style w:type="paragraph" w:styleId="Liste-forts">
    <w:name w:val="List Continue"/>
    <w:basedOn w:val="Normal"/>
    <w:uiPriority w:val="99"/>
    <w:semiHidden/>
    <w:unhideWhenUsed/>
    <w:rsid w:val="005E03DE"/>
    <w:pPr>
      <w:ind w:left="283"/>
      <w:contextualSpacing/>
    </w:pPr>
  </w:style>
  <w:style w:type="paragraph" w:styleId="Liste-forts2">
    <w:name w:val="List Continue 2"/>
    <w:basedOn w:val="Normal"/>
    <w:uiPriority w:val="99"/>
    <w:semiHidden/>
    <w:unhideWhenUsed/>
    <w:rsid w:val="005E03DE"/>
    <w:pPr>
      <w:ind w:left="566"/>
      <w:contextualSpacing/>
    </w:pPr>
  </w:style>
  <w:style w:type="paragraph" w:styleId="Liste-forts3">
    <w:name w:val="List Continue 3"/>
    <w:basedOn w:val="Normal"/>
    <w:uiPriority w:val="99"/>
    <w:semiHidden/>
    <w:unhideWhenUsed/>
    <w:rsid w:val="005E03DE"/>
    <w:pPr>
      <w:ind w:left="849"/>
      <w:contextualSpacing/>
    </w:pPr>
  </w:style>
  <w:style w:type="paragraph" w:styleId="Liste-forts4">
    <w:name w:val="List Continue 4"/>
    <w:basedOn w:val="Normal"/>
    <w:uiPriority w:val="99"/>
    <w:semiHidden/>
    <w:unhideWhenUsed/>
    <w:rsid w:val="005E03DE"/>
    <w:pPr>
      <w:ind w:left="1132"/>
      <w:contextualSpacing/>
    </w:pPr>
  </w:style>
  <w:style w:type="paragraph" w:styleId="Liste-forts5">
    <w:name w:val="List Continue 5"/>
    <w:basedOn w:val="Normal"/>
    <w:uiPriority w:val="99"/>
    <w:semiHidden/>
    <w:unhideWhenUsed/>
    <w:rsid w:val="005E03DE"/>
    <w:pPr>
      <w:ind w:left="1415"/>
      <w:contextualSpacing/>
    </w:pPr>
  </w:style>
  <w:style w:type="paragraph" w:customStyle="1" w:styleId="Sammendrag">
    <w:name w:val="Sammendrag"/>
    <w:basedOn w:val="Overskrift1"/>
    <w:qFormat/>
    <w:rsid w:val="005E03DE"/>
    <w:pPr>
      <w:numPr>
        <w:numId w:val="0"/>
      </w:numPr>
    </w:pPr>
  </w:style>
  <w:style w:type="paragraph" w:customStyle="1" w:styleId="TrykkeriMerknad">
    <w:name w:val="TrykkeriMerknad"/>
    <w:basedOn w:val="Normal"/>
    <w:qFormat/>
    <w:rsid w:val="005E03DE"/>
    <w:pPr>
      <w:spacing w:before="60"/>
    </w:pPr>
    <w:rPr>
      <w:rFonts w:ascii="Arial" w:hAnsi="Arial"/>
      <w:color w:val="C45911" w:themeColor="accent2" w:themeShade="BF"/>
      <w:spacing w:val="4"/>
      <w:sz w:val="26"/>
    </w:rPr>
  </w:style>
  <w:style w:type="table" w:styleId="Tabellrutenett">
    <w:name w:val="Table Grid"/>
    <w:basedOn w:val="Vanligtabell"/>
    <w:uiPriority w:val="59"/>
    <w:rsid w:val="005E03D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5E03DE"/>
    <w:pPr>
      <w:spacing w:before="360" w:after="240"/>
      <w:jc w:val="center"/>
    </w:pPr>
    <w:rPr>
      <w:b/>
      <w:spacing w:val="4"/>
      <w:sz w:val="28"/>
    </w:rPr>
  </w:style>
  <w:style w:type="paragraph" w:customStyle="1" w:styleId="ForfatterMerknad">
    <w:name w:val="ForfatterMerknad"/>
    <w:basedOn w:val="TrykkeriMerknad"/>
    <w:qFormat/>
    <w:rsid w:val="005E03DE"/>
    <w:pPr>
      <w:shd w:val="clear" w:color="auto" w:fill="FFFF99"/>
      <w:spacing w:line="240" w:lineRule="auto"/>
    </w:pPr>
    <w:rPr>
      <w:color w:val="833C0B" w:themeColor="accent2" w:themeShade="80"/>
    </w:rPr>
  </w:style>
  <w:style w:type="paragraph" w:customStyle="1" w:styleId="tblRad">
    <w:name w:val="tblRad"/>
    <w:rsid w:val="005E03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E03DE"/>
  </w:style>
  <w:style w:type="paragraph" w:customStyle="1" w:styleId="tbl2LinjeSumBold">
    <w:name w:val="tbl2LinjeSumBold"/>
    <w:basedOn w:val="tblRad"/>
    <w:rsid w:val="005E03DE"/>
    <w:rPr>
      <w:b/>
    </w:rPr>
  </w:style>
  <w:style w:type="paragraph" w:customStyle="1" w:styleId="tblDelsum1">
    <w:name w:val="tblDelsum1"/>
    <w:basedOn w:val="tblRad"/>
    <w:rsid w:val="005E03DE"/>
    <w:rPr>
      <w:i/>
    </w:rPr>
  </w:style>
  <w:style w:type="paragraph" w:customStyle="1" w:styleId="tblDelsum1-Kapittel">
    <w:name w:val="tblDelsum1 - Kapittel"/>
    <w:basedOn w:val="tblDelsum1"/>
    <w:rsid w:val="005E03DE"/>
    <w:pPr>
      <w:keepNext w:val="0"/>
    </w:pPr>
  </w:style>
  <w:style w:type="paragraph" w:customStyle="1" w:styleId="tblDelsum2">
    <w:name w:val="tblDelsum2"/>
    <w:basedOn w:val="tblRad"/>
    <w:rsid w:val="005E03DE"/>
    <w:rPr>
      <w:b/>
      <w:i/>
    </w:rPr>
  </w:style>
  <w:style w:type="paragraph" w:customStyle="1" w:styleId="tblDelsum2-Kapittel">
    <w:name w:val="tblDelsum2 - Kapittel"/>
    <w:basedOn w:val="tblDelsum2"/>
    <w:rsid w:val="005E03DE"/>
    <w:pPr>
      <w:keepNext w:val="0"/>
    </w:pPr>
  </w:style>
  <w:style w:type="paragraph" w:customStyle="1" w:styleId="tblTabelloverskrift">
    <w:name w:val="tblTabelloverskrift"/>
    <w:rsid w:val="005E03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E03DE"/>
    <w:pPr>
      <w:spacing w:after="0"/>
      <w:jc w:val="right"/>
    </w:pPr>
    <w:rPr>
      <w:b w:val="0"/>
      <w:caps w:val="0"/>
      <w:sz w:val="16"/>
    </w:rPr>
  </w:style>
  <w:style w:type="paragraph" w:customStyle="1" w:styleId="tblKategoriOverskrift">
    <w:name w:val="tblKategoriOverskrift"/>
    <w:basedOn w:val="tblRad"/>
    <w:rsid w:val="005E03DE"/>
    <w:pPr>
      <w:spacing w:before="120"/>
    </w:pPr>
    <w:rPr>
      <w:b/>
    </w:rPr>
  </w:style>
  <w:style w:type="paragraph" w:customStyle="1" w:styleId="tblKolonneoverskrift">
    <w:name w:val="tblKolonneoverskrift"/>
    <w:basedOn w:val="Normal"/>
    <w:rsid w:val="005E03D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5E03DE"/>
    <w:pPr>
      <w:spacing w:after="360"/>
      <w:jc w:val="center"/>
    </w:pPr>
    <w:rPr>
      <w:b w:val="0"/>
      <w:caps w:val="0"/>
    </w:rPr>
  </w:style>
  <w:style w:type="paragraph" w:customStyle="1" w:styleId="tblKolonneoverskrift-Vedtak">
    <w:name w:val="tblKolonneoverskrift - Vedtak"/>
    <w:basedOn w:val="tblTabelloverskrift-Vedtak"/>
    <w:rsid w:val="005E03DE"/>
    <w:pPr>
      <w:spacing w:after="0"/>
    </w:pPr>
  </w:style>
  <w:style w:type="paragraph" w:customStyle="1" w:styleId="tblOverskrift-Vedtak">
    <w:name w:val="tblOverskrift - Vedtak"/>
    <w:basedOn w:val="tblRad"/>
    <w:rsid w:val="005E03DE"/>
    <w:pPr>
      <w:spacing w:before="360"/>
      <w:jc w:val="center"/>
    </w:pPr>
  </w:style>
  <w:style w:type="paragraph" w:customStyle="1" w:styleId="tblRadBold">
    <w:name w:val="tblRadBold"/>
    <w:basedOn w:val="tblRad"/>
    <w:rsid w:val="005E03DE"/>
    <w:rPr>
      <w:b/>
    </w:rPr>
  </w:style>
  <w:style w:type="paragraph" w:customStyle="1" w:styleId="tblRadItalic">
    <w:name w:val="tblRadItalic"/>
    <w:basedOn w:val="tblRad"/>
    <w:rsid w:val="005E03DE"/>
    <w:rPr>
      <w:i/>
    </w:rPr>
  </w:style>
  <w:style w:type="paragraph" w:customStyle="1" w:styleId="tblRadItalicSiste">
    <w:name w:val="tblRadItalicSiste"/>
    <w:basedOn w:val="tblRadItalic"/>
    <w:rsid w:val="005E03DE"/>
  </w:style>
  <w:style w:type="paragraph" w:customStyle="1" w:styleId="tblRadMedLuft">
    <w:name w:val="tblRadMedLuft"/>
    <w:basedOn w:val="tblRad"/>
    <w:rsid w:val="005E03DE"/>
    <w:pPr>
      <w:spacing w:before="120"/>
    </w:pPr>
  </w:style>
  <w:style w:type="paragraph" w:customStyle="1" w:styleId="tblRadMedLuftSiste">
    <w:name w:val="tblRadMedLuftSiste"/>
    <w:basedOn w:val="tblRadMedLuft"/>
    <w:rsid w:val="005E03DE"/>
    <w:pPr>
      <w:spacing w:after="120"/>
    </w:pPr>
  </w:style>
  <w:style w:type="paragraph" w:customStyle="1" w:styleId="tblRadMedLuftSiste-Vedtak">
    <w:name w:val="tblRadMedLuftSiste - Vedtak"/>
    <w:basedOn w:val="tblRadMedLuftSiste"/>
    <w:rsid w:val="005E03DE"/>
    <w:pPr>
      <w:keepNext w:val="0"/>
    </w:pPr>
  </w:style>
  <w:style w:type="paragraph" w:customStyle="1" w:styleId="tblRadSiste">
    <w:name w:val="tblRadSiste"/>
    <w:basedOn w:val="tblRad"/>
    <w:rsid w:val="005E03DE"/>
  </w:style>
  <w:style w:type="paragraph" w:customStyle="1" w:styleId="tblSluttsum">
    <w:name w:val="tblSluttsum"/>
    <w:basedOn w:val="tblRad"/>
    <w:rsid w:val="005E03DE"/>
    <w:pPr>
      <w:spacing w:before="120"/>
    </w:pPr>
    <w:rPr>
      <w:b/>
      <w:i/>
    </w:rPr>
  </w:style>
  <w:style w:type="character" w:styleId="Emneknagg">
    <w:name w:val="Hashtag"/>
    <w:basedOn w:val="Standardskriftforavsnitt"/>
    <w:uiPriority w:val="99"/>
    <w:semiHidden/>
    <w:unhideWhenUsed/>
    <w:rsid w:val="00142E5B"/>
    <w:rPr>
      <w:color w:val="2B579A"/>
      <w:shd w:val="clear" w:color="auto" w:fill="E1DFDD"/>
    </w:rPr>
  </w:style>
  <w:style w:type="character" w:styleId="Omtale">
    <w:name w:val="Mention"/>
    <w:basedOn w:val="Standardskriftforavsnitt"/>
    <w:uiPriority w:val="99"/>
    <w:semiHidden/>
    <w:unhideWhenUsed/>
    <w:rsid w:val="00142E5B"/>
    <w:rPr>
      <w:color w:val="2B579A"/>
      <w:shd w:val="clear" w:color="auto" w:fill="E1DFDD"/>
    </w:rPr>
  </w:style>
  <w:style w:type="paragraph" w:styleId="Sitat0">
    <w:name w:val="Quote"/>
    <w:basedOn w:val="Normal"/>
    <w:next w:val="Normal"/>
    <w:link w:val="SitatTegn1"/>
    <w:uiPriority w:val="29"/>
    <w:qFormat/>
    <w:rsid w:val="00142E5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42E5B"/>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142E5B"/>
    <w:rPr>
      <w:u w:val="dotted"/>
    </w:rPr>
  </w:style>
  <w:style w:type="character" w:styleId="Smartkobling">
    <w:name w:val="Smart Link"/>
    <w:basedOn w:val="Standardskriftforavsnitt"/>
    <w:uiPriority w:val="99"/>
    <w:semiHidden/>
    <w:unhideWhenUsed/>
    <w:rsid w:val="00142E5B"/>
    <w:rPr>
      <w:color w:val="0000FF"/>
      <w:u w:val="single"/>
      <w:shd w:val="clear" w:color="auto" w:fill="F3F2F1"/>
    </w:rPr>
  </w:style>
  <w:style w:type="character" w:styleId="Ulstomtale">
    <w:name w:val="Unresolved Mention"/>
    <w:basedOn w:val="Standardskriftforavsnitt"/>
    <w:uiPriority w:val="99"/>
    <w:semiHidden/>
    <w:unhideWhenUsed/>
    <w:rsid w:val="0014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25CC-8775-490E-925B-BEC394A4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33</TotalTime>
  <Pages>347</Pages>
  <Words>124273</Words>
  <Characters>734120</Characters>
  <Application>Microsoft Office Word</Application>
  <DocSecurity>0</DocSecurity>
  <Lines>6117</Lines>
  <Paragraphs>1713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6</cp:revision>
  <dcterms:created xsi:type="dcterms:W3CDTF">2023-10-03T07:54:00Z</dcterms:created>
  <dcterms:modified xsi:type="dcterms:W3CDTF">2023-10-03T13:10:00Z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2023-10-03T07:23:40Z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422c425d-aa8e-44b9-9145-c297c483833c</vt:lpwstr>
  </property>
  <property fmtid="{D5CDD505-2E9C-101B-9397-08002B2CF9AE}" pid="8" name="MSIP_Label_b22f7043-6caf-4431-9109-8eff758a1d8b_ContentBits">
    <vt:lpwstr>0</vt:lpwstr>
  </property>
</Properties>
</file>